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0"/>
      </w:pPr>
    </w:p>
    <w:p>
      <w:pPr>
        <w:pStyle w:val="Title"/>
        <w:jc w:val="center"/>
      </w:pPr>
      <w:r>
        <w:rPr>
          <w:rFonts w:ascii="Calibri" w:hAnsi="Calibri"/>
          <w:b/>
          <w:color w:val="0B3D91"/>
          <w:sz w:val="72"/>
        </w:rPr>
        <w:t>LIVRE TECHNIQUE</w:t>
        <w:br/>
        <w:t>DE PHARMACOLOGIE CLINIQUE</w:t>
      </w:r>
    </w:p>
    <w:p>
      <w:pPr>
        <w:spacing w:before="240" w:after="120"/>
        <w:jc w:val="center"/>
      </w:pPr>
      <w:r>
        <w:rPr>
          <w:rFonts w:ascii="Calibri" w:hAnsi="Calibri"/>
          <w:b/>
          <w:color w:val="C0392B"/>
          <w:sz w:val="56"/>
        </w:rPr>
        <w:t>ANTALGIQUES</w:t>
      </w:r>
    </w:p>
    <w:p>
      <w:pPr>
        <w:jc w:val="center"/>
      </w:pPr>
      <w:r>
        <w:rPr>
          <w:rFonts w:ascii="Calibri" w:hAnsi="Calibri"/>
          <w:color w:val="808080"/>
          <w:sz w:val="40"/>
        </w:rPr>
        <w:t>&amp;</w:t>
      </w:r>
    </w:p>
    <w:p>
      <w:pPr>
        <w:spacing w:after="120"/>
        <w:jc w:val="center"/>
      </w:pPr>
      <w:r>
        <w:rPr>
          <w:rFonts w:ascii="Calibri" w:hAnsi="Calibri"/>
          <w:b/>
          <w:color w:val="1F4E79"/>
          <w:sz w:val="52"/>
        </w:rPr>
        <w:t>ANTI-INFLAMMATOIRES</w:t>
      </w:r>
    </w:p>
    <w:p>
      <w:pPr>
        <w:jc w:val="center"/>
      </w:pPr>
      <w:r>
        <w:rPr>
          <w:rFonts w:ascii="Calibri" w:hAnsi="Calibri"/>
          <w:i/>
          <w:color w:val="606060"/>
          <w:sz w:val="40"/>
        </w:rPr>
        <w:t>en Algérie</w:t>
      </w:r>
    </w:p>
    <w:p>
      <w:pPr>
        <w:spacing w:before="400" w:after="400"/>
        <w:jc w:val="center"/>
      </w:pPr>
      <w:r>
        <w:rPr>
          <w:color w:val="0B3D91"/>
          <w:sz w:val="28"/>
        </w:rPr>
        <w:t>━━━━━━━━━━━━━━━━━━━━━━━━━━━━━━</w:t>
      </w:r>
    </w:p>
    <w:p>
      <w:pPr>
        <w:jc w:val="center"/>
      </w:pPr>
      <w:r>
        <w:rPr>
          <w:rFonts w:ascii="Calibri" w:hAnsi="Calibri"/>
          <w:b/>
          <w:color w:val="1F4E79"/>
          <w:sz w:val="36"/>
        </w:rPr>
        <w:t>Fascicule III</w:t>
      </w:r>
    </w:p>
    <w:p>
      <w:pPr>
        <w:jc w:val="center"/>
      </w:pPr>
      <w:r>
        <w:rPr>
          <w:rFonts w:ascii="Calibri" w:hAnsi="Calibri"/>
          <w:i/>
          <w:color w:val="606060"/>
          <w:sz w:val="28"/>
        </w:rPr>
        <w:t>Antalgiques et Anti-inflammatoires</w:t>
      </w:r>
    </w:p>
    <w:p>
      <w:pPr>
        <w:spacing w:before="1600"/>
      </w:pPr>
    </w:p>
    <w:p>
      <w:pPr>
        <w:jc w:val="center"/>
      </w:pPr>
      <w:r>
        <w:rPr>
          <w:rFonts w:ascii="Calibri" w:hAnsi="Calibri"/>
          <w:color w:val="404040"/>
          <w:sz w:val="24"/>
        </w:rPr>
        <w:t>Manuel académique et pratique pour étudiants en pharmacie d'officine</w:t>
      </w:r>
    </w:p>
    <w:p>
      <w:pPr>
        <w:jc w:val="center"/>
      </w:pPr>
      <w:r>
        <w:rPr>
          <w:rFonts w:ascii="Calibri" w:hAnsi="Calibri"/>
          <w:i/>
          <w:color w:val="606060"/>
          <w:sz w:val="22"/>
        </w:rPr>
        <w:t>Basé sur la nomenclature officielle des médicaments enregistrés en Algérie (Avril 2026)</w:t>
      </w:r>
    </w:p>
    <w:p>
      <w:pPr>
        <w:spacing w:before="1200"/>
      </w:pPr>
    </w:p>
    <w:p>
      <w:pPr>
        <w:jc w:val="center"/>
      </w:pPr>
      <w:r>
        <w:rPr>
          <w:rFonts w:ascii="Calibri" w:hAnsi="Calibri"/>
          <w:b/>
          <w:color w:val="0B3D91"/>
          <w:sz w:val="22"/>
        </w:rPr>
        <w:t>65 DCI traitées  •  700+ spécialités commerciales  •  6 chapitres thématiques</w:t>
      </w:r>
    </w:p>
    <w:p>
      <w:pPr>
        <w:spacing w:before="1600"/>
      </w:pPr>
    </w:p>
    <w:p>
      <w:pPr>
        <w:jc w:val="center"/>
      </w:pPr>
      <w:r>
        <w:rPr>
          <w:rFonts w:ascii="Calibri" w:hAnsi="Calibri"/>
          <w:b/>
          <w:color w:val="404040"/>
          <w:sz w:val="28"/>
        </w:rPr>
        <w:t>Édition Août 2026</w:t>
      </w:r>
    </w:p>
    <w:p>
      <w:pPr>
        <w:jc w:val="center"/>
      </w:pPr>
      <w:r>
        <w:rPr>
          <w:rFonts w:ascii="Calibri" w:hAnsi="Calibri"/>
          <w:i/>
          <w:color w:val="808080"/>
          <w:sz w:val="18"/>
        </w:rPr>
        <w:t>Sources : VIDAL • ANSM • Thériaque • OMS • CRAT • UpToDate • Micromedex</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X439384c17be3874b81ac96f7d70cbc6b1cf2763"/>
    <w:bookmarkStart w:id="20" w:name="X2dfab2ab05bfb7db48f511909e04d7473244fcb"/>
    <w:p>
      <w:r>
        <w:pict>
          <v:rect style="width:0;height:1.5pt" o:hralign="center" o:hrstd="t" o:hr="t"/>
        </w:pict>
      </w:r>
    </w:p>
    <w:bookmarkEnd w:id="20"/>
    <w:bookmarkStart w:id="37" w:name="X08ca49075f51d95cfdb55ee94a98512ce1e1418"/>
    <w:p>
      <w:pPr>
        <w:pStyle w:val="Heading2"/>
      </w:pPr>
      <w:r>
        <w:t xml:space="preserve">Avant-propos et méthodologie du Fascicule III</w:t>
      </w:r>
    </w:p>
    <w:bookmarkStart w:id="21" w:name="objet-du-fascicule"/>
    <w:p>
      <w:pPr>
        <w:pStyle w:val="Heading3"/>
      </w:pPr>
      <w:r>
        <w:t xml:space="preserve">1. Objet du fascicule</w:t>
      </w:r>
    </w:p>
    <w:p>
      <w:pPr>
        <w:pStyle w:val="FirstParagraph"/>
      </w:pPr>
      <w:r>
        <w:t xml:space="preserve">Le présent fascicule constitue le troisième volet du traité technique de pharmacologie clinique destiné aux étudiants en pharmacie d’officine et aux praticiens exerçant sur le territoire algérien. Il poursuit la démarche engagée dans les Fascicules I (Antibiotiques) et II (Antifongiques &amp; Antiparasitaires) en traitant de manière exhaustive les classes thérapeutiques des</w:t>
      </w:r>
      <w:r>
        <w:t xml:space="preserve"> </w:t>
      </w:r>
      <w:r>
        <w:rPr>
          <w:b/>
          <w:bCs/>
        </w:rPr>
        <w:t xml:space="preserve">antalgiques</w:t>
      </w:r>
      <w:r>
        <w:t xml:space="preserve"> </w:t>
      </w:r>
      <w:r>
        <w:t xml:space="preserve">et des</w:t>
      </w:r>
      <w:r>
        <w:t xml:space="preserve"> </w:t>
      </w:r>
      <w:r>
        <w:rPr>
          <w:b/>
          <w:bCs/>
        </w:rPr>
        <w:t xml:space="preserve">anti-inflammatoires non stéroïdiens (AINS)</w:t>
      </w:r>
      <w:r>
        <w:t xml:space="preserve"> </w:t>
      </w:r>
      <w:r>
        <w:t xml:space="preserve">enregistrées auprès du Ministère de la Santé algérien.</w:t>
      </w:r>
    </w:p>
    <w:p>
      <w:pPr>
        <w:pStyle w:val="BodyText"/>
      </w:pPr>
      <w:r>
        <w:t xml:space="preserve">La base réglementaire de référence utilisée est, comme pour les fascicules précédents, le fichier officiel</w:t>
      </w:r>
      <w:r>
        <w:t xml:space="preserve"> </w:t>
      </w:r>
      <w:r>
        <w:rPr>
          <w:b/>
          <w:bCs/>
        </w:rPr>
        <w:t xml:space="preserve">« COMPLETE LISTE.xlsx »</w:t>
      </w:r>
      <w:r>
        <w:t xml:space="preserve"> </w:t>
      </w:r>
      <w:r>
        <w:t xml:space="preserve">compilant la nomenclature des médicaments à l’avril 2026 (spécialités actives, non renouvelables et retirées du marché).</w:t>
      </w:r>
    </w:p>
    <w:bookmarkEnd w:id="21"/>
    <w:bookmarkStart w:id="24" w:name="contexte-épidémiologique-algérien"/>
    <w:p>
      <w:pPr>
        <w:pStyle w:val="Heading3"/>
      </w:pPr>
      <w:r>
        <w:t xml:space="preserve">2. Contexte épidémiologique algérien</w:t>
      </w:r>
    </w:p>
    <w:bookmarkStart w:id="22" w:name="douleur-et-inflammation"/>
    <w:p>
      <w:pPr>
        <w:pStyle w:val="Heading4"/>
      </w:pPr>
      <w:r>
        <w:t xml:space="preserve">2.1 Douleur et inflammation</w:t>
      </w:r>
    </w:p>
    <w:p>
      <w:pPr>
        <w:pStyle w:val="FirstParagraph"/>
      </w:pPr>
      <w:r>
        <w:t xml:space="preserve">La douleur (aiguë ou chronique) constitue l’un des principaux motifs de recours au pharmacien d’officine en Algérie. Plusieurs particularités épidémiologiques justifient l’importance de la formation pharmaceutique dans ce domaine :</w:t>
      </w:r>
    </w:p>
    <w:p>
      <w:pPr>
        <w:pStyle w:val="Compact"/>
        <w:numPr>
          <w:ilvl w:val="0"/>
          <w:numId w:val="1001"/>
        </w:numPr>
      </w:pPr>
      <w:r>
        <w:rPr>
          <w:b/>
          <w:bCs/>
        </w:rPr>
        <w:t xml:space="preserve">Prévalence élevée des pathologies douloureuses</w:t>
      </w:r>
      <w:r>
        <w:t xml:space="preserve"> </w:t>
      </w:r>
      <w:r>
        <w:t xml:space="preserve">: céphalées, migraines (prévalence 5 à 10 % de la population adulte), lombalgies (première cause de consultation en médecine générale), arthralgies, douleurs post-opératoires, douleurs cancéreuses.</w:t>
      </w:r>
    </w:p>
    <w:p>
      <w:pPr>
        <w:pStyle w:val="Compact"/>
        <w:numPr>
          <w:ilvl w:val="0"/>
          <w:numId w:val="1001"/>
        </w:numPr>
      </w:pPr>
      <w:r>
        <w:rPr>
          <w:b/>
          <w:bCs/>
        </w:rPr>
        <w:t xml:space="preserve">Polypathologies des sujets âgés</w:t>
      </w:r>
      <w:r>
        <w:t xml:space="preserve"> </w:t>
      </w:r>
      <w:r>
        <w:t xml:space="preserve">: arthrose, polyarthrite rhumatoïde, pseudopolyarthrite rhizomélique, névralgies cervico-brachiales — requérant une attention particulière aux interactions médicamenteuses (AINS + AVK, AINS + IEC, AINS + diurétiques).</w:t>
      </w:r>
    </w:p>
    <w:p>
      <w:pPr>
        <w:pStyle w:val="Compact"/>
        <w:numPr>
          <w:ilvl w:val="0"/>
          <w:numId w:val="1001"/>
        </w:numPr>
      </w:pPr>
      <w:r>
        <w:rPr>
          <w:b/>
          <w:bCs/>
        </w:rPr>
        <w:t xml:space="preserve">Automédication extensive</w:t>
      </w:r>
      <w:r>
        <w:t xml:space="preserve"> </w:t>
      </w:r>
      <w:r>
        <w:t xml:space="preserve">: paracétamol, ibuprofène et aspirine figurent parmi les médicaments les plus consommés en automédication, exposant à un risque réel de surdosage (surtout paracétamol caché dans les associations antalgiques du rhume).</w:t>
      </w:r>
    </w:p>
    <w:p>
      <w:pPr>
        <w:pStyle w:val="Compact"/>
        <w:numPr>
          <w:ilvl w:val="0"/>
          <w:numId w:val="1001"/>
        </w:numPr>
      </w:pPr>
      <w:r>
        <w:rPr>
          <w:b/>
          <w:bCs/>
        </w:rPr>
        <w:t xml:space="preserve">Pathologies rhumatismales spécifiques</w:t>
      </w:r>
      <w:r>
        <w:t xml:space="preserve"> </w:t>
      </w:r>
      <w:r>
        <w:t xml:space="preserve">: goutte (prévalence élevée en Algérie, favorisée par le régime alimentaire riche en viandes rouges et abats), spondylarthrites, arthrose du genou et de la hanche.</w:t>
      </w:r>
    </w:p>
    <w:p>
      <w:pPr>
        <w:pStyle w:val="Compact"/>
        <w:numPr>
          <w:ilvl w:val="0"/>
          <w:numId w:val="1001"/>
        </w:numPr>
      </w:pPr>
      <w:r>
        <w:rPr>
          <w:b/>
          <w:bCs/>
        </w:rPr>
        <w:t xml:space="preserve">Maladies inflammatoires chroniques intestinales (MICI)</w:t>
      </w:r>
      <w:r>
        <w:t xml:space="preserve"> </w:t>
      </w:r>
      <w:r>
        <w:t xml:space="preserve">: maladie de Crohn et rectocolite hémorragique en progression, justifiant l’usage des 5-ASA.</w:t>
      </w:r>
    </w:p>
    <w:bookmarkEnd w:id="22"/>
    <w:bookmarkStart w:id="23" w:name="spécificités-du-marché-algérien"/>
    <w:p>
      <w:pPr>
        <w:pStyle w:val="Heading4"/>
      </w:pPr>
      <w:r>
        <w:t xml:space="preserve">2.2 Spécificités du marché algérien</w:t>
      </w:r>
    </w:p>
    <w:p>
      <w:pPr>
        <w:pStyle w:val="Compact"/>
        <w:numPr>
          <w:ilvl w:val="0"/>
          <w:numId w:val="1002"/>
        </w:numPr>
      </w:pPr>
      <w:r>
        <w:rPr>
          <w:b/>
          <w:bCs/>
        </w:rPr>
        <w:t xml:space="preserve">Large disponibilité des AINS</w:t>
      </w:r>
      <w:r>
        <w:t xml:space="preserve"> </w:t>
      </w:r>
      <w:r>
        <w:t xml:space="preserve">: tous les AINS classiques sont commercialisés (ibuprofène, diclofénac, kétoprofène, naproxène, piroxicam, méloxicam), ainsi que les coxibs (célécoxib, étoricoxib) et le nimésulide.</w:t>
      </w:r>
    </w:p>
    <w:p>
      <w:pPr>
        <w:pStyle w:val="Compact"/>
        <w:numPr>
          <w:ilvl w:val="0"/>
          <w:numId w:val="1002"/>
        </w:numPr>
      </w:pPr>
      <w:r>
        <w:rPr>
          <w:b/>
          <w:bCs/>
        </w:rPr>
        <w:t xml:space="preserve">Retraits récents marquants</w:t>
      </w:r>
      <w:r>
        <w:t xml:space="preserve"> </w:t>
      </w:r>
      <w:r>
        <w:t xml:space="preserve">: dextropropoxyphène (Di-Antalvic® et génériques) retiré du marché pour surdosages cardiaques mortels ; rofécoxib (Vioxx®) retiré en 2004 pour risque cardiovasculaire.</w:t>
      </w:r>
    </w:p>
    <w:p>
      <w:pPr>
        <w:pStyle w:val="Compact"/>
        <w:numPr>
          <w:ilvl w:val="0"/>
          <w:numId w:val="1002"/>
        </w:numPr>
      </w:pPr>
      <w:r>
        <w:rPr>
          <w:b/>
          <w:bCs/>
        </w:rPr>
        <w:t xml:space="preserve">Disponibilité limitée de certains opioïdes</w:t>
      </w:r>
      <w:r>
        <w:t xml:space="preserve"> </w:t>
      </w:r>
      <w:r>
        <w:t xml:space="preserve">: oxycodone RETIRÉE, hydromorphone non disponible, tapentadol absent. La morphine orale (SKENAN LP, ACTISKENAN) et le fentanyl transdermique (DUROGESIC) sont disponibles mais classés stupéfiants.</w:t>
      </w:r>
    </w:p>
    <w:p>
      <w:pPr>
        <w:pStyle w:val="Compact"/>
        <w:numPr>
          <w:ilvl w:val="0"/>
          <w:numId w:val="1002"/>
        </w:numPr>
      </w:pPr>
      <w:r>
        <w:rPr>
          <w:b/>
          <w:bCs/>
        </w:rPr>
        <w:t xml:space="preserve">Spécialités historiques retirées</w:t>
      </w:r>
      <w:r>
        <w:t xml:space="preserve"> </w:t>
      </w:r>
      <w:r>
        <w:t xml:space="preserve">: métamizole, phénylbutazone pour formes systémiques.</w:t>
      </w:r>
    </w:p>
    <w:bookmarkEnd w:id="23"/>
    <w:bookmarkEnd w:id="24"/>
    <w:bookmarkStart w:id="25" w:name="X413a8f3074492907b636f664aca3fa4893290e9"/>
    <w:p>
      <w:pPr>
        <w:pStyle w:val="Heading3"/>
      </w:pPr>
      <w:r>
        <w:t xml:space="preserve">3. Sources académiques et médicales mobilisées</w:t>
      </w:r>
    </w:p>
    <w:p>
      <w:pPr>
        <w:pStyle w:val="Compact"/>
        <w:numPr>
          <w:ilvl w:val="0"/>
          <w:numId w:val="1003"/>
        </w:numPr>
      </w:pPr>
      <w:r>
        <w:rPr>
          <w:b/>
          <w:bCs/>
        </w:rPr>
        <w:t xml:space="preserve">VIDAL</w:t>
      </w:r>
      <w:r>
        <w:t xml:space="preserve"> </w:t>
      </w:r>
      <w:r>
        <w:t xml:space="preserve">: AMM, RCP, interactions.</w:t>
      </w:r>
    </w:p>
    <w:p>
      <w:pPr>
        <w:pStyle w:val="Compact"/>
        <w:numPr>
          <w:ilvl w:val="0"/>
          <w:numId w:val="1003"/>
        </w:numPr>
      </w:pPr>
      <w:r>
        <w:rPr>
          <w:b/>
          <w:bCs/>
        </w:rPr>
        <w:t xml:space="preserve">ANSM</w:t>
      </w:r>
      <w:r>
        <w:t xml:space="preserve"> </w:t>
      </w:r>
      <w:r>
        <w:t xml:space="preserve">: recommandations, mises en garde (notamment sur le dextropropoxyphène retiré en 2010-2013, le nimésulide et l’hépatotoxicité, les coxibs et le risque cardiovasculaire).</w:t>
      </w:r>
    </w:p>
    <w:p>
      <w:pPr>
        <w:pStyle w:val="Compact"/>
        <w:numPr>
          <w:ilvl w:val="0"/>
          <w:numId w:val="1003"/>
        </w:numPr>
      </w:pPr>
      <w:r>
        <w:rPr>
          <w:b/>
          <w:bCs/>
        </w:rPr>
        <w:t xml:space="preserve">Thériaque</w:t>
      </w:r>
      <w:r>
        <w:t xml:space="preserve"> </w:t>
      </w:r>
      <w:r>
        <w:t xml:space="preserve">: banque de données pharmaceutiques (CNHIM).</w:t>
      </w:r>
    </w:p>
    <w:p>
      <w:pPr>
        <w:pStyle w:val="Compact"/>
        <w:numPr>
          <w:ilvl w:val="0"/>
          <w:numId w:val="1003"/>
        </w:numPr>
      </w:pPr>
      <w:r>
        <w:rPr>
          <w:b/>
          <w:bCs/>
        </w:rPr>
        <w:t xml:space="preserve">CRAT (Centre de Renseignement sur les Agents Tératogènes)</w:t>
      </w:r>
      <w:r>
        <w:t xml:space="preserve"> </w:t>
      </w:r>
      <w:r>
        <w:t xml:space="preserve">: données grossesse et allaitement.</w:t>
      </w:r>
    </w:p>
    <w:p>
      <w:pPr>
        <w:pStyle w:val="Compact"/>
        <w:numPr>
          <w:ilvl w:val="0"/>
          <w:numId w:val="1003"/>
        </w:numPr>
      </w:pPr>
      <w:r>
        <w:rPr>
          <w:b/>
          <w:bCs/>
        </w:rPr>
        <w:t xml:space="preserve">OMS</w:t>
      </w:r>
      <w:r>
        <w:t xml:space="preserve"> </w:t>
      </w:r>
      <w:r>
        <w:t xml:space="preserve">: guides de traitement de la douleur (cancer, paliers OMS), guides de la goutte.</w:t>
      </w:r>
    </w:p>
    <w:p>
      <w:pPr>
        <w:pStyle w:val="Compact"/>
        <w:numPr>
          <w:ilvl w:val="0"/>
          <w:numId w:val="1003"/>
        </w:numPr>
      </w:pPr>
      <w:r>
        <w:rPr>
          <w:b/>
          <w:bCs/>
        </w:rPr>
        <w:t xml:space="preserve">UpToDate, DynaMed, IBM Micromedex, BMJ Best Practice, HAS</w:t>
      </w:r>
      <w:r>
        <w:t xml:space="preserve"> </w:t>
      </w:r>
      <w:r>
        <w:t xml:space="preserve">: référentiels internationaux.</w:t>
      </w:r>
    </w:p>
    <w:p>
      <w:pPr>
        <w:pStyle w:val="Compact"/>
        <w:numPr>
          <w:ilvl w:val="0"/>
          <w:numId w:val="1003"/>
        </w:numPr>
      </w:pPr>
      <w:r>
        <w:rPr>
          <w:b/>
          <w:bCs/>
        </w:rPr>
        <w:t xml:space="preserve">PubMed</w:t>
      </w:r>
      <w:r>
        <w:t xml:space="preserve"> </w:t>
      </w:r>
      <w:r>
        <w:t xml:space="preserve">: littérature primaire pour mécanismes et données récentes (essais VIGOR, APC, APPROVe, MEDAL).</w:t>
      </w:r>
    </w:p>
    <w:p>
      <w:pPr>
        <w:pStyle w:val="Compact"/>
        <w:numPr>
          <w:ilvl w:val="0"/>
          <w:numId w:val="1003"/>
        </w:numPr>
      </w:pPr>
      <w:r>
        <w:rPr>
          <w:b/>
          <w:bCs/>
        </w:rPr>
        <w:t xml:space="preserve">Recommandations algériennes</w:t>
      </w:r>
      <w:r>
        <w:t xml:space="preserve"> </w:t>
      </w:r>
      <w:r>
        <w:t xml:space="preserve">: Société Algérienne de Rhumatologie, Société Algérienne d’Anesthésie-Réanimation (SAAR).</w:t>
      </w:r>
    </w:p>
    <w:bookmarkEnd w:id="25"/>
    <w:bookmarkStart w:id="33" w:name="périmètre-de-ce-fascicule"/>
    <w:p>
      <w:pPr>
        <w:pStyle w:val="Heading3"/>
      </w:pPr>
      <w:r>
        <w:t xml:space="preserve">4. Périmètre de ce fascicule</w:t>
      </w:r>
    </w:p>
    <w:p>
      <w:pPr>
        <w:pStyle w:val="FirstParagraph"/>
      </w:pPr>
      <w:r>
        <w:t xml:space="preserve">Ce fascicule couvre les classes suivantes :</w:t>
      </w:r>
    </w:p>
    <w:bookmarkStart w:id="26" w:name="antalgiques-17-dci"/>
    <w:p>
      <w:pPr>
        <w:pStyle w:val="Heading4"/>
      </w:pPr>
      <w:r>
        <w:t xml:space="preserve">Antalgiques (17 DCI)</w:t>
      </w:r>
    </w:p>
    <w:p>
      <w:pPr>
        <w:pStyle w:val="Compact"/>
        <w:numPr>
          <w:ilvl w:val="0"/>
          <w:numId w:val="1004"/>
        </w:numPr>
      </w:pPr>
      <w:r>
        <w:t xml:space="preserve">Antalgiques palier I - Non opioïdes (Paracétamol)</w:t>
      </w:r>
    </w:p>
    <w:p>
      <w:pPr>
        <w:pStyle w:val="Compact"/>
        <w:numPr>
          <w:ilvl w:val="0"/>
          <w:numId w:val="1004"/>
        </w:numPr>
      </w:pPr>
      <w:r>
        <w:t xml:space="preserve">Antalgiques palier I - Salicylés (Aspirine)</w:t>
      </w:r>
    </w:p>
    <w:p>
      <w:pPr>
        <w:pStyle w:val="Compact"/>
        <w:numPr>
          <w:ilvl w:val="0"/>
          <w:numId w:val="1004"/>
        </w:numPr>
      </w:pPr>
      <w:r>
        <w:t xml:space="preserve">Antalgiques palier I - Salicylés topiques (Bismuth, Choline, Diéthylamine)</w:t>
      </w:r>
    </w:p>
    <w:p>
      <w:pPr>
        <w:pStyle w:val="Compact"/>
        <w:numPr>
          <w:ilvl w:val="0"/>
          <w:numId w:val="1004"/>
        </w:numPr>
      </w:pPr>
      <w:r>
        <w:t xml:space="preserve">Antalgiques palier I - Associations (6 associations)</w:t>
      </w:r>
    </w:p>
    <w:p>
      <w:pPr>
        <w:pStyle w:val="Compact"/>
        <w:numPr>
          <w:ilvl w:val="0"/>
          <w:numId w:val="1004"/>
        </w:numPr>
      </w:pPr>
      <w:r>
        <w:t xml:space="preserve">Antalgiques palier II - Opioïdes faibles (Codéine, Tramadol)</w:t>
      </w:r>
    </w:p>
    <w:p>
      <w:pPr>
        <w:pStyle w:val="Compact"/>
        <w:numPr>
          <w:ilvl w:val="0"/>
          <w:numId w:val="1004"/>
        </w:numPr>
      </w:pPr>
      <w:r>
        <w:t xml:space="preserve">Antalgiques palier II - Associations opioïdes faibles (Paracétamol + Codéine, Paracétamol + Tramadol, Paracétamol + Dextropropoxyphène retiré)</w:t>
      </w:r>
    </w:p>
    <w:p>
      <w:pPr>
        <w:pStyle w:val="Compact"/>
        <w:numPr>
          <w:ilvl w:val="0"/>
          <w:numId w:val="1004"/>
        </w:numPr>
      </w:pPr>
      <w:r>
        <w:t xml:space="preserve">Antalgiques palier III - Opioïdes forts (Morphine, Fentanyl, Oxycodone, Sufentanil, Alfentanil, Remifentanil)</w:t>
      </w:r>
    </w:p>
    <w:p>
      <w:pPr>
        <w:pStyle w:val="Compact"/>
        <w:numPr>
          <w:ilvl w:val="0"/>
          <w:numId w:val="1004"/>
        </w:numPr>
      </w:pPr>
      <w:r>
        <w:t xml:space="preserve">Antalgiques palier III - Opioïdes agonistes partiels (Buprénorphine)</w:t>
      </w:r>
    </w:p>
    <w:bookmarkEnd w:id="26"/>
    <w:bookmarkStart w:id="27" w:name="ains-24-dci"/>
    <w:p>
      <w:pPr>
        <w:pStyle w:val="Heading4"/>
      </w:pPr>
      <w:r>
        <w:t xml:space="preserve">AINS (24 DCI)</w:t>
      </w:r>
    </w:p>
    <w:p>
      <w:pPr>
        <w:pStyle w:val="Compact"/>
        <w:numPr>
          <w:ilvl w:val="0"/>
          <w:numId w:val="1005"/>
        </w:numPr>
      </w:pPr>
      <w:r>
        <w:t xml:space="preserve">AINS - Dérivés arylpropioniques (Ibuprofène, Ibuprofène lysinate, Kétoprofène, Dexkétoprofène, Flurbiprofène, Naproxène)</w:t>
      </w:r>
    </w:p>
    <w:p>
      <w:pPr>
        <w:pStyle w:val="Compact"/>
        <w:numPr>
          <w:ilvl w:val="0"/>
          <w:numId w:val="1005"/>
        </w:numPr>
      </w:pPr>
      <w:r>
        <w:t xml:space="preserve">AINS - Dérivés arylacétiques (Diclofénac, Acéclofénac)</w:t>
      </w:r>
    </w:p>
    <w:p>
      <w:pPr>
        <w:pStyle w:val="Compact"/>
        <w:numPr>
          <w:ilvl w:val="0"/>
          <w:numId w:val="1005"/>
        </w:numPr>
      </w:pPr>
      <w:r>
        <w:t xml:space="preserve">AINS - Dérivés indoliques (Indométacine)</w:t>
      </w:r>
    </w:p>
    <w:p>
      <w:pPr>
        <w:pStyle w:val="Compact"/>
        <w:numPr>
          <w:ilvl w:val="0"/>
          <w:numId w:val="1005"/>
        </w:numPr>
      </w:pPr>
      <w:r>
        <w:t xml:space="preserve">AINS - Dérivés hétérocycliques (Kétorolac)</w:t>
      </w:r>
    </w:p>
    <w:p>
      <w:pPr>
        <w:pStyle w:val="Compact"/>
        <w:numPr>
          <w:ilvl w:val="0"/>
          <w:numId w:val="1005"/>
        </w:numPr>
      </w:pPr>
      <w:r>
        <w:t xml:space="preserve">AINS - Anthraniliques (Acide méfénamique, Acide niflumique, Morniflumate)</w:t>
      </w:r>
    </w:p>
    <w:p>
      <w:pPr>
        <w:pStyle w:val="Compact"/>
        <w:numPr>
          <w:ilvl w:val="0"/>
          <w:numId w:val="1005"/>
        </w:numPr>
      </w:pPr>
      <w:r>
        <w:t xml:space="preserve">AINS - Pyrazolés (Metamizole)</w:t>
      </w:r>
    </w:p>
    <w:p>
      <w:pPr>
        <w:pStyle w:val="Compact"/>
        <w:numPr>
          <w:ilvl w:val="0"/>
          <w:numId w:val="1005"/>
        </w:numPr>
      </w:pPr>
      <w:r>
        <w:t xml:space="preserve">AINS - Oxicams (Piroxicam, Piroxicam β-cyclodextrine, Méloxicam, Lornoxicam)</w:t>
      </w:r>
    </w:p>
    <w:p>
      <w:pPr>
        <w:pStyle w:val="Compact"/>
        <w:numPr>
          <w:ilvl w:val="0"/>
          <w:numId w:val="1005"/>
        </w:numPr>
      </w:pPr>
      <w:r>
        <w:t xml:space="preserve">AINS - Coxibs (Célécoxib, Étoricoxib)</w:t>
      </w:r>
    </w:p>
    <w:p>
      <w:pPr>
        <w:pStyle w:val="Compact"/>
        <w:numPr>
          <w:ilvl w:val="0"/>
          <w:numId w:val="1005"/>
        </w:numPr>
      </w:pPr>
      <w:r>
        <w:t xml:space="preserve">AINS - Sulfonanilides (Nimésulide)</w:t>
      </w:r>
    </w:p>
    <w:p>
      <w:pPr>
        <w:pStyle w:val="Compact"/>
        <w:numPr>
          <w:ilvl w:val="0"/>
          <w:numId w:val="1005"/>
        </w:numPr>
      </w:pPr>
      <w:r>
        <w:t xml:space="preserve">AINS - Associations antalgiques-myorelaxantes, du rhume, topiques</w:t>
      </w:r>
    </w:p>
    <w:bookmarkEnd w:id="27"/>
    <w:bookmarkStart w:id="28" w:name="antimigraineux-8-dci"/>
    <w:p>
      <w:pPr>
        <w:pStyle w:val="Heading4"/>
      </w:pPr>
      <w:r>
        <w:t xml:space="preserve">Antimigraineux (8 DCI)</w:t>
      </w:r>
    </w:p>
    <w:p>
      <w:pPr>
        <w:pStyle w:val="Compact"/>
        <w:numPr>
          <w:ilvl w:val="0"/>
          <w:numId w:val="1006"/>
        </w:numPr>
      </w:pPr>
      <w:r>
        <w:t xml:space="preserve">Triptans (Sumatriptan, Zolmitriptan, Naratriptan, Rizatriptan, Eletriptan)</w:t>
      </w:r>
    </w:p>
    <w:p>
      <w:pPr>
        <w:pStyle w:val="Compact"/>
        <w:numPr>
          <w:ilvl w:val="0"/>
          <w:numId w:val="1006"/>
        </w:numPr>
      </w:pPr>
      <w:r>
        <w:t xml:space="preserve">Alcaloïdes de l’ergot de seigle (Ergotamine, Dihydroergotamine)</w:t>
      </w:r>
    </w:p>
    <w:p>
      <w:pPr>
        <w:pStyle w:val="Compact"/>
        <w:numPr>
          <w:ilvl w:val="0"/>
          <w:numId w:val="1006"/>
        </w:numPr>
      </w:pPr>
      <w:r>
        <w:t xml:space="preserve">Prophylaxie (Pizotifène)</w:t>
      </w:r>
    </w:p>
    <w:bookmarkEnd w:id="28"/>
    <w:bookmarkStart w:id="29" w:name="antigoutteux-3-dci"/>
    <w:p>
      <w:pPr>
        <w:pStyle w:val="Heading4"/>
      </w:pPr>
      <w:r>
        <w:t xml:space="preserve">Antigoutteux (3 DCI)</w:t>
      </w:r>
    </w:p>
    <w:p>
      <w:pPr>
        <w:pStyle w:val="Compact"/>
        <w:numPr>
          <w:ilvl w:val="0"/>
          <w:numId w:val="1007"/>
        </w:numPr>
      </w:pPr>
      <w:r>
        <w:t xml:space="preserve">Colchicine, Allopurinol, Fébuxostat</w:t>
      </w:r>
    </w:p>
    <w:bookmarkEnd w:id="29"/>
    <w:bookmarkStart w:id="30" w:name="myorelaxants-3-dci"/>
    <w:p>
      <w:pPr>
        <w:pStyle w:val="Heading4"/>
      </w:pPr>
      <w:r>
        <w:t xml:space="preserve">Myorelaxants (3 DCI)</w:t>
      </w:r>
    </w:p>
    <w:p>
      <w:pPr>
        <w:pStyle w:val="Compact"/>
        <w:numPr>
          <w:ilvl w:val="0"/>
          <w:numId w:val="1008"/>
        </w:numPr>
      </w:pPr>
      <w:r>
        <w:t xml:space="preserve">Thiocolchicoside, Méthocarbamol, Tolpérisone</w:t>
      </w:r>
    </w:p>
    <w:bookmarkEnd w:id="30"/>
    <w:bookmarkStart w:id="31" w:name="antispasmodiques-6-dci"/>
    <w:p>
      <w:pPr>
        <w:pStyle w:val="Heading4"/>
      </w:pPr>
      <w:r>
        <w:t xml:space="preserve">Antispasmodiques (6 DCI)</w:t>
      </w:r>
    </w:p>
    <w:p>
      <w:pPr>
        <w:pStyle w:val="Compact"/>
        <w:numPr>
          <w:ilvl w:val="0"/>
          <w:numId w:val="1009"/>
        </w:numPr>
      </w:pPr>
      <w:r>
        <w:t xml:space="preserve">Phloroglucinol, Trimébutine, Mébévérine, Alvérine, Pinavérium, Tiémonium/Prifinium</w:t>
      </w:r>
    </w:p>
    <w:bookmarkEnd w:id="31"/>
    <w:bookmarkStart w:id="32" w:name="Xf27ce58b57cbbaf8ba089de628a53e8f55c4e6c"/>
    <w:p>
      <w:pPr>
        <w:pStyle w:val="Heading4"/>
      </w:pPr>
      <w:r>
        <w:t xml:space="preserve">Anti-inflammatoires intestinaux 5-ASA (2 DCI)</w:t>
      </w:r>
    </w:p>
    <w:p>
      <w:pPr>
        <w:pStyle w:val="Compact"/>
        <w:numPr>
          <w:ilvl w:val="0"/>
          <w:numId w:val="1010"/>
        </w:numPr>
      </w:pPr>
      <w:r>
        <w:t xml:space="preserve">Mesalazine, Salazosulfapyridine</w:t>
      </w:r>
    </w:p>
    <w:p>
      <w:pPr>
        <w:pStyle w:val="FirstParagraph"/>
      </w:pPr>
      <w:r>
        <w:rPr>
          <w:b/>
          <w:bCs/>
        </w:rPr>
        <w:t xml:space="preserve">Total : 65 DCI canoniques</w:t>
      </w:r>
      <w:r>
        <w:t xml:space="preserve"> </w:t>
      </w:r>
      <w:r>
        <w:t xml:space="preserve">traitées individuellement, représentant plus de</w:t>
      </w:r>
      <w:r>
        <w:t xml:space="preserve"> </w:t>
      </w:r>
      <w:r>
        <w:rPr>
          <w:b/>
          <w:bCs/>
        </w:rPr>
        <w:t xml:space="preserve">700 spécialités commerciales</w:t>
      </w:r>
      <w:r>
        <w:t xml:space="preserve"> </w:t>
      </w:r>
      <w:r>
        <w:t xml:space="preserve">actives, non renouvelables ou retirées.</w:t>
      </w:r>
    </w:p>
    <w:bookmarkEnd w:id="32"/>
    <w:bookmarkEnd w:id="33"/>
    <w:bookmarkStart w:id="34" w:name="X6d3e3d7758a7bedd0173ce5d5fa36bf21031fb2"/>
    <w:p>
      <w:pPr>
        <w:pStyle w:val="Heading3"/>
      </w:pPr>
      <w:r>
        <w:t xml:space="preserve">5. Rappel stratégique sur l’usage rationnel des antalgiques et AINS</w:t>
      </w:r>
    </w:p>
    <w:p>
      <w:pPr>
        <w:pStyle w:val="FirstParagraph"/>
      </w:pPr>
      <w:r>
        <w:t xml:space="preserve">L’OMS propose depuis 1986 un schéma thérapeutique en trois paliers pour la prise en charge de la douleur :</w:t>
      </w:r>
    </w:p>
    <w:p>
      <w:pPr>
        <w:pStyle w:val="Compact"/>
        <w:numPr>
          <w:ilvl w:val="0"/>
          <w:numId w:val="1011"/>
        </w:numPr>
      </w:pPr>
      <w:r>
        <w:rPr>
          <w:b/>
          <w:bCs/>
        </w:rPr>
        <w:t xml:space="preserve">Palier I</w:t>
      </w:r>
      <w:r>
        <w:t xml:space="preserve"> </w:t>
      </w:r>
      <w:r>
        <w:t xml:space="preserve">: antalgiques non opioïdes (paracétamol, AINS, aspirine) pour douleurs légères à modérées.</w:t>
      </w:r>
    </w:p>
    <w:p>
      <w:pPr>
        <w:pStyle w:val="Compact"/>
        <w:numPr>
          <w:ilvl w:val="0"/>
          <w:numId w:val="1011"/>
        </w:numPr>
      </w:pPr>
      <w:r>
        <w:rPr>
          <w:b/>
          <w:bCs/>
        </w:rPr>
        <w:t xml:space="preserve">Palier II</w:t>
      </w:r>
      <w:r>
        <w:t xml:space="preserve"> </w:t>
      </w:r>
      <w:r>
        <w:t xml:space="preserve">: opioïdes faibles (codéine, tramadol) ± antalgiques palier I pour douleurs modérées à intenses.</w:t>
      </w:r>
    </w:p>
    <w:p>
      <w:pPr>
        <w:pStyle w:val="Compact"/>
        <w:numPr>
          <w:ilvl w:val="0"/>
          <w:numId w:val="1011"/>
        </w:numPr>
      </w:pPr>
      <w:r>
        <w:rPr>
          <w:b/>
          <w:bCs/>
        </w:rPr>
        <w:t xml:space="preserve">Palier III</w:t>
      </w:r>
      <w:r>
        <w:t xml:space="preserve"> </w:t>
      </w:r>
      <w:r>
        <w:t xml:space="preserve">: opioïdes forts (morphine, fentanyl, oxycodone) pour douleurs sévères et cancéreuses.</w:t>
      </w:r>
    </w:p>
    <w:p>
      <w:pPr>
        <w:pStyle w:val="FirstParagraph"/>
      </w:pPr>
      <w:r>
        <w:t xml:space="preserve">En Algérie, le pharmacien d’officine joue un rôle clé dans :</w:t>
      </w:r>
    </w:p>
    <w:p>
      <w:pPr>
        <w:pStyle w:val="Compact"/>
        <w:numPr>
          <w:ilvl w:val="0"/>
          <w:numId w:val="1012"/>
        </w:numPr>
      </w:pPr>
      <w:r>
        <w:rPr>
          <w:b/>
          <w:bCs/>
        </w:rPr>
        <w:t xml:space="preserve">L’analyse pharmaceutique des prescriptions antalgiques</w:t>
      </w:r>
      <w:r>
        <w:t xml:space="preserve"> </w:t>
      </w:r>
      <w:r>
        <w:t xml:space="preserve">: vérification de l’adéquation palier/intensité, adaptation à la fonction rénale/hépatique, dépistage des interactions (AINS + AVK, AINS + IEC/diurétiques, opioïdes + benzodiazépines).</w:t>
      </w:r>
    </w:p>
    <w:p>
      <w:pPr>
        <w:pStyle w:val="Compact"/>
        <w:numPr>
          <w:ilvl w:val="0"/>
          <w:numId w:val="1012"/>
        </w:numPr>
      </w:pPr>
      <w:r>
        <w:rPr>
          <w:b/>
          <w:bCs/>
        </w:rPr>
        <w:t xml:space="preserve">La prévention du surdosage paracétamol</w:t>
      </w:r>
      <w:r>
        <w:t xml:space="preserve"> </w:t>
      </w:r>
      <w:r>
        <w:t xml:space="preserve">: éducation du patient sur la dose maximale (4 g/j adulte, 60 mg/kg/j enfant), identification du paracétamol caché dans les associations antalgiques du rhume.</w:t>
      </w:r>
    </w:p>
    <w:p>
      <w:pPr>
        <w:pStyle w:val="Compact"/>
        <w:numPr>
          <w:ilvl w:val="0"/>
          <w:numId w:val="1012"/>
        </w:numPr>
      </w:pPr>
      <w:r>
        <w:rPr>
          <w:b/>
          <w:bCs/>
        </w:rPr>
        <w:t xml:space="preserve">Le bon usage des AINS</w:t>
      </w:r>
      <w:r>
        <w:t xml:space="preserve"> </w:t>
      </w:r>
      <w:r>
        <w:t xml:space="preserve">: durée courte (3-5 jours), prise pendant repas, contre-indications (ulcère, IRC, grossesse 3e trimestre), surveillance cardiovasculaire pour coxibs.</w:t>
      </w:r>
    </w:p>
    <w:p>
      <w:pPr>
        <w:pStyle w:val="Compact"/>
        <w:numPr>
          <w:ilvl w:val="0"/>
          <w:numId w:val="1012"/>
        </w:numPr>
      </w:pPr>
      <w:r>
        <w:rPr>
          <w:b/>
          <w:bCs/>
        </w:rPr>
        <w:t xml:space="preserve">Le dépistage précoce des syndromes d’hypersensibilité</w:t>
      </w:r>
      <w:r>
        <w:t xml:space="preserve"> </w:t>
      </w:r>
      <w:r>
        <w:t xml:space="preserve">: DRESS à l’allopurinol, syndrome de Stevens-Johnson aux AINS, syndrome de Lyell.</w:t>
      </w:r>
    </w:p>
    <w:p>
      <w:pPr>
        <w:pStyle w:val="Compact"/>
        <w:numPr>
          <w:ilvl w:val="0"/>
          <w:numId w:val="1012"/>
        </w:numPr>
      </w:pPr>
      <w:r>
        <w:rPr>
          <w:b/>
          <w:bCs/>
        </w:rPr>
        <w:t xml:space="preserve">L’orientation médicale systématique</w:t>
      </w:r>
      <w:r>
        <w:t xml:space="preserve"> </w:t>
      </w:r>
      <w:r>
        <w:t xml:space="preserve">pour douleurs intenses, rebelles, ou associées à des signes d’alarme (perte de poids, fièvre, syndrome tumoral).</w:t>
      </w:r>
    </w:p>
    <w:bookmarkEnd w:id="34"/>
    <w:bookmarkStart w:id="35" w:name="structure-type-dune-fiche-dci"/>
    <w:p>
      <w:pPr>
        <w:pStyle w:val="Heading3"/>
      </w:pPr>
      <w:r>
        <w:t xml:space="preserve">6. Structure type d’une fiche DCI</w:t>
      </w:r>
    </w:p>
    <w:p>
      <w:pPr>
        <w:pStyle w:val="FirstParagraph"/>
      </w:pPr>
      <w:r>
        <w:t xml:space="preserve">Chaque fiche DCI suit la même structure uniforme en douze sections que les fascicules précédents :</w:t>
      </w:r>
    </w:p>
    <w:p>
      <w:pPr>
        <w:pStyle w:val="Compact"/>
        <w:numPr>
          <w:ilvl w:val="0"/>
          <w:numId w:val="1013"/>
        </w:numPr>
      </w:pPr>
      <w:r>
        <w:t xml:space="preserve">Liste des catégories thérapeutiques.</w:t>
      </w:r>
    </w:p>
    <w:p>
      <w:pPr>
        <w:pStyle w:val="Compact"/>
        <w:numPr>
          <w:ilvl w:val="0"/>
          <w:numId w:val="1013"/>
        </w:numPr>
      </w:pPr>
      <w:r>
        <w:t xml:space="preserve">Médicaments disponibles en Algérie (marques, laboratoires, formes, statut).</w:t>
      </w:r>
    </w:p>
    <w:p>
      <w:pPr>
        <w:pStyle w:val="Compact"/>
        <w:numPr>
          <w:ilvl w:val="0"/>
          <w:numId w:val="1013"/>
        </w:numPr>
      </w:pPr>
      <w:r>
        <w:t xml:space="preserve">Sous-classe et mécanisme d’action moléculaire.</w:t>
      </w:r>
    </w:p>
    <w:p>
      <w:pPr>
        <w:pStyle w:val="Compact"/>
        <w:numPr>
          <w:ilvl w:val="0"/>
          <w:numId w:val="1013"/>
        </w:numPr>
      </w:pPr>
      <w:r>
        <w:t xml:space="preserve">Profil pharmacologique (indications, CI, EI avec physiopathologie).</w:t>
      </w:r>
    </w:p>
    <w:p>
      <w:pPr>
        <w:pStyle w:val="Compact"/>
        <w:numPr>
          <w:ilvl w:val="0"/>
          <w:numId w:val="1013"/>
        </w:numPr>
      </w:pPr>
      <w:r>
        <w:t xml:space="preserve">Prévention et gestion des EI.</w:t>
      </w:r>
    </w:p>
    <w:p>
      <w:pPr>
        <w:pStyle w:val="Compact"/>
        <w:numPr>
          <w:ilvl w:val="0"/>
          <w:numId w:val="1013"/>
        </w:numPr>
      </w:pPr>
      <w:r>
        <w:t xml:space="preserve">Interactions médicamenteuses.</w:t>
      </w:r>
    </w:p>
    <w:p>
      <w:pPr>
        <w:pStyle w:val="Compact"/>
        <w:numPr>
          <w:ilvl w:val="0"/>
          <w:numId w:val="1013"/>
        </w:numPr>
      </w:pPr>
      <w:r>
        <w:t xml:space="preserve">Grossesse et allaitement (CRAT).</w:t>
      </w:r>
    </w:p>
    <w:p>
      <w:pPr>
        <w:pStyle w:val="Compact"/>
        <w:numPr>
          <w:ilvl w:val="0"/>
          <w:numId w:val="1013"/>
        </w:numPr>
      </w:pPr>
      <w:r>
        <w:t xml:space="preserve">Posologie et mode d’administration.</w:t>
      </w:r>
    </w:p>
    <w:p>
      <w:pPr>
        <w:pStyle w:val="Compact"/>
        <w:numPr>
          <w:ilvl w:val="0"/>
          <w:numId w:val="1013"/>
        </w:numPr>
      </w:pPr>
      <w:r>
        <w:t xml:space="preserve">Arbitrage et bénéfices des formes galéniques.</w:t>
      </w:r>
    </w:p>
    <w:p>
      <w:pPr>
        <w:pStyle w:val="Compact"/>
        <w:numPr>
          <w:ilvl w:val="0"/>
          <w:numId w:val="1013"/>
        </w:numPr>
      </w:pPr>
      <w:r>
        <w:t xml:space="preserve">Instructions et conseils au patient.</w:t>
      </w:r>
    </w:p>
    <w:p>
      <w:pPr>
        <w:pStyle w:val="Compact"/>
        <w:numPr>
          <w:ilvl w:val="0"/>
          <w:numId w:val="1013"/>
        </w:numPr>
      </w:pPr>
      <w:r>
        <w:t xml:space="preserve">Notes, règles d’or et pièges au comptoir.</w:t>
      </w:r>
    </w:p>
    <w:p>
      <w:pPr>
        <w:pStyle w:val="Compact"/>
        <w:numPr>
          <w:ilvl w:val="0"/>
          <w:numId w:val="1013"/>
        </w:numPr>
      </w:pPr>
      <w:r>
        <w:t xml:space="preserve">Tableau comparatif de sous-classe en fin de chapitre.</w:t>
      </w:r>
    </w:p>
    <w:bookmarkEnd w:id="35"/>
    <w:bookmarkStart w:id="36" w:name="engagements-qualité"/>
    <w:p>
      <w:pPr>
        <w:pStyle w:val="Heading3"/>
      </w:pPr>
      <w:r>
        <w:t xml:space="preserve">7. Engagements qualité</w:t>
      </w:r>
    </w:p>
    <w:p>
      <w:pPr>
        <w:pStyle w:val="Compact"/>
        <w:numPr>
          <w:ilvl w:val="0"/>
          <w:numId w:val="1014"/>
        </w:numPr>
      </w:pPr>
      <w:r>
        <w:rPr>
          <w:b/>
          <w:bCs/>
        </w:rPr>
        <w:t xml:space="preserve">Égalité de traitement</w:t>
      </w:r>
      <w:r>
        <w:t xml:space="preserve"> </w:t>
      </w:r>
      <w:r>
        <w:t xml:space="preserve">: chaque DCI est traitée avec la même rigueur, quelle que soit sa fréquence d’usage.</w:t>
      </w:r>
    </w:p>
    <w:p>
      <w:pPr>
        <w:pStyle w:val="Compact"/>
        <w:numPr>
          <w:ilvl w:val="0"/>
          <w:numId w:val="1014"/>
        </w:numPr>
      </w:pPr>
      <w:r>
        <w:rPr>
          <w:b/>
          <w:bCs/>
        </w:rPr>
        <w:t xml:space="preserve">Exhaustivité absolue du fichier</w:t>
      </w:r>
      <w:r>
        <w:t xml:space="preserve"> </w:t>
      </w:r>
      <w:r>
        <w:t xml:space="preserve">: aucune marque enregistrée n’est omise.</w:t>
      </w:r>
    </w:p>
    <w:p>
      <w:pPr>
        <w:pStyle w:val="Compact"/>
        <w:numPr>
          <w:ilvl w:val="0"/>
          <w:numId w:val="1014"/>
        </w:numPr>
      </w:pPr>
      <w:r>
        <w:rPr>
          <w:b/>
          <w:bCs/>
        </w:rPr>
        <w:t xml:space="preserve">Zéro perte d’information scientifique</w:t>
      </w:r>
      <w:r>
        <w:t xml:space="preserve"> </w:t>
      </w:r>
      <w:r>
        <w:t xml:space="preserve">: mécanismes moléculaires, interactions et profils de tolérance détaillés.</w:t>
      </w:r>
    </w:p>
    <w:p>
      <w:pPr>
        <w:pStyle w:val="Compact"/>
        <w:numPr>
          <w:ilvl w:val="0"/>
          <w:numId w:val="1014"/>
        </w:numPr>
      </w:pPr>
      <w:r>
        <w:rPr>
          <w:b/>
          <w:bCs/>
        </w:rPr>
        <w:t xml:space="preserve">Vérification continue de la vérité scientifique</w:t>
      </w:r>
      <w:r>
        <w:t xml:space="preserve"> </w:t>
      </w:r>
      <w:r>
        <w:t xml:space="preserve">: recoupement systématique des sources.</w:t>
      </w:r>
    </w:p>
    <w:p>
      <w:pPr>
        <w:pStyle w:val="Compact"/>
        <w:numPr>
          <w:ilvl w:val="0"/>
          <w:numId w:val="1014"/>
        </w:numPr>
      </w:pPr>
      <w:r>
        <w:rPr>
          <w:b/>
          <w:bCs/>
        </w:rPr>
        <w:t xml:space="preserve">Focus Algérie</w:t>
      </w:r>
      <w:r>
        <w:t xml:space="preserve"> </w:t>
      </w:r>
      <w:r>
        <w:t xml:space="preserve">: seules les spécialités du fichier source sont mentionnées ; les molécules non disponibles sont explicitement signalées.</w:t>
      </w:r>
    </w:p>
    <w:p>
      <w:r>
        <w:pict>
          <v:rect style="width:0;height:1.5pt" o:hralign="center" o:hrstd="t" o:hr="t"/>
        </w:pict>
      </w:r>
    </w:p>
    <w:bookmarkEnd w:id="36"/>
    <w:bookmarkEnd w:id="37"/>
    <w:bookmarkStart w:id="38" w:name="sommaire-général-du-fascicule-iii"/>
    <w:p>
      <w:pPr>
        <w:pStyle w:val="Heading2"/>
      </w:pPr>
      <w:r>
        <w:t xml:space="preserve">Sommaire général du Fascicule III</w:t>
      </w:r>
    </w:p>
    <w:tbl>
      <w:tblPr>
        <w:tblStyle w:val="Table"/>
        <w:tblW w:type="pct" w:w="5000"/>
        <w:jc w:val="left"/>
        <w:tblLayout w:type="fixed"/>
        <w:tblLook w:firstRow="1" w:lastRow="0" w:firstColumn="0" w:lastColumn="0" w:noHBand="0" w:noVBand="0" w:val="0020"/>
      </w:tblPr>
      <w:tblGrid>
        <w:gridCol w:w="1685"/>
        <w:gridCol w:w="3707"/>
        <w:gridCol w:w="2527"/>
      </w:tblGrid>
      <w:tr>
        <w:trPr>
          <w:tblHeader w:val="on"/>
        </w:trPr>
        <w:tc>
          <w:tcPr/>
          <w:p>
            <w:pPr>
              <w:pStyle w:val="Compact"/>
              <w:jc w:val="left"/>
            </w:pPr>
            <w:r>
              <w:t xml:space="preserve">Chapitre</w:t>
            </w:r>
          </w:p>
        </w:tc>
        <w:tc>
          <w:tcPr/>
          <w:p>
            <w:pPr>
              <w:pStyle w:val="Compact"/>
              <w:jc w:val="left"/>
            </w:pPr>
            <w:r>
              <w:t xml:space="preserve">Sous-classes traitées</w:t>
            </w:r>
          </w:p>
        </w:tc>
        <w:tc>
          <w:tcPr/>
          <w:p>
            <w:pPr>
              <w:pStyle w:val="Compact"/>
              <w:jc w:val="left"/>
            </w:pPr>
            <w:r>
              <w:t xml:space="preserve">Nombre de DCI</w:t>
            </w:r>
          </w:p>
        </w:tc>
      </w:tr>
      <w:tr>
        <w:tc>
          <w:tcPr/>
          <w:p>
            <w:pPr>
              <w:pStyle w:val="Compact"/>
              <w:jc w:val="left"/>
            </w:pPr>
            <w:r>
              <w:t xml:space="preserve">21</w:t>
            </w:r>
          </w:p>
        </w:tc>
        <w:tc>
          <w:tcPr/>
          <w:p>
            <w:pPr>
              <w:pStyle w:val="Compact"/>
              <w:jc w:val="left"/>
            </w:pPr>
            <w:r>
              <w:t xml:space="preserve">Antalgiques palier I - Paracétamol, Aspirine et associations</w:t>
            </w:r>
          </w:p>
        </w:tc>
        <w:tc>
          <w:tcPr/>
          <w:p>
            <w:pPr>
              <w:pStyle w:val="Compact"/>
              <w:jc w:val="left"/>
            </w:pPr>
            <w:r>
              <w:t xml:space="preserve">6</w:t>
            </w:r>
          </w:p>
        </w:tc>
      </w:tr>
      <w:tr>
        <w:tc>
          <w:tcPr/>
          <w:p>
            <w:pPr>
              <w:pStyle w:val="Compact"/>
              <w:jc w:val="left"/>
            </w:pPr>
            <w:r>
              <w:t xml:space="preserve">22</w:t>
            </w:r>
          </w:p>
        </w:tc>
        <w:tc>
          <w:tcPr/>
          <w:p>
            <w:pPr>
              <w:pStyle w:val="Compact"/>
              <w:jc w:val="left"/>
            </w:pPr>
            <w:r>
              <w:t xml:space="preserve">Antalgiques palier I-II - Associations antalgiques</w:t>
            </w:r>
          </w:p>
        </w:tc>
        <w:tc>
          <w:tcPr/>
          <w:p>
            <w:pPr>
              <w:pStyle w:val="Compact"/>
              <w:jc w:val="left"/>
            </w:pPr>
            <w:r>
              <w:t xml:space="preserve">5</w:t>
            </w:r>
          </w:p>
        </w:tc>
      </w:tr>
      <w:tr>
        <w:tc>
          <w:tcPr/>
          <w:p>
            <w:pPr>
              <w:pStyle w:val="Compact"/>
              <w:jc w:val="left"/>
            </w:pPr>
            <w:r>
              <w:t xml:space="preserve">23</w:t>
            </w:r>
          </w:p>
        </w:tc>
        <w:tc>
          <w:tcPr/>
          <w:p>
            <w:pPr>
              <w:pStyle w:val="Compact"/>
              <w:jc w:val="left"/>
            </w:pPr>
            <w:r>
              <w:t xml:space="preserve">Antalgiques palier II-III - Opioïdes faibles et forts</w:t>
            </w:r>
          </w:p>
        </w:tc>
        <w:tc>
          <w:tcPr/>
          <w:p>
            <w:pPr>
              <w:pStyle w:val="Compact"/>
              <w:jc w:val="left"/>
            </w:pPr>
            <w:r>
              <w:t xml:space="preserve">9</w:t>
            </w:r>
          </w:p>
        </w:tc>
      </w:tr>
      <w:tr>
        <w:tc>
          <w:tcPr/>
          <w:p>
            <w:pPr>
              <w:pStyle w:val="Compact"/>
              <w:jc w:val="left"/>
            </w:pPr>
            <w:r>
              <w:t xml:space="preserve">24</w:t>
            </w:r>
          </w:p>
        </w:tc>
        <w:tc>
          <w:tcPr/>
          <w:p>
            <w:pPr>
              <w:pStyle w:val="Compact"/>
              <w:jc w:val="left"/>
            </w:pPr>
            <w:r>
              <w:t xml:space="preserve">AINS classiques - Acides carboxyliques</w:t>
            </w:r>
          </w:p>
        </w:tc>
        <w:tc>
          <w:tcPr/>
          <w:p>
            <w:pPr>
              <w:pStyle w:val="Compact"/>
              <w:jc w:val="left"/>
            </w:pPr>
            <w:r>
              <w:t xml:space="preserve">13</w:t>
            </w:r>
          </w:p>
        </w:tc>
      </w:tr>
      <w:tr>
        <w:tc>
          <w:tcPr/>
          <w:p>
            <w:pPr>
              <w:pStyle w:val="Compact"/>
              <w:jc w:val="left"/>
            </w:pPr>
            <w:r>
              <w:t xml:space="preserve">25</w:t>
            </w:r>
          </w:p>
        </w:tc>
        <w:tc>
          <w:tcPr/>
          <w:p>
            <w:pPr>
              <w:pStyle w:val="Compact"/>
              <w:jc w:val="left"/>
            </w:pPr>
            <w:r>
              <w:t xml:space="preserve">AINS - Oxicams, Coxibs et associations</w:t>
            </w:r>
          </w:p>
        </w:tc>
        <w:tc>
          <w:tcPr/>
          <w:p>
            <w:pPr>
              <w:pStyle w:val="Compact"/>
              <w:jc w:val="left"/>
            </w:pPr>
            <w:r>
              <w:t xml:space="preserve">10</w:t>
            </w:r>
          </w:p>
        </w:tc>
      </w:tr>
      <w:tr>
        <w:tc>
          <w:tcPr/>
          <w:p>
            <w:pPr>
              <w:pStyle w:val="Compact"/>
              <w:jc w:val="left"/>
            </w:pPr>
            <w:r>
              <w:t xml:space="preserve">26</w:t>
            </w:r>
          </w:p>
        </w:tc>
        <w:tc>
          <w:tcPr/>
          <w:p>
            <w:pPr>
              <w:pStyle w:val="Compact"/>
              <w:jc w:val="left"/>
            </w:pPr>
            <w:r>
              <w:t xml:space="preserve">Antimigraineux, Antigoutteux, Myorelaxants, Antispasmodiques, 5-ASA</w:t>
            </w:r>
          </w:p>
        </w:tc>
        <w:tc>
          <w:tcPr/>
          <w:p>
            <w:pPr>
              <w:pStyle w:val="Compact"/>
              <w:jc w:val="left"/>
            </w:pPr>
            <w:r>
              <w:t xml:space="preserve">22</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65</w:t>
            </w:r>
          </w:p>
        </w:tc>
      </w:tr>
    </w:tbl>
    <w:p>
      <w:r>
        <w:pict>
          <v:rect style="width:0;height:1.5pt" o:hralign="center" o:hrstd="t" o:hr="t"/>
        </w:pict>
      </w:r>
    </w:p>
    <w:p>
      <w:r>
        <w:pict>
          <v:rect style="width:0;height:1.5pt" o:hralign="center" o:hrstd="t" o:hr="t"/>
        </w:pict>
      </w:r>
    </w:p>
    <w:bookmarkEnd w:id="38"/>
    <w:bookmarkEnd w:id="39"/>
    <w:bookmarkStart w:id="63" w:name="X241cba0b92de239ff0cb7a4377b4fcf1cc32e3a"/>
    <w:p>
      <w:pPr>
        <w:pStyle w:val="Heading1"/>
      </w:pPr>
      <w:r>
        <w:t xml:space="preserve">Chapitre 1 — Antalgiques palier I : Paracétamol, Aspirine et Associations</w:t>
      </w:r>
    </w:p>
    <w:bookmarkStart w:id="40" w:name="introduction-générale-du-chapitre"/>
    <w:p>
      <w:pPr>
        <w:pStyle w:val="Heading2"/>
      </w:pPr>
      <w:r>
        <w:t xml:space="preserve">Introduction générale du chapitre</w:t>
      </w:r>
    </w:p>
    <w:p>
      <w:pPr>
        <w:pStyle w:val="FirstParagraph"/>
      </w:pPr>
      <w:r>
        <w:t xml:space="preserve">Les antalgiques du palier I de l’OMS regroupent les molécules non opioïdes indiquées dans le traitement des douleurs légères à modérées et/ou de la fièvre. Ils constituent la première ligne thérapeutique de la prise en charge antalgique, conformément à l’échelle analgésique OMS en trois paliers, et représentent en volume la classe médicamenteuse la plus consommée en Algérie comme dans la majorité des pays du monde. En officine algérienne, le paracétamol et l’acide acétylsalicylique (aspirine) sont les deux molécules-pivots de ce palier, complétées par les salicylés topiques à visée digestif (bismuth) ou dermatologique/rhumatologique (diéthylamine salicylate), et par de très nombreuses associations fixes commercialisées soit pour potentialiser l’effet antalgique (caféine, vitamine C), soit pour réduire la polymédication cardiovasculaire (clopidogrel + aspirine).</w:t>
      </w:r>
    </w:p>
    <w:p>
      <w:pPr>
        <w:pStyle w:val="BodyText"/>
      </w:pPr>
      <w:r>
        <w:t xml:space="preserve">Ce chapitre traite</w:t>
      </w:r>
      <w:r>
        <w:t xml:space="preserve"> </w:t>
      </w:r>
      <w:r>
        <w:rPr>
          <w:b/>
          <w:bCs/>
        </w:rPr>
        <w:t xml:space="preserve">6 DCI</w:t>
      </w:r>
      <w:r>
        <w:t xml:space="preserve"> </w:t>
      </w:r>
      <w:r>
        <w:t xml:space="preserve">réparties en</w:t>
      </w:r>
      <w:r>
        <w:t xml:space="preserve"> </w:t>
      </w:r>
      <w:r>
        <w:rPr>
          <w:b/>
          <w:bCs/>
        </w:rPr>
        <w:t xml:space="preserve">6 sous-classes</w:t>
      </w:r>
      <w:r>
        <w:t xml:space="preserve"> </w:t>
      </w:r>
      <w:r>
        <w:t xml:space="preserve">de la nomenclature algérienne :</w:t>
      </w:r>
      <w:r>
        <w:t xml:space="preserve"> </w:t>
      </w:r>
      <w:r>
        <w:t xml:space="preserve">1. Antalgiques palier I — Non opioïdes (Paracétamol)</w:t>
      </w:r>
      <w:r>
        <w:t xml:space="preserve"> </w:t>
      </w:r>
      <w:r>
        <w:t xml:space="preserve">2. Antalgiques palier I — Salicylés (Acide acétylsalicylique)</w:t>
      </w:r>
      <w:r>
        <w:t xml:space="preserve"> </w:t>
      </w:r>
      <w:r>
        <w:t xml:space="preserve">3. Antalgiques palier I — Salicylés topiques (Bismuth, Choline, Diéthylamine)</w:t>
      </w:r>
      <w:r>
        <w:t xml:space="preserve"> </w:t>
      </w:r>
      <w:r>
        <w:t xml:space="preserve">4. Antalgiques palier I — Associations aspirine (Aspirine + Caféine ± Vitamine C)</w:t>
      </w:r>
      <w:r>
        <w:t xml:space="preserve"> </w:t>
      </w:r>
      <w:r>
        <w:t xml:space="preserve">5. Antalgiques palier I — Associations aspirine cardiovasculaire (Clopidogrel + Aspirine)</w:t>
      </w:r>
      <w:r>
        <w:t xml:space="preserve"> </w:t>
      </w:r>
      <w:r>
        <w:t xml:space="preserve">6. Antalgiques palier I — Associations paracétamol (Paracétamol + Caféine/Vitamine C/Essences)</w:t>
      </w:r>
    </w:p>
    <w:p>
      <w:pPr>
        <w:pStyle w:val="BodyText"/>
      </w:pPr>
      <w:r>
        <w:t xml:space="preserve">L’enjeu clinique majeur réside dans la reconnaissance du</w:t>
      </w:r>
      <w:r>
        <w:t xml:space="preserve"> </w:t>
      </w:r>
      <w:r>
        <w:rPr>
          <w:b/>
          <w:bCs/>
        </w:rPr>
        <w:t xml:space="preserve">double profil toxicologique</w:t>
      </w:r>
      <w:r>
        <w:t xml:space="preserve"> </w:t>
      </w:r>
      <w:r>
        <w:t xml:space="preserve">de ces molécules : hépatotoxicité dose-dépendante du paracétamol (risque létal à partir de 150 mg/kg en monoprises, antidote N-acétylcystéine impératif avant H8), et toxicité gastro-duodénale, rénale et hémorragique de l’aspirine (acétylation irréversible des cyclo-oxygénases plaquettaires COX-1, syndrome de Reye chez l’enfant). La connaissance précise des spécialités algériennes (plus de 200 formes pour le paracétamol seul, 42 pour l’aspirine) est indispensable au pharmacien d’officine pour : (i) détecter les surdosages par cumul de spécialités masquées ; (ii) anticiper les interactions avec les anticoagulants et les AINS ; (iii) conseiller la forme galénique la plus adaptée selon l’âge, l’état clinique et la voie d’administration.</w:t>
      </w:r>
    </w:p>
    <w:p>
      <w:pPr>
        <w:pStyle w:val="BodyText"/>
      </w:pPr>
      <w:r>
        <w:t xml:space="preserve">Sources mobilisées : VIDAL, ANSM (RCP et fiches bon usage), Thériaque, CRAT (Centre de Renseignements sur les Agents Tératogènes), UpToDate, Micromedex, EMA, HAS, OMS.</w:t>
      </w:r>
    </w:p>
    <w:p>
      <w:r>
        <w:pict>
          <v:rect style="width:0;height:1.5pt" o:hralign="center" o:hrstd="t" o:hr="t"/>
        </w:pict>
      </w:r>
    </w:p>
    <w:bookmarkEnd w:id="40"/>
    <w:bookmarkStart w:id="42" w:name="Xe37bf9c28f771f9f8425d4ee5db97c1ddc5c1ee"/>
    <w:p>
      <w:pPr>
        <w:pStyle w:val="Heading2"/>
      </w:pPr>
      <w:r>
        <w:t xml:space="preserve">1. Sous-classe : Antalgiques palier I — Non opioïdes (Paracétamol)</w:t>
      </w:r>
    </w:p>
    <w:p>
      <w:pPr>
        <w:pStyle w:val="FirstParagraph"/>
      </w:pPr>
      <w:r>
        <w:t xml:space="preserve">Le paracétamol (N-acétyl-p-aminophénol, ou acétaminophène selon la nomenclature USAN) est l’antalgique-antipyrétique de référence du palier I. Découvert en 1887, mis sur le marché français en 1955 (Doliprane®, Efferalgan®), il s’est imposé comme l’alternative la mieux tolérée à l’aspirine, en raison de l’absence d’effet anti-inflammatoire (donc de toxicité digestive directe) et de la compatibilité avec la grossesse, l’allaitement, l’enfant et le sujet âgé. En Algérie, le paracétamol est disponible sous plus de 192 formes pharmaceutiques — comprimés sécables à 500 et 1000 mg, comprimés effervescents, poudres pour solution buvable en sachets (100 à 1000 mg), suspensions buvables pédiatriques (120 mg/5 mL), solutions buvables concentrées (30 mg/mL), suppositoires (80 à 1000 mg), solutions injectables pour perfusion intraveineuse (10 mg/mL) — ce qui en fait la molécule la plus prescrite et la plus consommée du territoire. Cette profusion de marques (Doliprane, Efferalgan, Paralgan, Dolomol, Panadol, Tylenol, etc.) expose au</w:t>
      </w:r>
      <w:r>
        <w:t xml:space="preserve"> </w:t>
      </w:r>
      <w:r>
        <w:rPr>
          <w:b/>
          <w:bCs/>
        </w:rPr>
        <w:t xml:space="preserve">risque majeur de surdosage involontaire par cumul</w:t>
      </w:r>
      <w:r>
        <w:t xml:space="preserve"> </w:t>
      </w:r>
      <w:r>
        <w:t xml:space="preserve">— piège numéro un au comptoir.</w:t>
      </w:r>
    </w:p>
    <w:p>
      <w:pPr>
        <w:pStyle w:val="BodyText"/>
      </w:pPr>
      <w:r>
        <w:t xml:space="preserve">Le mécanisme d’action du paracétamol reste partiellement élucidé. Le modèle classique (inhibition préférentielle d’une isoforme centrale des cyclo-oxygénases, parfois désignée « COX-3 ») a été complété et nuancé ces quinze dernières années par la mise en évidence du rôle du métabolite actif</w:t>
      </w:r>
      <w:r>
        <w:t xml:space="preserve"> </w:t>
      </w:r>
      <w:r>
        <w:rPr>
          <w:b/>
          <w:bCs/>
        </w:rPr>
        <w:t xml:space="preserve">AM404</w:t>
      </w:r>
      <w:r>
        <w:t xml:space="preserve"> </w:t>
      </w:r>
      <w:r>
        <w:t xml:space="preserve">(N-arachidonoyl-phénolamine), produit par la FAAH (fatty acid amide hydrolase) cérébrale à partir du paracétamol. L’AM404 inhibe la recapture de l’anandamide (agoniste endogène des récepteurs cannabinoïdes CB1) et active les réceptors TRPV1 (vanilloïdes) dans le cortex cingulaire dorsal et la substance grise périaqueducale — expliquant l’effet analgique central indépendant des COX. Cette double composante COX-dépendante (centrale) et endocannabinoïde/TRPV1-dépendante justifie l’efficacité du paracétamol dans les douleurs modérées et son association potentielle avec les opioïdes (potentialisation centrale).</w:t>
      </w:r>
    </w:p>
    <w:p>
      <w:pPr>
        <w:pStyle w:val="BodyText"/>
      </w:pPr>
      <w:r>
        <w:t xml:space="preserve">Le paracétamol est métabolisé à 90 % au niveau hépatique selon trois voies : (i) conjuguaison glucuronique (~ 40–55 %) via UGT1A1/UGT1A6 ; (ii) conjuguaison sulfurique (~ 20–35 %) via SULT1A1 ; (iii) oxydation minoritaire (~ 5–10 %) par le CYP2E1 (et accessoirement CYP1A2, CYP3A4) générant le métabolite hautement réactif</w:t>
      </w:r>
      <w:r>
        <w:t xml:space="preserve"> </w:t>
      </w:r>
      <w:r>
        <w:rPr>
          <w:b/>
          <w:bCs/>
        </w:rPr>
        <w:t xml:space="preserve">N-acétyl-p-benzoquinone imine (NAPQI)</w:t>
      </w:r>
      <w:r>
        <w:t xml:space="preserve">. À dose thérapeutique, le NAPQI est immédiatement détoxifié par conjugaison au glutathion hépatique. En cas de surdosage, le glutathion est épuisé et le NAPQI libre provoque une</w:t>
      </w:r>
      <w:r>
        <w:t xml:space="preserve"> </w:t>
      </w:r>
      <w:r>
        <w:rPr>
          <w:b/>
          <w:bCs/>
        </w:rPr>
        <w:t xml:space="preserve">nécrose centro-lobulaire hépatique</w:t>
      </w:r>
      <w:r>
        <w:t xml:space="preserve"> </w:t>
      </w:r>
      <w:r>
        <w:t xml:space="preserve">dose-dépendante — lésion histologique caractéristique de l’intoxication paracétamolique. L’alcool chronique (induction CYP2E1) et la dénutrition (carence en glutathion) abaissent le seuil de toxicité. La demi-vie plasmatique est de 2 à 3 heures, allongée à &gt; 12 heures en cas d’hépatotoxicité (critère de prognostic selon le nomogramme de Rumack-Matthew).</w:t>
      </w:r>
    </w:p>
    <w:p>
      <w:r>
        <w:pict>
          <v:rect style="width:0;height:1.5pt" o:hralign="center" o:hrstd="t" o:hr="t"/>
        </w:pict>
      </w:r>
    </w:p>
    <w:bookmarkStart w:id="41" w:name="dci-paracétamol-seule"/>
    <w:p>
      <w:pPr>
        <w:pStyle w:val="Heading3"/>
      </w:pPr>
      <w:r>
        <w:t xml:space="preserve">1.1. DCI : Paracétamol (Seule)</w:t>
      </w:r>
    </w:p>
    <w:p>
      <w:pPr>
        <w:pStyle w:val="FirstParagraph"/>
      </w:pPr>
      <w:r>
        <w:rPr>
          <w:b/>
          <w:bCs/>
        </w:rPr>
        <w:t xml:space="preserve">Liste des Catégories :</w:t>
      </w:r>
      <w:r>
        <w:t xml:space="preserve"> </w:t>
      </w:r>
      <w:r>
        <w:t xml:space="preserve">Antalgique non opioïde ; Antipyrétique ; Palier I OMS ; Médicament de prescription libre (liste H en Algérie pour les formes orales adultes ; prescription hospitalière pour la forme IV).</w:t>
      </w:r>
    </w:p>
    <w:p>
      <w:pPr>
        <w:pStyle w:val="BodyText"/>
      </w:pPr>
      <w:r>
        <w:rPr>
          <w:b/>
          <w:bCs/>
        </w:rPr>
        <w:t xml:space="preserve">Particularité pharmacocinétique :</w:t>
      </w:r>
      <w:r>
        <w:t xml:space="preserve"> </w:t>
      </w:r>
      <w:r>
        <w:t xml:space="preserve">Le paracétamol est rapidement et quasi complètement absorbé par voie orale (biodisponibilité 60–89 %, pic plasmatique à 30–60 min) ; la résorption rectale est plus lente et moins reproductible (biodisponibilité ~ 50–80 %, pic à 2–3 h). La biodisponibilité de la forme IV (Perfalgan®, Paracetamol SOPHAL) approche 100 %. La distribution est large (Vd ~ 0,9 L/kg), avec passage placentaire (cordone &gt; 50 % de la concentration maternelle) et passage dans le lait maternel (rapport L/P ~ 1). La métabolisation hépatique produit 90 % de métabolites inactifs (glucuron- et sulfo-conjugués) éliminés par voie urinaire, et 5–10 % de NAPQI détoxifié par le glutathion. La clairance rénale des conjugués est de l’ordre de 350 mL/min. La demi-vie plasmatique est de 2–3 h chez l’adulte sain, plus courte chez l’enfant (1,5–2 h) et allongée chez le nouveau-né (4–5 h, métabolisme immature) et en insuffisance hépatocellulaire sévère.</w:t>
      </w:r>
    </w:p>
    <w:p>
      <w:pPr>
        <w:pStyle w:val="BodyText"/>
      </w:pPr>
      <w:r>
        <w:rPr>
          <w:b/>
          <w:bCs/>
        </w:rPr>
        <w:t xml:space="preserve">Médicaments disponibles en Algérie (Marques, Laboratoires, Formes et Dosages) :</w:t>
      </w:r>
    </w:p>
    <w:p>
      <w:pPr>
        <w:pStyle w:val="BodyText"/>
      </w:pPr>
      <w:r>
        <w:rPr>
          <w:i/>
          <w:iCs/>
        </w:rPr>
        <w:t xml:space="preserve">Comprimés 500 mg — ACTIFS :</w:t>
      </w:r>
      <w:r>
        <w:t xml:space="preserve"> </w:t>
      </w:r>
      <w:r>
        <w:t xml:space="preserve">-</w:t>
      </w:r>
      <w:r>
        <w:t xml:space="preserve"> </w:t>
      </w:r>
      <w:r>
        <w:rPr>
          <w:b/>
          <w:bCs/>
        </w:rPr>
        <w:t xml:space="preserve">DOLI-BIEN</w:t>
      </w:r>
      <w:r>
        <w:t xml:space="preserve"> </w:t>
      </w:r>
      <w:r>
        <w:t xml:space="preserve">(PHARMIDAL NS) — Comprimé 500 mg, B/16</w:t>
      </w:r>
      <w:r>
        <w:t xml:space="preserve"> </w:t>
      </w:r>
      <w:r>
        <w:t xml:space="preserve">-</w:t>
      </w:r>
      <w:r>
        <w:t xml:space="preserve"> </w:t>
      </w:r>
      <w:r>
        <w:rPr>
          <w:b/>
          <w:bCs/>
        </w:rPr>
        <w:t xml:space="preserve">DOLYC</w:t>
      </w:r>
      <w:r>
        <w:t xml:space="preserve"> </w:t>
      </w:r>
      <w:r>
        <w:t xml:space="preserve">(LABORATOIRES MERINAL) — Comprimé 500 mg, B/20</w:t>
      </w:r>
      <w:r>
        <w:t xml:space="preserve"> </w:t>
      </w:r>
      <w:r>
        <w:t xml:space="preserve">-</w:t>
      </w:r>
      <w:r>
        <w:t xml:space="preserve"> </w:t>
      </w:r>
      <w:r>
        <w:rPr>
          <w:b/>
          <w:bCs/>
        </w:rPr>
        <w:t xml:space="preserve">EFFERALGAN</w:t>
      </w:r>
      <w:r>
        <w:t xml:space="preserve"> </w:t>
      </w:r>
      <w:r>
        <w:t xml:space="preserve">(PROPHARMAL) — Comprimé sécable 500 mg, B/16</w:t>
      </w:r>
      <w:r>
        <w:t xml:space="preserve"> </w:t>
      </w:r>
      <w:r>
        <w:t xml:space="preserve">-</w:t>
      </w:r>
      <w:r>
        <w:t xml:space="preserve"> </w:t>
      </w:r>
      <w:r>
        <w:rPr>
          <w:b/>
          <w:bCs/>
        </w:rPr>
        <w:t xml:space="preserve">EXPANDOL</w:t>
      </w:r>
      <w:r>
        <w:t xml:space="preserve"> </w:t>
      </w:r>
      <w:r>
        <w:t xml:space="preserve">(BIOGALENIC) — Comprimé sécable 500 mg, B/20</w:t>
      </w:r>
      <w:r>
        <w:t xml:space="preserve"> </w:t>
      </w:r>
      <w:r>
        <w:t xml:space="preserve">-</w:t>
      </w:r>
      <w:r>
        <w:t xml:space="preserve"> </w:t>
      </w:r>
      <w:r>
        <w:rPr>
          <w:b/>
          <w:bCs/>
        </w:rPr>
        <w:t xml:space="preserve">MIGRAMOL</w:t>
      </w:r>
      <w:r>
        <w:t xml:space="preserve"> </w:t>
      </w:r>
      <w:r>
        <w:t xml:space="preserve">(LAD PHARMA) — Comprimé sécable 500 mg, B/20</w:t>
      </w:r>
      <w:r>
        <w:t xml:space="preserve"> </w:t>
      </w:r>
      <w:r>
        <w:t xml:space="preserve">-</w:t>
      </w:r>
      <w:r>
        <w:t xml:space="preserve"> </w:t>
      </w:r>
      <w:r>
        <w:rPr>
          <w:b/>
          <w:bCs/>
        </w:rPr>
        <w:t xml:space="preserve">PARACETAL</w:t>
      </w:r>
      <w:r>
        <w:t xml:space="preserve"> </w:t>
      </w:r>
      <w:r>
        <w:t xml:space="preserve">(SOPHAL) — Comprimé 500 mg, B/16</w:t>
      </w:r>
      <w:r>
        <w:t xml:space="preserve"> </w:t>
      </w:r>
      <w:r>
        <w:t xml:space="preserve">-</w:t>
      </w:r>
      <w:r>
        <w:t xml:space="preserve"> </w:t>
      </w:r>
      <w:r>
        <w:rPr>
          <w:b/>
          <w:bCs/>
        </w:rPr>
        <w:t xml:space="preserve">PARACETAMOL PHYSIOPHARM</w:t>
      </w:r>
      <w:r>
        <w:t xml:space="preserve"> </w:t>
      </w:r>
      <w:r>
        <w:t xml:space="preserve">(PHYSIOPHARM) — Comprimé 500 mg, B/20</w:t>
      </w:r>
      <w:r>
        <w:t xml:space="preserve"> </w:t>
      </w:r>
      <w:r>
        <w:t xml:space="preserve">-</w:t>
      </w:r>
      <w:r>
        <w:t xml:space="preserve"> </w:t>
      </w:r>
      <w:r>
        <w:rPr>
          <w:b/>
          <w:bCs/>
        </w:rPr>
        <w:t xml:space="preserve">ROSADOL</w:t>
      </w:r>
      <w:r>
        <w:t xml:space="preserve"> </w:t>
      </w:r>
      <w:r>
        <w:t xml:space="preserve">(ROSASPHARMA) — Comprimé 500 mg, B/20</w:t>
      </w:r>
      <w:r>
        <w:t xml:space="preserve"> </w:t>
      </w:r>
      <w:r>
        <w:t xml:space="preserve">-</w:t>
      </w:r>
      <w:r>
        <w:t xml:space="preserve"> </w:t>
      </w:r>
      <w:r>
        <w:rPr>
          <w:b/>
          <w:bCs/>
        </w:rPr>
        <w:t xml:space="preserve">ANTALGAN</w:t>
      </w:r>
      <w:r>
        <w:t xml:space="preserve"> </w:t>
      </w:r>
      <w:r>
        <w:t xml:space="preserve">(SARL ALPHACARE) — Comprimé 500 mg, B/16</w:t>
      </w:r>
      <w:r>
        <w:t xml:space="preserve"> </w:t>
      </w:r>
      <w:r>
        <w:t xml:space="preserve">-</w:t>
      </w:r>
      <w:r>
        <w:t xml:space="preserve"> </w:t>
      </w:r>
      <w:r>
        <w:rPr>
          <w:b/>
          <w:bCs/>
        </w:rPr>
        <w:t xml:space="preserve">PARALGAN</w:t>
      </w:r>
      <w:r>
        <w:t xml:space="preserve"> </w:t>
      </w:r>
      <w:r>
        <w:t xml:space="preserve">(GROUPE SAIDAL) — Comprimé 500 mg, B/20</w:t>
      </w:r>
    </w:p>
    <w:p>
      <w:pPr>
        <w:pStyle w:val="BodyText"/>
      </w:pPr>
      <w:r>
        <w:rPr>
          <w:i/>
          <w:iCs/>
        </w:rPr>
        <w:t xml:space="preserve">Comprimés 1000 mg — ACTIFS :</w:t>
      </w:r>
      <w:r>
        <w:t xml:space="preserve"> </w:t>
      </w:r>
      <w:r>
        <w:t xml:space="preserve">-</w:t>
      </w:r>
      <w:r>
        <w:t xml:space="preserve"> </w:t>
      </w:r>
      <w:r>
        <w:rPr>
          <w:b/>
          <w:bCs/>
        </w:rPr>
        <w:t xml:space="preserve">DOLIDOL FLASH</w:t>
      </w:r>
      <w:r>
        <w:t xml:space="preserve"> </w:t>
      </w:r>
      <w:r>
        <w:t xml:space="preserve">(LABORATOIRE MOBEN) — Comprimé effervescent 1 g, B/08</w:t>
      </w:r>
      <w:r>
        <w:t xml:space="preserve"> </w:t>
      </w:r>
      <w:r>
        <w:t xml:space="preserve">-</w:t>
      </w:r>
      <w:r>
        <w:t xml:space="preserve"> </w:t>
      </w:r>
      <w:r>
        <w:rPr>
          <w:b/>
          <w:bCs/>
        </w:rPr>
        <w:t xml:space="preserve">EFFERALGAN</w:t>
      </w:r>
      <w:r>
        <w:t xml:space="preserve"> </w:t>
      </w:r>
      <w:r>
        <w:t xml:space="preserve">(PROPHARMAL) — Comprimé effervescent 1 g, B/08</w:t>
      </w:r>
      <w:r>
        <w:t xml:space="preserve"> </w:t>
      </w:r>
      <w:r>
        <w:t xml:space="preserve">-</w:t>
      </w:r>
      <w:r>
        <w:t xml:space="preserve"> </w:t>
      </w:r>
      <w:r>
        <w:rPr>
          <w:b/>
          <w:bCs/>
        </w:rPr>
        <w:t xml:space="preserve">DOLI-BIEN</w:t>
      </w:r>
      <w:r>
        <w:t xml:space="preserve"> </w:t>
      </w:r>
      <w:r>
        <w:t xml:space="preserve">(PHARMIDAL NS) — Comprimé 1000 mg, B/08</w:t>
      </w:r>
      <w:r>
        <w:t xml:space="preserve"> </w:t>
      </w:r>
      <w:r>
        <w:t xml:space="preserve">-</w:t>
      </w:r>
      <w:r>
        <w:t xml:space="preserve"> </w:t>
      </w:r>
      <w:r>
        <w:rPr>
          <w:b/>
          <w:bCs/>
        </w:rPr>
        <w:t xml:space="preserve">DOLIPRANE</w:t>
      </w:r>
      <w:r>
        <w:t xml:space="preserve"> </w:t>
      </w:r>
      <w:r>
        <w:t xml:space="preserve">(PROPHARMAL) — Comprimé 1000 mg, B/08</w:t>
      </w:r>
      <w:r>
        <w:t xml:space="preserve"> </w:t>
      </w:r>
      <w:r>
        <w:t xml:space="preserve">-</w:t>
      </w:r>
      <w:r>
        <w:t xml:space="preserve"> </w:t>
      </w:r>
      <w:r>
        <w:rPr>
          <w:b/>
          <w:bCs/>
        </w:rPr>
        <w:t xml:space="preserve">DOLYC</w:t>
      </w:r>
      <w:r>
        <w:t xml:space="preserve"> </w:t>
      </w:r>
      <w:r>
        <w:t xml:space="preserve">(LABORATOIRES MERINAL) — Comprimé 1000 mg, B/10</w:t>
      </w:r>
      <w:r>
        <w:t xml:space="preserve"> </w:t>
      </w:r>
      <w:r>
        <w:t xml:space="preserve">-</w:t>
      </w:r>
      <w:r>
        <w:t xml:space="preserve"> </w:t>
      </w:r>
      <w:r>
        <w:rPr>
          <w:b/>
          <w:bCs/>
        </w:rPr>
        <w:t xml:space="preserve">EXPANDOL</w:t>
      </w:r>
      <w:r>
        <w:t xml:space="preserve"> </w:t>
      </w:r>
      <w:r>
        <w:t xml:space="preserve">(BIOGALENIC) — Comprimé 1000 mg, B/10</w:t>
      </w:r>
      <w:r>
        <w:t xml:space="preserve"> </w:t>
      </w:r>
      <w:r>
        <w:t xml:space="preserve">-</w:t>
      </w:r>
      <w:r>
        <w:t xml:space="preserve"> </w:t>
      </w:r>
      <w:r>
        <w:rPr>
          <w:b/>
          <w:bCs/>
        </w:rPr>
        <w:t xml:space="preserve">MIGRAMOL</w:t>
      </w:r>
      <w:r>
        <w:t xml:space="preserve"> </w:t>
      </w:r>
      <w:r>
        <w:t xml:space="preserve">(LAD PHARMA) — Comprimé sécable 1000 mg, B/10</w:t>
      </w:r>
      <w:r>
        <w:t xml:space="preserve"> </w:t>
      </w:r>
      <w:r>
        <w:t xml:space="preserve">-</w:t>
      </w:r>
      <w:r>
        <w:t xml:space="preserve"> </w:t>
      </w:r>
      <w:r>
        <w:rPr>
          <w:b/>
          <w:bCs/>
        </w:rPr>
        <w:t xml:space="preserve">PANADOL 1G</w:t>
      </w:r>
      <w:r>
        <w:t xml:space="preserve"> </w:t>
      </w:r>
      <w:r>
        <w:t xml:space="preserve">(LDM) — Comprimé pelliculé sécable 1000 mg, B/08</w:t>
      </w:r>
      <w:r>
        <w:t xml:space="preserve"> </w:t>
      </w:r>
      <w:r>
        <w:t xml:space="preserve">-</w:t>
      </w:r>
      <w:r>
        <w:t xml:space="preserve"> </w:t>
      </w:r>
      <w:r>
        <w:rPr>
          <w:b/>
          <w:bCs/>
        </w:rPr>
        <w:t xml:space="preserve">PARACETAMOL PHYSIOPHARM</w:t>
      </w:r>
      <w:r>
        <w:t xml:space="preserve"> </w:t>
      </w:r>
      <w:r>
        <w:t xml:space="preserve">(PHYSIOPHARM) — Comprimé 1000 mg, B/08</w:t>
      </w:r>
      <w:r>
        <w:t xml:space="preserve"> </w:t>
      </w:r>
      <w:r>
        <w:t xml:space="preserve">-</w:t>
      </w:r>
      <w:r>
        <w:t xml:space="preserve"> </w:t>
      </w:r>
      <w:r>
        <w:rPr>
          <w:b/>
          <w:bCs/>
        </w:rPr>
        <w:t xml:space="preserve">PARALGAN</w:t>
      </w:r>
      <w:r>
        <w:t xml:space="preserve"> </w:t>
      </w:r>
      <w:r>
        <w:t xml:space="preserve">(GROUPE SAIDAL) — Comprimé sécable 1000 mg, B/10</w:t>
      </w:r>
      <w:r>
        <w:t xml:space="preserve"> </w:t>
      </w:r>
      <w:r>
        <w:t xml:space="preserve">-</w:t>
      </w:r>
      <w:r>
        <w:t xml:space="preserve"> </w:t>
      </w:r>
      <w:r>
        <w:rPr>
          <w:b/>
          <w:bCs/>
        </w:rPr>
        <w:t xml:space="preserve">ROSADOL</w:t>
      </w:r>
      <w:r>
        <w:t xml:space="preserve"> </w:t>
      </w:r>
      <w:r>
        <w:t xml:space="preserve">(ROSASPHARMA) — Comprimé 1000 mg, B/10</w:t>
      </w:r>
      <w:r>
        <w:t xml:space="preserve"> </w:t>
      </w:r>
      <w:r>
        <w:t xml:space="preserve">-</w:t>
      </w:r>
      <w:r>
        <w:t xml:space="preserve"> </w:t>
      </w:r>
      <w:r>
        <w:rPr>
          <w:b/>
          <w:bCs/>
        </w:rPr>
        <w:t xml:space="preserve">PARACETOL</w:t>
      </w:r>
      <w:r>
        <w:t xml:space="preserve"> </w:t>
      </w:r>
      <w:r>
        <w:t xml:space="preserve">(OPTIPHARM) — Comprimé sécable 1000 mg, B/25</w:t>
      </w:r>
      <w:r>
        <w:t xml:space="preserve"> </w:t>
      </w:r>
      <w:r>
        <w:t xml:space="preserve">-</w:t>
      </w:r>
      <w:r>
        <w:t xml:space="preserve"> </w:t>
      </w:r>
      <w:r>
        <w:rPr>
          <w:b/>
          <w:bCs/>
        </w:rPr>
        <w:t xml:space="preserve">ANTALGAN</w:t>
      </w:r>
      <w:r>
        <w:t xml:space="preserve"> </w:t>
      </w:r>
      <w:r>
        <w:t xml:space="preserve">(SARL ALPHACARE) — Comprimé 1000 mg, B/08</w:t>
      </w:r>
      <w:r>
        <w:t xml:space="preserve"> </w:t>
      </w:r>
      <w:r>
        <w:t xml:space="preserve">-</w:t>
      </w:r>
      <w:r>
        <w:t xml:space="preserve"> </w:t>
      </w:r>
      <w:r>
        <w:rPr>
          <w:b/>
          <w:bCs/>
        </w:rPr>
        <w:t xml:space="preserve">PARAMOL</w:t>
      </w:r>
      <w:r>
        <w:t xml:space="preserve"> </w:t>
      </w:r>
      <w:r>
        <w:t xml:space="preserve">(SALEM) — Comprimé sécable 1000 mg, B/10 et B/25</w:t>
      </w:r>
    </w:p>
    <w:p>
      <w:pPr>
        <w:pStyle w:val="BodyText"/>
      </w:pPr>
      <w:r>
        <w:rPr>
          <w:i/>
          <w:iCs/>
        </w:rPr>
        <w:t xml:space="preserve">Poudre pour solution buvable en sachets — ACTIFS :</w:t>
      </w:r>
      <w:r>
        <w:t xml:space="preserve"> </w:t>
      </w:r>
      <w:r>
        <w:t xml:space="preserve">-</w:t>
      </w:r>
      <w:r>
        <w:t xml:space="preserve"> </w:t>
      </w:r>
      <w:r>
        <w:rPr>
          <w:b/>
          <w:bCs/>
        </w:rPr>
        <w:t xml:space="preserve">EXPANDOL</w:t>
      </w:r>
      <w:r>
        <w:t xml:space="preserve"> </w:t>
      </w:r>
      <w:r>
        <w:t xml:space="preserve">(BIOGALENIC) — Sachets 100, 150, 200, 300, 500 mg — B/12</w:t>
      </w:r>
      <w:r>
        <w:t xml:space="preserve"> </w:t>
      </w:r>
      <w:r>
        <w:t xml:space="preserve">-</w:t>
      </w:r>
      <w:r>
        <w:t xml:space="preserve"> </w:t>
      </w:r>
      <w:r>
        <w:rPr>
          <w:b/>
          <w:bCs/>
        </w:rPr>
        <w:t xml:space="preserve">PARACETAMOL BIOCARE</w:t>
      </w:r>
      <w:r>
        <w:t xml:space="preserve"> </w:t>
      </w:r>
      <w:r>
        <w:t xml:space="preserve">(BIOCARE) — Sachets/granulés 150, 300, 500, 1000 mg — B/12</w:t>
      </w:r>
      <w:r>
        <w:t xml:space="preserve"> </w:t>
      </w:r>
      <w:r>
        <w:t xml:space="preserve">-</w:t>
      </w:r>
      <w:r>
        <w:t xml:space="preserve"> </w:t>
      </w:r>
      <w:r>
        <w:rPr>
          <w:b/>
          <w:bCs/>
        </w:rPr>
        <w:t xml:space="preserve">PARACETAMOL PHYSIOPHARM</w:t>
      </w:r>
      <w:r>
        <w:t xml:space="preserve"> </w:t>
      </w:r>
      <w:r>
        <w:t xml:space="preserve">(PHYSIOPHARM) — Sachets 100, 150, 200, 300, 500, 1000 mg — B/12</w:t>
      </w:r>
      <w:r>
        <w:t xml:space="preserve"> </w:t>
      </w:r>
      <w:r>
        <w:t xml:space="preserve">-</w:t>
      </w:r>
      <w:r>
        <w:t xml:space="preserve"> </w:t>
      </w:r>
      <w:r>
        <w:rPr>
          <w:b/>
          <w:bCs/>
        </w:rPr>
        <w:t xml:space="preserve">PARALGAN</w:t>
      </w:r>
      <w:r>
        <w:t xml:space="preserve"> </w:t>
      </w:r>
      <w:r>
        <w:t xml:space="preserve">(GROUPE SAIDAL) — Sachets 100, 200, 300, 500, 1000 mg — B/12</w:t>
      </w:r>
      <w:r>
        <w:t xml:space="preserve"> </w:t>
      </w:r>
      <w:r>
        <w:t xml:space="preserve">-</w:t>
      </w:r>
      <w:r>
        <w:t xml:space="preserve"> </w:t>
      </w:r>
      <w:r>
        <w:rPr>
          <w:b/>
          <w:bCs/>
        </w:rPr>
        <w:t xml:space="preserve">PLANADIX</w:t>
      </w:r>
      <w:r>
        <w:t xml:space="preserve"> </w:t>
      </w:r>
      <w:r>
        <w:t xml:space="preserve">(NADPHARMADIC) — Sachets 300 et 500 mg — B/12</w:t>
      </w:r>
      <w:r>
        <w:t xml:space="preserve"> </w:t>
      </w:r>
      <w:r>
        <w:t xml:space="preserve">-</w:t>
      </w:r>
      <w:r>
        <w:t xml:space="preserve"> </w:t>
      </w:r>
      <w:r>
        <w:rPr>
          <w:b/>
          <w:bCs/>
        </w:rPr>
        <w:t xml:space="preserve">SAPRAMOL</w:t>
      </w:r>
      <w:r>
        <w:t xml:space="preserve"> </w:t>
      </w:r>
      <w:r>
        <w:t xml:space="preserve">(FRATER-RAZES) — Sachets 100, 150, 200, 300, 500 mg — B/12</w:t>
      </w:r>
      <w:r>
        <w:t xml:space="preserve"> </w:t>
      </w:r>
      <w:r>
        <w:t xml:space="preserve">-</w:t>
      </w:r>
      <w:r>
        <w:t xml:space="preserve"> </w:t>
      </w:r>
      <w:r>
        <w:rPr>
          <w:b/>
          <w:bCs/>
        </w:rPr>
        <w:t xml:space="preserve">DOLIPRANE</w:t>
      </w:r>
      <w:r>
        <w:t xml:space="preserve"> </w:t>
      </w:r>
      <w:r>
        <w:t xml:space="preserve">(PROPHARMAL) — Sachets 300 mg — B/12</w:t>
      </w:r>
    </w:p>
    <w:p>
      <w:pPr>
        <w:pStyle w:val="BodyText"/>
      </w:pPr>
      <w:r>
        <w:rPr>
          <w:i/>
          <w:iCs/>
        </w:rPr>
        <w:t xml:space="preserve">Suspensions buvables 120 mg/5 mL (2,4 %) — ACTIVES :</w:t>
      </w:r>
      <w:r>
        <w:t xml:space="preserve"> </w:t>
      </w:r>
      <w:r>
        <w:t xml:space="preserve">-</w:t>
      </w:r>
      <w:r>
        <w:t xml:space="preserve"> </w:t>
      </w:r>
      <w:r>
        <w:rPr>
          <w:b/>
          <w:bCs/>
        </w:rPr>
        <w:t xml:space="preserve">PARALGAN</w:t>
      </w:r>
      <w:r>
        <w:t xml:space="preserve"> </w:t>
      </w:r>
      <w:r>
        <w:t xml:space="preserve">(GROUPE SAIDAL) — Suspension 120 mg/5 mL, flacon 125 mL</w:t>
      </w:r>
      <w:r>
        <w:t xml:space="preserve"> </w:t>
      </w:r>
      <w:r>
        <w:t xml:space="preserve">-</w:t>
      </w:r>
      <w:r>
        <w:t xml:space="preserve"> </w:t>
      </w:r>
      <w:r>
        <w:rPr>
          <w:b/>
          <w:bCs/>
        </w:rPr>
        <w:t xml:space="preserve">DOLIBON</w:t>
      </w:r>
      <w:r>
        <w:t xml:space="preserve"> </w:t>
      </w:r>
      <w:r>
        <w:t xml:space="preserve">(GEOPHARM) — Suspension 120 mg/5 mL, flacon 100 mL</w:t>
      </w:r>
      <w:r>
        <w:t xml:space="preserve"> </w:t>
      </w:r>
      <w:r>
        <w:t xml:space="preserve">-</w:t>
      </w:r>
      <w:r>
        <w:t xml:space="preserve"> </w:t>
      </w:r>
      <w:r>
        <w:rPr>
          <w:b/>
          <w:bCs/>
        </w:rPr>
        <w:t xml:space="preserve">DOLIPRANE 2,4 %</w:t>
      </w:r>
      <w:r>
        <w:t xml:space="preserve"> </w:t>
      </w:r>
      <w:r>
        <w:t xml:space="preserve">(PROPHARMAL) — Suspension 120 mg/5 mL, flacon 125 mL</w:t>
      </w:r>
      <w:r>
        <w:t xml:space="preserve"> </w:t>
      </w:r>
      <w:r>
        <w:t xml:space="preserve">-</w:t>
      </w:r>
      <w:r>
        <w:t xml:space="preserve"> </w:t>
      </w:r>
      <w:r>
        <w:rPr>
          <w:b/>
          <w:bCs/>
        </w:rPr>
        <w:t xml:space="preserve">DOLYMEX</w:t>
      </w:r>
      <w:r>
        <w:t xml:space="preserve"> </w:t>
      </w:r>
      <w:r>
        <w:t xml:space="preserve">(KPMA BIOTIC) — Suspension 120 mg/5 mL, flacon 125 mL</w:t>
      </w:r>
      <w:r>
        <w:t xml:space="preserve"> </w:t>
      </w:r>
      <w:r>
        <w:t xml:space="preserve">-</w:t>
      </w:r>
      <w:r>
        <w:t xml:space="preserve"> </w:t>
      </w:r>
      <w:r>
        <w:rPr>
          <w:b/>
          <w:bCs/>
        </w:rPr>
        <w:t xml:space="preserve">MIGRAMOL PEDIATRIQUE</w:t>
      </w:r>
      <w:r>
        <w:t xml:space="preserve"> </w:t>
      </w:r>
      <w:r>
        <w:t xml:space="preserve">(LAD PHARMA) — Suspension 120 mg/5 mL, flacon 125 mL</w:t>
      </w:r>
    </w:p>
    <w:p>
      <w:pPr>
        <w:pStyle w:val="BodyText"/>
      </w:pPr>
      <w:r>
        <w:rPr>
          <w:i/>
          <w:iCs/>
        </w:rPr>
        <w:t xml:space="preserve">Solutions buvables concentrées 30 mg/mL — ACTIVES :</w:t>
      </w:r>
      <w:r>
        <w:t xml:space="preserve"> </w:t>
      </w:r>
      <w:r>
        <w:t xml:space="preserve">-</w:t>
      </w:r>
      <w:r>
        <w:t xml:space="preserve"> </w:t>
      </w:r>
      <w:r>
        <w:rPr>
          <w:b/>
          <w:bCs/>
        </w:rPr>
        <w:t xml:space="preserve">ACETADOL</w:t>
      </w:r>
      <w:r>
        <w:t xml:space="preserve"> </w:t>
      </w:r>
      <w:r>
        <w:t xml:space="preserve">(AFROPHARM) — Solution buvable 30 mg/mL, flacon 100 mL + pipette graduée en kg</w:t>
      </w:r>
      <w:r>
        <w:t xml:space="preserve"> </w:t>
      </w:r>
      <w:r>
        <w:t xml:space="preserve">-</w:t>
      </w:r>
      <w:r>
        <w:t xml:space="preserve"> </w:t>
      </w:r>
      <w:r>
        <w:rPr>
          <w:b/>
          <w:bCs/>
        </w:rPr>
        <w:t xml:space="preserve">DOLI-BIEN</w:t>
      </w:r>
      <w:r>
        <w:t xml:space="preserve"> </w:t>
      </w:r>
      <w:r>
        <w:t xml:space="preserve">(PHARMIDAL NS) — Solution buvable 30 mg/mL, flacon 100 mL + pipette</w:t>
      </w:r>
      <w:r>
        <w:t xml:space="preserve"> </w:t>
      </w:r>
      <w:r>
        <w:t xml:space="preserve">-</w:t>
      </w:r>
      <w:r>
        <w:t xml:space="preserve"> </w:t>
      </w:r>
      <w:r>
        <w:rPr>
          <w:b/>
          <w:bCs/>
        </w:rPr>
        <w:t xml:space="preserve">DOLPRIV</w:t>
      </w:r>
      <w:r>
        <w:t xml:space="preserve"> </w:t>
      </w:r>
      <w:r>
        <w:t xml:space="preserve">(PHARMALLIANCE) — Solution buvable 30 mg/mL, flacon 100 mL + pipette</w:t>
      </w:r>
      <w:r>
        <w:t xml:space="preserve"> </w:t>
      </w:r>
      <w:r>
        <w:t xml:space="preserve">-</w:t>
      </w:r>
      <w:r>
        <w:t xml:space="preserve"> </w:t>
      </w:r>
      <w:r>
        <w:rPr>
          <w:b/>
          <w:bCs/>
        </w:rPr>
        <w:t xml:space="preserve">EFFERALGAN PEDIATRIQUE</w:t>
      </w:r>
      <w:r>
        <w:t xml:space="preserve"> </w:t>
      </w:r>
      <w:r>
        <w:t xml:space="preserve">(PROPHARMAL) — Solution buvable 30 mg/mL, flacon 90 ou 150 mL + gobelet doseur</w:t>
      </w:r>
      <w:r>
        <w:t xml:space="preserve"> </w:t>
      </w:r>
      <w:r>
        <w:t xml:space="preserve">-</w:t>
      </w:r>
      <w:r>
        <w:t xml:space="preserve"> </w:t>
      </w:r>
      <w:r>
        <w:rPr>
          <w:b/>
          <w:bCs/>
        </w:rPr>
        <w:t xml:space="preserve">ISOMOL</w:t>
      </w:r>
      <w:r>
        <w:t xml:space="preserve"> </w:t>
      </w:r>
      <w:r>
        <w:t xml:space="preserve">(ISOPHARM) — Solution buvable 100 mg/5 mL (20 mg/mL) ET 30 mg/mL, flacon 100 mL</w:t>
      </w:r>
      <w:r>
        <w:t xml:space="preserve"> </w:t>
      </w:r>
      <w:r>
        <w:t xml:space="preserve">-</w:t>
      </w:r>
      <w:r>
        <w:t xml:space="preserve"> </w:t>
      </w:r>
      <w:r>
        <w:rPr>
          <w:b/>
          <w:bCs/>
        </w:rPr>
        <w:t xml:space="preserve">PEDIAMOL</w:t>
      </w:r>
      <w:r>
        <w:t xml:space="preserve"> </w:t>
      </w:r>
      <w:r>
        <w:t xml:space="preserve">(LAM) — Solution buvable 30 mg/mL, flacon 125 mL + seringue graduée kg/mL</w:t>
      </w:r>
    </w:p>
    <w:p>
      <w:pPr>
        <w:pStyle w:val="BodyText"/>
      </w:pPr>
      <w:r>
        <w:rPr>
          <w:i/>
          <w:iCs/>
        </w:rPr>
        <w:t xml:space="preserve">Sticks unidose suspension buvable — ACTIFS :</w:t>
      </w:r>
      <w:r>
        <w:t xml:space="preserve"> </w:t>
      </w:r>
      <w:r>
        <w:t xml:space="preserve">-</w:t>
      </w:r>
      <w:r>
        <w:t xml:space="preserve"> </w:t>
      </w:r>
      <w:r>
        <w:rPr>
          <w:b/>
          <w:bCs/>
        </w:rPr>
        <w:t xml:space="preserve">PLANADIX LIQUIZ</w:t>
      </w:r>
      <w:r>
        <w:t xml:space="preserve"> </w:t>
      </w:r>
      <w:r>
        <w:t xml:space="preserve">(NADPHARMADIC) — Sticks 200 mg/5 mL et 300 mg/7,5 mL — B/15</w:t>
      </w:r>
    </w:p>
    <w:p>
      <w:pPr>
        <w:pStyle w:val="BodyText"/>
      </w:pPr>
      <w:r>
        <w:rPr>
          <w:i/>
          <w:iCs/>
        </w:rPr>
        <w:t xml:space="preserve">Suppositoires — ACTIFS :</w:t>
      </w:r>
      <w:r>
        <w:t xml:space="preserve"> </w:t>
      </w:r>
      <w:r>
        <w:t xml:space="preserve">-</w:t>
      </w:r>
      <w:r>
        <w:t xml:space="preserve"> </w:t>
      </w:r>
      <w:r>
        <w:rPr>
          <w:b/>
          <w:bCs/>
        </w:rPr>
        <w:t xml:space="preserve">DOLIPRANE</w:t>
      </w:r>
      <w:r>
        <w:t xml:space="preserve"> </w:t>
      </w:r>
      <w:r>
        <w:t xml:space="preserve">(PROPHARMAL) — Suppositoires 100, 150, 200, 300 mg — B/10</w:t>
      </w:r>
      <w:r>
        <w:t xml:space="preserve"> </w:t>
      </w:r>
      <w:r>
        <w:t xml:space="preserve">-</w:t>
      </w:r>
      <w:r>
        <w:t xml:space="preserve"> </w:t>
      </w:r>
      <w:r>
        <w:rPr>
          <w:b/>
          <w:bCs/>
        </w:rPr>
        <w:t xml:space="preserve">DOLYMEX</w:t>
      </w:r>
      <w:r>
        <w:t xml:space="preserve"> </w:t>
      </w:r>
      <w:r>
        <w:t xml:space="preserve">(KPMA BIOTIC) — Suppositoires 100, 200, 300 mg — B/10</w:t>
      </w:r>
      <w:r>
        <w:t xml:space="preserve"> </w:t>
      </w:r>
      <w:r>
        <w:t xml:space="preserve">-</w:t>
      </w:r>
      <w:r>
        <w:t xml:space="preserve"> </w:t>
      </w:r>
      <w:r>
        <w:rPr>
          <w:b/>
          <w:bCs/>
        </w:rPr>
        <w:t xml:space="preserve">PARACETAMOL DBF</w:t>
      </w:r>
      <w:r>
        <w:t xml:space="preserve"> </w:t>
      </w:r>
      <w:r>
        <w:t xml:space="preserve">(D-B-F) — Suppositoires 100, 150, 200, 300 mg — B/10</w:t>
      </w:r>
      <w:r>
        <w:t xml:space="preserve"> </w:t>
      </w:r>
      <w:r>
        <w:t xml:space="preserve">-</w:t>
      </w:r>
      <w:r>
        <w:t xml:space="preserve"> </w:t>
      </w:r>
      <w:r>
        <w:rPr>
          <w:b/>
          <w:bCs/>
        </w:rPr>
        <w:t xml:space="preserve">PAROL</w:t>
      </w:r>
      <w:r>
        <w:t xml:space="preserve"> </w:t>
      </w:r>
      <w:r>
        <w:t xml:space="preserve">(BIOPHARM) — Suppositoires 100, 150 (non précisé), 200, 300 mg — B/10</w:t>
      </w:r>
      <w:r>
        <w:t xml:space="preserve"> </w:t>
      </w:r>
      <w:r>
        <w:t xml:space="preserve">-</w:t>
      </w:r>
      <w:r>
        <w:t xml:space="preserve"> </w:t>
      </w:r>
      <w:r>
        <w:rPr>
          <w:b/>
          <w:bCs/>
        </w:rPr>
        <w:t xml:space="preserve">SUPPFADOL 100/150/200/300</w:t>
      </w:r>
      <w:r>
        <w:t xml:space="preserve"> </w:t>
      </w:r>
      <w:r>
        <w:t xml:space="preserve">(4A SANTE) — Suppositoires 100, 150, 200, 300 mg — B/10</w:t>
      </w:r>
      <w:r>
        <w:t xml:space="preserve"> </w:t>
      </w:r>
      <w:r>
        <w:t xml:space="preserve">-</w:t>
      </w:r>
      <w:r>
        <w:t xml:space="preserve"> </w:t>
      </w:r>
      <w:r>
        <w:rPr>
          <w:b/>
          <w:bCs/>
        </w:rPr>
        <w:t xml:space="preserve">SUPPFADOL 170</w:t>
      </w:r>
      <w:r>
        <w:t xml:space="preserve"> </w:t>
      </w:r>
      <w:r>
        <w:t xml:space="preserve">(4A SANTE) — Suppositoire 170 mg — B/10</w:t>
      </w:r>
    </w:p>
    <w:p>
      <w:pPr>
        <w:pStyle w:val="BodyText"/>
      </w:pPr>
      <w:r>
        <w:rPr>
          <w:i/>
          <w:iCs/>
        </w:rPr>
        <w:t xml:space="preserve">Solution injectable pour perfusion IV 10 mg/mL — ACTIVE :</w:t>
      </w:r>
      <w:r>
        <w:t xml:space="preserve"> </w:t>
      </w:r>
      <w:r>
        <w:t xml:space="preserve">-</w:t>
      </w:r>
      <w:r>
        <w:t xml:space="preserve"> </w:t>
      </w:r>
      <w:r>
        <w:rPr>
          <w:b/>
          <w:bCs/>
        </w:rPr>
        <w:t xml:space="preserve">PARACETAL</w:t>
      </w:r>
      <w:r>
        <w:t xml:space="preserve"> </w:t>
      </w:r>
      <w:r>
        <w:t xml:space="preserve">(SOPHAL) — Solution IV 10 mg/mL (500 mg/50 mL et 1000 mg/100 mL) — B/12 flacons</w:t>
      </w:r>
      <w:r>
        <w:t xml:space="preserve"> </w:t>
      </w:r>
      <w:r>
        <w:t xml:space="preserve">-</w:t>
      </w:r>
      <w:r>
        <w:t xml:space="preserve"> </w:t>
      </w:r>
      <w:r>
        <w:rPr>
          <w:b/>
          <w:bCs/>
        </w:rPr>
        <w:t xml:space="preserve">PARACETAMOL PHARMAGHREB</w:t>
      </w:r>
      <w:r>
        <w:t xml:space="preserve"> </w:t>
      </w:r>
      <w:r>
        <w:t xml:space="preserve">(PHARMAGHREB) — Solution IV 10 mg/mL (500 mg/50 mL et 1000 mg/100 mL)</w:t>
      </w:r>
      <w:r>
        <w:t xml:space="preserve"> </w:t>
      </w:r>
      <w:r>
        <w:t xml:space="preserve">-</w:t>
      </w:r>
      <w:r>
        <w:t xml:space="preserve"> </w:t>
      </w:r>
      <w:r>
        <w:rPr>
          <w:b/>
          <w:bCs/>
        </w:rPr>
        <w:t xml:space="preserve">PERMIDOL</w:t>
      </w:r>
      <w:r>
        <w:t xml:space="preserve"> </w:t>
      </w:r>
      <w:r>
        <w:t xml:space="preserve">(CONTINENTAL PHARM) — Solution IV 10 mg/mL, flacon 100 mL</w:t>
      </w:r>
      <w:r>
        <w:t xml:space="preserve"> </w:t>
      </w:r>
      <w:r>
        <w:t xml:space="preserve">-</w:t>
      </w:r>
      <w:r>
        <w:t xml:space="preserve"> </w:t>
      </w:r>
      <w:r>
        <w:rPr>
          <w:b/>
          <w:bCs/>
        </w:rPr>
        <w:t xml:space="preserve">SAPRAMOL</w:t>
      </w:r>
      <w:r>
        <w:t xml:space="preserve"> </w:t>
      </w:r>
      <w:r>
        <w:t xml:space="preserve">(FRATER-RAZES) — Solution IV 10 mg/mL (500 mg/50 mL et 1000 mg/100 mL)</w:t>
      </w:r>
    </w:p>
    <w:p>
      <w:pPr>
        <w:pStyle w:val="BodyText"/>
      </w:pPr>
      <w:r>
        <w:rPr>
          <w:i/>
          <w:iCs/>
        </w:rPr>
        <w:t xml:space="preserve">Spécialités Non Renouvelables (NR) — mentionnées à titre informatif :</w:t>
      </w:r>
      <w:r>
        <w:t xml:space="preserve"> </w:t>
      </w:r>
      <w:r>
        <w:t xml:space="preserve">- DOLICRANE, DOLIPRANE (Sanofi-Aventis 500 mg), GEMAL, PACET, PAROL 500, SAPRAMOL comprimé, TYLENOL, DOFEBRIL, PARACETAMOL IVAL (comprimés 500 mg) ; CETALGINE, DOLPRIV, GEMAL, PARALGAN (suppositoires 100/150/200/300 mg) ; PANADOL effervescent ; DOFEBRIL effervescent ; DIALAMOL et GEMAL granulés ; ALGIMOL-PEDIATRIQUE solution ; TYLENOL sirop 3 % ; DOLOMOL suspension 250 mg/5 mL et suppositoire 250 mg ; DOFEBRIL/DOLICRANE/GEMAL 1 g ; PARALGAN comprimé orodispersible 80 et 160 mg ; PARALGAN suppositoires 80/170/600/1000 mg ; SUPPFADOL 80 ; ALGIMOL suppositoire 170 mg.</w:t>
      </w:r>
    </w:p>
    <w:p>
      <w:pPr>
        <w:pStyle w:val="BodyText"/>
      </w:pPr>
      <w:r>
        <w:rPr>
          <w:i/>
          <w:iCs/>
        </w:rPr>
        <w:t xml:space="preserve">Spécialités Retirées (R) :</w:t>
      </w:r>
      <w:r>
        <w:t xml:space="preserve"> </w:t>
      </w:r>
      <w:r>
        <w:t xml:space="preserve">- ANTIDOL, CETAMYL, DANIPROL, DOLOROL, JOPAMOL, PARACETAMOL (LEK), PRALGIR, POLIDOL, PANADOL (SKB), DOLIGEN, ALPHAMOL, ANTAMOL, CETAPRANE, PYRATOL, DOLOMOL (comprimé 500), FEVADOL, REVANIN, ASITAMOL, SEDAMOL, PARAMOL (Salem) — comprimés 500 mg ; EFFERALGAN poudre effervescente 150 mg ; DOLIPRANE poudre 100 mg (Théraplix) ; PARACETAMOL ELEXIR SAD sirop ; JOPAMOL solution ; CETAMYL sachets ; PARACETAMOL PEDIATRIQUE solution ; PYREMOL ; DOLOMOL solution ; FEVADOL solution ; TYLENOL JEUNE ENFANT suspension ; DOLIPRANE JEUNE ENFANT suppositoire 170 mg ; EFFERALGAN suppositoire 150 mg ; PAMOL 120 mg ; REVANIN 125 mg ; ULTRAMOL 125 mg ; ALGIMOL 150 mg ; DOLOMOL suppositoire 120 mg ; FIRALGINE 170/300 mg ; FIRALGINE NOURRISSON 100 mg ; PROPACETAMOL MYLAN (prodrogue IV 1 g) ; EFFERALGAN comprimé effervescent 500 mg (BMS) ; PARAVERSAL effervescent ; DOLIPRANE effervescent ; PARALYOC lyophilisat oral 250/500 mg ; DAFALGAN granulés 500 mg ; DOLIPRANE granulés ; EFFERALGAN comprimé effervescent ; PERFALGAN ADULTES et ENFANTS (BMS) ; SIPHAMOL solution IV.</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Antalgique-antipyrétique non opioïde, non anti-inflammatoire (pas d’action sur les COX périphériques à dose thérapeutique en raison de la neutralisation des radicaux périphériques au site de l’inflammation).</w:t>
      </w:r>
      <w:r>
        <w:t xml:space="preserve"> </w:t>
      </w:r>
      <w:r>
        <w:t xml:space="preserve">-</w:t>
      </w:r>
      <w:r>
        <w:t xml:space="preserve"> </w:t>
      </w:r>
      <w:r>
        <w:rPr>
          <w:b/>
          <w:bCs/>
        </w:rPr>
        <w:t xml:space="preserve">Mécanisme d’action :</w:t>
      </w:r>
      <w:r>
        <w:t xml:space="preserve"> </w:t>
      </w:r>
      <w:r>
        <w:t xml:space="preserve">Le paracétamol exerce un effet antalgique et antipyrétique central par (i) inhibition des cyclo-oxygénases cérébrales (COX-2 constitutive, et potentiellement la variante « COX-3 » identifiée chez le chien mais non confirmée chez l’homme, qui correspond plutôt à une formesplice de COX-1 sensible au paracétamol) — l’absence d’effet anti-inflammatoire périphérique s’explique par la présence de peroxydes lipidiques au site inflammatoire, qui oxydent et inactivent le paracétamol ; (ii) action sur les voies sérotoninergiques descendantes bulbospinales (5-HT3 et 5-HT1A) inhibant la transmission nociceptive ; (iii) métabolite actif</w:t>
      </w:r>
      <w:r>
        <w:t xml:space="preserve"> </w:t>
      </w:r>
      <w:r>
        <w:rPr>
          <w:b/>
          <w:bCs/>
        </w:rPr>
        <w:t xml:space="preserve">AM404</w:t>
      </w:r>
      <w:r>
        <w:t xml:space="preserve"> </w:t>
      </w:r>
      <w:r>
        <w:t xml:space="preserve">(N-arachidonoyl-phénolamine) généré par la FAAH cérébrale — inhibiteur de la recapture de l’anandamide (agoniste endogène CB1) et agoniste partiel TRPV1 — qui potentialise la voie cannabinoïde endogène. L’effet antipyrétique s’exerce au niveau de l’hypothalamus préoptique par inhibition de la PGE2 centrale induite par les pyrogènes.</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Traitement symptomatique des douleurs légères à modérées (céphalées, odontalgies, arthralgies, myalgies, dysménorrhées, douleurs post-opératoires mineures) ; traitement symptomatique de la fièvre (en particulier chez l’enfant, en alternative à l’aspirine contre-indiquée). Le paracétamol IV (Perfalgan, Paracetal IV) est indiqué dans le traitement de courte durée de la douleur post-opératoire modérée à intense (en particulier après chirurgie ambulatoire) et de la fièvre aiguë when la voie orale est impossible.</w:t>
      </w:r>
      <w:r>
        <w:t xml:space="preserve"> </w:t>
      </w:r>
      <w:r>
        <w:t xml:space="preserve">-</w:t>
      </w:r>
      <w:r>
        <w:t xml:space="preserve"> </w:t>
      </w:r>
      <w:r>
        <w:rPr>
          <w:b/>
          <w:bCs/>
        </w:rPr>
        <w:t xml:space="preserve">Contre-indications :</w:t>
      </w:r>
      <w:r>
        <w:t xml:space="preserve"> </w:t>
      </w:r>
      <w:r>
        <w:t xml:space="preserve">Allergie au paracétamol ou à un excipient (rares mais possibles — réactions cutanées sévères : syndrome de Stevens-Johnson, syndrome de Lyell, exceptionnels) ; insuffisance hépatocellulaire sévère (Child-Pugh C — sauf avis spécialisé, dose réduite) ; antagonist à ne pas combiner avec d’autres spécialités contenant du paracétamol (surdosage).</w:t>
      </w:r>
      <w:r>
        <w:t xml:space="preserve"> </w:t>
      </w:r>
      <w:r>
        <w:t xml:space="preserve">-</w:t>
      </w:r>
      <w:r>
        <w:t xml:space="preserve"> </w:t>
      </w:r>
      <w:r>
        <w:rPr>
          <w:b/>
          <w:bCs/>
        </w:rPr>
        <w:t xml:space="preserve">Effets Indésirables :</w:t>
      </w:r>
      <w:r>
        <w:t xml:space="preserve"> </w:t>
      </w:r>
      <w:r>
        <w:t xml:space="preserve">* Aux doses thérapeutiques (&lt; 4 g/j adulte, &lt; 60 mg/kg/j enfant) : exceptionnels — éruptions cutanées (rash maculopapuleux), urticaire, thrombopénie/leucopénie exceptionnelles, hypotension transitoire à l’administration IV (libération d’histamine si perfusion trop rapide).</w:t>
      </w:r>
      <w:r>
        <w:t xml:space="preserve"> </w:t>
      </w:r>
      <w:r>
        <w:t xml:space="preserve">* Au surdosage (≥ 4 g en une prise ou ≥ 10 g en 24 h adulte, ≥ 150 mg/kg enfant) :</w:t>
      </w:r>
      <w:r>
        <w:t xml:space="preserve"> </w:t>
      </w:r>
      <w:r>
        <w:rPr>
          <w:b/>
          <w:bCs/>
        </w:rPr>
        <w:t xml:space="preserve">hépatotoxicité dose-dépendante</w:t>
      </w:r>
      <w:r>
        <w:t xml:space="preserve"> </w:t>
      </w:r>
      <w:r>
        <w:t xml:space="preserve">par épuisement du glutathion et libération du NAPQI — nécrose centro-lobulaire hépatique avec cytolyse massive (ALAT &gt; 1000 UI/L, parfois &gt; 10000) apparaissant 24–48 h après l’ingestion, insuffisance hépatique aiguë fulminante pouvant évoluer vers l’encéphalopathie hépatique, coagulopathie, acidose lactique et décès. Sans traitement antidotique, la mortalité atteint 10 % à 20 % chez l’adulte.</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 Respecter strictement les posologies maximales :</w:t>
      </w:r>
      <w:r>
        <w:t xml:space="preserve"> </w:t>
      </w:r>
      <w:r>
        <w:rPr>
          <w:b/>
          <w:bCs/>
        </w:rPr>
        <w:t xml:space="preserve">adulte &gt; 50 kg : 4 g/j maximum, soit 1 g x 4 par jour espacés de ≥ 6 h</w:t>
      </w:r>
      <w:r>
        <w:t xml:space="preserve"> </w:t>
      </w:r>
      <w:r>
        <w:t xml:space="preserve">; adulte &lt; 50 kg et sujet âgé : 3 g/j ; enfant : 60 mg/kg/j en 4 prises espacées de 6 h, sans dépasser 80 mg/kg/j en milieu hospitalier.</w:t>
      </w:r>
      <w:r>
        <w:t xml:space="preserve"> </w:t>
      </w:r>
      <w:r>
        <w:t xml:space="preserve">* Vérifier systématiquement à l’officine les autres spécialités contenant du paracétamol (associations antalgiques, antirhumes, DOLIPRANE + EFFERALGAN + Paracétamol ABC, etc.) — le cumul est la première cause de surdosage involontaire.</w:t>
      </w:r>
      <w:r>
        <w:t xml:space="preserve"> </w:t>
      </w:r>
      <w:r>
        <w:t xml:space="preserve">* Précautions chez le buveur chronique (&gt; 3 verres/j chez la femme, &gt; 4 chez l’homme) : induction du CYP2E1 → production accrue de NAPQI — réduire la dose maximale à 2–3 g/j ; chez le sujet dénutri (carence en glutathion) : dose réduite.</w:t>
      </w:r>
      <w:r>
        <w:t xml:space="preserve"> </w:t>
      </w:r>
      <w:r>
        <w:t xml:space="preserve">* Grossesse : autorisé à toutes les doses thérapeutiques (antalgique de choix) — mais éviter l’usage prolongé pendant la grossesse (risque trouble du développement uro-génital masculin, asthme chez l’enfant — données récentes controversées).</w:t>
      </w:r>
      <w:r>
        <w:t xml:space="preserve"> </w:t>
      </w:r>
      <w:r>
        <w:t xml:space="preserve">-</w:t>
      </w:r>
      <w:r>
        <w:t xml:space="preserve"> </w:t>
      </w:r>
      <w:r>
        <w:rPr>
          <w:b/>
          <w:bCs/>
        </w:rPr>
        <w:t xml:space="preserve">Conduite à Tenir en cas de surdosage :</w:t>
      </w:r>
      <w:r>
        <w:t xml:space="preserve"> </w:t>
      </w:r>
      <w:r>
        <w:t xml:space="preserve">* Hospitalisation urgente en service d’urgence ou de réanimation.</w:t>
      </w:r>
      <w:r>
        <w:t xml:space="preserve"> </w:t>
      </w:r>
      <w:r>
        <w:t xml:space="preserve">* Dosage plasmatique de paracétamolémie à</w:t>
      </w:r>
      <w:r>
        <w:t xml:space="preserve"> </w:t>
      </w:r>
      <w:r>
        <w:rPr>
          <w:b/>
          <w:bCs/>
        </w:rPr>
        <w:t xml:space="preserve">H4 minimum</w:t>
      </w:r>
      <w:r>
        <w:t xml:space="preserve"> </w:t>
      </w:r>
      <w:r>
        <w:t xml:space="preserve">post-ingestion (interprétation selon le nomogramme de Rumack-Matthew — ligne de traitement à 150 μg/mL à H4, 70 à H8, 35 à H12).</w:t>
      </w:r>
      <w:r>
        <w:t xml:space="preserve"> </w:t>
      </w:r>
      <w:r>
        <w:t xml:space="preserve">* Administration d’</w:t>
      </w:r>
      <w:r>
        <w:rPr>
          <w:b/>
          <w:bCs/>
        </w:rPr>
        <w:t xml:space="preserve">antidote : N-acétylcystéine (NAC)</w:t>
      </w:r>
      <w:r>
        <w:t xml:space="preserve"> </w:t>
      </w:r>
      <w:r>
        <w:t xml:space="preserve">par voie IV (Fluimucil 150 mg/kg en perfusion lente sur 1 h puis 50 mg/kg sur 4 h puis 100 mg/kg sur 16 h, soit 300 mg/kg total en 21 h) ou per os (140 mg/kg charge puis 70 mg/kg toutes les 4 h x 17 doses) —</w:t>
      </w:r>
      <w:r>
        <w:t xml:space="preserve"> </w:t>
      </w:r>
      <w:r>
        <w:rPr>
          <w:b/>
          <w:bCs/>
        </w:rPr>
        <w:t xml:space="preserve">efficacité maximale si administré avant H8</w:t>
      </w:r>
      <w:r>
        <w:t xml:space="preserve"> </w:t>
      </w:r>
      <w:r>
        <w:t xml:space="preserve">; au-delà de H8, efficacité décroissante mais toujours indiquée même à H24.</w:t>
      </w:r>
      <w:r>
        <w:t xml:space="preserve"> </w:t>
      </w:r>
      <w:r>
        <w:t xml:space="preserve">* Surveillance : ALAT, ASAT, TP/facteur V (marqueurs de gravité), lactates, pH artériel, créatininémie. Insuffisance hépatique grave (king’s College criteria : pH &lt; 7,3 ou TP &lt; 10 % + créatinine &gt; 300 μmol/L) → transplantation hépatique urgente en centre spécialisé.</w:t>
      </w:r>
      <w:r>
        <w:t xml:space="preserve"> </w:t>
      </w:r>
      <w:r>
        <w:t xml:space="preserve">* Charbon activé (50 g adulte) utile si ingéré dans l’heure suivant le surdosage, avant l’administration de NAC (sinon délai de 2 h entre charbon et NAC).</w:t>
      </w:r>
    </w:p>
    <w:p>
      <w:pPr>
        <w:pStyle w:val="BodyText"/>
      </w:pPr>
      <w:r>
        <w:rPr>
          <w:b/>
          <w:bCs/>
        </w:rPr>
        <w:t xml:space="preserve">Interactions Importantes :</w:t>
      </w:r>
      <w:r>
        <w:t xml:space="preserve"> </w:t>
      </w:r>
      <w:r>
        <w:t xml:space="preserve">-</w:t>
      </w:r>
      <w:r>
        <w:t xml:space="preserve"> </w:t>
      </w:r>
      <w:r>
        <w:rPr>
          <w:b/>
          <w:bCs/>
        </w:rPr>
        <w:t xml:space="preserve">Paracétamol + AVK (warfarine, acénocoumarol) :</w:t>
      </w:r>
      <w:r>
        <w:t xml:space="preserve"> </w:t>
      </w:r>
      <w:r>
        <w:t xml:space="preserve">potentialisation de l’effet anticoagulant (inhibition compétitive du métabolisme) si prise ≥ 2 g/j pendant ≥ 4 jours — surveillance de l’INR, especially chez le sujet âgé.</w:t>
      </w:r>
      <w:r>
        <w:t xml:space="preserve"> </w:t>
      </w:r>
      <w:r>
        <w:t xml:space="preserve">-</w:t>
      </w:r>
      <w:r>
        <w:t xml:space="preserve"> </w:t>
      </w:r>
      <w:r>
        <w:rPr>
          <w:b/>
          <w:bCs/>
        </w:rPr>
        <w:t xml:space="preserve">Paracétamol + inhibiteurs enzymatiques (chloramphénicol, érythromycine) :</w:t>
      </w:r>
      <w:r>
        <w:t xml:space="preserve"> </w:t>
      </w:r>
      <w:r>
        <w:t xml:space="preserve">risque d’allongement de la demi-vie et accumulation.</w:t>
      </w:r>
      <w:r>
        <w:t xml:space="preserve"> </w:t>
      </w:r>
      <w:r>
        <w:t xml:space="preserve">-</w:t>
      </w:r>
      <w:r>
        <w:t xml:space="preserve"> </w:t>
      </w:r>
      <w:r>
        <w:rPr>
          <w:b/>
          <w:bCs/>
        </w:rPr>
        <w:t xml:space="preserve">Paracétamol + inducteurs enzymatiques (rifampicine, phénobarbital, phénytoïne, carbamazépine, isoniazide) :</w:t>
      </w:r>
      <w:r>
        <w:t xml:space="preserve"> </w:t>
      </w:r>
      <w:r>
        <w:t xml:space="preserve">induction du CYP2E1/CYP3A4 → augmentation de la production de NAPQI → seuil de toxicité abaissé, sans effet sur l’efficacité aux doses usuelles.</w:t>
      </w:r>
      <w:r>
        <w:t xml:space="preserve"> </w:t>
      </w:r>
      <w:r>
        <w:t xml:space="preserve">-</w:t>
      </w:r>
      <w:r>
        <w:t xml:space="preserve"> </w:t>
      </w:r>
      <w:r>
        <w:rPr>
          <w:b/>
          <w:bCs/>
        </w:rPr>
        <w:t xml:space="preserve">Paracétamol + alcool :</w:t>
      </w:r>
      <w:r>
        <w:t xml:space="preserve"> </w:t>
      </w:r>
      <w:r>
        <w:t xml:space="preserve">majoration du risque de hépatotoxicité (induction CYP2E1) — réduire la dose maximale à 2 g/j chez le buveur chronique.</w:t>
      </w:r>
      <w:r>
        <w:t xml:space="preserve"> </w:t>
      </w:r>
      <w:r>
        <w:t xml:space="preserve">-</w:t>
      </w:r>
      <w:r>
        <w:t xml:space="preserve"> </w:t>
      </w:r>
      <w:r>
        <w:rPr>
          <w:b/>
          <w:bCs/>
        </w:rPr>
        <w:t xml:space="preserve">Paracétamol + chélateurs (cholestyramine) :</w:t>
      </w:r>
      <w:r>
        <w:t xml:space="preserve"> </w:t>
      </w:r>
      <w:r>
        <w:t xml:space="preserve">diminution de l’absorption (espacer de 2 h).</w:t>
      </w:r>
      <w:r>
        <w:t xml:space="preserve"> </w:t>
      </w:r>
      <w:r>
        <w:t xml:space="preserve">-</w:t>
      </w:r>
      <w:r>
        <w:t xml:space="preserve"> </w:t>
      </w:r>
      <w:r>
        <w:rPr>
          <w:b/>
          <w:bCs/>
        </w:rPr>
        <w:t xml:space="preserve">Paracétamol + dompéridone/métoclopramide :</w:t>
      </w:r>
      <w:r>
        <w:t xml:space="preserve"> </w:t>
      </w:r>
      <w:r>
        <w:t xml:space="preserve">accélération de l’absorption (effet prokinétique) — utile en cas de céphalée migraineuse.</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Paracétamol =</w:t>
      </w:r>
      <w:r>
        <w:t xml:space="preserve"> </w:t>
      </w:r>
      <w:r>
        <w:rPr>
          <w:b/>
          <w:bCs/>
        </w:rPr>
        <w:t xml:space="preserve">antalgique et antipyrétique de choix pendant toute la grossesse</w:t>
      </w:r>
      <w:r>
        <w:t xml:space="preserve"> </w:t>
      </w:r>
      <w:r>
        <w:t xml:space="preserve">(CRAT : « utilisable pendant toute la grossesse si besoin »). Aucun effet tératogène démontré à dose thérapeutique. Recommandation HAS/ANSM 2019 : utiliser la dose efficace la plus faible pendant la période la plus courte possible, en raison de données récentes suggérant un lien entre usage prolongé pendant la grossesse et troubles du développement uro-génital masculin (cryptorchidie, hypospadias) et asthme de l’enfant (données épidémiologiques controversées).</w:t>
      </w:r>
      <w:r>
        <w:t xml:space="preserve"> </w:t>
      </w:r>
      <w:r>
        <w:t xml:space="preserve">-</w:t>
      </w:r>
      <w:r>
        <w:t xml:space="preserve"> </w:t>
      </w:r>
      <w:r>
        <w:rPr>
          <w:b/>
          <w:bCs/>
        </w:rPr>
        <w:t xml:space="preserve">Allaitement :</w:t>
      </w:r>
      <w:r>
        <w:t xml:space="preserve"> </w:t>
      </w:r>
      <w:r>
        <w:t xml:space="preserve">Compatible (CRAT : « utilisable pendant l’allaitement »). Passage dans le lait maternel : rapport lait/plasma ~ 1, dose ingérée par le nourrisson &lt; 2 % de la dose thérapeutique pédiatrique — sans effet indésirable rapporté.</w:t>
      </w:r>
      <w:r>
        <w:t xml:space="preserve"> </w:t>
      </w:r>
      <w:r>
        <w:t xml:space="preserve">-</w:t>
      </w:r>
      <w:r>
        <w:t xml:space="preserve"> </w:t>
      </w:r>
      <w:r>
        <w:rPr>
          <w:b/>
          <w:bCs/>
        </w:rPr>
        <w:t xml:space="preserve">Précisions :</w:t>
      </w:r>
      <w:r>
        <w:t xml:space="preserve"> </w:t>
      </w:r>
      <w:r>
        <w:t xml:space="preserve">Éviter les formes associées (caféine, codéine) pendant la grossesse, particulièrement pendant le 1er trimestre (caféine : risque de faible poids de naissance à doses &gt; 300 mg/j ; codéine : CI au 3e trimestre, sevrage néonatal).</w:t>
      </w:r>
    </w:p>
    <w:p>
      <w:pPr>
        <w:pStyle w:val="BodyText"/>
      </w:pPr>
      <w:r>
        <w:rPr>
          <w:b/>
          <w:bCs/>
        </w:rPr>
        <w:t xml:space="preserve">Posologie et Mode d’administration (Standard) :</w:t>
      </w:r>
      <w:r>
        <w:t xml:space="preserve"> </w:t>
      </w:r>
      <w:r>
        <w:t xml:space="preserve">-</w:t>
      </w:r>
      <w:r>
        <w:t xml:space="preserve"> </w:t>
      </w:r>
      <w:r>
        <w:rPr>
          <w:b/>
          <w:bCs/>
        </w:rPr>
        <w:t xml:space="preserve">Adulte &gt; 50 kg :</w:t>
      </w:r>
      <w:r>
        <w:t xml:space="preserve"> </w:t>
      </w:r>
      <w:r>
        <w:t xml:space="preserve">500 mg à 1 g par prise, à renouveler en cas de besoin,</w:t>
      </w:r>
      <w:r>
        <w:t xml:space="preserve"> </w:t>
      </w:r>
      <w:r>
        <w:rPr>
          <w:b/>
          <w:bCs/>
        </w:rPr>
        <w:t xml:space="preserve">espacé de 6 h minimum, sans dépasser 4 g/j (soit 3 g/j en sujets âgés ou &lt; 50 kg)</w:t>
      </w:r>
      <w:r>
        <w:t xml:space="preserve">. Voie orale privilégiée. Forme IV : 1 g par perfusion de 15 min, espacée de 4–6 h, max 4 g/j.</w:t>
      </w:r>
      <w:r>
        <w:t xml:space="preserve"> </w:t>
      </w:r>
      <w:r>
        <w:t xml:space="preserve">-</w:t>
      </w:r>
      <w:r>
        <w:t xml:space="preserve"> </w:t>
      </w:r>
      <w:r>
        <w:rPr>
          <w:b/>
          <w:bCs/>
        </w:rPr>
        <w:t xml:space="preserve">Enfant :</w:t>
      </w:r>
      <w:r>
        <w:t xml:space="preserve"> </w:t>
      </w:r>
      <w:r>
        <w:t xml:space="preserve">15 mg/kg/prise, à renouveler si besoin, espacé de 6 h,</w:t>
      </w:r>
      <w:r>
        <w:t xml:space="preserve"> </w:t>
      </w:r>
      <w:r>
        <w:rPr>
          <w:b/>
          <w:bCs/>
        </w:rPr>
        <w:t xml:space="preserve">sans dépasser 60 mg/kg/j (4 prises par 24 h)</w:t>
      </w:r>
      <w:r>
        <w:t xml:space="preserve"> </w:t>
      </w:r>
      <w:r>
        <w:t xml:space="preserve">en ambulatoire. Nourrisson &lt; 3 mois : 10 mg/kg/prise (max 60 mg/kg/j). Forme IV : 15 mg/kg chez &gt; 10 kg, 7,5 mg/kg chez &lt; 10 kg, espacées de 6 h.</w:t>
      </w:r>
      <w:r>
        <w:t xml:space="preserve"> </w:t>
      </w:r>
      <w:r>
        <w:t xml:space="preserve">-</w:t>
      </w:r>
      <w:r>
        <w:t xml:space="preserve"> </w:t>
      </w:r>
      <w:r>
        <w:rPr>
          <w:b/>
          <w:bCs/>
        </w:rPr>
        <w:t xml:space="preserve">Durée :</w:t>
      </w:r>
      <w:r>
        <w:t xml:space="preserve"> </w:t>
      </w:r>
      <w:r>
        <w:t xml:space="preserve">Sans avis médical, durée maximale de 3 à 5 jours en cas de douleur et 3 jours en cas de fièvre. Au-delà, consulter un médecin pour recherche étiologique.</w:t>
      </w:r>
      <w:r>
        <w:t xml:space="preserve"> </w:t>
      </w:r>
      <w:r>
        <w:t xml:space="preserve">-</w:t>
      </w:r>
      <w:r>
        <w:t xml:space="preserve"> </w:t>
      </w:r>
      <w:r>
        <w:rPr>
          <w:b/>
          <w:bCs/>
        </w:rPr>
        <w:t xml:space="preserve">Moment de prise :</w:t>
      </w:r>
      <w:r>
        <w:t xml:space="preserve"> </w:t>
      </w:r>
      <w:r>
        <w:t xml:space="preserve">Indépendant des repas (le paracétamol n’est pas irritant gastrique). Formes effervescentes : dissoudre dans un grand verre d’eau, boire immédiatement. Formes en sachet : dissolution dans un demi-verre d’eau. Suppositoires : voie rectale alternative (vomissements, refus oral) — résorption moins reproductible, préférer la voie orale si possible. Forme IV : perfusion stricte de 15 min (risque d’hypotension si perfusion trop rapide).</w:t>
      </w:r>
    </w:p>
    <w:p>
      <w:pPr>
        <w:pStyle w:val="BodyText"/>
      </w:pPr>
      <w:r>
        <w:rPr>
          <w:b/>
          <w:bCs/>
        </w:rPr>
        <w:t xml:space="preserve">Arbitrage et Bénéfices des Formes Galéniques :</w:t>
      </w:r>
      <w:r>
        <w:t xml:space="preserve"> </w:t>
      </w:r>
      <w:r>
        <w:t xml:space="preserve">-</w:t>
      </w:r>
      <w:r>
        <w:t xml:space="preserve"> </w:t>
      </w:r>
      <w:r>
        <w:rPr>
          <w:b/>
          <w:bCs/>
        </w:rPr>
        <w:t xml:space="preserve">Comprimés sécables 500 mg :</w:t>
      </w:r>
      <w:r>
        <w:t xml:space="preserve"> </w:t>
      </w:r>
      <w:r>
        <w:t xml:space="preserve">Forme de première intention adulte, sécabilité permettant l’adaptation posologique (250, 500 mg). Idéale pour la douleur modérée et la fièvre. Choix entre génériques (Paralgan, Efferalgan, Doliprane, Doli-Bien, etc.) selon préférence patient et disponibilité.</w:t>
      </w:r>
      <w:r>
        <w:t xml:space="preserve"> </w:t>
      </w:r>
      <w:r>
        <w:t xml:space="preserve">-</w:t>
      </w:r>
      <w:r>
        <w:t xml:space="preserve"> </w:t>
      </w:r>
      <w:r>
        <w:rPr>
          <w:b/>
          <w:bCs/>
        </w:rPr>
        <w:t xml:space="preserve">Comprimés 1000 mg :</w:t>
      </w:r>
      <w:r>
        <w:t xml:space="preserve"> </w:t>
      </w:r>
      <w:r>
        <w:t xml:space="preserve">Réservés à la douleur plus intense ou nécessitant la dose maximale par prise. Sécabilité utile pour les demi-doses. Panadol 1G pelliculé pour faciliter la déglutition.</w:t>
      </w:r>
      <w:r>
        <w:t xml:space="preserve"> </w:t>
      </w:r>
      <w:r>
        <w:t xml:space="preserve">-</w:t>
      </w:r>
      <w:r>
        <w:t xml:space="preserve"> </w:t>
      </w:r>
      <w:r>
        <w:rPr>
          <w:b/>
          <w:bCs/>
        </w:rPr>
        <w:t xml:space="preserve">Comprimés effervescents 1 g (Dolidol Flash, Efferalgan eff. 1 g) :</w:t>
      </w:r>
      <w:r>
        <w:t xml:space="preserve"> </w:t>
      </w:r>
      <w:r>
        <w:t xml:space="preserve">Action plus rapide (pic plasmatique à 30 min) — intérêt dans les douleurs aiguës. Apport sodium : à surveiller chez le sujet hypertendu, insuffisant cardiaque ou rénal.</w:t>
      </w:r>
      <w:r>
        <w:t xml:space="preserve"> </w:t>
      </w:r>
      <w:r>
        <w:t xml:space="preserve">-</w:t>
      </w:r>
      <w:r>
        <w:t xml:space="preserve"> </w:t>
      </w:r>
      <w:r>
        <w:rPr>
          <w:b/>
          <w:bCs/>
        </w:rPr>
        <w:t xml:space="preserve">Sachets 100/150/200/300 mg :</w:t>
      </w:r>
      <w:r>
        <w:t xml:space="preserve"> </w:t>
      </w:r>
      <w:r>
        <w:t xml:space="preserve">Formes pédiatriques adaptées à l’enfant de 4 à 26 kg. dissolution simple, acceptabilité excellente (goût sucré). Permet le dosage pondéral précis.</w:t>
      </w:r>
      <w:r>
        <w:t xml:space="preserve"> </w:t>
      </w:r>
      <w:r>
        <w:t xml:space="preserve">-</w:t>
      </w:r>
      <w:r>
        <w:t xml:space="preserve"> </w:t>
      </w:r>
      <w:r>
        <w:rPr>
          <w:b/>
          <w:bCs/>
        </w:rPr>
        <w:t xml:space="preserve">Suspension buvable 120 mg/5 mL :</w:t>
      </w:r>
      <w:r>
        <w:t xml:space="preserve"> </w:t>
      </w:r>
      <w:r>
        <w:t xml:space="preserve">Forme de référence du nourrisson et du jeune enfant (6 mois à 12 ans). Adaptation à la seringue pour administration précise.</w:t>
      </w:r>
      <w:r>
        <w:t xml:space="preserve"> </w:t>
      </w:r>
      <w:r>
        <w:t xml:space="preserve">-</w:t>
      </w:r>
      <w:r>
        <w:t xml:space="preserve"> </w:t>
      </w:r>
      <w:r>
        <w:rPr>
          <w:b/>
          <w:bCs/>
        </w:rPr>
        <w:t xml:space="preserve">Solution buvable concentrée 30 mg/mL (Acetadol, Doli-Bien, Dolpriv, Efferalgan pédiatrique, Pediamol) :</w:t>
      </w:r>
      <w:r>
        <w:t xml:space="preserve"> </w:t>
      </w:r>
      <w:r>
        <w:t xml:space="preserve">Pipette graduée en kg — utilisation simplifiée et sécurisée. À privilégier en pédiatrie de ville.</w:t>
      </w:r>
      <w:r>
        <w:t xml:space="preserve"> </w:t>
      </w:r>
      <w:r>
        <w:t xml:space="preserve">-</w:t>
      </w:r>
      <w:r>
        <w:t xml:space="preserve"> </w:t>
      </w:r>
      <w:r>
        <w:rPr>
          <w:b/>
          <w:bCs/>
        </w:rPr>
        <w:t xml:space="preserve">Sticks unidose (Planadix Liquiz 200/300 mg) :</w:t>
      </w:r>
      <w:r>
        <w:t xml:space="preserve"> </w:t>
      </w:r>
      <w:r>
        <w:t xml:space="preserve">Innovation galénique algérienne — praticité de transport, sécurité du dosage unitaire.</w:t>
      </w:r>
      <w:r>
        <w:t xml:space="preserve"> </w:t>
      </w:r>
      <w:r>
        <w:t xml:space="preserve">-</w:t>
      </w:r>
      <w:r>
        <w:t xml:space="preserve"> </w:t>
      </w:r>
      <w:r>
        <w:rPr>
          <w:b/>
          <w:bCs/>
        </w:rPr>
        <w:t xml:space="preserve">Suppositoires 100/150/200/300 mg :</w:t>
      </w:r>
      <w:r>
        <w:t xml:space="preserve"> </w:t>
      </w:r>
      <w:r>
        <w:t xml:space="preserve">Alternative utile en cas de vomissements, refus oral ou convulsions fébriles. Résorption variable (biodisponibilité 50–80 %) — préférer voie orale si possible.</w:t>
      </w:r>
      <w:r>
        <w:t xml:space="preserve"> </w:t>
      </w:r>
      <w:r>
        <w:t xml:space="preserve">-</w:t>
      </w:r>
      <w:r>
        <w:t xml:space="preserve"> </w:t>
      </w:r>
      <w:r>
        <w:rPr>
          <w:b/>
          <w:bCs/>
        </w:rPr>
        <w:t xml:space="preserve">Solution injectable IV 10 mg/mL (Paracetal, Paracétamol Pharmaghreb, Permidol, Sapramol IV) :</w:t>
      </w:r>
      <w:r>
        <w:t xml:space="preserve"> </w:t>
      </w:r>
      <w:r>
        <w:t xml:space="preserve">Forme hospitalière, indiquée si voie orale impossible (pré- et post-opératoire, réanimation). Perfusion stricte de 15 min. Pas d’indication en algologie chronique. Le propacétamol (Pro-Dafalgan, ancienne prodrogue IV) est retiré du marché algérien.</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 Ce médicament traite la douleur et la fièvre, mais ne traite pas la cause. Si la douleur ou la fièvre persiste au-delà de 3 jours, ou s’aggrave, consultez votre médecin. »</w:t>
      </w:r>
      <w:r>
        <w:t xml:space="preserve"> </w:t>
      </w:r>
      <w:r>
        <w:t xml:space="preserve">* « Respectez scrupuleusement les doses et les intervalles entre les prises : 6 heures minimum. Ne prenez jamais plus de 4 grammes par jour (8 comprimés à 500 mg, ou 4 comprimés à 1 g). »</w:t>
      </w:r>
      <w:r>
        <w:t xml:space="preserve"> </w:t>
      </w:r>
      <w:r>
        <w:t xml:space="preserve">* « Attention : beaucoup d’autres médicaments (antirhumes, associations antidouleur) contiennent du paracétamol. Ne les associez pas — risque d’atteinte grave du foie. »</w:t>
      </w:r>
      <w:r>
        <w:t xml:space="preserve"> </w:t>
      </w:r>
      <w:r>
        <w:t xml:space="preserve">* « Évitez l’alcool pendant le traitement. »</w:t>
      </w:r>
      <w:r>
        <w:t xml:space="preserve"> </w:t>
      </w:r>
      <w:r>
        <w:t xml:space="preserve">-</w:t>
      </w:r>
      <w:r>
        <w:t xml:space="preserve"> </w:t>
      </w:r>
      <w:r>
        <w:rPr>
          <w:b/>
          <w:bCs/>
        </w:rPr>
        <w:t xml:space="preserve">Mode d’utilisation pratique :</w:t>
      </w:r>
      <w:r>
        <w:t xml:space="preserve"> </w:t>
      </w:r>
      <w:r>
        <w:t xml:space="preserve">* Pour les comprimés effervescents : attendre l’arrêt du pétillement avant de boire.</w:t>
      </w:r>
      <w:r>
        <w:t xml:space="preserve"> </w:t>
      </w:r>
      <w:r>
        <w:t xml:space="preserve">* Pour la suspension pédiatrique : bien agiter avant emploi, utiliser la seringue/pipette graduée en kg fournie, ne pas utiliser une cuillère de cuisine (dosage imprécis).</w:t>
      </w:r>
      <w:r>
        <w:t xml:space="preserve"> </w:t>
      </w:r>
      <w:r>
        <w:t xml:space="preserve">* En cas d’oubli d’une prise : ne pas doubler la prise suivante, attendre l’heure prévue suivante.</w:t>
      </w:r>
      <w:r>
        <w:t xml:space="preserve"> </w:t>
      </w:r>
      <w:r>
        <w:t xml:space="preserve">* Stockage : à température &lt; 25 °C, à l’abri de la lumière et de l’humidité. Suspensions et sirops : après ouverture, conservation 1 à 3 mois selon marque (voir étiquetage).</w:t>
      </w:r>
    </w:p>
    <w:p>
      <w:pPr>
        <w:pStyle w:val="BodyText"/>
      </w:pPr>
      <w:r>
        <w:rPr>
          <w:b/>
          <w:bCs/>
        </w:rPr>
        <w:t xml:space="preserve">Notes, Règles d’Or &amp; Pièges au Comptoir :</w:t>
      </w:r>
      <w:r>
        <w:t xml:space="preserve"> </w:t>
      </w:r>
      <w:r>
        <w:t xml:space="preserve">-</w:t>
      </w:r>
      <w:r>
        <w:t xml:space="preserve"> </w:t>
      </w:r>
      <w:r>
        <w:rPr>
          <w:b/>
          <w:bCs/>
        </w:rPr>
        <w:t xml:space="preserve">Piège classique n°1 — Surdosage par cumul :</w:t>
      </w:r>
      <w:r>
        <w:t xml:space="preserve"> </w:t>
      </w:r>
      <w:r>
        <w:t xml:space="preserve">Le patient associe DOLIPRANE + EFFERALGAN + un antirhume commercial contenant du paracétamol (Rhumes/Dolirhume/Fervex) → dépassement des 4 g/j. Vérifier systématiquement toutes les boîtes présentes dans le sac du patient.</w:t>
      </w:r>
      <w:r>
        <w:t xml:space="preserve"> </w:t>
      </w:r>
      <w:r>
        <w:t xml:space="preserve">-</w:t>
      </w:r>
      <w:r>
        <w:t xml:space="preserve"> </w:t>
      </w:r>
      <w:r>
        <w:rPr>
          <w:b/>
          <w:bCs/>
        </w:rPr>
        <w:t xml:space="preserve">Piège classique n°2 — Hépatotoxicité alcool :</w:t>
      </w:r>
      <w:r>
        <w:t xml:space="preserve"> </w:t>
      </w:r>
      <w:r>
        <w:t xml:space="preserve">Le patient éthylique chronique a un seuil abaissé (2–3 g/j) en raison de l’induction du CYP2E1 — toujours réduire la dose et renforcer le message de prévention.</w:t>
      </w:r>
      <w:r>
        <w:t xml:space="preserve"> </w:t>
      </w:r>
      <w:r>
        <w:t xml:space="preserve">-</w:t>
      </w:r>
      <w:r>
        <w:t xml:space="preserve"> </w:t>
      </w:r>
      <w:r>
        <w:rPr>
          <w:b/>
          <w:bCs/>
        </w:rPr>
        <w:t xml:space="preserve">Piège classique n°3 — Sujet âgé dénutri :</w:t>
      </w:r>
      <w:r>
        <w:t xml:space="preserve"> </w:t>
      </w:r>
      <w:r>
        <w:t xml:space="preserve">Carence en glutathion → toxicité potentialisée — réduire à 3 g/j.</w:t>
      </w:r>
      <w:r>
        <w:t xml:space="preserve"> </w:t>
      </w:r>
      <w:r>
        <w:t xml:space="preserve">-</w:t>
      </w:r>
      <w:r>
        <w:t xml:space="preserve"> </w:t>
      </w:r>
      <w:r>
        <w:rPr>
          <w:b/>
          <w:bCs/>
        </w:rPr>
        <w:t xml:space="preserve">Règle de prise :</w:t>
      </w:r>
      <w:r>
        <w:t xml:space="preserve"> </w:t>
      </w:r>
      <w:r>
        <w:t xml:space="preserve">1 g par prise, espacement ≥ 6 h, jamais plus de 4 g/j, jamais plus de 3 jours sans avis médical.</w:t>
      </w:r>
      <w:r>
        <w:t xml:space="preserve"> </w:t>
      </w:r>
      <w:r>
        <w:t xml:space="preserve">-</w:t>
      </w:r>
      <w:r>
        <w:t xml:space="preserve"> </w:t>
      </w:r>
      <w:r>
        <w:rPr>
          <w:b/>
          <w:bCs/>
        </w:rPr>
        <w:t xml:space="preserve">Préparation et Conservation :</w:t>
      </w:r>
      <w:r>
        <w:t xml:space="preserve"> </w:t>
      </w:r>
      <w:r>
        <w:t xml:space="preserve">Solutions buvables et suspensions : bien agiter avant emploi, conservation &lt; 25 °C, après ouverture : 1 à 3 mois. Solutions injectables IV : ne pas diluer (forme prête à l’emploi), ne pas mélanger dans la même ligne qu’un autre médicament (incompatibilité).</w:t>
      </w:r>
      <w:r>
        <w:t xml:space="preserve"> </w:t>
      </w:r>
      <w:r>
        <w:t xml:space="preserve">-</w:t>
      </w:r>
      <w:r>
        <w:t xml:space="preserve"> </w:t>
      </w:r>
      <w:r>
        <w:rPr>
          <w:b/>
          <w:bCs/>
        </w:rPr>
        <w:t xml:space="preserve">Piège du surdosage / Substitution :</w:t>
      </w:r>
      <w:r>
        <w:t xml:space="preserve"> </w:t>
      </w:r>
      <w:r>
        <w:t xml:space="preserve">Substitution d’une marque par une autre sans vérification du dosage (500 mg vs 1 g) — toujours rappeler la dose unitaire du comprimé. En cas de surdosage avéré (≥ 4 g adulte, ≥ 150 mg/kg enfant) : adresser immédiatement aux urgences, ne pas faire vomir, demander l’heure précise d’ingestion pour calcul du nomogramme. Antidote : N-acétylcystéine (disponible en Algérie sous Fluimucil injectable).</w:t>
      </w:r>
    </w:p>
    <w:p>
      <w:r>
        <w:pict>
          <v:rect style="width:0;height:1.5pt" o:hralign="center" o:hrstd="t" o:hr="t"/>
        </w:pict>
      </w:r>
    </w:p>
    <w:bookmarkEnd w:id="41"/>
    <w:bookmarkEnd w:id="42"/>
    <w:bookmarkStart w:id="44" w:name="X67fb121a728f57ba5af00e4419d64270b0e918f"/>
    <w:p>
      <w:pPr>
        <w:pStyle w:val="Heading2"/>
      </w:pPr>
      <w:r>
        <w:t xml:space="preserve">2. Sous-classe : Antalgiques palier I — Salicylés (Acide acétylsalicylique)</w:t>
      </w:r>
    </w:p>
    <w:p>
      <w:pPr>
        <w:pStyle w:val="FirstParagraph"/>
      </w:pPr>
      <w:r>
        <w:t xml:space="preserve">L’acide acétylsalicylique (AAS, aspirine) est le chef de file historique des anti-inflammatoires non stéroïdiens (AINS). Synthétisé par Felix Hoffmann chez Bayer en 1897 à partir du salicylate de sodium extrait de la reine-des-prés (Spiraea ulmaria), il a été commercialisé dès 1899 sous le nom d’Aspirine®. En Algérie, l’aspirine reste largement utilisée à double visée : antalgique-antipyrétique-anti-inflammatoire à la dose de 500 mg à 1 g par prise (voies orale et injectable), et</w:t>
      </w:r>
      <w:r>
        <w:t xml:space="preserve"> </w:t>
      </w:r>
      <w:r>
        <w:rPr>
          <w:b/>
          <w:bCs/>
        </w:rPr>
        <w:t xml:space="preserve">antiagrégant plaquettaire</w:t>
      </w:r>
      <w:r>
        <w:t xml:space="preserve"> </w:t>
      </w:r>
      <w:r>
        <w:t xml:space="preserve">cardiovasculaire à faibles doses (75–160 mg/j) — indication maintenant dominante en volume en raison du vieillissement de la population et de la fréquence des pathologies coronariennes et vasculaires cérébrales. La nomenclature algérienne compte</w:t>
      </w:r>
      <w:r>
        <w:t xml:space="preserve"> </w:t>
      </w:r>
      <w:r>
        <w:rPr>
          <w:b/>
          <w:bCs/>
        </w:rPr>
        <w:t xml:space="preserve">42 spécialités</w:t>
      </w:r>
      <w:r>
        <w:t xml:space="preserve"> </w:t>
      </w:r>
      <w:r>
        <w:t xml:space="preserve">(10 actives, 16 non renouvelables, 16 retirées du marché), reflétant la transition d’un usage antalgique (formes 500 mg, effervescentes) vers un usage cardiologique (formes gastro-résistantes 75–100 mg, lysinacétylsalicylate injectable).</w:t>
      </w:r>
    </w:p>
    <w:p>
      <w:pPr>
        <w:pStyle w:val="BodyText"/>
      </w:pPr>
      <w:r>
        <w:t xml:space="preserve">L’AAS est hydrolysé dans le tractus gastro-intestinal, la paroi intestinale et le foie en</w:t>
      </w:r>
      <w:r>
        <w:t xml:space="preserve"> </w:t>
      </w:r>
      <w:r>
        <w:rPr>
          <w:b/>
          <w:bCs/>
        </w:rPr>
        <w:t xml:space="preserve">acide salicylique</w:t>
      </w:r>
      <w:r>
        <w:t xml:space="preserve"> </w:t>
      </w:r>
      <w:r>
        <w:t xml:space="preserve">(métabolite actif responsable de l’effet anti-inflammatoire) et en acide acétique. La demi-vie de l’AAS proprement dit est très courte (15–20 min), tandis que celle du salicylate est dose-dépendante (2–3 h à faible dose, 30 h à forte dose en raison de la saturation des enzymes de métabolisation). L’acétylation irréversible de la sérine 529 (pour COX-1) ou 516 (pour COX-2) est responsable de l’effet antiagrégant plaquettaire prolongé (récupération de l’activité plaquettaire seulement après la formation de nouvelles plaquettes, soit 7–10 jours). Cette acétylation irréversible — caractéristique fondamentale de l’aspirine par opposition aux AINS classiques (réversibles) — explique le risque hémorragique persistant plusieurs jours après l’arrêt.</w:t>
      </w:r>
    </w:p>
    <w:p>
      <w:r>
        <w:pict>
          <v:rect style="width:0;height:1.5pt" o:hralign="center" o:hrstd="t" o:hr="t"/>
        </w:pict>
      </w:r>
    </w:p>
    <w:bookmarkStart w:id="43" w:name="X55fbe8abb4428ed7a12c0f464159d9b997780bc"/>
    <w:p>
      <w:pPr>
        <w:pStyle w:val="Heading3"/>
      </w:pPr>
      <w:r>
        <w:t xml:space="preserve">2.1. DCI : Acide acétylsalicylique (Aspirine) (Seule)</w:t>
      </w:r>
    </w:p>
    <w:p>
      <w:pPr>
        <w:pStyle w:val="FirstParagraph"/>
      </w:pPr>
      <w:r>
        <w:rPr>
          <w:b/>
          <w:bCs/>
        </w:rPr>
        <w:t xml:space="preserve">Liste des Catégories :</w:t>
      </w:r>
      <w:r>
        <w:t xml:space="preserve"> </w:t>
      </w:r>
      <w:r>
        <w:t xml:space="preserve">Antalgique non opioïde ; Antipyrétique ; Anti-inflammatoire non stéroïdien (AINS) salicylé ; Antiagrégant plaquettaire ; Palier I OMS.</w:t>
      </w:r>
    </w:p>
    <w:p>
      <w:pPr>
        <w:pStyle w:val="BodyText"/>
      </w:pPr>
      <w:r>
        <w:rPr>
          <w:b/>
          <w:bCs/>
        </w:rPr>
        <w:t xml:space="preserve">Particularité pharmacocinétique :</w:t>
      </w:r>
      <w:r>
        <w:t xml:space="preserve"> </w:t>
      </w:r>
      <w:r>
        <w:t xml:space="preserve">L’AAS est absorbé rapidement au niveau gastrique (biodisponibilité 50–80 %, pic à 30 min). Il subit une hydrolyse pré-systémique importante dans la paroi intestinale et le foie (effet de premier passage) — donnant l’acide salicylique actif. La biodisponibilité des formes effervescentes est meilleure et plus rapide (pic à 20 min) ; les formes gastro-résistantes (Aspigic, Cardio) ont une absorption retardée et incomplète (pic à 4–6 h) — intéressant pour la tolérance digestive mais moins pour l’effet antiagrégant (préférer formes simples non enrobées pour l’indication cardiovasculaire). La distribution est large (Vd 0,15 L/kg), liaison protéique à 90 % (albumine). Métabolisme hépatique par glycuroconjugaison (acide salicylurique, 75 %), conjugaison avec l’acide gentisique, et oxydation en acide gentisique. Élimination urinaire. Demi-vie plasmatique de l’AAS : 15–20 min ; demi-vie du salicylate : 2–3 h à faibles doses, 30 h à doses anti-inflammatoires. Le pH urinaire influence fortement l’élimination (alcalinisation accélère l’élimination — utilisé en cas de surdosage).</w:t>
      </w:r>
    </w:p>
    <w:p>
      <w:pPr>
        <w:pStyle w:val="BodyText"/>
      </w:pPr>
      <w:r>
        <w:rPr>
          <w:b/>
          <w:bCs/>
        </w:rPr>
        <w:t xml:space="preserve">Médicaments disponibles en Algérie (Marques, Laboratoires, Formes et Dosages) :</w:t>
      </w:r>
    </w:p>
    <w:p>
      <w:pPr>
        <w:pStyle w:val="BodyText"/>
      </w:pPr>
      <w:r>
        <w:rPr>
          <w:i/>
          <w:iCs/>
        </w:rPr>
        <w:t xml:space="preserve">Formes orales 500 mg (antalgique-antipyrétique) — ACTIVES :</w:t>
      </w:r>
      <w:r>
        <w:t xml:space="preserve"> </w:t>
      </w:r>
      <w:r>
        <w:t xml:space="preserve">-</w:t>
      </w:r>
      <w:r>
        <w:t xml:space="preserve"> </w:t>
      </w:r>
      <w:r>
        <w:rPr>
          <w:b/>
          <w:bCs/>
        </w:rPr>
        <w:t xml:space="preserve">ACEPRAL</w:t>
      </w:r>
      <w:r>
        <w:t xml:space="preserve"> </w:t>
      </w:r>
      <w:r>
        <w:t xml:space="preserve">(GROUPE SAIDAL) — Comprimé 500 mg, B/20</w:t>
      </w:r>
    </w:p>
    <w:p>
      <w:pPr>
        <w:pStyle w:val="BodyText"/>
      </w:pPr>
      <w:r>
        <w:rPr>
          <w:i/>
          <w:iCs/>
        </w:rPr>
        <w:t xml:space="preserve">Formes orales 100 mg (antiagrégant plaquettaire cardiovasculaire) — ACTIVES :</w:t>
      </w:r>
      <w:r>
        <w:t xml:space="preserve"> </w:t>
      </w:r>
      <w:r>
        <w:t xml:space="preserve">-</w:t>
      </w:r>
      <w:r>
        <w:t xml:space="preserve"> </w:t>
      </w:r>
      <w:r>
        <w:rPr>
          <w:b/>
          <w:bCs/>
        </w:rPr>
        <w:t xml:space="preserve">ACEPRAL CARDIO</w:t>
      </w:r>
      <w:r>
        <w:t xml:space="preserve"> </w:t>
      </w:r>
      <w:r>
        <w:t xml:space="preserve">(GROUPE SAIDAL) — Comprimé 100 mg, B/30 et B/100</w:t>
      </w:r>
      <w:r>
        <w:t xml:space="preserve"> </w:t>
      </w:r>
      <w:r>
        <w:t xml:space="preserve">-</w:t>
      </w:r>
      <w:r>
        <w:t xml:space="preserve"> </w:t>
      </w:r>
      <w:r>
        <w:rPr>
          <w:b/>
          <w:bCs/>
        </w:rPr>
        <w:t xml:space="preserve">ASPEC</w:t>
      </w:r>
      <w:r>
        <w:t xml:space="preserve"> </w:t>
      </w:r>
      <w:r>
        <w:t xml:space="preserve">(LABORATOIRES BEKER) — Comprimé sécable 100 mg, B/98</w:t>
      </w:r>
      <w:r>
        <w:t xml:space="preserve"> </w:t>
      </w:r>
      <w:r>
        <w:t xml:space="preserve">-</w:t>
      </w:r>
      <w:r>
        <w:t xml:space="preserve"> </w:t>
      </w:r>
      <w:r>
        <w:rPr>
          <w:b/>
          <w:bCs/>
        </w:rPr>
        <w:t xml:space="preserve">ASPICARD</w:t>
      </w:r>
      <w:r>
        <w:t xml:space="preserve"> </w:t>
      </w:r>
      <w:r>
        <w:t xml:space="preserve">(BIOGALENIC) — Comprimé sécable 100 mg, B/30 et B/98</w:t>
      </w:r>
      <w:r>
        <w:t xml:space="preserve"> </w:t>
      </w:r>
      <w:r>
        <w:t xml:space="preserve">-</w:t>
      </w:r>
      <w:r>
        <w:t xml:space="preserve"> </w:t>
      </w:r>
      <w:r>
        <w:rPr>
          <w:b/>
          <w:bCs/>
        </w:rPr>
        <w:t xml:space="preserve">ASPINOVA</w:t>
      </w:r>
      <w:r>
        <w:t xml:space="preserve"> </w:t>
      </w:r>
      <w:r>
        <w:t xml:space="preserve">(NOVAPHARM TRADING) — Comprimé 100 mg, B/30 et B/90</w:t>
      </w:r>
      <w:r>
        <w:t xml:space="preserve"> </w:t>
      </w:r>
      <w:r>
        <w:t xml:space="preserve">-</w:t>
      </w:r>
      <w:r>
        <w:t xml:space="preserve"> </w:t>
      </w:r>
      <w:r>
        <w:rPr>
          <w:b/>
          <w:bCs/>
        </w:rPr>
        <w:t xml:space="preserve">ASPIRINE CARDIO</w:t>
      </w:r>
      <w:r>
        <w:t xml:space="preserve"> </w:t>
      </w:r>
      <w:r>
        <w:t xml:space="preserve">(BIOPHARM) — Gélule 100 mg, B/30 et B/90</w:t>
      </w:r>
    </w:p>
    <w:p>
      <w:pPr>
        <w:pStyle w:val="BodyText"/>
      </w:pPr>
      <w:r>
        <w:rPr>
          <w:i/>
          <w:iCs/>
        </w:rPr>
        <w:t xml:space="preserve">Formes orales 75–160 mg (antiagrégant — lysinacétylsalicylate) — ACTIVES :</w:t>
      </w:r>
      <w:r>
        <w:t xml:space="preserve"> </w:t>
      </w:r>
      <w:r>
        <w:t xml:space="preserve">-</w:t>
      </w:r>
      <w:r>
        <w:t xml:space="preserve"> </w:t>
      </w:r>
      <w:r>
        <w:rPr>
          <w:b/>
          <w:bCs/>
        </w:rPr>
        <w:t xml:space="preserve">KARDEGIC</w:t>
      </w:r>
      <w:r>
        <w:t xml:space="preserve"> </w:t>
      </w:r>
      <w:r>
        <w:t xml:space="preserve">(SANOFI AVENTIS ALGERIE) — Poudre pour solution buvable 75 mg et 160 mg, B/20</w:t>
      </w:r>
    </w:p>
    <w:p>
      <w:pPr>
        <w:pStyle w:val="BodyText"/>
      </w:pPr>
      <w:r>
        <w:rPr>
          <w:i/>
          <w:iCs/>
        </w:rPr>
        <w:t xml:space="preserve">Forme injectable (lysinacétylsalicylate) — ACTIVE :</w:t>
      </w:r>
      <w:r>
        <w:t xml:space="preserve"> </w:t>
      </w:r>
      <w:r>
        <w:t xml:space="preserve">-</w:t>
      </w:r>
      <w:r>
        <w:t xml:space="preserve"> </w:t>
      </w:r>
      <w:r>
        <w:rPr>
          <w:b/>
          <w:bCs/>
        </w:rPr>
        <w:t xml:space="preserve">ASPIGAL</w:t>
      </w:r>
      <w:r>
        <w:t xml:space="preserve"> </w:t>
      </w:r>
      <w:r>
        <w:t xml:space="preserve">(SOPHAL) — Poudre pour solution injectable 0,9 g/0,5 g/flacon (DL-lysine/acide acétylsalicylique), boîte de 50 flacons et boîte 1 flacon + 1 ampoule solvant 5 mL</w:t>
      </w:r>
    </w:p>
    <w:p>
      <w:pPr>
        <w:pStyle w:val="BodyText"/>
      </w:pPr>
      <w:r>
        <w:rPr>
          <w:i/>
          <w:iCs/>
        </w:rPr>
        <w:t xml:space="preserve">Forme effervescente avec vitamine C — ACTIVE :</w:t>
      </w:r>
      <w:r>
        <w:t xml:space="preserve"> </w:t>
      </w:r>
      <w:r>
        <w:t xml:space="preserve">-</w:t>
      </w:r>
      <w:r>
        <w:t xml:space="preserve"> </w:t>
      </w:r>
      <w:r>
        <w:rPr>
          <w:b/>
          <w:bCs/>
        </w:rPr>
        <w:t xml:space="preserve">ASPIRINE UPSA VITAMINE C TAMPONNEE EFFERVESCENTE</w:t>
      </w:r>
      <w:r>
        <w:t xml:space="preserve"> </w:t>
      </w:r>
      <w:r>
        <w:t xml:space="preserve">(PROPHARMAL) — Comprimé effervescent 330 mg AAS / 200 mg acide ascorbique, B/20</w:t>
      </w:r>
    </w:p>
    <w:p>
      <w:pPr>
        <w:pStyle w:val="BodyText"/>
      </w:pPr>
      <w:r>
        <w:rPr>
          <w:i/>
          <w:iCs/>
        </w:rPr>
        <w:t xml:space="preserve">Spécialités Non Renouvelables (NR) — mentionnées à titre informatif :</w:t>
      </w:r>
      <w:r>
        <w:t xml:space="preserve"> </w:t>
      </w:r>
      <w:r>
        <w:t xml:space="preserve">- ASPIRINE BEKER 500 mg ; GEASPIRIQUE 500 mg ; LYSOGIC 100 mg sachets ; ASPEGIC poudre+solvant IM/IV 500 mg (Sanofi) ; SALITIN poudre inj 500 mg (El Kendi) ; ASPEGIC solution inj 1 g (Sanofi Synthelabo) ; ACEPRAL-L ENFANT 250 mg ; ACEPRAL-L ADULTES 500 mg ; ACEPRAL-L 1000 mg ; ASPIRINE BIOTIC 100 mg ; ACEPRAL-L NOURRISSON 100 mg ; ASIAPIRINE 81 mg gastro-résistant (Sanamed) ; ASPALGINE 81 mg sécable (Neomedic) ; ASPICARD 81 mg gastro-résistant (Tabuk) ; ASPROCARD 81 mg gastro-résistant (Geopharm) ; GEASPERIQUE 100 mg (Arab Pharm) ; ACEPRAL-L 160 mg sachet (Saidal) ; ACTOCYL 80 mg sécable (Vecopharm) ; ASPIRINE BIOTIC 160 mg sécable (Saidal).</w:t>
      </w:r>
    </w:p>
    <w:p>
      <w:pPr>
        <w:pStyle w:val="BodyText"/>
      </w:pPr>
      <w:r>
        <w:rPr>
          <w:i/>
          <w:iCs/>
        </w:rPr>
        <w:t xml:space="preserve">Spécialités Retirées (R) :</w:t>
      </w:r>
      <w:r>
        <w:t xml:space="preserve"> </w:t>
      </w:r>
      <w:r>
        <w:t xml:space="preserve">- ASPIRINE PH8 500 mg gastro-résistant (3M Santé) ; ATASPIN 500 mg (Biopharm) ; ECOPIRIN 500 mg (Abdi Ibrahim) ; ASPRIL 500 mg (KRG) ; CATALGINE ENF/NOUR 100 mg (Frilab) ; CATALGINE ADULT 500 mg (Frilab) ; SPRIDOL 900 mg inj (Galenica) ; ASPEGIC 500 mg poudre+solvant (Sanofi) ; ASPIRINE UPSA 500 mg effervescent (BMS) ; ASPIREFF-500 mg effervescent (Sandoz) ; UNIVALGINE VIT C 500/240 mg effervescent (Prime Universal) ; ASPEVASC 100 mg (Salem).</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Salicylé AINS — antalgique, antipyrétique, anti-inflammatoire (non stéroïdien), antiagrégant plaquettaire.</w:t>
      </w:r>
      <w:r>
        <w:t xml:space="preserve"> </w:t>
      </w:r>
      <w:r>
        <w:t xml:space="preserve">-</w:t>
      </w:r>
      <w:r>
        <w:t xml:space="preserve"> </w:t>
      </w:r>
      <w:r>
        <w:rPr>
          <w:b/>
          <w:bCs/>
        </w:rPr>
        <w:t xml:space="preserve">Mécanisme d’action :</w:t>
      </w:r>
      <w:r>
        <w:t xml:space="preserve"> </w:t>
      </w:r>
      <w:r>
        <w:t xml:space="preserve">L’aspirine inhibe les cyclo-oxygénases (COX-1 et COX-2) en</w:t>
      </w:r>
      <w:r>
        <w:t xml:space="preserve"> </w:t>
      </w:r>
      <w:r>
        <w:rPr>
          <w:b/>
          <w:bCs/>
        </w:rPr>
        <w:t xml:space="preserve">acétylant de manière irréversible</w:t>
      </w:r>
      <w:r>
        <w:t xml:space="preserve"> </w:t>
      </w:r>
      <w:r>
        <w:t xml:space="preserve">le résidu sérine (Ser529 pour COX-1, Ser516 pour COX-2) du site catalytique — bloquant ainsi la conversion de l’acide arachidonique en prostaglandine G2/H2, et donc la synthèse de thromboxane A2 (TXA2) plaquettaire et de prostacycline (PGI2) endothéliale. Les plaquettes, dépourvues de noyau, ne peuvent resynthétiser de COX-1 — l’effet antiagrégant persiste toute la durée de vie plaquettaire (7–10 jours). À faible dose (75–100 mg/j), l’effet prédomine sur les plaquettes (sensibles COX-1) avec épargne relative de la PGI2 endothéliale (cellules nucléées resynthétisent la COX) — d’où l’indication cardiovasculaire. À forte dose (500 mg–1 g x 3), inhibition franche COX-1 et COX-2 → effet anti-inflammatoire, antalgique et antipyrétique (centrale et périphérique). L’aspirine inhibe également la kynurénine aminotransférase et interfère avec la phosphorylation oxydative mitochondriale (découplage à forte dose, toxique en cas de surdosage).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 Antalgique (douleurs légères à modérées) — 500 mg à 1 g par prise (rarement utilisé en première intention en Algérie aujourd’hui, supplanté par le paracétamol).</w:t>
      </w:r>
      <w:r>
        <w:t xml:space="preserve"> </w:t>
      </w:r>
      <w:r>
        <w:t xml:space="preserve">* Antipyrétique (fièvre).</w:t>
      </w:r>
      <w:r>
        <w:t xml:space="preserve"> </w:t>
      </w:r>
      <w:r>
        <w:t xml:space="preserve">* Anti-inflammatoire (rhumatismes inflammatoires — utilisation historique, supplantée par les AINS modernes en raison de la mauvaise tolérance digestive aux doses anti-inflammatoires 3–4 g/j).</w:t>
      </w:r>
      <w:r>
        <w:t xml:space="preserve"> </w:t>
      </w:r>
      <w:r>
        <w:t xml:space="preserve">*</w:t>
      </w:r>
      <w:r>
        <w:t xml:space="preserve"> </w:t>
      </w:r>
      <w:r>
        <w:rPr>
          <w:b/>
          <w:bCs/>
        </w:rPr>
        <w:t xml:space="preserve">Antiagrégant plaquettaire</w:t>
      </w:r>
      <w:r>
        <w:t xml:space="preserve"> </w:t>
      </w:r>
      <w:r>
        <w:t xml:space="preserve">(indication dominante en volume) : prévention secondaire des événements cardiovasculaires (post-IDM, post-AVC, AOMI, stent coronarien — associé au clopidogrel en bithérapie pendant 6–12 mois post-stent), prévention primaire chez le sujet à haut risque cardiovasculaire (Score &gt; 10 %) selon recommandations ESC.</w:t>
      </w:r>
      <w:r>
        <w:t xml:space="preserve"> </w:t>
      </w:r>
      <w:r>
        <w:t xml:space="preserve">-</w:t>
      </w:r>
      <w:r>
        <w:t xml:space="preserve"> </w:t>
      </w:r>
      <w:r>
        <w:rPr>
          <w:b/>
          <w:bCs/>
        </w:rPr>
        <w:t xml:space="preserve">Contre-indications :</w:t>
      </w:r>
      <w:r>
        <w:t xml:space="preserve"> </w:t>
      </w:r>
      <w:r>
        <w:t xml:space="preserve">*</w:t>
      </w:r>
      <w:r>
        <w:t xml:space="preserve"> </w:t>
      </w:r>
      <w:r>
        <w:rPr>
          <w:b/>
          <w:bCs/>
        </w:rPr>
        <w:t xml:space="preserve">Enfant &lt; 16 ans en cas d’infection virale (risque de syndrome de Reye)</w:t>
      </w:r>
      <w:r>
        <w:t xml:space="preserve"> </w:t>
      </w:r>
      <w:r>
        <w:t xml:space="preserve">— en pratique, l’aspirine est contre-indiquée chez l’enfant &lt; 16 ans en automédication, prescription rare réservée à la maladie de Kawasaki et aux arthrites chroniques de l’enfant.</w:t>
      </w:r>
      <w:r>
        <w:t xml:space="preserve"> </w:t>
      </w:r>
      <w:r>
        <w:t xml:space="preserve">* Ulcère gastro-duodénal actif ou antécédent d’ulcère/hémorragie digestive.</w:t>
      </w:r>
      <w:r>
        <w:t xml:space="preserve"> </w:t>
      </w:r>
      <w:r>
        <w:t xml:space="preserve">* Insuffisance hépatique sévère, insuffisance rénale sévère.</w:t>
      </w:r>
      <w:r>
        <w:t xml:space="preserve"> </w:t>
      </w:r>
      <w:r>
        <w:t xml:space="preserve">* Troubles de la coagulation (hémophilie, thrombopénie, traitement anticoagulant).</w:t>
      </w:r>
      <w:r>
        <w:t xml:space="preserve"> </w:t>
      </w:r>
      <w:r>
        <w:t xml:space="preserve">* Grossesse 3e trimestre (fermeture prématurée du canal artériel, inhibition des contractions, hémorragie fœto-maternelle).</w:t>
      </w:r>
      <w:r>
        <w:t xml:space="preserve"> </w:t>
      </w:r>
      <w:r>
        <w:t xml:space="preserve">* Asthme induit par les AINS (syndrome de Fernand-Widal — 5–20 % des asthmatiques) — contre-indication à tester avant prescription.</w:t>
      </w:r>
      <w:r>
        <w:t xml:space="preserve"> </w:t>
      </w:r>
      <w:r>
        <w:t xml:space="preserve">* Allergie à l’aspirine ou aux salicylés.</w:t>
      </w:r>
      <w:r>
        <w:t xml:space="preserve"> </w:t>
      </w:r>
      <w:r>
        <w:t xml:space="preserve">* Mastocytose (risque de dégranulation et choc anaphylactique).</w:t>
      </w:r>
      <w:r>
        <w:t xml:space="preserve"> </w:t>
      </w:r>
      <w:r>
        <w:t xml:space="preserve">-</w:t>
      </w:r>
      <w:r>
        <w:t xml:space="preserve"> </w:t>
      </w:r>
      <w:r>
        <w:rPr>
          <w:b/>
          <w:bCs/>
        </w:rPr>
        <w:t xml:space="preserve">Effets Indésirables :</w:t>
      </w:r>
      <w:r>
        <w:t xml:space="preserve"> </w:t>
      </w:r>
      <w:r>
        <w:t xml:space="preserve">*</w:t>
      </w:r>
      <w:r>
        <w:t xml:space="preserve"> </w:t>
      </w:r>
      <w:r>
        <w:rPr>
          <w:b/>
          <w:bCs/>
        </w:rPr>
        <w:t xml:space="preserve">Digestifs (dose-dépendants) :</w:t>
      </w:r>
      <w:r>
        <w:t xml:space="preserve"> </w:t>
      </w:r>
      <w:r>
        <w:t xml:space="preserve">dyspepsie, gastrites érosives, ulcères gastro-duodénaux, hémorragies digestives (≤ 5 % à dose antalgique), perforations. Risque majoré chez le sujet âgé, en cas d’antécédent ulcéreux, d’association avec un AINS ou un anticoagulant.</w:t>
      </w:r>
      <w:r>
        <w:t xml:space="preserve"> </w:t>
      </w:r>
      <w:r>
        <w:t xml:space="preserve">*</w:t>
      </w:r>
      <w:r>
        <w:t xml:space="preserve"> </w:t>
      </w:r>
      <w:r>
        <w:rPr>
          <w:b/>
          <w:bCs/>
        </w:rPr>
        <w:t xml:space="preserve">Hémorragiques :</w:t>
      </w:r>
      <w:r>
        <w:t xml:space="preserve"> </w:t>
      </w:r>
      <w:r>
        <w:t xml:space="preserve">allongement du temps de saignement (7–10 jours après arrêt), épistaxis, ecchymoses, hémorragies gastro-intestinales, cérébrales (rare mais grave).</w:t>
      </w:r>
      <w:r>
        <w:t xml:space="preserve"> </w:t>
      </w:r>
      <w:r>
        <w:t xml:space="preserve">*</w:t>
      </w:r>
      <w:r>
        <w:t xml:space="preserve"> </w:t>
      </w:r>
      <w:r>
        <w:rPr>
          <w:b/>
          <w:bCs/>
        </w:rPr>
        <w:t xml:space="preserve">Rénaux :</w:t>
      </w:r>
      <w:r>
        <w:t xml:space="preserve"> </w:t>
      </w:r>
      <w:r>
        <w:t xml:space="preserve">inhibition de la synthèse rénale de prostaglandines → vasoconstriction de l’artériole afférente → baisse du débit de filtration glomérulaire, rétention hydrosodée, IRA fonctionnelle (surtout en cas d’hypovolémie, IEC/ARA2 associés, sujet âgé).</w:t>
      </w:r>
      <w:r>
        <w:t xml:space="preserve"> </w:t>
      </w:r>
      <w:r>
        <w:t xml:space="preserve">*</w:t>
      </w:r>
      <w:r>
        <w:t xml:space="preserve"> </w:t>
      </w:r>
      <w:r>
        <w:rPr>
          <w:b/>
          <w:bCs/>
        </w:rPr>
        <w:t xml:space="preserve">Syndrome de Reye :</w:t>
      </w:r>
      <w:r>
        <w:t xml:space="preserve"> </w:t>
      </w:r>
      <w:r>
        <w:t xml:space="preserve">encéphalopathie aiguë avec stéatose hépatique microvésiculaire — chez l’enfant &lt; 16 ans recevant de l’aspirine au cours d’une infection virale (varicelle, grippe) — mortalité 20–40 %, séquelles neurologiques fréquentes.</w:t>
      </w:r>
      <w:r>
        <w:t xml:space="preserve"> </w:t>
      </w:r>
      <w:r>
        <w:t xml:space="preserve">*</w:t>
      </w:r>
      <w:r>
        <w:t xml:space="preserve"> </w:t>
      </w:r>
      <w:r>
        <w:rPr>
          <w:b/>
          <w:bCs/>
        </w:rPr>
        <w:t xml:space="preserve">Surdosage (salicylisme) :</w:t>
      </w:r>
      <w:r>
        <w:t xml:space="preserve"> </w:t>
      </w:r>
      <w:r>
        <w:t xml:space="preserve">hyperventilation (alcalose respiratoire), puis acidose métabolique, nausées, vomissements, acouphènes, vertiges, troubles de la conscience, convulsions, hyperthermie, hypoglycémie, œdème pulmonaire non cardiogénique, défaillance multiviscérale.</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 Ne jamais prescrire d’aspirine chez l’enfant &lt; 16 ans sans avis spécialisé (Kawasaki, arthrite juvénile).</w:t>
      </w:r>
      <w:r>
        <w:t xml:space="preserve"> </w:t>
      </w:r>
      <w:r>
        <w:t xml:space="preserve">* Utiliser la dose efficace la plus faible, durée la plus courte possible.</w:t>
      </w:r>
      <w:r>
        <w:t xml:space="preserve"> </w:t>
      </w:r>
      <w:r>
        <w:t xml:space="preserve">*</w:t>
      </w:r>
      <w:r>
        <w:t xml:space="preserve"> </w:t>
      </w:r>
      <w:r>
        <w:rPr>
          <w:b/>
          <w:bCs/>
        </w:rPr>
        <w:t xml:space="preserve">Prise au cours du repas</w:t>
      </w:r>
      <w:r>
        <w:t xml:space="preserve"> </w:t>
      </w:r>
      <w:r>
        <w:t xml:space="preserve">pour limiter l’agression digestive.</w:t>
      </w:r>
      <w:r>
        <w:t xml:space="preserve"> </w:t>
      </w:r>
      <w:r>
        <w:t xml:space="preserve">* Chez le sujet à risque digestif (âge &gt; 65 ans, ATCD ulcéreux, corticothérapie ou AINS associé, anticoagulant) :</w:t>
      </w:r>
      <w:r>
        <w:t xml:space="preserve"> </w:t>
      </w:r>
      <w:r>
        <w:rPr>
          <w:b/>
          <w:bCs/>
        </w:rPr>
        <w:t xml:space="preserve">co-prescription d’un inhibiteur de la pompe à protons (IPP — oméprazole 20 mg, ésoméprazole 20 mg)</w:t>
      </w:r>
      <w:r>
        <w:t xml:space="preserve"> </w:t>
      </w:r>
      <w:r>
        <w:t xml:space="preserve">pendant la durée du traitement.</w:t>
      </w:r>
      <w:r>
        <w:t xml:space="preserve"> </w:t>
      </w:r>
      <w:r>
        <w:t xml:space="preserve">* Vérifier l’absence d’asthme associé aux AINS avant l’initiation.</w:t>
      </w:r>
      <w:r>
        <w:t xml:space="preserve"> </w:t>
      </w:r>
      <w:r>
        <w:t xml:space="preserve">* Surveillance de la fonction rénale chez le sujet âgé, insuffisant cardiaque ou rénal, en cas d’association IEC/ARA2/diurétique.</w:t>
      </w:r>
      <w:r>
        <w:t xml:space="preserve"> </w:t>
      </w:r>
      <w:r>
        <w:t xml:space="preserve">* Avant un geste chirurgical : arrêt de l’aspirine 7 jours avant (sauf chirurgie à faible risque hémorragique et indication cardiovasculaire forte — au cas par cas).</w:t>
      </w:r>
      <w:r>
        <w:t xml:space="preserve"> </w:t>
      </w:r>
      <w:r>
        <w:t xml:space="preserve">-</w:t>
      </w:r>
      <w:r>
        <w:t xml:space="preserve"> </w:t>
      </w:r>
      <w:r>
        <w:rPr>
          <w:b/>
          <w:bCs/>
        </w:rPr>
        <w:t xml:space="preserve">Conduite à Tenir en cas de complication :</w:t>
      </w:r>
      <w:r>
        <w:t xml:space="preserve"> </w:t>
      </w:r>
      <w:r>
        <w:t xml:space="preserve">* Hémorragie digestive : arrêt immédiat, endoscopie urgente, IPP IV à dose charge, transfusion si besoin. L’effet antiagrégant persistant 7–10 jours peut nécessiter transfusion plaquettaire en cas d’hémorragie grave.</w:t>
      </w:r>
      <w:r>
        <w:t xml:space="preserve"> </w:t>
      </w:r>
      <w:r>
        <w:t xml:space="preserve">* Surdosage : hospitalisation urgente, charbon activé si ingestion &lt; 1 h, alcalinisation des urines (bicarbonate de sodium IV) pour favoriser l’élimination, hémodialyse en cas d’intoxication sévère (salicylémie &gt; 700 mg/L, ou &gt; 500 mg/L avec signes neurologiques).</w:t>
      </w:r>
      <w:r>
        <w:t xml:space="preserve"> </w:t>
      </w:r>
      <w:r>
        <w:t xml:space="preserve">* Choc anaphylactique : adrénaline IM (0,3 mg adulte), surveillance 6 h en milieu hospitalier, contre-indication définitive à toute exposition ultérieure à l’aspirine/AINS.</w:t>
      </w:r>
    </w:p>
    <w:p>
      <w:pPr>
        <w:pStyle w:val="BodyText"/>
      </w:pPr>
      <w:r>
        <w:rPr>
          <w:b/>
          <w:bCs/>
        </w:rPr>
        <w:t xml:space="preserve">Interactions Importantes :</w:t>
      </w:r>
      <w:r>
        <w:t xml:space="preserve"> </w:t>
      </w:r>
      <w:r>
        <w:t xml:space="preserve">-</w:t>
      </w:r>
      <w:r>
        <w:t xml:space="preserve"> </w:t>
      </w:r>
      <w:r>
        <w:rPr>
          <w:b/>
          <w:bCs/>
        </w:rPr>
        <w:t xml:space="preserve">Aspirine + AVK (warfarine, acénocoumarol) :</w:t>
      </w:r>
      <w:r>
        <w:t xml:space="preserve"> </w:t>
      </w:r>
      <w:r>
        <w:t xml:space="preserve">risque hémorragique majeur (effets additifs + déplacement de la liaison protéique de l’AVK) — association contre-indiquée sauf si formellement indiquée (post-remplacement valvulaire mécanique avec stent), sous surveillance stricte INR.</w:t>
      </w:r>
      <w:r>
        <w:t xml:space="preserve"> </w:t>
      </w:r>
      <w:r>
        <w:t xml:space="preserve">-</w:t>
      </w:r>
      <w:r>
        <w:t xml:space="preserve"> </w:t>
      </w:r>
      <w:r>
        <w:rPr>
          <w:b/>
          <w:bCs/>
        </w:rPr>
        <w:t xml:space="preserve">Aspirine + AINS classiques (ibuprofène, naproxène, kétoprofène, diclofénac) :</w:t>
      </w:r>
      <w:r>
        <w:t xml:space="preserve"> </w:t>
      </w:r>
      <w:r>
        <w:t xml:space="preserve">addition des toxicités digestives et risque hémorragique majoré — contre-indication à l’association. De plus, les AINS (sauf diclofénac) occupent le site de liaison de la COX-1 et empêchent l’acétylation par l’aspirine — perte de l’effet antiagrégant (interaction pharmacodynamique). Prendre l’aspirine ≥ 30 min avant l’AINS si association inévitable.</w:t>
      </w:r>
      <w:r>
        <w:t xml:space="preserve"> </w:t>
      </w:r>
      <w:r>
        <w:t xml:space="preserve">-</w:t>
      </w:r>
      <w:r>
        <w:t xml:space="preserve"> </w:t>
      </w:r>
      <w:r>
        <w:rPr>
          <w:b/>
          <w:bCs/>
        </w:rPr>
        <w:t xml:space="preserve">Aspirine + méthotrexate (faibles doses ≤ 20 mg/semaine) :</w:t>
      </w:r>
      <w:r>
        <w:t xml:space="preserve"> </w:t>
      </w:r>
      <w:r>
        <w:t xml:space="preserve">inhibition de la clairance rénale du méthotrexate → toxicité hématologique et hépatique — surveillance NFS, ASAT/ALAT.</w:t>
      </w:r>
      <w:r>
        <w:t xml:space="preserve"> </w:t>
      </w:r>
      <w:r>
        <w:t xml:space="preserve">-</w:t>
      </w:r>
      <w:r>
        <w:t xml:space="preserve"> </w:t>
      </w:r>
      <w:r>
        <w:rPr>
          <w:b/>
          <w:bCs/>
        </w:rPr>
        <w:t xml:space="preserve">Aspirine + lithium :</w:t>
      </w:r>
      <w:r>
        <w:t xml:space="preserve"> </w:t>
      </w:r>
      <w:r>
        <w:t xml:space="preserve">diminution de l’excrétion rénale du lithium → toxicité neurologique (lithiémie).</w:t>
      </w:r>
      <w:r>
        <w:t xml:space="preserve"> </w:t>
      </w:r>
      <w:r>
        <w:t xml:space="preserve">-</w:t>
      </w:r>
      <w:r>
        <w:t xml:space="preserve"> </w:t>
      </w:r>
      <w:r>
        <w:rPr>
          <w:b/>
          <w:bCs/>
        </w:rPr>
        <w:t xml:space="preserve">Aspirine + IEC/ARA2/diurétiques épargneurs de potassium :</w:t>
      </w:r>
      <w:r>
        <w:t xml:space="preserve"> </w:t>
      </w:r>
      <w:r>
        <w:t xml:space="preserve">risque d’IRA fonctionnelle (triple whammy) — surveiller créatinine, K+.</w:t>
      </w:r>
      <w:r>
        <w:t xml:space="preserve"> </w:t>
      </w:r>
      <w:r>
        <w:t xml:space="preserve">-</w:t>
      </w:r>
      <w:r>
        <w:t xml:space="preserve"> </w:t>
      </w:r>
      <w:r>
        <w:rPr>
          <w:b/>
          <w:bCs/>
        </w:rPr>
        <w:t xml:space="preserve">Aspirine + inhibiteurs sélectifs de la recapture de la sérotonine (ISRS) :</w:t>
      </w:r>
      <w:r>
        <w:t xml:space="preserve"> </w:t>
      </w:r>
      <w:r>
        <w:t xml:space="preserve">majoration du risque hémorragique (addition de l’effet sur la fonction plaquettaire).</w:t>
      </w:r>
      <w:r>
        <w:t xml:space="preserve"> </w:t>
      </w:r>
      <w:r>
        <w:t xml:space="preserve">-</w:t>
      </w:r>
      <w:r>
        <w:t xml:space="preserve"> </w:t>
      </w:r>
      <w:r>
        <w:rPr>
          <w:b/>
          <w:bCs/>
        </w:rPr>
        <w:t xml:space="preserve">Aspirine + alcool :</w:t>
      </w:r>
      <w:r>
        <w:t xml:space="preserve"> </w:t>
      </w:r>
      <w:r>
        <w:t xml:space="preserve">majoration du risque hémorragique digestif.</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 1er et 2e trimestres : à éviter par principe, notamment à doses antalgiques/anti-inflammatoires (&gt; 100 mg/j) — données animales et humaines suggérant un risque de malformations (fermeture de la paroi abdominale, gastroschisis) à doses élevées au 1er trimestre.</w:t>
      </w:r>
      <w:r>
        <w:t xml:space="preserve"> </w:t>
      </w:r>
      <w:r>
        <w:t xml:space="preserve">* 3e trimestre :</w:t>
      </w:r>
      <w:r>
        <w:t xml:space="preserve"> </w:t>
      </w:r>
      <w:r>
        <w:rPr>
          <w:b/>
          <w:bCs/>
        </w:rPr>
        <w:t xml:space="preserve">contre-indication formelle</w:t>
      </w:r>
      <w:r>
        <w:t xml:space="preserve"> </w:t>
      </w:r>
      <w:r>
        <w:t xml:space="preserve">(inhibition des prostaglandines → fermeture prématurée du canal artériel avec HTAP néonatale, oligoamnios, inhibition des contractions, allongement du travail, hémorragie maternelle et fœtale).</w:t>
      </w:r>
      <w:r>
        <w:t xml:space="preserve"> </w:t>
      </w:r>
      <w:r>
        <w:t xml:space="preserve">* À faibles doses antiagrégantes (75–160 mg/j) : autorisé sur indication stricte (syndrome des antiphospholipides, valve mécanique) — surveillance échographique du canal artériel fœtal au 3e trimestre.</w:t>
      </w:r>
      <w:r>
        <w:t xml:space="preserve"> </w:t>
      </w:r>
      <w:r>
        <w:t xml:space="preserve">-</w:t>
      </w:r>
      <w:r>
        <w:t xml:space="preserve"> </w:t>
      </w:r>
      <w:r>
        <w:rPr>
          <w:b/>
          <w:bCs/>
        </w:rPr>
        <w:t xml:space="preserve">Allaitement :</w:t>
      </w:r>
      <w:r>
        <w:t xml:space="preserve"> </w:t>
      </w:r>
      <w:r>
        <w:t xml:space="preserve">Aspirine passe dans le lait maternel. À faibles doses antiagrégantes (75–100 mg/j) : probablement compatible (CRAT) mais par prudence, éviter chez la femme allaitante en raison du risque thrombocytopénie et syndrome de Reye — préférer le paracétamol. À doses antalgiques : contre-indiqué pendant l’allaitement.</w:t>
      </w:r>
      <w:r>
        <w:t xml:space="preserve"> </w:t>
      </w:r>
      <w:r>
        <w:t xml:space="preserve">-</w:t>
      </w:r>
      <w:r>
        <w:t xml:space="preserve"> </w:t>
      </w:r>
      <w:r>
        <w:rPr>
          <w:b/>
          <w:bCs/>
        </w:rPr>
        <w:t xml:space="preserve">Précisions :</w:t>
      </w:r>
      <w:r>
        <w:t xml:space="preserve"> </w:t>
      </w:r>
      <w:r>
        <w:t xml:space="preserve">Pour une femme enceinte nécessitant un antiagrégant plaquettaire (syndrome antiphospholipide), héparine de bas poids moléculaire (HBPM) à doses curatives préférée à l’aspirine, ou association aspirine faible dose + HBPM selon le contexte.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 Antalgique-antipyrétique : 300 mg à 1 g par prise, à renouveler en cas de besoin, espacé de 4 h minimum,</w:t>
      </w:r>
      <w:r>
        <w:t xml:space="preserve"> </w:t>
      </w:r>
      <w:r>
        <w:rPr>
          <w:b/>
          <w:bCs/>
        </w:rPr>
        <w:t xml:space="preserve">ne pas dépasser 3 g/j</w:t>
      </w:r>
      <w:r>
        <w:t xml:space="preserve"> </w:t>
      </w:r>
      <w:r>
        <w:t xml:space="preserve">en traitement prolongé, 4 g/j en courte durée.</w:t>
      </w:r>
      <w:r>
        <w:t xml:space="preserve"> </w:t>
      </w:r>
      <w:r>
        <w:t xml:space="preserve">* Anti-inflammatoire : 3 à 4 g/j en 3–4 prises (usage historique, rare aujourd’hui).</w:t>
      </w:r>
      <w:r>
        <w:t xml:space="preserve"> </w:t>
      </w:r>
      <w:r>
        <w:t xml:space="preserve">* Antiagrégant plaquettaire :</w:t>
      </w:r>
      <w:r>
        <w:t xml:space="preserve"> </w:t>
      </w:r>
      <w:r>
        <w:rPr>
          <w:b/>
          <w:bCs/>
        </w:rPr>
        <w:t xml:space="preserve">75 à 160 mg/j en une prise unique</w:t>
      </w:r>
      <w:r>
        <w:t xml:space="preserve">, indéfiniment selon indication. Forme orale simple (non gastro-résistante) à privilégier pour l’effet antiagrégant (forme effervescente ou poudre si trouble de déglutition).</w:t>
      </w:r>
      <w:r>
        <w:t xml:space="preserve"> </w:t>
      </w:r>
      <w:r>
        <w:t xml:space="preserve">* Voie injectable (lysinacétylsalicylate ASPIGAL, ASPEGIC) : 500 mg à 1 g IM ou IV lente (5–10 min), à renouveler à 4–6 h, max 4 g/j.</w:t>
      </w:r>
      <w:r>
        <w:t xml:space="preserve"> </w:t>
      </w:r>
      <w:r>
        <w:t xml:space="preserve">-</w:t>
      </w:r>
      <w:r>
        <w:t xml:space="preserve"> </w:t>
      </w:r>
      <w:r>
        <w:rPr>
          <w:b/>
          <w:bCs/>
        </w:rPr>
        <w:t xml:space="preserve">Enfant :</w:t>
      </w:r>
      <w:r>
        <w:t xml:space="preserve"> </w:t>
      </w:r>
      <w:r>
        <w:t xml:space="preserve">Contre-indiqué &lt; 16 ans en automédication. Prescription rare réservée à la maladie de Kawasaki (30–50 mg/kg/j en phase aiguë) et arthrites chroniques juvéniles (30–80 mg/kg/j sous surveillance spécialisée).</w:t>
      </w:r>
      <w:r>
        <w:t xml:space="preserve"> </w:t>
      </w:r>
      <w:r>
        <w:t xml:space="preserve">-</w:t>
      </w:r>
      <w:r>
        <w:t xml:space="preserve"> </w:t>
      </w:r>
      <w:r>
        <w:rPr>
          <w:b/>
          <w:bCs/>
        </w:rPr>
        <w:t xml:space="preserve">Durée :</w:t>
      </w:r>
      <w:r>
        <w:t xml:space="preserve"> </w:t>
      </w:r>
      <w:r>
        <w:t xml:space="preserve">Antalgique : 3–5 jours maximum sans avis médical. Antiagrégant : traitement prolongé, parfois à vie — réévaluation régulière du rapport bénéfice/risque (saignement vs ischémie).</w:t>
      </w:r>
      <w:r>
        <w:t xml:space="preserve"> </w:t>
      </w:r>
      <w:r>
        <w:t xml:space="preserve">-</w:t>
      </w:r>
      <w:r>
        <w:t xml:space="preserve"> </w:t>
      </w:r>
      <w:r>
        <w:rPr>
          <w:b/>
          <w:bCs/>
        </w:rPr>
        <w:t xml:space="preserve">Moment de prise :</w:t>
      </w:r>
      <w:r>
        <w:t xml:space="preserve"> </w:t>
      </w:r>
      <w:r>
        <w:t xml:space="preserve">Antalgique : au cours ou après le repas. Antiagrégant à faible dose : prise unique le matin ou le soir (régularité importante), pendant ou en dehors du repas (les formes à 100 mg gastro-résistantes tolèrent la prise à jeun).</w:t>
      </w:r>
    </w:p>
    <w:p>
      <w:pPr>
        <w:pStyle w:val="BodyText"/>
      </w:pPr>
      <w:r>
        <w:rPr>
          <w:b/>
          <w:bCs/>
        </w:rPr>
        <w:t xml:space="preserve">Arbitrage et Bénéfices des Formes Galéniques :</w:t>
      </w:r>
      <w:r>
        <w:t xml:space="preserve"> </w:t>
      </w:r>
      <w:r>
        <w:t xml:space="preserve">-</w:t>
      </w:r>
      <w:r>
        <w:t xml:space="preserve"> </w:t>
      </w:r>
      <w:r>
        <w:rPr>
          <w:b/>
          <w:bCs/>
        </w:rPr>
        <w:t xml:space="preserve">Comprimés 500 mg (Acepral 500) :</w:t>
      </w:r>
      <w:r>
        <w:t xml:space="preserve"> </w:t>
      </w:r>
      <w:r>
        <w:t xml:space="preserve">Forme antalgique classique, à court terme. Sécabilité utile.</w:t>
      </w:r>
      <w:r>
        <w:t xml:space="preserve"> </w:t>
      </w:r>
      <w:r>
        <w:t xml:space="preserve">-</w:t>
      </w:r>
      <w:r>
        <w:t xml:space="preserve"> </w:t>
      </w:r>
      <w:r>
        <w:rPr>
          <w:b/>
          <w:bCs/>
        </w:rPr>
        <w:t xml:space="preserve">Comprimés/gélules 100 mg (Acepral Cardio, Aspec, Aspicard, Aspinova, Aspirine Cardio) :</w:t>
      </w:r>
      <w:r>
        <w:t xml:space="preserve"> </w:t>
      </w:r>
      <w:r>
        <w:t xml:space="preserve">Formes antiagrégantes de référence. Choix selon préférence patient, prix et disponibilité. Aspec sécable permet adaptation posologique (50 mg).</w:t>
      </w:r>
      <w:r>
        <w:t xml:space="preserve"> </w:t>
      </w:r>
      <w:r>
        <w:t xml:space="preserve">-</w:t>
      </w:r>
      <w:r>
        <w:t xml:space="preserve"> </w:t>
      </w:r>
      <w:r>
        <w:rPr>
          <w:b/>
          <w:bCs/>
        </w:rPr>
        <w:t xml:space="preserve">Poudre pour solution buvable 75/160 mg (Kardegic) :</w:t>
      </w:r>
      <w:r>
        <w:t xml:space="preserve"> </w:t>
      </w:r>
      <w:r>
        <w:t xml:space="preserve">Forme d’Aspirine à 75 mg la plus prescrite en France et Algérie. Solution buvable pratique en cas de trouble de déglutition. Forme lysinacétylsalicylique (sel DL-lysine) — bonne tolérance digestive relative. 75 mg = dose de référence post-stent/IDM ; 160 mg = dose de charge en cas d’IDM aigu ou AVC ischémique aigu (4 sachets à 40 mg équivalent).</w:t>
      </w:r>
      <w:r>
        <w:t xml:space="preserve"> </w:t>
      </w:r>
      <w:r>
        <w:t xml:space="preserve">-</w:t>
      </w:r>
      <w:r>
        <w:t xml:space="preserve"> </w:t>
      </w:r>
      <w:r>
        <w:rPr>
          <w:b/>
          <w:bCs/>
        </w:rPr>
        <w:t xml:space="preserve">Forme injectable (Aspigal, Aspegic, Salitin) :</w:t>
      </w:r>
      <w:r>
        <w:t xml:space="preserve"> </w:t>
      </w:r>
      <w:r>
        <w:t xml:space="preserve">Lysinacétylsalicylate IM/IV — utile si voie orale impossible, en contexte d’urgence (douleur aiguë, fièvre résistante). Réservé à l’usage hospitalier.</w:t>
      </w:r>
      <w:r>
        <w:t xml:space="preserve"> </w:t>
      </w:r>
      <w:r>
        <w:t xml:space="preserve">-</w:t>
      </w:r>
      <w:r>
        <w:t xml:space="preserve"> </w:t>
      </w:r>
      <w:r>
        <w:rPr>
          <w:b/>
          <w:bCs/>
        </w:rPr>
        <w:t xml:space="preserve">Forme effervescente vitamine C (Aspirine UPSA Vitamine C) :</w:t>
      </w:r>
      <w:r>
        <w:t xml:space="preserve"> </w:t>
      </w:r>
      <w:r>
        <w:t xml:space="preserve">Action rapide, acceptabilité excellente. Apport vitaminique non justifié pharmacologiquement (effet antioxydant marginal). Attention à l’apport sodium.</w:t>
      </w:r>
      <w:r>
        <w:t xml:space="preserve"> </w:t>
      </w:r>
      <w:r>
        <w:t xml:space="preserve">-</w:t>
      </w:r>
      <w:r>
        <w:t xml:space="preserve"> </w:t>
      </w:r>
      <w:r>
        <w:rPr>
          <w:b/>
          <w:bCs/>
        </w:rPr>
        <w:t xml:space="preserve">Formes gastro-résistantes (Asiaspirine 81, Aspicard 81, Asprocard 81 — NR) :</w:t>
      </w:r>
      <w:r>
        <w:t xml:space="preserve"> </w:t>
      </w:r>
      <w:r>
        <w:t xml:space="preserve">À éviter dans l’indication antiagrégante en raison d’absorption retardée et imprévisible — préférer les formes simples à 100 mg (Acepral Cardio, Aspec, Aspinova, Aspirine Cardio).</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 L’aspirine à 100 mg protège votre cœur et vos vaisseaux en empêchant les plaquettes de s’agglomérer. Prenez-la tous les jours à la même heure, sans l’arrêter sans avis médical. »</w:t>
      </w:r>
      <w:r>
        <w:t xml:space="preserve"> </w:t>
      </w:r>
      <w:r>
        <w:t xml:space="preserve">* « Prenez l’aspirine pendant ou après le repas pour protéger votre estomac. Si vous avez des brûlures d’estomac persistantes ou des selles noires, consultez rapidement. »</w:t>
      </w:r>
      <w:r>
        <w:t xml:space="preserve"> </w:t>
      </w:r>
      <w:r>
        <w:t xml:space="preserve">* « Ne l’associez pas avec d’autres AINS (ibuprofène, diclofénac) — risque d’hémorragie digestive. »</w:t>
      </w:r>
      <w:r>
        <w:t xml:space="preserve"> </w:t>
      </w:r>
      <w:r>
        <w:t xml:space="preserve">* « Prévenez votre chirurgien et votre dentiste avant tout geste — ils pourront vous demander d’arrêter l’aspirine 7 jours avant. »</w:t>
      </w:r>
      <w:r>
        <w:t xml:space="preserve"> </w:t>
      </w:r>
      <w:r>
        <w:t xml:space="preserve">* « Chez l’enfant de moins de 16 ans, l’aspirine est interdite sans ordonnance. Pour la fièvre, donnez du paracétamol. »</w:t>
      </w:r>
      <w:r>
        <w:t xml:space="preserve"> </w:t>
      </w:r>
      <w:r>
        <w:t xml:space="preserve">-</w:t>
      </w:r>
      <w:r>
        <w:t xml:space="preserve"> </w:t>
      </w:r>
      <w:r>
        <w:rPr>
          <w:b/>
          <w:bCs/>
        </w:rPr>
        <w:t xml:space="preserve">Mode d’utilisation pratique :</w:t>
      </w:r>
      <w:r>
        <w:t xml:space="preserve"> </w:t>
      </w:r>
      <w:r>
        <w:t xml:space="preserve">* Forme effervescente : attendre l’arrêt du pétillement, boire immédiatement.</w:t>
      </w:r>
      <w:r>
        <w:t xml:space="preserve"> </w:t>
      </w:r>
      <w:r>
        <w:t xml:space="preserve">* Poudre pour solution buvable (Kardegic) : verser le sachet dans un verre d’eau, remuer, boire immédiatement.</w:t>
      </w:r>
      <w:r>
        <w:t xml:space="preserve"> </w:t>
      </w:r>
      <w:r>
        <w:t xml:space="preserve">* En cas d’oubli : ne pas doubler la prise (surtout à dose antiagrégante — prendre la dose suivante à l’heure habituelle).</w:t>
      </w:r>
    </w:p>
    <w:p>
      <w:pPr>
        <w:pStyle w:val="BodyText"/>
      </w:pPr>
      <w:r>
        <w:rPr>
          <w:b/>
          <w:bCs/>
        </w:rPr>
        <w:t xml:space="preserve">Notes, Règles d’Or &amp; Pièges au Comptoir :</w:t>
      </w:r>
      <w:r>
        <w:t xml:space="preserve"> </w:t>
      </w:r>
      <w:r>
        <w:t xml:space="preserve">-</w:t>
      </w:r>
      <w:r>
        <w:t xml:space="preserve"> </w:t>
      </w:r>
      <w:r>
        <w:rPr>
          <w:b/>
          <w:bCs/>
        </w:rPr>
        <w:t xml:space="preserve">Piège classique n°1 — Aspirine + enfant = syndrome de Reye :</w:t>
      </w:r>
      <w:r>
        <w:t xml:space="preserve"> </w:t>
      </w:r>
      <w:r>
        <w:t xml:space="preserve">Refus systématique de l’aspirine chez l’enfant &lt; 16 ans venant avec une fièvre ou une douleur — orienter vers le paracétamol.</w:t>
      </w:r>
      <w:r>
        <w:t xml:space="preserve"> </w:t>
      </w:r>
      <w:r>
        <w:t xml:space="preserve">-</w:t>
      </w:r>
      <w:r>
        <w:t xml:space="preserve"> </w:t>
      </w:r>
      <w:r>
        <w:rPr>
          <w:b/>
          <w:bCs/>
        </w:rPr>
        <w:t xml:space="preserve">Piège classique n°2 — Forme gastro-résistante pour antiagrégant :</w:t>
      </w:r>
      <w:r>
        <w:t xml:space="preserve"> </w:t>
      </w:r>
      <w:r>
        <w:t xml:space="preserve">Aspicard 81 mg gastro-résistant (NR) et Asiaspirine 81 mg gastro-résistant (NR) ne conviennent pas pour l’effet antiagrégant — absorption trop lente et incomplète. Préférer les formes simples 100 mg.</w:t>
      </w:r>
      <w:r>
        <w:t xml:space="preserve"> </w:t>
      </w:r>
      <w:r>
        <w:t xml:space="preserve">-</w:t>
      </w:r>
      <w:r>
        <w:t xml:space="preserve"> </w:t>
      </w:r>
      <w:r>
        <w:rPr>
          <w:b/>
          <w:bCs/>
        </w:rPr>
        <w:t xml:space="preserve">Piège classique n°3 — Aspirine + IEC/ARA2 + diurétique (triple whammy) :</w:t>
      </w:r>
      <w:r>
        <w:t xml:space="preserve"> </w:t>
      </w:r>
      <w:r>
        <w:t xml:space="preserve">Risque majeur d’IRA fonctionnelle chez le sujet âgé hypertendu et insuffisant cardiaque — surveillance de la créatinine à l’initiation.</w:t>
      </w:r>
      <w:r>
        <w:t xml:space="preserve"> </w:t>
      </w:r>
      <w:r>
        <w:t xml:space="preserve">-</w:t>
      </w:r>
      <w:r>
        <w:t xml:space="preserve"> </w:t>
      </w:r>
      <w:r>
        <w:rPr>
          <w:b/>
          <w:bCs/>
        </w:rPr>
        <w:t xml:space="preserve">Piège classique n°4 — Aspirine + anticoagulant oral (AVK, AOD) :</w:t>
      </w:r>
      <w:r>
        <w:t xml:space="preserve"> </w:t>
      </w:r>
      <w:r>
        <w:t xml:space="preserve">Association contre-indiquée sauf indication formelle (post-IDM avec FA) — surveillance étroite.</w:t>
      </w:r>
      <w:r>
        <w:t xml:space="preserve"> </w:t>
      </w:r>
      <w:r>
        <w:t xml:space="preserve">-</w:t>
      </w:r>
      <w:r>
        <w:t xml:space="preserve"> </w:t>
      </w:r>
      <w:r>
        <w:rPr>
          <w:b/>
          <w:bCs/>
        </w:rPr>
        <w:t xml:space="preserve">Règle de prise :</w:t>
      </w:r>
      <w:r>
        <w:t xml:space="preserve"> </w:t>
      </w:r>
      <w:r>
        <w:t xml:space="preserve">Aspirine antiagrégante = 75–160 mg/j en une prise unique le matin ou soir, pendant ou en dehors du repas, indéfiniment selon indication. Aspirine antalgique = 500 mg à 1 g par prise espacée de 4–6 h, max 4 g/j, pendant les repas, 3–5 jours maximum.</w:t>
      </w:r>
      <w:r>
        <w:t xml:space="preserve"> </w:t>
      </w:r>
      <w:r>
        <w:t xml:space="preserve">-</w:t>
      </w:r>
      <w:r>
        <w:t xml:space="preserve"> </w:t>
      </w:r>
      <w:r>
        <w:rPr>
          <w:b/>
          <w:bCs/>
        </w:rPr>
        <w:t xml:space="preserve">Préparation et Conservation :</w:t>
      </w:r>
      <w:r>
        <w:t xml:space="preserve"> </w:t>
      </w:r>
      <w:r>
        <w:t xml:space="preserve">Formes effervescentes : conservation &lt; 25 °C à l’abri de l’humidité (les comprimés s’effritent si exposés à l’air). Poudre pour solution injectable : reconstitution avec le solvant fourni (eau PPI 5 mL), utilisation immédiate.</w:t>
      </w:r>
      <w:r>
        <w:t xml:space="preserve"> </w:t>
      </w:r>
      <w:r>
        <w:t xml:space="preserve">-</w:t>
      </w:r>
      <w:r>
        <w:t xml:space="preserve"> </w:t>
      </w:r>
      <w:r>
        <w:rPr>
          <w:b/>
          <w:bCs/>
        </w:rPr>
        <w:t xml:space="preserve">Piège du surdosage / Substitution :</w:t>
      </w:r>
      <w:r>
        <w:t xml:space="preserve"> </w:t>
      </w:r>
      <w:r>
        <w:t xml:space="preserve">En cas de surdosage volontaire ou accidentel (≥ 10 g adulte, ≥ 150 mg/kg enfant) : hospitalisation urgente pour alcalinisation urinaire et hémodialyse éventuelle. Le salicylisme aigu se manifeste par hyperventilation, acouphènes, vertiges — ne pas confondre avec une simple intoxication alimentaire.</w:t>
      </w:r>
    </w:p>
    <w:p>
      <w:r>
        <w:pict>
          <v:rect style="width:0;height:1.5pt" o:hralign="center" o:hrstd="t" o:hr="t"/>
        </w:pict>
      </w:r>
    </w:p>
    <w:bookmarkEnd w:id="43"/>
    <w:bookmarkEnd w:id="44"/>
    <w:bookmarkStart w:id="46" w:name="X1cd165536887ef6d194c3dfff418342b1df32c1"/>
    <w:p>
      <w:pPr>
        <w:pStyle w:val="Heading2"/>
      </w:pPr>
      <w:r>
        <w:t xml:space="preserve">3. Sous-classe : Antalgiques palier I — Salicylés topiques (Bismuth, Choline, Diéthylamine)</w:t>
      </w:r>
    </w:p>
    <w:p>
      <w:pPr>
        <w:pStyle w:val="FirstParagraph"/>
      </w:pPr>
      <w:r>
        <w:t xml:space="preserve">Les salicylés topiques regroupent les dérivés salicylés utilisés par voie topique (cutanée ou digestive locale) à visée antalgique, anti-inflammatoire ou gastro-protectrice. Contrairement à l’aspirine qui diffuse systémiquement, les salicylés topiques agissent localement avec une diffusion systémique minimisée — toutefois non nulle, ce qui justifie les mêmes précautions que l’aspirine orale en cas d’application sur peau lésée ou de surfaces étendues.</w:t>
      </w:r>
    </w:p>
    <w:p>
      <w:pPr>
        <w:pStyle w:val="BodyText"/>
      </w:pPr>
      <w:r>
        <w:t xml:space="preserve">En Algérie, cette sous-classe ne comporte que deux spécialités : le</w:t>
      </w:r>
      <w:r>
        <w:t xml:space="preserve"> </w:t>
      </w:r>
      <w:r>
        <w:rPr>
          <w:b/>
          <w:bCs/>
        </w:rPr>
        <w:t xml:space="preserve">Bismutrol</w:t>
      </w:r>
      <w:r>
        <w:t xml:space="preserve"> </w:t>
      </w:r>
      <w:r>
        <w:t xml:space="preserve">(sous-salicylate de bismuth 262 mg comprimé), indiqué dans le traitement symptomatique des diarrhées et des brûlures épigastriques (effet anti-sécrétoire, anti-inflammatoire local et cytoprotecteur par formation d’un film protecteur sur la muqueuse gastrique), et l’</w:t>
      </w:r>
      <w:r>
        <w:rPr>
          <w:b/>
          <w:bCs/>
        </w:rPr>
        <w:t xml:space="preserve">Algesal Suractivé</w:t>
      </w:r>
      <w:r>
        <w:t xml:space="preserve"> </w:t>
      </w:r>
      <w:r>
        <w:t xml:space="preserve">(hydroxyéthyl salicylate 10 % pommade), retiré du marché, indiqué dans les douleurs musculaires et articulaires localisées. Le sous-salicylate de bismuth est partiellement absorbé et hydrolysé en salicylate — la prudence s’impose chez l’enfant (risque théorique de syndrome de Reye), la femme enceinte (3e trimestre) et le patient sous anticoagulant.</w:t>
      </w:r>
    </w:p>
    <w:p>
      <w:r>
        <w:pict>
          <v:rect style="width:0;height:1.5pt" o:hralign="center" o:hrstd="t" o:hr="t"/>
        </w:pict>
      </w:r>
    </w:p>
    <w:bookmarkStart w:id="45" w:name="Xb31a96ccd1f48dd90a546f0ee4b86acbe1a75da"/>
    <w:p>
      <w:pPr>
        <w:pStyle w:val="Heading3"/>
      </w:pPr>
      <w:r>
        <w:t xml:space="preserve">3.1. DCI : Salicylés topiques (Bismuth, Choline, Diéthylamine) (Seule)</w:t>
      </w:r>
    </w:p>
    <w:p>
      <w:pPr>
        <w:pStyle w:val="FirstParagraph"/>
      </w:pPr>
      <w:r>
        <w:rPr>
          <w:b/>
          <w:bCs/>
        </w:rPr>
        <w:t xml:space="preserve">Liste des Catégories :</w:t>
      </w:r>
      <w:r>
        <w:t xml:space="preserve"> </w:t>
      </w:r>
      <w:r>
        <w:t xml:space="preserve">Antalgique topique digestif ; Antiseptique gastro-intestinal ; Anti-inflammatoire topique ; Antalgique musculo-articulaire local.</w:t>
      </w:r>
    </w:p>
    <w:p>
      <w:pPr>
        <w:pStyle w:val="BodyText"/>
      </w:pPr>
      <w:r>
        <w:rPr>
          <w:b/>
          <w:bCs/>
        </w:rPr>
        <w:t xml:space="preserve">Particularité pharmacocinétique :</w:t>
      </w:r>
      <w:r>
        <w:t xml:space="preserve"> </w:t>
      </w:r>
      <w:r>
        <w:t xml:space="preserve">Le sous-salicylate de bismuth est peu absorbé au niveau digestif (&lt; 1 % du bismuth, ~ 15 % du salicylate) — la fraction absorbée est hydrolysée en acide salicylique, éliminée par voie urinaire. La demi-vie du bismuth absorbé est très longue (cumulation possible en cas d’usage prolongé — encéphalopathie bismuthique). Pour les salicylés cutanés (hydroxyéthyl salicylate, diéthylamine salicylate), l’absorption percutanée dépend de l’état de la peau (10 à 20 % de la dose appliquée peut passer systémiquement en peau lésée — d’où la contre-indication sur peau lésée et chez l’enfant).</w:t>
      </w:r>
    </w:p>
    <w:p>
      <w:pPr>
        <w:pStyle w:val="BodyText"/>
      </w:pPr>
      <w:r>
        <w:rPr>
          <w:b/>
          <w:bCs/>
        </w:rPr>
        <w:t xml:space="preserve">Médicaments disponibles en Algérie (Marques, Laboratoires, Formes et Dosages) :</w:t>
      </w:r>
    </w:p>
    <w:p>
      <w:pPr>
        <w:pStyle w:val="BodyText"/>
      </w:pPr>
      <w:r>
        <w:rPr>
          <w:i/>
          <w:iCs/>
        </w:rPr>
        <w:t xml:space="preserve">Formes actives :</w:t>
      </w:r>
      <w:r>
        <w:t xml:space="preserve"> </w:t>
      </w:r>
      <w:r>
        <w:t xml:space="preserve">-</w:t>
      </w:r>
      <w:r>
        <w:t xml:space="preserve"> </w:t>
      </w:r>
      <w:r>
        <w:rPr>
          <w:b/>
          <w:bCs/>
        </w:rPr>
        <w:t xml:space="preserve">BISMATROL</w:t>
      </w:r>
      <w:r>
        <w:t xml:space="preserve"> </w:t>
      </w:r>
      <w:r>
        <w:t xml:space="preserve">(BEIT JALA PHARMACEUTICALS COMPANY) — Comprimé de sous-salicylate de bismuth 262 mg, B/30 — Statut : Actif</w:t>
      </w:r>
    </w:p>
    <w:p>
      <w:pPr>
        <w:pStyle w:val="BodyText"/>
      </w:pPr>
      <w:r>
        <w:rPr>
          <w:i/>
          <w:iCs/>
        </w:rPr>
        <w:t xml:space="preserve">Formes retirées :</w:t>
      </w:r>
      <w:r>
        <w:t xml:space="preserve"> </w:t>
      </w:r>
      <w:r>
        <w:t xml:space="preserve">-</w:t>
      </w:r>
      <w:r>
        <w:t xml:space="preserve"> </w:t>
      </w:r>
      <w:r>
        <w:rPr>
          <w:b/>
          <w:bCs/>
        </w:rPr>
        <w:t xml:space="preserve">ALGESAL SURACTIVE</w:t>
      </w:r>
      <w:r>
        <w:t xml:space="preserve"> </w:t>
      </w:r>
      <w:r>
        <w:t xml:space="preserve">(SOLVAY PHARMA) — Pommade, hydroxyéthyl salicylate 10 g/1 g (10 %), tube 40 g — Statut : Retiré (R)</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Salicylés topiques — à visée digestive (bismuth sous-salicylate) ou cutanée (salicylés d’alcool ou d’amines).</w:t>
      </w:r>
      <w:r>
        <w:t xml:space="preserve"> </w:t>
      </w:r>
      <w:r>
        <w:t xml:space="preserve">-</w:t>
      </w:r>
      <w:r>
        <w:t xml:space="preserve"> </w:t>
      </w:r>
      <w:r>
        <w:rPr>
          <w:b/>
          <w:bCs/>
        </w:rPr>
        <w:t xml:space="preserve">Mécanisme d’action :</w:t>
      </w:r>
      <w:r>
        <w:t xml:space="preserve"> </w:t>
      </w:r>
      <w:r>
        <w:t xml:space="preserve">*</w:t>
      </w:r>
      <w:r>
        <w:t xml:space="preserve"> </w:t>
      </w:r>
      <w:r>
        <w:rPr>
          <w:b/>
          <w:bCs/>
        </w:rPr>
        <w:t xml:space="preserve">Bismuth sous-salicylate</w:t>
      </w:r>
      <w:r>
        <w:t xml:space="preserve"> </w:t>
      </w:r>
      <w:r>
        <w:t xml:space="preserve">: action locale gastro-intestinale — (i) formation d’un précipité de bismuth-salicylate-mucine formant un film protecteur sur la muqueuse (effet cytoprotecteur) ; (ii) action antimicrobienne directe sur les entéropathogènes (E. coli, Campylobacter, Vibrio cholerae) — inhibition de l’adhésion bactérienne, neutralisation des entérotoxines ; (iii) effet anti-sécrétoire intestinal (inhibition de la sécrétion chlorée via les prostaglandines) ; (iv) libération locale d’acide salicylique à effet anti-inflammatoire muqueux. Peu d’effet systémique.</w:t>
      </w:r>
      <w:r>
        <w:t xml:space="preserve"> </w:t>
      </w:r>
      <w:r>
        <w:t xml:space="preserve">*</w:t>
      </w:r>
      <w:r>
        <w:t xml:space="preserve"> </w:t>
      </w:r>
      <w:r>
        <w:rPr>
          <w:b/>
          <w:bCs/>
        </w:rPr>
        <w:t xml:space="preserve">Salicylés cutanés (hydroxyéthyl salicylate)</w:t>
      </w:r>
      <w:r>
        <w:t xml:space="preserve"> </w:t>
      </w:r>
      <w:r>
        <w:t xml:space="preserve">: pénétration percutanée, action anti-inflammatoire locale par inhibition des COX cutanées et sous-cutanées. Effet rubéfiant modéré (vasodilatation locale), effet antalgique par inhibition de la synthèse locale de prostaglandines.</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 Bismuth sous-salicylate : traitement symptomatique des</w:t>
      </w:r>
      <w:r>
        <w:t xml:space="preserve"> </w:t>
      </w:r>
      <w:r>
        <w:rPr>
          <w:b/>
          <w:bCs/>
        </w:rPr>
        <w:t xml:space="preserve">diarrhées aiguës</w:t>
      </w:r>
      <w:r>
        <w:t xml:space="preserve"> </w:t>
      </w:r>
      <w:r>
        <w:t xml:space="preserve">(en complément de la réhydratation), des</w:t>
      </w:r>
      <w:r>
        <w:t xml:space="preserve"> </w:t>
      </w:r>
      <w:r>
        <w:rPr>
          <w:b/>
          <w:bCs/>
        </w:rPr>
        <w:t xml:space="preserve">brûlures épigastriques</w:t>
      </w:r>
      <w:r>
        <w:t xml:space="preserve"> </w:t>
      </w:r>
      <w:r>
        <w:t xml:space="preserve">et des</w:t>
      </w:r>
      <w:r>
        <w:t xml:space="preserve"> </w:t>
      </w:r>
      <w:r>
        <w:rPr>
          <w:b/>
          <w:bCs/>
        </w:rPr>
        <w:t xml:space="preserve">nausées</w:t>
      </w:r>
      <w:r>
        <w:t xml:space="preserve"> </w:t>
      </w:r>
      <w:r>
        <w:t xml:space="preserve">mineures (effet anti-sécrétoire gastrique).</w:t>
      </w:r>
      <w:r>
        <w:t xml:space="preserve"> </w:t>
      </w:r>
      <w:r>
        <w:t xml:space="preserve">* Salicylés cutanés (Algesal retiré) : traitement local des</w:t>
      </w:r>
      <w:r>
        <w:t xml:space="preserve"> </w:t>
      </w:r>
      <w:r>
        <w:rPr>
          <w:b/>
          <w:bCs/>
        </w:rPr>
        <w:t xml:space="preserve">douleurs musculaires</w:t>
      </w:r>
      <w:r>
        <w:t xml:space="preserve"> </w:t>
      </w:r>
      <w:r>
        <w:t xml:space="preserve">(courbatures, lumbago, torticolis),</w:t>
      </w:r>
      <w:r>
        <w:t xml:space="preserve"> </w:t>
      </w:r>
      <w:r>
        <w:rPr>
          <w:b/>
          <w:bCs/>
        </w:rPr>
        <w:t xml:space="preserve">tendinites</w:t>
      </w:r>
      <w:r>
        <w:t xml:space="preserve">,</w:t>
      </w:r>
      <w:r>
        <w:t xml:space="preserve"> </w:t>
      </w:r>
      <w:r>
        <w:rPr>
          <w:b/>
          <w:bCs/>
        </w:rPr>
        <w:t xml:space="preserve">douleurs articulaires</w:t>
      </w:r>
      <w:r>
        <w:t xml:space="preserve"> </w:t>
      </w:r>
      <w:r>
        <w:t xml:space="preserve">bénignes.</w:t>
      </w:r>
      <w:r>
        <w:t xml:space="preserve"> </w:t>
      </w:r>
      <w:r>
        <w:t xml:space="preserve">-</w:t>
      </w:r>
      <w:r>
        <w:t xml:space="preserve"> </w:t>
      </w:r>
      <w:r>
        <w:rPr>
          <w:b/>
          <w:bCs/>
        </w:rPr>
        <w:t xml:space="preserve">Contre-indications :</w:t>
      </w:r>
      <w:r>
        <w:t xml:space="preserve"> </w:t>
      </w:r>
      <w:r>
        <w:t xml:space="preserve">* Bismuth : enfant &lt; 16 ans (risque théorique de syndrome de Reye lié à la fraction salicylique), grossesse 3e trimestre, allaitement, insuffisance rénale sévère (accumulation de bismuth), traitement anticoagulant (potentialisation), allergie à l’aspirine/salicylés.</w:t>
      </w:r>
      <w:r>
        <w:t xml:space="preserve"> </w:t>
      </w:r>
      <w:r>
        <w:t xml:space="preserve">* Salicylés cutanés : peau lésée (augmentation de l’absorption systémique), enfant &lt; 16 ans en automédication, grossesse 3e trimestre (par prudence), application sur muqueuses ou grand surface corporelle, allergie aux salicylés.</w:t>
      </w:r>
      <w:r>
        <w:t xml:space="preserve"> </w:t>
      </w:r>
      <w:r>
        <w:t xml:space="preserve">-</w:t>
      </w:r>
      <w:r>
        <w:t xml:space="preserve"> </w:t>
      </w:r>
      <w:r>
        <w:rPr>
          <w:b/>
          <w:bCs/>
        </w:rPr>
        <w:t xml:space="preserve">Effets Indésirables :</w:t>
      </w:r>
      <w:r>
        <w:t xml:space="preserve"> </w:t>
      </w:r>
      <w:r>
        <w:t xml:space="preserve">* Bismuth : coloration noire de la langue et des selles (bénin, dû au sulfure de bismuth — reassuring pour le patient), constipation, nausées. En cas d’usage prolongé à forte dose :</w:t>
      </w:r>
      <w:r>
        <w:t xml:space="preserve"> </w:t>
      </w:r>
      <w:r>
        <w:rPr>
          <w:b/>
          <w:bCs/>
        </w:rPr>
        <w:t xml:space="preserve">encéphalopathie bismuthique</w:t>
      </w:r>
      <w:r>
        <w:t xml:space="preserve"> </w:t>
      </w:r>
      <w:r>
        <w:t xml:space="preserve">(confusion, myoclonies, ataxie, troubles de la mémoire — régressive à l’arrêt) liée à l’accumulation de bismuth dans le système nerveux central.</w:t>
      </w:r>
      <w:r>
        <w:t xml:space="preserve"> </w:t>
      </w:r>
      <w:r>
        <w:t xml:space="preserve">* Salicylés cutanés : irritation locale, rougeur, prurit, dermatite de contact, photosensibilité. En cas d’application prolongée sur peau lésée ou grande surface : salicylisme systémique (acouphènes, vertiges, hyperventilation).</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 Bismuth : ne pas dépasser 8 à 10 jours de traitement (prévention de l’accumulation), surveiller la tolérance digestive, vérifier la fonction rénale chez le sujet âgé.</w:t>
      </w:r>
      <w:r>
        <w:t xml:space="preserve"> </w:t>
      </w:r>
      <w:r>
        <w:t xml:space="preserve">* Salicylés cutanés : application sur peau saine uniquement, surface limitée (&lt; 10 % de la surface corporelle), durée maximale 7 jours, ne pas utiliser sous pansement occlusif.</w:t>
      </w:r>
      <w:r>
        <w:t xml:space="preserve"> </w:t>
      </w:r>
      <w:r>
        <w:t xml:space="preserve">-</w:t>
      </w:r>
      <w:r>
        <w:t xml:space="preserve"> </w:t>
      </w:r>
      <w:r>
        <w:rPr>
          <w:b/>
          <w:bCs/>
        </w:rPr>
        <w:t xml:space="preserve">Conduite à Tenir :</w:t>
      </w:r>
      <w:r>
        <w:t xml:space="preserve"> </w:t>
      </w:r>
      <w:r>
        <w:t xml:space="preserve">* Encéphalopathie bismuthique : arrêt immédiat, hospitalisation pour chélation (DMSA, D-pénicillamine) si symptômes neurologiques sévères.</w:t>
      </w:r>
      <w:r>
        <w:t xml:space="preserve"> </w:t>
      </w:r>
      <w:r>
        <w:t xml:space="preserve">* Salicylisme systémique par application cutanée excessive : arrêt, alcalinisation urinaire, symptômes régressifs en 24–48 h.</w:t>
      </w:r>
    </w:p>
    <w:p>
      <w:pPr>
        <w:pStyle w:val="BodyText"/>
      </w:pPr>
      <w:r>
        <w:rPr>
          <w:b/>
          <w:bCs/>
        </w:rPr>
        <w:t xml:space="preserve">Interactions Importantes :</w:t>
      </w:r>
      <w:r>
        <w:t xml:space="preserve"> </w:t>
      </w:r>
      <w:r>
        <w:t xml:space="preserve">-</w:t>
      </w:r>
      <w:r>
        <w:t xml:space="preserve"> </w:t>
      </w:r>
      <w:r>
        <w:rPr>
          <w:b/>
          <w:bCs/>
        </w:rPr>
        <w:t xml:space="preserve">Bismuth + anticoagulants oraux (AVK) :</w:t>
      </w:r>
      <w:r>
        <w:t xml:space="preserve"> </w:t>
      </w:r>
      <w:r>
        <w:t xml:space="preserve">potentialisation (fraction salicylique) — surveiller INR.</w:t>
      </w:r>
      <w:r>
        <w:t xml:space="preserve"> </w:t>
      </w:r>
      <w:r>
        <w:t xml:space="preserve">-</w:t>
      </w:r>
      <w:r>
        <w:t xml:space="preserve"> </w:t>
      </w:r>
      <w:r>
        <w:rPr>
          <w:b/>
          <w:bCs/>
        </w:rPr>
        <w:t xml:space="preserve">Bismuth + tétracyclines/quinolones</w:t>
      </w:r>
      <w:r>
        <w:t xml:space="preserve"> </w:t>
      </w:r>
      <w:r>
        <w:t xml:space="preserve">: chélation par le bismuth → diminution de l’absorption de l’antibiotique (espacer de 2 h).</w:t>
      </w:r>
      <w:r>
        <w:t xml:space="preserve"> </w:t>
      </w:r>
      <w:r>
        <w:t xml:space="preserve">-</w:t>
      </w:r>
      <w:r>
        <w:t xml:space="preserve"> </w:t>
      </w:r>
      <w:r>
        <w:rPr>
          <w:b/>
          <w:bCs/>
        </w:rPr>
        <w:t xml:space="preserve">Bismuth + IPP/anti-acides</w:t>
      </w:r>
      <w:r>
        <w:t xml:space="preserve"> </w:t>
      </w:r>
      <w:r>
        <w:t xml:space="preserve">: modification du pH gastrique → diminution de l’efficacité du bismuth (qui nécessite un pH acide pour libérer le salicylate).</w:t>
      </w:r>
      <w:r>
        <w:t xml:space="preserve"> </w:t>
      </w:r>
      <w:r>
        <w:t xml:space="preserve">-</w:t>
      </w:r>
      <w:r>
        <w:t xml:space="preserve"> </w:t>
      </w:r>
      <w:r>
        <w:rPr>
          <w:b/>
          <w:bCs/>
        </w:rPr>
        <w:t xml:space="preserve">Salicylés cutanés + AINS oraux/aspirine</w:t>
      </w:r>
      <w:r>
        <w:t xml:space="preserve"> </w:t>
      </w:r>
      <w:r>
        <w:t xml:space="preserve">: addition des effets et toxicité systémique — éviter l’association.</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 Bismuth : à éviter par prudence aux 1er et 2e trimestres (présence de la fraction salicylique),</w:t>
      </w:r>
      <w:r>
        <w:t xml:space="preserve"> </w:t>
      </w:r>
      <w:r>
        <w:rPr>
          <w:b/>
          <w:bCs/>
        </w:rPr>
        <w:t xml:space="preserve">contre-indiqué au 3e trimestre</w:t>
      </w:r>
      <w:r>
        <w:t xml:space="preserve"> </w:t>
      </w:r>
      <w:r>
        <w:t xml:space="preserve">(fermeture du canal artériel, hémorragie).</w:t>
      </w:r>
      <w:r>
        <w:t xml:space="preserve"> </w:t>
      </w:r>
      <w:r>
        <w:t xml:space="preserve">* Salicylés cutanés : à éviter par prudence pendant la grossesse, en raison du passage percutané de la fraction salicylique.</w:t>
      </w:r>
      <w:r>
        <w:t xml:space="preserve"> </w:t>
      </w:r>
      <w:r>
        <w:t xml:space="preserve">-</w:t>
      </w:r>
      <w:r>
        <w:t xml:space="preserve"> </w:t>
      </w:r>
      <w:r>
        <w:rPr>
          <w:b/>
          <w:bCs/>
        </w:rPr>
        <w:t xml:space="preserve">Allaitement :</w:t>
      </w:r>
      <w:r>
        <w:t xml:space="preserve"> </w:t>
      </w:r>
      <w:r>
        <w:t xml:space="preserve">Bismuth et salicylés cutanés : à éviter par prudence (passage dans le lait maternel du salicylate).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 Bismuth sous-salicylate (Bismutrol) : 2 comprimés (524 mg) toutes les 30 à 60 minutes en cas de diarrhée aiguë, sans dépasser 8 doses (16 comprimés / 4192 mg) par 24 h pendant 2 jours maximum.</w:t>
      </w:r>
      <w:r>
        <w:t xml:space="preserve"> </w:t>
      </w:r>
      <w:r>
        <w:t xml:space="preserve">* Salicylés cutanés : application de la pommade 1 à 3 fois par jour sur la zone douloureuse, massage léger, durée 5–7 jours maximum.</w:t>
      </w:r>
      <w:r>
        <w:t xml:space="preserve"> </w:t>
      </w:r>
      <w:r>
        <w:t xml:space="preserve">-</w:t>
      </w:r>
      <w:r>
        <w:t xml:space="preserve"> </w:t>
      </w:r>
      <w:r>
        <w:rPr>
          <w:b/>
          <w:bCs/>
        </w:rPr>
        <w:t xml:space="preserve">Enfant :</w:t>
      </w:r>
      <w:r>
        <w:t xml:space="preserve"> </w:t>
      </w:r>
      <w:r>
        <w:t xml:space="preserve">Bismuth contre-indiqué &lt; 16 ans (sauf avis spécialisé). Salicylés cutanés contre-indiqués &lt; 16 ans en automédication.</w:t>
      </w:r>
      <w:r>
        <w:t xml:space="preserve"> </w:t>
      </w:r>
      <w:r>
        <w:t xml:space="preserve">-</w:t>
      </w:r>
      <w:r>
        <w:t xml:space="preserve"> </w:t>
      </w:r>
      <w:r>
        <w:rPr>
          <w:b/>
          <w:bCs/>
        </w:rPr>
        <w:t xml:space="preserve">Durée :</w:t>
      </w:r>
      <w:r>
        <w:t xml:space="preserve"> </w:t>
      </w:r>
      <w:r>
        <w:t xml:space="preserve">Diarrhée : 2 jours maximum (au-delà consulter). Douleur musculaire : 7 jours maximum (au-delà consulter).</w:t>
      </w:r>
      <w:r>
        <w:t xml:space="preserve"> </w:t>
      </w:r>
      <w:r>
        <w:t xml:space="preserve">-</w:t>
      </w:r>
      <w:r>
        <w:t xml:space="preserve"> </w:t>
      </w:r>
      <w:r>
        <w:rPr>
          <w:b/>
          <w:bCs/>
        </w:rPr>
        <w:t xml:space="preserve">Moment de prise :</w:t>
      </w:r>
      <w:r>
        <w:t xml:space="preserve"> </w:t>
      </w:r>
      <w:r>
        <w:t xml:space="preserve">Bismuth : en dehors des repas (interaction avec tétracyclines/quinolones si pendant repas). Salicylés cutanés : à n’importe quel moment, sur peau propre et sèche.</w:t>
      </w:r>
    </w:p>
    <w:p>
      <w:pPr>
        <w:pStyle w:val="BodyText"/>
      </w:pPr>
      <w:r>
        <w:rPr>
          <w:b/>
          <w:bCs/>
        </w:rPr>
        <w:t xml:space="preserve">Arbitrage et Bénéfices des Formes Galéniques :</w:t>
      </w:r>
      <w:r>
        <w:t xml:space="preserve"> </w:t>
      </w:r>
      <w:r>
        <w:t xml:space="preserve">-</w:t>
      </w:r>
      <w:r>
        <w:t xml:space="preserve"> </w:t>
      </w:r>
      <w:r>
        <w:rPr>
          <w:b/>
          <w:bCs/>
        </w:rPr>
        <w:t xml:space="preserve">Comprimés de bismuth (Bismutrol 262 mg) :</w:t>
      </w:r>
      <w:r>
        <w:t xml:space="preserve"> </w:t>
      </w:r>
      <w:r>
        <w:t xml:space="preserve">Forme unique disponible en Algérie. Pratique pour usage ambulatoire. À avaler entier avec un grand verre d’eau.</w:t>
      </w:r>
      <w:r>
        <w:t xml:space="preserve"> </w:t>
      </w:r>
      <w:r>
        <w:t xml:space="preserve">-</w:t>
      </w:r>
      <w:r>
        <w:t xml:space="preserve"> </w:t>
      </w:r>
      <w:r>
        <w:rPr>
          <w:b/>
          <w:bCs/>
        </w:rPr>
        <w:t xml:space="preserve">Pommade salicylée (Algesal — retirée) :</w:t>
      </w:r>
      <w:r>
        <w:t xml:space="preserve"> </w:t>
      </w:r>
      <w:r>
        <w:t xml:space="preserve">Forme historique, supplantée par les AINS topiques modernes (kétoprofène gel, diclofénac émulsion). Substitution : proposer au patient un AINS topique disponible (Voltarène Emulgel, Ketum gel).</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Bismuth : « Ce médicament traite la diarrhée en formant un film protecteur sur l’intestin. Prenez-le avec beaucoup d’eau. Vos selles et votre langue peuvent devenir noires — c’est normal et sans danger. »</w:t>
      </w:r>
      <w:r>
        <w:t xml:space="preserve"> </w:t>
      </w:r>
      <w:r>
        <w:t xml:space="preserve">* Salicylés cutanés : « Appliquez sur peau saine uniquement, sans dépasser 7 jours. Ne couvrez pas avec un pansement fermé. Lavez-vous les mains après application. »</w:t>
      </w:r>
      <w:r>
        <w:t xml:space="preserve"> </w:t>
      </w:r>
      <w:r>
        <w:t xml:space="preserve">-</w:t>
      </w:r>
      <w:r>
        <w:t xml:space="preserve"> </w:t>
      </w:r>
      <w:r>
        <w:rPr>
          <w:b/>
          <w:bCs/>
        </w:rPr>
        <w:t xml:space="preserve">Mode d’utilisation pratique :</w:t>
      </w:r>
      <w:r>
        <w:t xml:space="preserve"> </w:t>
      </w:r>
      <w:r>
        <w:t xml:space="preserve">Bismuth : avaler les comprimés entiers, ne pas croquer. Salicylés cutanés : appliquer une noisette de pommade, masser doucement jusqu’à pénétration.</w:t>
      </w:r>
    </w:p>
    <w:p>
      <w:pPr>
        <w:pStyle w:val="BodyText"/>
      </w:pPr>
      <w:r>
        <w:rPr>
          <w:b/>
          <w:bCs/>
        </w:rPr>
        <w:t xml:space="preserve">Notes, Règles d’Or &amp; Pièges au Comptoir :</w:t>
      </w:r>
      <w:r>
        <w:t xml:space="preserve"> </w:t>
      </w:r>
      <w:r>
        <w:t xml:space="preserve">-</w:t>
      </w:r>
      <w:r>
        <w:t xml:space="preserve"> </w:t>
      </w:r>
      <w:r>
        <w:rPr>
          <w:b/>
          <w:bCs/>
        </w:rPr>
        <w:t xml:space="preserve">Piège classique n°1 — Bismuth chez l’enfant &lt; 16 ans :</w:t>
      </w:r>
      <w:r>
        <w:t xml:space="preserve"> </w:t>
      </w:r>
      <w:r>
        <w:t xml:space="preserve">Risque théorique de syndrome de Reye — contre-indication à respecter, préférer le lopéramide (&gt; 12 ans) ou racécadotril (Tiorfan).</w:t>
      </w:r>
      <w:r>
        <w:t xml:space="preserve"> </w:t>
      </w:r>
      <w:r>
        <w:t xml:space="preserve">-</w:t>
      </w:r>
      <w:r>
        <w:t xml:space="preserve"> </w:t>
      </w:r>
      <w:r>
        <w:rPr>
          <w:b/>
          <w:bCs/>
        </w:rPr>
        <w:t xml:space="preserve">Piège classique n°2 — Coloration noire des selles :</w:t>
      </w:r>
      <w:r>
        <w:t xml:space="preserve"> </w:t>
      </w:r>
      <w:r>
        <w:t xml:space="preserve">Bénin, dû au sulfure de bismuth — rassurer le patient, ne pas confondre avec une méléna (qui est liquide et fétide, alors que les selles sous bismuth restent moulées).</w:t>
      </w:r>
      <w:r>
        <w:t xml:space="preserve"> </w:t>
      </w:r>
      <w:r>
        <w:t xml:space="preserve">-</w:t>
      </w:r>
      <w:r>
        <w:t xml:space="preserve"> </w:t>
      </w:r>
      <w:r>
        <w:rPr>
          <w:b/>
          <w:bCs/>
        </w:rPr>
        <w:t xml:space="preserve">Piège classique n°3 — Bismuth + tétracyclines/quinolones</w:t>
      </w:r>
      <w:r>
        <w:t xml:space="preserve"> </w:t>
      </w:r>
      <w:r>
        <w:t xml:space="preserve">: espacer de 2 h.</w:t>
      </w:r>
      <w:r>
        <w:t xml:space="preserve"> </w:t>
      </w:r>
      <w:r>
        <w:t xml:space="preserve">-</w:t>
      </w:r>
      <w:r>
        <w:t xml:space="preserve"> </w:t>
      </w:r>
      <w:r>
        <w:rPr>
          <w:b/>
          <w:bCs/>
        </w:rPr>
        <w:t xml:space="preserve">Règle de prise :</w:t>
      </w:r>
      <w:r>
        <w:t xml:space="preserve"> </w:t>
      </w:r>
      <w:r>
        <w:t xml:space="preserve">Bismuth = 2 comprimés par prise, max 16/jour, max 2 jours. Salicylés cutanés : 7 jours max, peau saine.</w:t>
      </w:r>
      <w:r>
        <w:t xml:space="preserve"> </w:t>
      </w:r>
      <w:r>
        <w:t xml:space="preserve">-</w:t>
      </w:r>
      <w:r>
        <w:t xml:space="preserve"> </w:t>
      </w:r>
      <w:r>
        <w:rPr>
          <w:b/>
          <w:bCs/>
        </w:rPr>
        <w:t xml:space="preserve">Préparation et Conservation :</w:t>
      </w:r>
      <w:r>
        <w:t xml:space="preserve"> </w:t>
      </w:r>
      <w:r>
        <w:t xml:space="preserve">Pommade : tube fermé, &lt; 25 °C. Comprimés de bismuth : &lt; 25 °C, à l’abri de l’humidité.</w:t>
      </w:r>
      <w:r>
        <w:t xml:space="preserve"> </w:t>
      </w:r>
      <w:r>
        <w:t xml:space="preserve">-</w:t>
      </w:r>
      <w:r>
        <w:t xml:space="preserve"> </w:t>
      </w:r>
      <w:r>
        <w:rPr>
          <w:b/>
          <w:bCs/>
        </w:rPr>
        <w:t xml:space="preserve">Piège du surdosage / Substitution :</w:t>
      </w:r>
      <w:r>
        <w:t xml:space="preserve"> </w:t>
      </w:r>
      <w:r>
        <w:t xml:space="preserve">Encéphalopathie bismuthique en cas d’usage prolongé (rares cas rapportés avec antérieurs anti-ulcéreux à base de bismuth en Algérie) — ne jamais dépasser 10 jours. Pour l’Algesal retiré, substituer par AINS topique moderne.</w:t>
      </w:r>
    </w:p>
    <w:p>
      <w:r>
        <w:pict>
          <v:rect style="width:0;height:1.5pt" o:hralign="center" o:hrstd="t" o:hr="t"/>
        </w:pict>
      </w:r>
    </w:p>
    <w:bookmarkEnd w:id="45"/>
    <w:bookmarkEnd w:id="46"/>
    <w:bookmarkStart w:id="48" w:name="X1954c61040911ea63c165e6823463897e24c784"/>
    <w:p>
      <w:pPr>
        <w:pStyle w:val="Heading2"/>
      </w:pPr>
      <w:r>
        <w:t xml:space="preserve">4. Sous-classe : Antalgiques palier I — Associations aspirine (Aspirine + Caféine ± Vitamine C)</w:t>
      </w:r>
    </w:p>
    <w:p>
      <w:pPr>
        <w:pStyle w:val="FirstParagraph"/>
      </w:pPr>
      <w:r>
        <w:t xml:space="preserve">Les associations fixes d’aspirine avec de la caféine et/ou de la vitamine C ont connu un essor commercial important à partir des années 1960, en particulier sous l’impulsion d’UPSA (Aspro, Aspirine du Rhône) et Bayer. L’objectif affiché est de potentialiser l’effet antalgique de l’aspirine par la caféine (modulateur adénosine/PG cérébral) et de réduire la sensation de fatigue par la vitamine C. La justification pharmacologique de ces associations fixes est discutée : la caféine à 50–65 mg potentialise modestement l’effet antalgique de l’aspirine (NNT amélioré d’environ 5–10 % selon métanalyses Cochrane), mais expose au risque de céphalées de rebond en cas d’usage prolongé (&gt; 10 jours par mois) ; la vitamine C n’a pas d’effet antalgique démontré mais améliore l’absorption de l’aspirine et fournit un effet antioxydant systémique. En Algérie, deux spécialités sont actuellement disponibles :</w:t>
      </w:r>
      <w:r>
        <w:t xml:space="preserve"> </w:t>
      </w:r>
      <w:r>
        <w:rPr>
          <w:b/>
          <w:bCs/>
        </w:rPr>
        <w:t xml:space="preserve">Aspro Accel</w:t>
      </w:r>
      <w:r>
        <w:t xml:space="preserve"> </w:t>
      </w:r>
      <w:r>
        <w:t xml:space="preserve">(Bayer Santé Familiale) et</w:t>
      </w:r>
      <w:r>
        <w:t xml:space="preserve"> </w:t>
      </w:r>
      <w:r>
        <w:rPr>
          <w:b/>
          <w:bCs/>
        </w:rPr>
        <w:t xml:space="preserve">Anti Grip</w:t>
      </w:r>
      <w:r>
        <w:t xml:space="preserve"> </w:t>
      </w:r>
      <w:r>
        <w:t xml:space="preserve">(Sanamed).</w:t>
      </w:r>
    </w:p>
    <w:p>
      <w:r>
        <w:pict>
          <v:rect style="width:0;height:1.5pt" o:hralign="center" o:hrstd="t" o:hr="t"/>
        </w:pict>
      </w:r>
    </w:p>
    <w:bookmarkStart w:id="47" w:name="X42c6208bab20e4d2e4691de5eb055396044ebbe"/>
    <w:p>
      <w:pPr>
        <w:pStyle w:val="Heading3"/>
      </w:pPr>
      <w:r>
        <w:t xml:space="preserve">4.1. DCI : Acide acétylsalicylique + Caféine + Vitamine C (En Association)</w:t>
      </w:r>
    </w:p>
    <w:p>
      <w:pPr>
        <w:pStyle w:val="FirstParagraph"/>
      </w:pPr>
      <w:r>
        <w:rPr>
          <w:b/>
          <w:bCs/>
        </w:rPr>
        <w:t xml:space="preserve">Liste des Catégories :</w:t>
      </w:r>
      <w:r>
        <w:t xml:space="preserve"> </w:t>
      </w:r>
      <w:r>
        <w:t xml:space="preserve">Antalgique non opioïde (association) ; Antipyrétique ; Palier I OMS.</w:t>
      </w:r>
    </w:p>
    <w:p>
      <w:pPr>
        <w:pStyle w:val="BodyText"/>
      </w:pPr>
      <w:r>
        <w:rPr>
          <w:b/>
          <w:bCs/>
        </w:rPr>
        <w:t xml:space="preserve">Particularité pharmacocinétique :</w:t>
      </w:r>
      <w:r>
        <w:t xml:space="preserve"> </w:t>
      </w:r>
      <w:r>
        <w:t xml:space="preserve">L’aspirine est absorbée rapidement (pic 20–30 min), la caféine également (pic 30–60 min, biodisponibilité 100 %). La vitamine C (acide ascorbique) à 200 mg est absorbée par transporteur sodium-dépendant SVCT1/2 — saturation à forte dose. Demi-vie caféine : 3–7 h (allongée en grossesse, contraceptifs oraux, cirrhose ; raccourcie par tabac). Demi-vie vitamine C : 8–40 jours. La potentialisation pharmacodynamique (caféine) estmaximale entre 30 min et 2 h après la prise.</w:t>
      </w:r>
    </w:p>
    <w:p>
      <w:pPr>
        <w:pStyle w:val="BodyText"/>
      </w:pPr>
      <w:r>
        <w:rPr>
          <w:b/>
          <w:bCs/>
        </w:rPr>
        <w:t xml:space="preserve">Médicaments disponibles en Algérie (Marques, Laboratoires, Formes et Dosages) :</w:t>
      </w:r>
    </w:p>
    <w:p>
      <w:pPr>
        <w:pStyle w:val="BodyText"/>
      </w:pPr>
      <w:r>
        <w:rPr>
          <w:i/>
          <w:iCs/>
        </w:rPr>
        <w:t xml:space="preserve">Formes actives :</w:t>
      </w:r>
      <w:r>
        <w:t xml:space="preserve"> </w:t>
      </w:r>
      <w:r>
        <w:t xml:space="preserve">-</w:t>
      </w:r>
      <w:r>
        <w:t xml:space="preserve"> </w:t>
      </w:r>
      <w:r>
        <w:rPr>
          <w:b/>
          <w:bCs/>
        </w:rPr>
        <w:t xml:space="preserve">ASPRO ACCEL</w:t>
      </w:r>
      <w:r>
        <w:t xml:space="preserve"> </w:t>
      </w:r>
      <w:r>
        <w:t xml:space="preserve">(BAYER SANTE FAMILIALE) — Comprimé pelliculé sécable 500 mg AAS / 50 mg caféine, B/20 — Statut : Actif</w:t>
      </w:r>
    </w:p>
    <w:p>
      <w:pPr>
        <w:pStyle w:val="BodyText"/>
      </w:pPr>
      <w:r>
        <w:rPr>
          <w:i/>
          <w:iCs/>
        </w:rPr>
        <w:t xml:space="preserve">Formes non renouvelables :</w:t>
      </w:r>
      <w:r>
        <w:t xml:space="preserve"> </w:t>
      </w:r>
      <w:r>
        <w:t xml:space="preserve">-</w:t>
      </w:r>
      <w:r>
        <w:t xml:space="preserve"> </w:t>
      </w:r>
      <w:r>
        <w:rPr>
          <w:b/>
          <w:bCs/>
        </w:rPr>
        <w:t xml:space="preserve">ANTI GRIP</w:t>
      </w:r>
      <w:r>
        <w:t xml:space="preserve"> </w:t>
      </w:r>
      <w:r>
        <w:t xml:space="preserve">(SANAMED) — Comprimé 450 mg AAS / 20 mg caféine / 20 mg vitamine C, B/20 — Statut : Non Renouvelable</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Association antalgique palier I (aspirine + caféine ± vitamine C).</w:t>
      </w:r>
      <w:r>
        <w:t xml:space="preserve"> </w:t>
      </w:r>
      <w:r>
        <w:t xml:space="preserve">-</w:t>
      </w:r>
      <w:r>
        <w:t xml:space="preserve"> </w:t>
      </w:r>
      <w:r>
        <w:rPr>
          <w:b/>
          <w:bCs/>
        </w:rPr>
        <w:t xml:space="preserve">Mécanisme d’action :</w:t>
      </w:r>
      <w:r>
        <w:t xml:space="preserve"> </w:t>
      </w:r>
      <w:r>
        <w:t xml:space="preserve">*</w:t>
      </w:r>
      <w:r>
        <w:t xml:space="preserve"> </w:t>
      </w:r>
      <w:r>
        <w:rPr>
          <w:b/>
          <w:bCs/>
        </w:rPr>
        <w:t xml:space="preserve">Acide acétylsalicylique</w:t>
      </w:r>
      <w:r>
        <w:t xml:space="preserve"> </w:t>
      </w:r>
      <w:r>
        <w:t xml:space="preserve">: inhibition irréversible COX-1/COX-2 → blocage de la synthèse des prostaglandines (effet antalgique, antipyrétique, anti-inflammatoire).</w:t>
      </w:r>
      <w:r>
        <w:t xml:space="preserve"> </w:t>
      </w:r>
      <w:r>
        <w:t xml:space="preserve">*</w:t>
      </w:r>
      <w:r>
        <w:t xml:space="preserve"> </w:t>
      </w:r>
      <w:r>
        <w:rPr>
          <w:b/>
          <w:bCs/>
        </w:rPr>
        <w:t xml:space="preserve">Caféine</w:t>
      </w:r>
      <w:r>
        <w:t xml:space="preserve"> </w:t>
      </w:r>
      <w:r>
        <w:t xml:space="preserve">: antagoniste non sélectif des récepteurs adénosine A1/A2A → levée de l’inhibition adénosinergique de la transmission nociceptive centrale, potentialisation de l’effet antalgique des antalgiques (régulation positive de la voie sérotoninergique). Modestement vasoconstrictrice cérébrale (intérêt dans les céphalées vasculaires).</w:t>
      </w:r>
      <w:r>
        <w:t xml:space="preserve"> </w:t>
      </w:r>
      <w:r>
        <w:t xml:space="preserve">*</w:t>
      </w:r>
      <w:r>
        <w:t xml:space="preserve"> </w:t>
      </w:r>
      <w:r>
        <w:rPr>
          <w:b/>
          <w:bCs/>
        </w:rPr>
        <w:t xml:space="preserve">Vitamine C (acide ascorbique)</w:t>
      </w:r>
      <w:r>
        <w:t xml:space="preserve"> </w:t>
      </w:r>
      <w:r>
        <w:t xml:space="preserve">: cofacteur de la dopamine β-hydroxylase et de la prolyl-hydroxylase (synthèse catécholamines et collagène), antioxydant systémique — effet antifatigue, amélioration de l’absorption de l’aspirine par acidification gastrique.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Traitement symptomatique des douleurs légères à modérées (céphalées, douleurs dentaires, douleurs musculaires, douleurs articulaires, dysménorrhées) en particulier celles associées à une fatigue. Traitement symptomatique de la fièvre.</w:t>
      </w:r>
      <w:r>
        <w:t xml:space="preserve"> </w:t>
      </w:r>
      <w:r>
        <w:t xml:space="preserve">-</w:t>
      </w:r>
      <w:r>
        <w:t xml:space="preserve"> </w:t>
      </w:r>
      <w:r>
        <w:rPr>
          <w:b/>
          <w:bCs/>
        </w:rPr>
        <w:t xml:space="preserve">Contre-indications :</w:t>
      </w:r>
      <w:r>
        <w:t xml:space="preserve"> </w:t>
      </w:r>
      <w:r>
        <w:t xml:space="preserve">Same que l’aspirine seule (enfant &lt; 16 ans, ulcère actif, hémophilie, grossesse 3e trimestre, asthme AINS, allergie) + contre-indications liées à la caféine : insomnie, anxiété sévère, troubles du rythme supraventriculaire (caféine), hypertension artérielle sévère non contrôlée.</w:t>
      </w:r>
      <w:r>
        <w:t xml:space="preserve"> </w:t>
      </w:r>
      <w:r>
        <w:t xml:space="preserve">-</w:t>
      </w:r>
      <w:r>
        <w:t xml:space="preserve"> </w:t>
      </w:r>
      <w:r>
        <w:rPr>
          <w:b/>
          <w:bCs/>
        </w:rPr>
        <w:t xml:space="preserve">Effets Indésirables :</w:t>
      </w:r>
      <w:r>
        <w:t xml:space="preserve"> </w:t>
      </w:r>
      <w:r>
        <w:t xml:space="preserve">* Ceux de l’aspirine (digestifs, hémorragiques, rénaux, syndrome de Reye).</w:t>
      </w:r>
      <w:r>
        <w:t xml:space="preserve"> </w:t>
      </w:r>
      <w:r>
        <w:t xml:space="preserve">* Ceux de la caféine : agitation, nervosité, insomnie, tachycardie, palpitations, tremblements, céphalées de rebond (usage prolongé).</w:t>
      </w:r>
      <w:r>
        <w:t xml:space="preserve"> </w:t>
      </w:r>
      <w:r>
        <w:t xml:space="preserve">* Vitamine C à 200 mg : exceptionnels (diarrhée à doses &gt; 1 g/j, lithiase urinaire oxalique/calcique en usage prolongé à forte dose).</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Respecter la dose maximale 3 g/j en 24 h (soit 6 comprimés Aspro Accel). Ne pas prendre en fin de journée (caféine — insomnie). Éviter l’association avec d’autres sources de caféine (café, thé, boissons énergisantes) — risque de surdosage caféinique (400 mg/j max adulte, 200 mg/j femme enceinte). Prise pendant repas.</w:t>
      </w:r>
      <w:r>
        <w:t xml:space="preserve"> </w:t>
      </w:r>
      <w:r>
        <w:t xml:space="preserve">-</w:t>
      </w:r>
      <w:r>
        <w:t xml:space="preserve"> </w:t>
      </w:r>
      <w:r>
        <w:rPr>
          <w:b/>
          <w:bCs/>
        </w:rPr>
        <w:t xml:space="preserve">Conduite à Tenir :</w:t>
      </w:r>
      <w:r>
        <w:t xml:space="preserve"> </w:t>
      </w:r>
      <w:r>
        <w:t xml:space="preserve">Céphalées de rebond : arrêt progressif, substitution par paracétamol seul pendant 2–4 semaines. Insomnie : décaler la dernière prise à 16 h maximum.</w:t>
      </w:r>
    </w:p>
    <w:p>
      <w:pPr>
        <w:pStyle w:val="BodyText"/>
      </w:pPr>
      <w:r>
        <w:rPr>
          <w:b/>
          <w:bCs/>
        </w:rPr>
        <w:t xml:space="preserve">Interactions Importantes :</w:t>
      </w:r>
      <w:r>
        <w:t xml:space="preserve"> </w:t>
      </w:r>
      <w:r>
        <w:t xml:space="preserve">-</w:t>
      </w:r>
      <w:r>
        <w:t xml:space="preserve"> </w:t>
      </w:r>
      <w:r>
        <w:rPr>
          <w:b/>
          <w:bCs/>
        </w:rPr>
        <w:t xml:space="preserve">Aspirine + AINS oraux</w:t>
      </w:r>
      <w:r>
        <w:t xml:space="preserve"> </w:t>
      </w:r>
      <w:r>
        <w:t xml:space="preserve">: addition toxicité digestive (contre-indication).</w:t>
      </w:r>
      <w:r>
        <w:t xml:space="preserve"> </w:t>
      </w:r>
      <w:r>
        <w:t xml:space="preserve">-</w:t>
      </w:r>
      <w:r>
        <w:t xml:space="preserve"> </w:t>
      </w:r>
      <w:r>
        <w:rPr>
          <w:b/>
          <w:bCs/>
        </w:rPr>
        <w:t xml:space="preserve">Aspirine + AVK/AOD</w:t>
      </w:r>
      <w:r>
        <w:t xml:space="preserve"> </w:t>
      </w:r>
      <w:r>
        <w:t xml:space="preserve">: risque hémorragique majeur.</w:t>
      </w:r>
      <w:r>
        <w:t xml:space="preserve"> </w:t>
      </w:r>
      <w:r>
        <w:t xml:space="preserve">-</w:t>
      </w:r>
      <w:r>
        <w:t xml:space="preserve"> </w:t>
      </w:r>
      <w:r>
        <w:rPr>
          <w:b/>
          <w:bCs/>
        </w:rPr>
        <w:t xml:space="preserve">Caféine + théophylline</w:t>
      </w:r>
      <w:r>
        <w:t xml:space="preserve"> </w:t>
      </w:r>
      <w:r>
        <w:t xml:space="preserve">: addition des effets (risque de surdosage methylxanthine).</w:t>
      </w:r>
      <w:r>
        <w:t xml:space="preserve"> </w:t>
      </w:r>
      <w:r>
        <w:t xml:space="preserve">-</w:t>
      </w:r>
      <w:r>
        <w:t xml:space="preserve"> </w:t>
      </w:r>
      <w:r>
        <w:rPr>
          <w:b/>
          <w:bCs/>
        </w:rPr>
        <w:t xml:space="preserve">Caféine + éphédrine/ISRS/triptans</w:t>
      </w:r>
      <w:r>
        <w:t xml:space="preserve"> </w:t>
      </w:r>
      <w:r>
        <w:t xml:space="preserve">: potentialisation des effets centraux.</w:t>
      </w:r>
      <w:r>
        <w:t xml:space="preserve"> </w:t>
      </w:r>
      <w:r>
        <w:t xml:space="preserve">-</w:t>
      </w:r>
      <w:r>
        <w:t xml:space="preserve"> </w:t>
      </w:r>
      <w:r>
        <w:rPr>
          <w:b/>
          <w:bCs/>
        </w:rPr>
        <w:t xml:space="preserve">Caféine + contraceptifs oraux</w:t>
      </w:r>
      <w:r>
        <w:t xml:space="preserve"> </w:t>
      </w:r>
      <w:r>
        <w:t xml:space="preserve">: allongement de la demi-vie de la caféine (diminution de la clairance hépatique).</w:t>
      </w:r>
      <w:r>
        <w:t xml:space="preserve"> </w:t>
      </w:r>
      <w:r>
        <w:t xml:space="preserve">-</w:t>
      </w:r>
      <w:r>
        <w:t xml:space="preserve"> </w:t>
      </w:r>
      <w:r>
        <w:rPr>
          <w:b/>
          <w:bCs/>
        </w:rPr>
        <w:t xml:space="preserve">Vitamine C + aluminium (anti-acides)</w:t>
      </w:r>
      <w:r>
        <w:t xml:space="preserve"> </w:t>
      </w:r>
      <w:r>
        <w:t xml:space="preserve">: augmentation de l’absorption de l’aluminium — espacer.</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Contre-indiqué au 3e trimestre (aspirine). À éviter aux 1er et 2e trimestres. Caféine &lt; 200 mg/j autorisée en grossesse — la dose de 50 mg par comprimé est compatible.</w:t>
      </w:r>
      <w:r>
        <w:t xml:space="preserve"> </w:t>
      </w:r>
      <w:r>
        <w:t xml:space="preserve">-</w:t>
      </w:r>
      <w:r>
        <w:t xml:space="preserve"> </w:t>
      </w:r>
      <w:r>
        <w:rPr>
          <w:b/>
          <w:bCs/>
        </w:rPr>
        <w:t xml:space="preserve">Allaitement :</w:t>
      </w:r>
      <w:r>
        <w:t xml:space="preserve"> </w:t>
      </w:r>
      <w:r>
        <w:t xml:space="preserve">Contre-indiqué en raison de l’aspirine (passage dans le lait, risque thrombocytopénie et syndrome de Reye).</w:t>
      </w:r>
      <w:r>
        <w:t xml:space="preserve"> </w:t>
      </w:r>
      <w:r>
        <w:t xml:space="preserve">-</w:t>
      </w:r>
      <w:r>
        <w:t xml:space="preserve"> </w:t>
      </w:r>
      <w:r>
        <w:rPr>
          <w:b/>
          <w:bCs/>
        </w:rPr>
        <w:t xml:space="preserve">Précisions :</w:t>
      </w:r>
      <w:r>
        <w:t xml:space="preserve"> </w:t>
      </w:r>
      <w:r>
        <w:t xml:space="preserve">Substituer par paracétamol en cas de douleur pendant la grossesse ou l’allaitement.</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1 à 2 comprimés par prise (500 mg à 1 g d’aspirine), à renouveler si besoin, espacé de 6 h minimum,</w:t>
      </w:r>
      <w:r>
        <w:t xml:space="preserve"> </w:t>
      </w:r>
      <w:r>
        <w:rPr>
          <w:b/>
          <w:bCs/>
        </w:rPr>
        <w:t xml:space="preserve">max 3 g/j aspirine (6 comprimés Aspro Accel), pendant 3–5 jours maximum sans avis médical.</w:t>
      </w:r>
      <w:r>
        <w:t xml:space="preserve"> </w:t>
      </w:r>
      <w:r>
        <w:t xml:space="preserve">-</w:t>
      </w:r>
      <w:r>
        <w:t xml:space="preserve"> </w:t>
      </w:r>
      <w:r>
        <w:rPr>
          <w:b/>
          <w:bCs/>
        </w:rPr>
        <w:t xml:space="preserve">Enfant :</w:t>
      </w:r>
      <w:r>
        <w:t xml:space="preserve"> </w:t>
      </w:r>
      <w:r>
        <w:t xml:space="preserve">Contre-indiqué &lt; 16 ans.</w:t>
      </w:r>
      <w:r>
        <w:t xml:space="preserve"> </w:t>
      </w:r>
      <w:r>
        <w:t xml:space="preserve">-</w:t>
      </w:r>
      <w:r>
        <w:t xml:space="preserve"> </w:t>
      </w:r>
      <w:r>
        <w:rPr>
          <w:b/>
          <w:bCs/>
        </w:rPr>
        <w:t xml:space="preserve">Durée :</w:t>
      </w:r>
      <w:r>
        <w:t xml:space="preserve"> </w:t>
      </w:r>
      <w:r>
        <w:t xml:space="preserve">3 à 5 jours en cas de douleur, 3 jours en cas de fièvre.</w:t>
      </w:r>
      <w:r>
        <w:t xml:space="preserve"> </w:t>
      </w:r>
      <w:r>
        <w:t xml:space="preserve">-</w:t>
      </w:r>
      <w:r>
        <w:t xml:space="preserve"> </w:t>
      </w:r>
      <w:r>
        <w:rPr>
          <w:b/>
          <w:bCs/>
        </w:rPr>
        <w:t xml:space="preserve">Moment de prise :</w:t>
      </w:r>
      <w:r>
        <w:t xml:space="preserve"> </w:t>
      </w:r>
      <w:r>
        <w:t xml:space="preserve">Pendant les repas, éviter le soir (caféine).</w:t>
      </w:r>
    </w:p>
    <w:p>
      <w:pPr>
        <w:pStyle w:val="BodyText"/>
      </w:pPr>
      <w:r>
        <w:rPr>
          <w:b/>
          <w:bCs/>
        </w:rPr>
        <w:t xml:space="preserve">Arbitrage et Bénéfices des Formes Galéniques :</w:t>
      </w:r>
      <w:r>
        <w:t xml:space="preserve"> </w:t>
      </w:r>
      <w:r>
        <w:t xml:space="preserve">-</w:t>
      </w:r>
      <w:r>
        <w:t xml:space="preserve"> </w:t>
      </w:r>
      <w:r>
        <w:rPr>
          <w:b/>
          <w:bCs/>
        </w:rPr>
        <w:t xml:space="preserve">Comprimé pelliculé sécable (Aspro Accel)</w:t>
      </w:r>
      <w:r>
        <w:t xml:space="preserve"> </w:t>
      </w:r>
      <w:r>
        <w:t xml:space="preserve">: forme de référence, sécabilité pour adaptation posologique à 250 mg AAS / 25 mg caféine. Pelliculage facilitant la déglutition et masquant le goût.</w:t>
      </w:r>
      <w:r>
        <w:t xml:space="preserve"> </w:t>
      </w:r>
      <w:r>
        <w:t xml:space="preserve">-</w:t>
      </w:r>
      <w:r>
        <w:t xml:space="preserve"> </w:t>
      </w:r>
      <w:r>
        <w:rPr>
          <w:b/>
          <w:bCs/>
        </w:rPr>
        <w:t xml:space="preserve">Comprimé Anti Grip (NR)</w:t>
      </w:r>
      <w:r>
        <w:t xml:space="preserve"> </w:t>
      </w:r>
      <w:r>
        <w:t xml:space="preserve">: dosage réduit (450/20/20), formulation gripale. Substitut possible pour adultes sensibles à la caféine.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 Ce médicament associe aspirine, caféine et vitamine C pour traiter la douleur et la fatigue. Prenez-le pendant les repas, évitez le soir. »</w:t>
      </w:r>
      <w:r>
        <w:t xml:space="preserve"> </w:t>
      </w:r>
      <w:r>
        <w:t xml:space="preserve">* « Ne dépassez pas 6 comprimés par jour. Ne l’associez pas avec d’autres antalgiques ou sources de caféine (café, thé, boissons énergisantes). »</w:t>
      </w:r>
      <w:r>
        <w:t xml:space="preserve"> </w:t>
      </w:r>
      <w:r>
        <w:t xml:space="preserve">* « Contre-indiqué chez l’enfant de moins de 16 ans et la femme enceinte. »</w:t>
      </w:r>
      <w:r>
        <w:t xml:space="preserve"> </w:t>
      </w:r>
      <w:r>
        <w:t xml:space="preserve">-</w:t>
      </w:r>
      <w:r>
        <w:t xml:space="preserve"> </w:t>
      </w:r>
      <w:r>
        <w:rPr>
          <w:b/>
          <w:bCs/>
        </w:rPr>
        <w:t xml:space="preserve">Mode d’utilisation pratique :</w:t>
      </w:r>
      <w:r>
        <w:t xml:space="preserve"> </w:t>
      </w:r>
      <w:r>
        <w:t xml:space="preserve">Avaler avec un grand verre d’eau, pendant le repas. En cas d’oubli, ne pas doubler la prise.</w:t>
      </w:r>
    </w:p>
    <w:p>
      <w:pPr>
        <w:pStyle w:val="BodyText"/>
      </w:pPr>
      <w:r>
        <w:rPr>
          <w:b/>
          <w:bCs/>
        </w:rPr>
        <w:t xml:space="preserve">Notes, Règles d’Or &amp; Pièges au Comptoir :</w:t>
      </w:r>
      <w:r>
        <w:t xml:space="preserve"> </w:t>
      </w:r>
      <w:r>
        <w:t xml:space="preserve">-</w:t>
      </w:r>
      <w:r>
        <w:t xml:space="preserve"> </w:t>
      </w:r>
      <w:r>
        <w:rPr>
          <w:b/>
          <w:bCs/>
        </w:rPr>
        <w:t xml:space="preserve">Piège classique n°1 — Céphalées de rebond :</w:t>
      </w:r>
      <w:r>
        <w:t xml:space="preserve"> </w:t>
      </w:r>
      <w:r>
        <w:t xml:space="preserve">Usage prolongé (&gt; 10 jours/mois) → céphalées chroniques quotidiennes par effet de la caféine (sensibilisation des récepteurs adénosine). Limiter la durée d’utilisation.</w:t>
      </w:r>
      <w:r>
        <w:t xml:space="preserve"> </w:t>
      </w:r>
      <w:r>
        <w:t xml:space="preserve">-</w:t>
      </w:r>
      <w:r>
        <w:t xml:space="preserve"> </w:t>
      </w:r>
      <w:r>
        <w:rPr>
          <w:b/>
          <w:bCs/>
        </w:rPr>
        <w:t xml:space="preserve">Piège classique n°2 — Insomnie iatrogène :</w:t>
      </w:r>
      <w:r>
        <w:t xml:space="preserve"> </w:t>
      </w:r>
      <w:r>
        <w:t xml:space="preserve">Prise vespérale → insomnie — décaler la dernière prise à 16 h.</w:t>
      </w:r>
      <w:r>
        <w:t xml:space="preserve"> </w:t>
      </w:r>
      <w:r>
        <w:t xml:space="preserve">-</w:t>
      </w:r>
      <w:r>
        <w:t xml:space="preserve"> </w:t>
      </w:r>
      <w:r>
        <w:rPr>
          <w:b/>
          <w:bCs/>
        </w:rPr>
        <w:t xml:space="preserve">Piège classique n°3 — Association à d’autres sources de caféine</w:t>
      </w:r>
      <w:r>
        <w:t xml:space="preserve"> </w:t>
      </w:r>
      <w:r>
        <w:t xml:space="preserve">: sommation des effets (café, boissons énergisantes, compléments minceur).</w:t>
      </w:r>
      <w:r>
        <w:t xml:space="preserve"> </w:t>
      </w:r>
      <w:r>
        <w:t xml:space="preserve">-</w:t>
      </w:r>
      <w:r>
        <w:t xml:space="preserve"> </w:t>
      </w:r>
      <w:r>
        <w:rPr>
          <w:b/>
          <w:bCs/>
        </w:rPr>
        <w:t xml:space="preserve">Règle de prise :</w:t>
      </w:r>
      <w:r>
        <w:t xml:space="preserve"> </w:t>
      </w:r>
      <w:r>
        <w:t xml:space="preserve">Max 6 comprimés/jour, pendant les repas, dernière prise avant 16 h, durée 3–5 jours.</w:t>
      </w:r>
      <w:r>
        <w:t xml:space="preserve"> </w:t>
      </w:r>
      <w:r>
        <w:t xml:space="preserve">-</w:t>
      </w:r>
      <w:r>
        <w:t xml:space="preserve"> </w:t>
      </w:r>
      <w:r>
        <w:rPr>
          <w:b/>
          <w:bCs/>
        </w:rPr>
        <w:t xml:space="preserve">Préparation et Conservation :</w:t>
      </w:r>
      <w:r>
        <w:t xml:space="preserve"> </w:t>
      </w:r>
      <w:r>
        <w:t xml:space="preserve">&lt; 25 °C, à l’abri de l’humidité.</w:t>
      </w:r>
      <w:r>
        <w:t xml:space="preserve"> </w:t>
      </w:r>
      <w:r>
        <w:t xml:space="preserve">-</w:t>
      </w:r>
      <w:r>
        <w:t xml:space="preserve"> </w:t>
      </w:r>
      <w:r>
        <w:rPr>
          <w:b/>
          <w:bCs/>
        </w:rPr>
        <w:t xml:space="preserve">Piège du surdosage / Substitution :</w:t>
      </w:r>
      <w:r>
        <w:t xml:space="preserve"> </w:t>
      </w:r>
      <w:r>
        <w:t xml:space="preserve">En cas de contre-indication à l’aspirine (enfant, femme enceinte, ATCD ulcereux), substituer par paracétamol sans caféine.</w:t>
      </w:r>
    </w:p>
    <w:p>
      <w:r>
        <w:pict>
          <v:rect style="width:0;height:1.5pt" o:hralign="center" o:hrstd="t" o:hr="t"/>
        </w:pict>
      </w:r>
    </w:p>
    <w:bookmarkEnd w:id="47"/>
    <w:bookmarkEnd w:id="48"/>
    <w:bookmarkStart w:id="50" w:name="X8f0ef7cd7eec10ac7e65341389da735ad6488f7"/>
    <w:p>
      <w:pPr>
        <w:pStyle w:val="Heading2"/>
      </w:pPr>
      <w:r>
        <w:t xml:space="preserve">5. Sous-classe : Antalgiques palier I — Associations aspirine cardiovasculaire (Clopidogrel + Aspirine)</w:t>
      </w:r>
    </w:p>
    <w:p>
      <w:pPr>
        <w:pStyle w:val="FirstParagraph"/>
      </w:pPr>
      <w:r>
        <w:t xml:space="preserve">La bithérapie antiagrégante plaquettaire (DAPT) associant l’aspirine (anti-COX-1) à un inhibiteur du récepteur P2Y12 de l’ADP (clopidogrel, prasugrel ou ticagrelor) est le traitement de référence de la prévention secondaire des événements thrombotiques artériels en cardiologie interventionnelle (post-stent coronarien), après syndrome coronarien aigu (SCA ST+ ou ST−) et après AVC ischémique non cardioembolique de sévérité modérée (selon recommandations ESUS/CHAARIS). En Algérie, l’association fixe clopidogrel 75 mg + aspirine 75 mg est commercialisée sous le nom de</w:t>
      </w:r>
      <w:r>
        <w:t xml:space="preserve"> </w:t>
      </w:r>
      <w:r>
        <w:rPr>
          <w:b/>
          <w:bCs/>
        </w:rPr>
        <w:t xml:space="preserve">Cardioflux</w:t>
      </w:r>
      <w:r>
        <w:t xml:space="preserve"> </w:t>
      </w:r>
      <w:r>
        <w:t xml:space="preserve">(Biovital), mais son statut est Non Renouvelable — son utilisation pratique reste donc limitée et les patients reçoivent le plus souvent les deux molécules séparément (aspirine 100 mg + clopidogrel 75 mg Plavix/Clopidogrel générique). Cette fiche rappelle les caractéristiques pharmacologiques et les règles de bon usage de la bithérapie antiplaquettaire.</w:t>
      </w:r>
    </w:p>
    <w:p>
      <w:r>
        <w:pict>
          <v:rect style="width:0;height:1.5pt" o:hralign="center" o:hrstd="t" o:hr="t"/>
        </w:pict>
      </w:r>
    </w:p>
    <w:bookmarkStart w:id="49" w:name="Xbca1116666373998b8aea3db7b4e5fab487e1c0"/>
    <w:p>
      <w:pPr>
        <w:pStyle w:val="Heading3"/>
      </w:pPr>
      <w:r>
        <w:t xml:space="preserve">5.1. DCI : Clopidogrel + Acide acétylsalicylique (En Association)</w:t>
      </w:r>
    </w:p>
    <w:p>
      <w:pPr>
        <w:pStyle w:val="FirstParagraph"/>
      </w:pPr>
      <w:r>
        <w:rPr>
          <w:b/>
          <w:bCs/>
        </w:rPr>
        <w:t xml:space="preserve">Liste des Catégories :</w:t>
      </w:r>
      <w:r>
        <w:t xml:space="preserve"> </w:t>
      </w:r>
      <w:r>
        <w:t xml:space="preserve">Antiagrégant plaquettaire (association) ; Antithrombotique ; Médicament cardiovasculaire.</w:t>
      </w:r>
    </w:p>
    <w:p>
      <w:pPr>
        <w:pStyle w:val="BodyText"/>
      </w:pPr>
      <w:r>
        <w:rPr>
          <w:b/>
          <w:bCs/>
        </w:rPr>
        <w:t xml:space="preserve">Particularité pharmacocinétique :</w:t>
      </w:r>
      <w:r>
        <w:t xml:space="preserve"> </w:t>
      </w:r>
      <w:r>
        <w:t xml:space="preserve">Le clopidogrel est une prodrogue inactive, absorbée rapidement (biodisponibilité ~ 50 %), nécessitant une bioactivation hépatique en deux étapes enzymatiques (CYP2C19 principalement, accessoirement CYP3A4, CYP2B6, CYP1A2) pour générer le métabolite actif thiol. Ce métabolite actif forme une liaison covalente disulfure irréversible avec le récepteur P2Y12 plaquettaire → inhibition de l’activation plaquettaire par l’ADP pendant toute la durée de vie plaquettaire (7–10 jours). Polymorphisme génétique du CYP2C19 (patients métaboliseurs lents</w:t>
      </w:r>
      <w:r>
        <w:t xml:space="preserve"> </w:t>
      </w:r>
      <w:r>
        <w:rPr>
          <w:i/>
          <w:iCs/>
        </w:rPr>
        <w:t xml:space="preserve">2,</w:t>
      </w:r>
      <w:r>
        <w:rPr>
          <w:i/>
          <w:iCs/>
        </w:rPr>
        <w:t xml:space="preserve"> </w:t>
      </w:r>
      <w:r>
        <w:t xml:space="preserve">3) → diminution de l’efficacité (risque d’événement thrombotique majoré). La demi-vie plasmatique du métabolite actif est très courte (~ 30 min) mais son effet persiste 7–10 jours. L’aspirine est activée en 15–20 min, acétylation irréversible de la COX-1 plaquettaire. Les deux composants agissent en synergie sur deux voies distinctes de l’activation plaquettaire (TXA2 et ADP) → inhibition quasi complète de l’agrégation plaquettaire.</w:t>
      </w:r>
    </w:p>
    <w:p>
      <w:pPr>
        <w:pStyle w:val="BodyText"/>
      </w:pPr>
      <w:r>
        <w:rPr>
          <w:b/>
          <w:bCs/>
        </w:rPr>
        <w:t xml:space="preserve">Médicaments disponibles en Algérie (Marques, Laboratoires, Formes et Dosages) :</w:t>
      </w:r>
    </w:p>
    <w:p>
      <w:pPr>
        <w:pStyle w:val="BodyText"/>
      </w:pPr>
      <w:r>
        <w:rPr>
          <w:i/>
          <w:iCs/>
        </w:rPr>
        <w:t xml:space="preserve">Formes disponibles :</w:t>
      </w:r>
      <w:r>
        <w:t xml:space="preserve"> </w:t>
      </w:r>
      <w:r>
        <w:t xml:space="preserve">-</w:t>
      </w:r>
      <w:r>
        <w:t xml:space="preserve"> </w:t>
      </w:r>
      <w:r>
        <w:rPr>
          <w:b/>
          <w:bCs/>
        </w:rPr>
        <w:t xml:space="preserve">CARDIOFLUX</w:t>
      </w:r>
      <w:r>
        <w:t xml:space="preserve"> </w:t>
      </w:r>
      <w:r>
        <w:t xml:space="preserve">(BIOVITAL) — Comprimé 75 mg clopidogrel / 75 mg acide acétylsalicylique, B/30 — Statut : Non Renouvelable</w:t>
      </w:r>
    </w:p>
    <w:p>
      <w:pPr>
        <w:pStyle w:val="BodyText"/>
      </w:pPr>
      <w:r>
        <w:rPr>
          <w:i/>
          <w:iCs/>
        </w:rPr>
        <w:t xml:space="preserve">Note pratique :</w:t>
      </w:r>
      <w:r>
        <w:t xml:space="preserve"> </w:t>
      </w:r>
      <w:r>
        <w:t xml:space="preserve">En raison du statut non renouvelable de Cardioflux, la bithérapie antiplaquettaire est en pratique réalisée en Algérie par prescription séparée de</w:t>
      </w:r>
      <w:r>
        <w:t xml:space="preserve"> </w:t>
      </w:r>
      <w:r>
        <w:rPr>
          <w:b/>
          <w:bCs/>
        </w:rPr>
        <w:t xml:space="preserve">clopidogrel 75 mg</w:t>
      </w:r>
      <w:r>
        <w:t xml:space="preserve"> </w:t>
      </w:r>
      <w:r>
        <w:t xml:space="preserve">(Clopidogrel générique, Plavix si disponible) +</w:t>
      </w:r>
      <w:r>
        <w:t xml:space="preserve"> </w:t>
      </w:r>
      <w:r>
        <w:rPr>
          <w:b/>
          <w:bCs/>
        </w:rPr>
        <w:t xml:space="preserve">aspirine 100 mg</w:t>
      </w:r>
      <w:r>
        <w:t xml:space="preserve"> </w:t>
      </w:r>
      <w:r>
        <w:t xml:space="preserve">(Acepral Cardio, Aspec, Aspinova, Aspirine Cardio).</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Association de deux antiagrégants plaquettaires (aspirine + inhibiteur P2Y12).</w:t>
      </w:r>
      <w:r>
        <w:t xml:space="preserve"> </w:t>
      </w:r>
      <w:r>
        <w:t xml:space="preserve">-</w:t>
      </w:r>
      <w:r>
        <w:t xml:space="preserve"> </w:t>
      </w:r>
      <w:r>
        <w:rPr>
          <w:b/>
          <w:bCs/>
        </w:rPr>
        <w:t xml:space="preserve">Mécanisme d’action :</w:t>
      </w:r>
      <w:r>
        <w:t xml:space="preserve"> </w:t>
      </w:r>
      <w:r>
        <w:t xml:space="preserve">*</w:t>
      </w:r>
      <w:r>
        <w:t xml:space="preserve"> </w:t>
      </w:r>
      <w:r>
        <w:rPr>
          <w:b/>
          <w:bCs/>
        </w:rPr>
        <w:t xml:space="preserve">Acide acétylsalicylique</w:t>
      </w:r>
      <w:r>
        <w:t xml:space="preserve"> </w:t>
      </w:r>
      <w:r>
        <w:t xml:space="preserve">: acétylation irréversible de la COX-1 plaquettaire (Ser529) → inhibition de la synthèse de thromboxane A2 (TXA2) — voie de l’acide arachidonique.</w:t>
      </w:r>
      <w:r>
        <w:t xml:space="preserve"> </w:t>
      </w:r>
      <w:r>
        <w:t xml:space="preserve">*</w:t>
      </w:r>
      <w:r>
        <w:t xml:space="preserve"> </w:t>
      </w:r>
      <w:r>
        <w:rPr>
          <w:b/>
          <w:bCs/>
        </w:rPr>
        <w:t xml:space="preserve">Clopidogrel (métabolite actif)</w:t>
      </w:r>
      <w:r>
        <w:t xml:space="preserve"> </w:t>
      </w:r>
      <w:r>
        <w:t xml:space="preserve">: liaison covalente irréversible au récepteur P2Y12 de l’ADP plaquettaire → inhibition de l’activation du complexe GPIIb/IIIa, freinage de la cascade d’agrégation médiée par l’ADP.</w:t>
      </w:r>
      <w:r>
        <w:t xml:space="preserve"> </w:t>
      </w:r>
      <w:r>
        <w:t xml:space="preserve">*</w:t>
      </w:r>
      <w:r>
        <w:t xml:space="preserve"> </w:t>
      </w:r>
      <w:r>
        <w:rPr>
          <w:b/>
          <w:bCs/>
        </w:rPr>
        <w:t xml:space="preserve">Synergie pharmacodynamique</w:t>
      </w:r>
      <w:r>
        <w:t xml:space="preserve"> </w:t>
      </w:r>
      <w:r>
        <w:t xml:space="preserve">: les deux voies étant indépendantes, l’inhibition combinée supprime quasi totalement l’agrégation plaquettaire — d’où l’efficacité supérieure de la bithérapie vs monothérapie (réduction ~ 20 % des événements ischémiques post-SCA), au prix d’une majoration du risque hémorragique (~ 2× plus élevé vs monothérapie).</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 Post-stent coronarien : bithérapie 6 mois (stent nu) à 12 mois (stent actif), selon recommandations ESC.</w:t>
      </w:r>
      <w:r>
        <w:t xml:space="preserve"> </w:t>
      </w:r>
      <w:r>
        <w:t xml:space="preserve">* Post-SCA ST+ et ST− : 12 mois de bithérapie.</w:t>
      </w:r>
      <w:r>
        <w:t xml:space="preserve"> </w:t>
      </w:r>
      <w:r>
        <w:t xml:space="preserve">* Post-AVC ischémique non cardioembolique aigu (TIA/minor stroke) : bithérapie 21 jours (CHANCE) à 90 jours (POINT) selon recommandations.</w:t>
      </w:r>
      <w:r>
        <w:t xml:space="preserve"> </w:t>
      </w:r>
      <w:r>
        <w:t xml:space="preserve">* Patients coronariens stables à haut risque (score REACH &gt; 10 %) en bithérapie prolongée selon indication spécialisée.</w:t>
      </w:r>
      <w:r>
        <w:t xml:space="preserve"> </w:t>
      </w:r>
      <w:r>
        <w:t xml:space="preserve">-</w:t>
      </w:r>
      <w:r>
        <w:t xml:space="preserve"> </w:t>
      </w:r>
      <w:r>
        <w:rPr>
          <w:b/>
          <w:bCs/>
        </w:rPr>
        <w:t xml:space="preserve">Contre-indications :</w:t>
      </w:r>
      <w:r>
        <w:t xml:space="preserve"> </w:t>
      </w:r>
      <w:r>
        <w:t xml:space="preserve">* Hémorragie active (digestive, cérébrale).</w:t>
      </w:r>
      <w:r>
        <w:t xml:space="preserve"> </w:t>
      </w:r>
      <w:r>
        <w:t xml:space="preserve">* Diathèse hémorragique, thrombopénie sévère.</w:t>
      </w:r>
      <w:r>
        <w:t xml:space="preserve"> </w:t>
      </w:r>
      <w:r>
        <w:t xml:space="preserve">* Insuffisance hépatique sévère (clopidogrel).</w:t>
      </w:r>
      <w:r>
        <w:t xml:space="preserve"> </w:t>
      </w:r>
      <w:r>
        <w:t xml:space="preserve">* Grossesse 3e trimestre (aspirine).</w:t>
      </w:r>
      <w:r>
        <w:t xml:space="preserve"> </w:t>
      </w:r>
      <w:r>
        <w:t xml:space="preserve">* Allaitement.</w:t>
      </w:r>
      <w:r>
        <w:t xml:space="preserve"> </w:t>
      </w:r>
      <w:r>
        <w:t xml:space="preserve">* Hypersensibilité à l’un des composants.</w:t>
      </w:r>
      <w:r>
        <w:t xml:space="preserve"> </w:t>
      </w:r>
      <w:r>
        <w:t xml:space="preserve">-</w:t>
      </w:r>
      <w:r>
        <w:t xml:space="preserve"> </w:t>
      </w:r>
      <w:r>
        <w:rPr>
          <w:b/>
          <w:bCs/>
        </w:rPr>
        <w:t xml:space="preserve">Effets Indésirables :</w:t>
      </w:r>
      <w:r>
        <w:t xml:space="preserve"> </w:t>
      </w:r>
      <w:r>
        <w:t xml:space="preserve">*</w:t>
      </w:r>
      <w:r>
        <w:t xml:space="preserve"> </w:t>
      </w:r>
      <w:r>
        <w:rPr>
          <w:b/>
          <w:bCs/>
        </w:rPr>
        <w:t xml:space="preserve">Hémorragies</w:t>
      </w:r>
      <w:r>
        <w:t xml:space="preserve"> </w:t>
      </w:r>
      <w:r>
        <w:t xml:space="preserve">(digestives, cérébrales, post-opératoires, épistaxis, gingivorragies, ecchymoses) — incidence 2–4 %/an en bithérapie.</w:t>
      </w:r>
      <w:r>
        <w:t xml:space="preserve"> </w:t>
      </w:r>
      <w:r>
        <w:t xml:space="preserve">*</w:t>
      </w:r>
      <w:r>
        <w:t xml:space="preserve"> </w:t>
      </w:r>
      <w:r>
        <w:rPr>
          <w:b/>
          <w:bCs/>
        </w:rPr>
        <w:t xml:space="preserve">Dyspepsie, nausées, diarrhée</w:t>
      </w:r>
      <w:r>
        <w:t xml:space="preserve"> </w:t>
      </w:r>
      <w:r>
        <w:t xml:space="preserve">(aspirine).</w:t>
      </w:r>
      <w:r>
        <w:t xml:space="preserve"> </w:t>
      </w:r>
      <w:r>
        <w:t xml:space="preserve">*</w:t>
      </w:r>
      <w:r>
        <w:t xml:space="preserve"> </w:t>
      </w:r>
      <w:r>
        <w:rPr>
          <w:b/>
          <w:bCs/>
        </w:rPr>
        <w:t xml:space="preserve">Thrombopénie thrombotique purpura (TTP/PPT)</w:t>
      </w:r>
      <w:r>
        <w:t xml:space="preserve"> </w:t>
      </w:r>
      <w:r>
        <w:t xml:space="preserve">(clopidogrel — rare, 4/1 000 000, mais grave — syndrome de Moschcowitz : fièvre, thrombopénie, anémie hémolytique, atteinte neurologique et rénale — arrêt immédiat + plasmaphérèse).</w:t>
      </w:r>
      <w:r>
        <w:t xml:space="preserve"> </w:t>
      </w:r>
      <w:r>
        <w:t xml:space="preserve">*</w:t>
      </w:r>
      <w:r>
        <w:t xml:space="preserve"> </w:t>
      </w:r>
      <w:r>
        <w:rPr>
          <w:b/>
          <w:bCs/>
        </w:rPr>
        <w:t xml:space="preserve">Neutropénie, agranulocytose</w:t>
      </w:r>
      <w:r>
        <w:t xml:space="preserve"> </w:t>
      </w:r>
      <w:r>
        <w:t xml:space="preserve">(clopidogrel — rare).</w:t>
      </w:r>
      <w:r>
        <w:t xml:space="preserve"> </w:t>
      </w:r>
      <w:r>
        <w:t xml:space="preserve">*</w:t>
      </w:r>
      <w:r>
        <w:t xml:space="preserve"> </w:t>
      </w:r>
      <w:r>
        <w:rPr>
          <w:b/>
          <w:bCs/>
        </w:rPr>
        <w:t xml:space="preserve">Rash, prurit, urticaire</w:t>
      </w:r>
      <w:r>
        <w:t xml:space="preserve"> </w:t>
      </w:r>
      <w:r>
        <w:t xml:space="preserve">(clopidogrel — 5 %).</w:t>
      </w:r>
      <w:r>
        <w:t xml:space="preserve"> </w:t>
      </w:r>
      <w:r>
        <w:t xml:space="preserve">-</w:t>
      </w:r>
      <w:r>
        <w:t xml:space="preserve"> </w:t>
      </w:r>
      <w:r>
        <w:rPr>
          <w:b/>
          <w:bCs/>
        </w:rPr>
        <w:t xml:space="preserve">Particularité du clopidogrel</w:t>
      </w:r>
      <w:r>
        <w:t xml:space="preserve"> </w:t>
      </w:r>
      <w:r>
        <w:t xml:space="preserve">: résistance pharmacogénétique (10–30 % des patients — polymorphisme CYP2C19</w:t>
      </w:r>
      <w:r>
        <w:t xml:space="preserve"> </w:t>
      </w:r>
      <w:r>
        <w:rPr>
          <w:i/>
          <w:iCs/>
        </w:rPr>
        <w:t xml:space="preserve">2,</w:t>
      </w:r>
      <w:r>
        <w:rPr>
          <w:i/>
          <w:iCs/>
        </w:rPr>
        <w:t xml:space="preserve"> </w:t>
      </w:r>
      <w:r>
        <w:t xml:space="preserve">3) → perte d’efficacité et risque thrombotique. Pas de test systématique en pratique clinique, sauf événement thrombotique sous traitement.</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 Évaluation du risque hémorragique avant instauration (score HAS-BLED, CRUSADE).</w:t>
      </w:r>
      <w:r>
        <w:t xml:space="preserve"> </w:t>
      </w:r>
      <w:r>
        <w:t xml:space="preserve">* Co-prescription d’un IPP (oméprazole ou pantoprazole) chez les patients à risque digestif (âge &gt; 65 ans, ATCD ulcère, AINS associé, anticoagulant) — éviter l’ésoméprazole si possible en raison d’une interaction CYP2C19 mineure avec le clopidogrel (préférer pantoprazole).</w:t>
      </w:r>
      <w:r>
        <w:t xml:space="preserve"> </w:t>
      </w:r>
      <w:r>
        <w:t xml:space="preserve">* Vérifier l’absence de chirurgie programmée — arrêt 5 jours (clopidogrel) + 7 jours (aspirine) avant chirurgie à risque hémorragique, sauf indication forte (chirurgie cardiaque).</w:t>
      </w:r>
      <w:r>
        <w:t xml:space="preserve"> </w:t>
      </w:r>
      <w:r>
        <w:t xml:space="preserve">* Surveillance NFS/plaquettes initiale puis si symptômes.</w:t>
      </w:r>
      <w:r>
        <w:t xml:space="preserve"> </w:t>
      </w:r>
      <w:r>
        <w:t xml:space="preserve">-</w:t>
      </w:r>
      <w:r>
        <w:t xml:space="preserve"> </w:t>
      </w:r>
      <w:r>
        <w:rPr>
          <w:b/>
          <w:bCs/>
        </w:rPr>
        <w:t xml:space="preserve">Conduite à Tenir :</w:t>
      </w:r>
      <w:r>
        <w:t xml:space="preserve"> </w:t>
      </w:r>
      <w:r>
        <w:t xml:space="preserve">* Hémorragie : arrêt de la bithérapie, transfusion plaquettaire si hémorragie grave (l’effet persiste 7–10 jours après arrêt). Antidote de l’aspirine : aucune (effet irréversible — transfusion plaquettaire). Antidote du clopidogrel : aucune (idem).</w:t>
      </w:r>
      <w:r>
        <w:t xml:space="preserve"> </w:t>
      </w:r>
      <w:r>
        <w:t xml:space="preserve">* TTP sous clopidogrel : arrêt immédiat, plasmaphérèse urgente, transfert en réanimation.</w:t>
      </w:r>
    </w:p>
    <w:p>
      <w:pPr>
        <w:pStyle w:val="BodyText"/>
      </w:pPr>
      <w:r>
        <w:rPr>
          <w:b/>
          <w:bCs/>
        </w:rPr>
        <w:t xml:space="preserve">Interactions Importantes :</w:t>
      </w:r>
      <w:r>
        <w:t xml:space="preserve"> </w:t>
      </w:r>
      <w:r>
        <w:t xml:space="preserve">-</w:t>
      </w:r>
      <w:r>
        <w:t xml:space="preserve"> </w:t>
      </w:r>
      <w:r>
        <w:rPr>
          <w:b/>
          <w:bCs/>
        </w:rPr>
        <w:t xml:space="preserve">Clopidogrel + IPP (ésoméprazole, oméprazole)</w:t>
      </w:r>
      <w:r>
        <w:t xml:space="preserve"> </w:t>
      </w:r>
      <w:r>
        <w:t xml:space="preserve">: inhibition CYP2C19 → diminution de la bioactivation du clopidogrel → perte d’efficacité (résistance pharmacogénétique acquise). Préférer pantoprazole (peu d’effet CYP2C19).</w:t>
      </w:r>
      <w:r>
        <w:t xml:space="preserve"> </w:t>
      </w:r>
      <w:r>
        <w:t xml:space="preserve">-</w:t>
      </w:r>
      <w:r>
        <w:t xml:space="preserve"> </w:t>
      </w:r>
      <w:r>
        <w:rPr>
          <w:b/>
          <w:bCs/>
        </w:rPr>
        <w:t xml:space="preserve">Clopidogrel + anticoagulants oraux (AVK, AOD)</w:t>
      </w:r>
      <w:r>
        <w:t xml:space="preserve"> </w:t>
      </w:r>
      <w:r>
        <w:t xml:space="preserve">: risque hémorragique majeur — association exceptionnelle, réservée à des indications spécialisées (FA post-IDM, valve mécanique post-SCA).</w:t>
      </w:r>
      <w:r>
        <w:t xml:space="preserve"> </w:t>
      </w:r>
      <w:r>
        <w:t xml:space="preserve">-</w:t>
      </w:r>
      <w:r>
        <w:t xml:space="preserve"> </w:t>
      </w:r>
      <w:r>
        <w:rPr>
          <w:b/>
          <w:bCs/>
        </w:rPr>
        <w:t xml:space="preserve">Clopidogrel + AINS oraux</w:t>
      </w:r>
      <w:r>
        <w:t xml:space="preserve"> </w:t>
      </w:r>
      <w:r>
        <w:t xml:space="preserve">: majoration du risque hémorragique digestif.</w:t>
      </w:r>
      <w:r>
        <w:t xml:space="preserve"> </w:t>
      </w:r>
      <w:r>
        <w:t xml:space="preserve">-</w:t>
      </w:r>
      <w:r>
        <w:t xml:space="preserve"> </w:t>
      </w:r>
      <w:r>
        <w:rPr>
          <w:b/>
          <w:bCs/>
        </w:rPr>
        <w:t xml:space="preserve">Aspirine + AINS oraux (ibuprofène)</w:t>
      </w:r>
      <w:r>
        <w:t xml:space="preserve"> </w:t>
      </w:r>
      <w:r>
        <w:t xml:space="preserve">: voir section 2.1.</w:t>
      </w:r>
      <w:r>
        <w:t xml:space="preserve"> </w:t>
      </w:r>
      <w:r>
        <w:t xml:space="preserve">-</w:t>
      </w:r>
      <w:r>
        <w:t xml:space="preserve"> </w:t>
      </w:r>
      <w:r>
        <w:rPr>
          <w:b/>
          <w:bCs/>
        </w:rPr>
        <w:t xml:space="preserve">Clopidogrel + fluconazole/kétoconazole</w:t>
      </w:r>
      <w:r>
        <w:t xml:space="preserve"> </w:t>
      </w:r>
      <w:r>
        <w:t xml:space="preserve">: inhibition CYP2C19/CYP3A4 → diminution de l’efficacité.</w:t>
      </w:r>
      <w:r>
        <w:t xml:space="preserve"> </w:t>
      </w:r>
      <w:r>
        <w:t xml:space="preserve">-</w:t>
      </w:r>
      <w:r>
        <w:t xml:space="preserve"> </w:t>
      </w:r>
      <w:r>
        <w:rPr>
          <w:b/>
          <w:bCs/>
        </w:rPr>
        <w:t xml:space="preserve">Clopidogrel + rifampicine/phénobarbital</w:t>
      </w:r>
      <w:r>
        <w:t xml:space="preserve"> </w:t>
      </w:r>
      <w:r>
        <w:t xml:space="preserve">: induction enzymatique → augmentation de la bioactivation (interaction mineure).</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 Aspirine : CI 3e trimestre.</w:t>
      </w:r>
      <w:r>
        <w:t xml:space="preserve"> </w:t>
      </w:r>
      <w:r>
        <w:t xml:space="preserve">* Clopidogrel : à éviter par prudence pendant la grossesse (données animales tératogènes, données humaines limitées — CRAT : « à éviter par prudence »). En cas de nécessité absolue (syndrome antiphospholipide réfractaire), avis spécialisé.</w:t>
      </w:r>
      <w:r>
        <w:t xml:space="preserve"> </w:t>
      </w:r>
      <w:r>
        <w:t xml:space="preserve">-</w:t>
      </w:r>
      <w:r>
        <w:t xml:space="preserve"> </w:t>
      </w:r>
      <w:r>
        <w:rPr>
          <w:b/>
          <w:bCs/>
        </w:rPr>
        <w:t xml:space="preserve">Allaitement :</w:t>
      </w:r>
      <w:r>
        <w:t xml:space="preserve"> </w:t>
      </w:r>
      <w:r>
        <w:t xml:space="preserve">Contre-indication en raison de l’aspirine. Clopidogrel seul : probablement compatible mais par prudence éviter.</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 Dose d’entretien standard : 1 comprimé Cardioflux (75 mg/75 mg) par jour, en une prise unique le matin, indéfiniment selon indication (généralement 6–12 mois).</w:t>
      </w:r>
      <w:r>
        <w:t xml:space="preserve"> </w:t>
      </w:r>
      <w:r>
        <w:t xml:space="preserve">* Dose de charge si non préalablement traité : aspirine 150–300 mg + clopidogrel 300–600 mg (à utiliser en clinique, avec les spécialités séparées — Cardioflux non indiqué pour la dose de charge).</w:t>
      </w:r>
      <w:r>
        <w:t xml:space="preserve"> </w:t>
      </w:r>
      <w:r>
        <w:t xml:space="preserve">* En pratique algérienne (Cardioflux non renouvelable) : aspirine 100 mg (Acepral Cardio, Aspec, Aspinova, Aspirine Cardio) + clopidogrel 75 mg (générique ou Plavix) en deux comprimés séparés, le matin, indéfiniment selon indication.</w:t>
      </w:r>
      <w:r>
        <w:t xml:space="preserve"> </w:t>
      </w:r>
      <w:r>
        <w:t xml:space="preserve">-</w:t>
      </w:r>
      <w:r>
        <w:t xml:space="preserve"> </w:t>
      </w:r>
      <w:r>
        <w:rPr>
          <w:b/>
          <w:bCs/>
        </w:rPr>
        <w:t xml:space="preserve">Enfant :</w:t>
      </w:r>
      <w:r>
        <w:t xml:space="preserve"> </w:t>
      </w:r>
      <w:r>
        <w:t xml:space="preserve">Contre-indiqué &lt; 18 ans (sauf indication cardiologique pédiatrique spécialisée).</w:t>
      </w:r>
      <w:r>
        <w:t xml:space="preserve"> </w:t>
      </w:r>
      <w:r>
        <w:t xml:space="preserve">-</w:t>
      </w:r>
      <w:r>
        <w:t xml:space="preserve"> </w:t>
      </w:r>
      <w:r>
        <w:rPr>
          <w:b/>
          <w:bCs/>
        </w:rPr>
        <w:t xml:space="preserve">Durée :</w:t>
      </w:r>
      <w:r>
        <w:t xml:space="preserve"> </w:t>
      </w:r>
      <w:r>
        <w:t xml:space="preserve">6 mois (stent nu) à 12 mois (stent actif, post-SCA), 21 jours (AVC ischémique aigu selon CHANCE). Poursuite éventuelle en monothérapie aspirine après.</w:t>
      </w:r>
      <w:r>
        <w:t xml:space="preserve"> </w:t>
      </w:r>
      <w:r>
        <w:t xml:space="preserve">-</w:t>
      </w:r>
      <w:r>
        <w:t xml:space="preserve"> </w:t>
      </w:r>
      <w:r>
        <w:rPr>
          <w:b/>
          <w:bCs/>
        </w:rPr>
        <w:t xml:space="preserve">Moment de prise :</w:t>
      </w:r>
      <w:r>
        <w:t xml:space="preserve"> </w:t>
      </w:r>
      <w:r>
        <w:t xml:space="preserve">Une prise unique quotidienne, le matin, pendant ou en dehors du repas (régularité plus importante que le moment).</w:t>
      </w:r>
    </w:p>
    <w:p>
      <w:pPr>
        <w:pStyle w:val="BodyText"/>
      </w:pPr>
      <w:r>
        <w:rPr>
          <w:b/>
          <w:bCs/>
        </w:rPr>
        <w:t xml:space="preserve">Arbitrage et Bénéfices des Formes Galéniques :</w:t>
      </w:r>
      <w:r>
        <w:t xml:space="preserve"> </w:t>
      </w:r>
      <w:r>
        <w:t xml:space="preserve">-</w:t>
      </w:r>
      <w:r>
        <w:t xml:space="preserve"> </w:t>
      </w:r>
      <w:r>
        <w:rPr>
          <w:b/>
          <w:bCs/>
        </w:rPr>
        <w:t xml:space="preserve">Comprimé combiné Cardioflux 75/75</w:t>
      </w:r>
      <w:r>
        <w:t xml:space="preserve"> </w:t>
      </w:r>
      <w:r>
        <w:t xml:space="preserve">: facilité d’observance (1 comprimé au lieu de 2), coût potentiellement réduit. Toutefois statut NR limite l’usage — préférer prescription séparée aspirine + clopidogrel.</w:t>
      </w:r>
      <w:r>
        <w:t xml:space="preserve"> </w:t>
      </w:r>
      <w:r>
        <w:t xml:space="preserve">-</w:t>
      </w:r>
      <w:r>
        <w:t xml:space="preserve"> </w:t>
      </w:r>
      <w:r>
        <w:rPr>
          <w:b/>
          <w:bCs/>
        </w:rPr>
        <w:t xml:space="preserve">Formes séparées (aspirine 100 mg + clopidogrel 75 mg)</w:t>
      </w:r>
      <w:r>
        <w:t xml:space="preserve"> </w:t>
      </w:r>
      <w:r>
        <w:t xml:space="preserve">: permet l’adaptation posologique (arrêt isolé de l’aspirine en cas de chirurgie, maintien du clopidogrel si nécessaire), flexibilité supérieure.</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 Ce traitement protège votre cœur et vos vaisseaux en empêchant les caillots. Prenez-le tous les jours à la même heure, sans l’arrêter sans avis médical. »</w:t>
      </w:r>
      <w:r>
        <w:t xml:space="preserve"> </w:t>
      </w:r>
      <w:r>
        <w:t xml:space="preserve">* « Ne prenez pas d’AINS (ibuprofène, diclofénac) sans avis médical — risque de saignement. »</w:t>
      </w:r>
      <w:r>
        <w:t xml:space="preserve"> </w:t>
      </w:r>
      <w:r>
        <w:t xml:space="preserve">* « Prévenez votre chirurgien et votre dentiste avant tout geste. »</w:t>
      </w:r>
      <w:r>
        <w:t xml:space="preserve"> </w:t>
      </w:r>
      <w:r>
        <w:t xml:space="preserve">* « Consultez immédiatement si vous avez des selles noires, du sang dans les urines, des ecchymoses spontanées, des vertiges. »</w:t>
      </w:r>
      <w:r>
        <w:t xml:space="preserve"> </w:t>
      </w:r>
      <w:r>
        <w:t xml:space="preserve">-</w:t>
      </w:r>
      <w:r>
        <w:t xml:space="preserve"> </w:t>
      </w:r>
      <w:r>
        <w:rPr>
          <w:b/>
          <w:bCs/>
        </w:rPr>
        <w:t xml:space="preserve">Mode d’utilisation pratique :</w:t>
      </w:r>
      <w:r>
        <w:t xml:space="preserve"> </w:t>
      </w:r>
      <w:r>
        <w:t xml:space="preserve">Avaler avec un grand verre d’eau, le matin. En cas d’oubli : prendre dès que possible, ne pas doubler la prise.</w:t>
      </w:r>
    </w:p>
    <w:p>
      <w:pPr>
        <w:pStyle w:val="BodyText"/>
      </w:pPr>
      <w:r>
        <w:rPr>
          <w:b/>
          <w:bCs/>
        </w:rPr>
        <w:t xml:space="preserve">Notes, Règles d’Or &amp; Pièges au Comptoir :</w:t>
      </w:r>
      <w:r>
        <w:t xml:space="preserve"> </w:t>
      </w:r>
      <w:r>
        <w:t xml:space="preserve">-</w:t>
      </w:r>
      <w:r>
        <w:t xml:space="preserve"> </w:t>
      </w:r>
      <w:r>
        <w:rPr>
          <w:b/>
          <w:bCs/>
        </w:rPr>
        <w:t xml:space="preserve">Piège classique n°1 — Clopidogrel + IPP</w:t>
      </w:r>
      <w:r>
        <w:t xml:space="preserve"> </w:t>
      </w:r>
      <w:r>
        <w:t xml:space="preserve">: Préférer le pantoprazole à l’oméprazole/ésoméprazole (interaction CYP2C19).</w:t>
      </w:r>
      <w:r>
        <w:t xml:space="preserve"> </w:t>
      </w:r>
      <w:r>
        <w:t xml:space="preserve">-</w:t>
      </w:r>
      <w:r>
        <w:t xml:space="preserve"> </w:t>
      </w:r>
      <w:r>
        <w:rPr>
          <w:b/>
          <w:bCs/>
        </w:rPr>
        <w:t xml:space="preserve">Piège classique n°2 — Chirurgie urgente sous DAPT</w:t>
      </w:r>
      <w:r>
        <w:t xml:space="preserve"> </w:t>
      </w:r>
      <w:r>
        <w:t xml:space="preserve">: Décision multidisciplinaire (cardiologue-anesthésiste-chirurgien). En cas d’arrêt : clopidogrel 5 jours + aspirine 7 jours (sauf chirurgie à faible risque ou indication forte cardiovasculaire — maintien).</w:t>
      </w:r>
      <w:r>
        <w:t xml:space="preserve"> </w:t>
      </w:r>
      <w:r>
        <w:t xml:space="preserve">-</w:t>
      </w:r>
      <w:r>
        <w:t xml:space="preserve"> </w:t>
      </w:r>
      <w:r>
        <w:rPr>
          <w:b/>
          <w:bCs/>
        </w:rPr>
        <w:t xml:space="preserve">Piège classique n°3 — TTP sous clopidogrel</w:t>
      </w:r>
      <w:r>
        <w:t xml:space="preserve"> </w:t>
      </w:r>
      <w:r>
        <w:t xml:space="preserve">: Rare mais grave — fièvre + thrombopénie + anémie hémolytique + atteinte neuro/rénale → arrêt immédiat, plasmaphérèse.</w:t>
      </w:r>
      <w:r>
        <w:t xml:space="preserve"> </w:t>
      </w:r>
      <w:r>
        <w:t xml:space="preserve">-</w:t>
      </w:r>
      <w:r>
        <w:t xml:space="preserve"> </w:t>
      </w:r>
      <w:r>
        <w:rPr>
          <w:b/>
          <w:bCs/>
        </w:rPr>
        <w:t xml:space="preserve">Piège classique n°4 — Résistance CYP2C19</w:t>
      </w:r>
      <w:r>
        <w:t xml:space="preserve"> </w:t>
      </w:r>
      <w:r>
        <w:t xml:space="preserve">: Événement thrombotique sous traitement → test génétique (si disponible) et/ou switch vers ticagrelor/prasugrel (non disponibles en Algérie actuellement — recours au ticagrelor en importation exceptionnelle).</w:t>
      </w:r>
      <w:r>
        <w:t xml:space="preserve"> </w:t>
      </w:r>
      <w:r>
        <w:t xml:space="preserve">-</w:t>
      </w:r>
      <w:r>
        <w:t xml:space="preserve"> </w:t>
      </w:r>
      <w:r>
        <w:rPr>
          <w:b/>
          <w:bCs/>
        </w:rPr>
        <w:t xml:space="preserve">Règle de prise :</w:t>
      </w:r>
      <w:r>
        <w:t xml:space="preserve"> </w:t>
      </w:r>
      <w:r>
        <w:t xml:space="preserve">1 comprimé Cardioflux/jour le matin, indéfiniment selon indication (6–12 mois), ou 2 comprimés séparés (aspirine 100 mg + clopidogrel 75 mg) le matin.</w:t>
      </w:r>
      <w:r>
        <w:t xml:space="preserve"> </w:t>
      </w:r>
      <w:r>
        <w:t xml:space="preserve">-</w:t>
      </w:r>
      <w:r>
        <w:t xml:space="preserve"> </w:t>
      </w:r>
      <w:r>
        <w:rPr>
          <w:b/>
          <w:bCs/>
        </w:rPr>
        <w:t xml:space="preserve">Préparation et Conservation :</w:t>
      </w:r>
      <w:r>
        <w:t xml:space="preserve"> </w:t>
      </w:r>
      <w:r>
        <w:t xml:space="preserve">&lt; 25 °C, à l’abri de l’humidité.</w:t>
      </w:r>
      <w:r>
        <w:t xml:space="preserve"> </w:t>
      </w:r>
      <w:r>
        <w:t xml:space="preserve">-</w:t>
      </w:r>
      <w:r>
        <w:t xml:space="preserve"> </w:t>
      </w:r>
      <w:r>
        <w:rPr>
          <w:b/>
          <w:bCs/>
        </w:rPr>
        <w:t xml:space="preserve">Piège du surdosage / Substitution :</w:t>
      </w:r>
      <w:r>
        <w:t xml:space="preserve"> </w:t>
      </w:r>
      <w:r>
        <w:t xml:space="preserve">En cas de saignement, pas d’antidote — transfusion plaquettaire ± concentrates érythrocytaires. Ne jamais substituer le Cardioflux sans vérification de l’équivalence posologique avec les formes séparées.</w:t>
      </w:r>
    </w:p>
    <w:p>
      <w:r>
        <w:pict>
          <v:rect style="width:0;height:1.5pt" o:hralign="center" o:hrstd="t" o:hr="t"/>
        </w:pict>
      </w:r>
    </w:p>
    <w:bookmarkEnd w:id="49"/>
    <w:bookmarkEnd w:id="50"/>
    <w:bookmarkStart w:id="52" w:name="X2c24cc64efba548c1683e95e46361702cc8d0f7"/>
    <w:p>
      <w:pPr>
        <w:pStyle w:val="Heading2"/>
      </w:pPr>
      <w:r>
        <w:t xml:space="preserve">6. Sous-classe : Antalgiques palier I — Associations paracétamol (Paracétamol + Caféine, Vitamine C, ou Essences)</w:t>
      </w:r>
    </w:p>
    <w:p>
      <w:pPr>
        <w:pStyle w:val="FirstParagraph"/>
      </w:pPr>
      <w:r>
        <w:t xml:space="preserve">Les associations de paracétamol avec de la caféine ( Potentialisation pharmacologique de l’effet antalgique, NNT amélioré de 5–10 %), de la vitamine C (effet antioxydant, anti-fatigue, antipyrétique modeste), ou avec des essences (eucalyptus, pin) à visée décongestionnante nasale dans les formes gripales, sont très commercialisées en Algérie — 18 spécialités recensées, dont 12 actives. Ces associations sont prescrites en pratique de ville pour le traitement symptomatique des douleurs légères à modérées, des états grippaux, des céphalées et de la fièvre.</w:t>
      </w:r>
    </w:p>
    <w:p>
      <w:r>
        <w:pict>
          <v:rect style="width:0;height:1.5pt" o:hralign="center" o:hrstd="t" o:hr="t"/>
        </w:pict>
      </w:r>
    </w:p>
    <w:bookmarkStart w:id="51" w:name="X20579948d384fe00a315fc5f11e9d08f0eb87b7"/>
    <w:p>
      <w:pPr>
        <w:pStyle w:val="Heading3"/>
      </w:pPr>
      <w:r>
        <w:t xml:space="preserve">6.1. DCI : Paracétamol + Caféine/Vitamine C/Essences (associations) (En Association)</w:t>
      </w:r>
    </w:p>
    <w:p>
      <w:pPr>
        <w:pStyle w:val="FirstParagraph"/>
      </w:pPr>
      <w:r>
        <w:rPr>
          <w:b/>
          <w:bCs/>
        </w:rPr>
        <w:t xml:space="preserve">Liste des Catégories :</w:t>
      </w:r>
      <w:r>
        <w:t xml:space="preserve"> </w:t>
      </w:r>
      <w:r>
        <w:t xml:space="preserve">Antalgique non opioïde (association) ; Antipyrétique ; Antalgique des états grippaux.</w:t>
      </w:r>
    </w:p>
    <w:p>
      <w:pPr>
        <w:pStyle w:val="BodyText"/>
      </w:pPr>
      <w:r>
        <w:rPr>
          <w:b/>
          <w:bCs/>
        </w:rPr>
        <w:t xml:space="preserve">Particularité pharmacocinétique :</w:t>
      </w:r>
      <w:r>
        <w:t xml:space="preserve"> </w:t>
      </w:r>
      <w:r>
        <w:t xml:space="preserve">L’association paracétamol + caféine bénéficie d’une potentialisation pharmacodynamique centrale (caféine antagoniste des récepteurs adénosine A1/A2A → potentialisation de la voie sérotoninergique descendante antinociceptive). La biodisponibilité du paracétamol est augmentée de 10–15 % par la caféine (accélération de l’absorption). La vitamine C améliore l’absorption et fournit un effet antioxydant. Les essences (eucalyptol, terpènes) ont une action locale décongestionnante (action sur les récepteurs TRPM8 et ORL1).</w:t>
      </w:r>
    </w:p>
    <w:p>
      <w:pPr>
        <w:pStyle w:val="BodyText"/>
      </w:pPr>
      <w:r>
        <w:rPr>
          <w:b/>
          <w:bCs/>
        </w:rPr>
        <w:t xml:space="preserve">Médicaments disponibles en Algérie (Marques, Laboratoires, Formes et Dosages) :</w:t>
      </w:r>
    </w:p>
    <w:p>
      <w:pPr>
        <w:pStyle w:val="BodyText"/>
      </w:pPr>
      <w:r>
        <w:rPr>
          <w:i/>
          <w:iCs/>
        </w:rPr>
        <w:t xml:space="preserve">Associations Paracétamol + Caféine — Formes ACTIVES :</w:t>
      </w:r>
      <w:r>
        <w:t xml:space="preserve"> </w:t>
      </w:r>
      <w:r>
        <w:t xml:space="preserve">-</w:t>
      </w:r>
      <w:r>
        <w:t xml:space="preserve"> </w:t>
      </w:r>
      <w:r>
        <w:rPr>
          <w:b/>
          <w:bCs/>
        </w:rPr>
        <w:t xml:space="preserve">APAP CAFEINE BEKER</w:t>
      </w:r>
      <w:r>
        <w:t xml:space="preserve"> </w:t>
      </w:r>
      <w:r>
        <w:t xml:space="preserve">(LABORATOIRES BEKER) — Comprimé pelliculé 500 mg/65 mg, B/20 — Actif</w:t>
      </w:r>
      <w:r>
        <w:t xml:space="preserve"> </w:t>
      </w:r>
      <w:r>
        <w:t xml:space="preserve">-</w:t>
      </w:r>
      <w:r>
        <w:t xml:space="preserve"> </w:t>
      </w:r>
      <w:r>
        <w:rPr>
          <w:b/>
          <w:bCs/>
        </w:rPr>
        <w:t xml:space="preserve">CETADOL EXTRA</w:t>
      </w:r>
      <w:r>
        <w:t xml:space="preserve"> </w:t>
      </w:r>
      <w:r>
        <w:t xml:space="preserve">(LABORATOIRES MM) — Comprimé 500 mg/65 mg, B/20 — Actif</w:t>
      </w:r>
      <w:r>
        <w:t xml:space="preserve"> </w:t>
      </w:r>
      <w:r>
        <w:t xml:space="preserve">-</w:t>
      </w:r>
      <w:r>
        <w:t xml:space="preserve"> </w:t>
      </w:r>
      <w:r>
        <w:rPr>
          <w:b/>
          <w:bCs/>
        </w:rPr>
        <w:t xml:space="preserve">EXPANDOL PLUS</w:t>
      </w:r>
      <w:r>
        <w:t xml:space="preserve"> </w:t>
      </w:r>
      <w:r>
        <w:t xml:space="preserve">(BIOGALENIC) — Comprimé 500 mg/65 mg, B/16 — Actif</w:t>
      </w:r>
      <w:r>
        <w:t xml:space="preserve"> </w:t>
      </w:r>
      <w:r>
        <w:t xml:space="preserve">-</w:t>
      </w:r>
      <w:r>
        <w:t xml:space="preserve"> </w:t>
      </w:r>
      <w:r>
        <w:rPr>
          <w:b/>
          <w:bCs/>
        </w:rPr>
        <w:t xml:space="preserve">EXTRADOL</w:t>
      </w:r>
      <w:r>
        <w:t xml:space="preserve"> </w:t>
      </w:r>
      <w:r>
        <w:t xml:space="preserve">(BIOCARE) — Comprimé 500 mg/65 mg, B/16 et B/20 — Actif</w:t>
      </w:r>
      <w:r>
        <w:t xml:space="preserve"> </w:t>
      </w:r>
      <w:r>
        <w:t xml:space="preserve">-</w:t>
      </w:r>
      <w:r>
        <w:t xml:space="preserve"> </w:t>
      </w:r>
      <w:r>
        <w:rPr>
          <w:b/>
          <w:bCs/>
        </w:rPr>
        <w:t xml:space="preserve">PACET EXTRA</w:t>
      </w:r>
      <w:r>
        <w:t xml:space="preserve"> </w:t>
      </w:r>
      <w:r>
        <w:t xml:space="preserve">(NEOMEDIC) — Comprimé sécable 500 mg/65 mg, B/16 — Actif</w:t>
      </w:r>
      <w:r>
        <w:t xml:space="preserve"> </w:t>
      </w:r>
      <w:r>
        <w:t xml:space="preserve">-</w:t>
      </w:r>
      <w:r>
        <w:t xml:space="preserve"> </w:t>
      </w:r>
      <w:r>
        <w:rPr>
          <w:b/>
          <w:bCs/>
        </w:rPr>
        <w:t xml:space="preserve">PANADOL EXTRA</w:t>
      </w:r>
      <w:r>
        <w:t xml:space="preserve"> </w:t>
      </w:r>
      <w:r>
        <w:t xml:space="preserve">(LDM) — Comprimé pelliculé 500 mg/65 mg, B/16 — Actif</w:t>
      </w:r>
      <w:r>
        <w:t xml:space="preserve"> </w:t>
      </w:r>
      <w:r>
        <w:t xml:space="preserve">-</w:t>
      </w:r>
      <w:r>
        <w:t xml:space="preserve"> </w:t>
      </w:r>
      <w:r>
        <w:rPr>
          <w:b/>
          <w:bCs/>
        </w:rPr>
        <w:t xml:space="preserve">PLANADIX EXTRA</w:t>
      </w:r>
      <w:r>
        <w:t xml:space="preserve"> </w:t>
      </w:r>
      <w:r>
        <w:t xml:space="preserve">(NADPHARMADIC) — Comprimé sécable 500 mg/65 mg, B/16 — Actif</w:t>
      </w:r>
      <w:r>
        <w:t xml:space="preserve"> </w:t>
      </w:r>
      <w:r>
        <w:t xml:space="preserve">-</w:t>
      </w:r>
      <w:r>
        <w:t xml:space="preserve"> </w:t>
      </w:r>
      <w:r>
        <w:rPr>
          <w:b/>
          <w:bCs/>
        </w:rPr>
        <w:t xml:space="preserve">PARAMOL EXTRA</w:t>
      </w:r>
      <w:r>
        <w:t xml:space="preserve"> </w:t>
      </w:r>
      <w:r>
        <w:t xml:space="preserve">(LABORATOIRES SALEM) — Comprimé 500 mg/50 mg, B/20 — Actif</w:t>
      </w:r>
    </w:p>
    <w:p>
      <w:pPr>
        <w:pStyle w:val="BodyText"/>
      </w:pPr>
      <w:r>
        <w:rPr>
          <w:i/>
          <w:iCs/>
        </w:rPr>
        <w:t xml:space="preserve">Associations Paracétamol + Vitamine C — Formes ACTIVES :</w:t>
      </w:r>
      <w:r>
        <w:t xml:space="preserve"> </w:t>
      </w:r>
      <w:r>
        <w:t xml:space="preserve">-</w:t>
      </w:r>
      <w:r>
        <w:t xml:space="preserve"> </w:t>
      </w:r>
      <w:r>
        <w:rPr>
          <w:b/>
          <w:bCs/>
        </w:rPr>
        <w:t xml:space="preserve">DOLIDOL FLASH VITAMINE C</w:t>
      </w:r>
      <w:r>
        <w:t xml:space="preserve"> </w:t>
      </w:r>
      <w:r>
        <w:t xml:space="preserve">(LABORATOIRE MOBEN) — Comprimé effervescent 500 mg/200 mg, B/16 — Actif</w:t>
      </w:r>
      <w:r>
        <w:t xml:space="preserve"> </w:t>
      </w:r>
      <w:r>
        <w:t xml:space="preserve">-</w:t>
      </w:r>
      <w:r>
        <w:t xml:space="preserve"> </w:t>
      </w:r>
      <w:r>
        <w:rPr>
          <w:b/>
          <w:bCs/>
        </w:rPr>
        <w:t xml:space="preserve">EFFERALGAN VITAMINE C</w:t>
      </w:r>
      <w:r>
        <w:t xml:space="preserve"> </w:t>
      </w:r>
      <w:r>
        <w:t xml:space="preserve">(PROPHARMAL) — Comprimé effervescent 500 mg/200 mg, B/16 — Actif</w:t>
      </w:r>
    </w:p>
    <w:p>
      <w:pPr>
        <w:pStyle w:val="BodyText"/>
      </w:pPr>
      <w:r>
        <w:rPr>
          <w:i/>
          <w:iCs/>
        </w:rPr>
        <w:t xml:space="preserve">Associations Paracétamol + Caféine — Suppositoires ACTIFS (pédiatrie) :</w:t>
      </w:r>
      <w:r>
        <w:t xml:space="preserve"> </w:t>
      </w:r>
      <w:r>
        <w:t xml:space="preserve">-</w:t>
      </w:r>
      <w:r>
        <w:t xml:space="preserve"> </w:t>
      </w:r>
      <w:r>
        <w:rPr>
          <w:b/>
          <w:bCs/>
        </w:rPr>
        <w:t xml:space="preserve">FEBRECTOL NOURRISSONS</w:t>
      </w:r>
      <w:r>
        <w:t xml:space="preserve"> </w:t>
      </w:r>
      <w:r>
        <w:t xml:space="preserve">(SANOFI SYNTHELABO FRANCE) — Suppositoire 150 mg/20 mg, B/06 — Actif</w:t>
      </w:r>
      <w:r>
        <w:t xml:space="preserve"> </w:t>
      </w:r>
      <w:r>
        <w:t xml:space="preserve">-</w:t>
      </w:r>
      <w:r>
        <w:t xml:space="preserve"> </w:t>
      </w:r>
      <w:r>
        <w:rPr>
          <w:b/>
          <w:bCs/>
        </w:rPr>
        <w:t xml:space="preserve">FEBRECTOL ENFANTS</w:t>
      </w:r>
      <w:r>
        <w:t xml:space="preserve"> </w:t>
      </w:r>
      <w:r>
        <w:t xml:space="preserve">(SANOFI SYNTHELABO FRANCE) — Suppositoire 300 mg/30 mg, B/06 — Actif</w:t>
      </w:r>
      <w:r>
        <w:t xml:space="preserve"> </w:t>
      </w:r>
      <w:r>
        <w:t xml:space="preserve">-</w:t>
      </w:r>
      <w:r>
        <w:t xml:space="preserve"> </w:t>
      </w:r>
      <w:r>
        <w:rPr>
          <w:b/>
          <w:bCs/>
        </w:rPr>
        <w:t xml:space="preserve">FEBRECTOL ADULTES</w:t>
      </w:r>
      <w:r>
        <w:t xml:space="preserve"> </w:t>
      </w:r>
      <w:r>
        <w:t xml:space="preserve">(SANOFI SYNTHELABO FRANCE) — Suppositoire 600 mg/40 mg, B/06 — Actif</w:t>
      </w:r>
    </w:p>
    <w:p>
      <w:pPr>
        <w:pStyle w:val="BodyText"/>
      </w:pPr>
      <w:r>
        <w:rPr>
          <w:i/>
          <w:iCs/>
        </w:rPr>
        <w:t xml:space="preserve">Formes Non Renouvelables (NR) :</w:t>
      </w:r>
      <w:r>
        <w:t xml:space="preserve"> </w:t>
      </w:r>
      <w:r>
        <w:t xml:space="preserve">-</w:t>
      </w:r>
      <w:r>
        <w:t xml:space="preserve"> </w:t>
      </w:r>
      <w:r>
        <w:rPr>
          <w:b/>
          <w:bCs/>
        </w:rPr>
        <w:t xml:space="preserve">EFFERALGAN VITAMINE C</w:t>
      </w:r>
      <w:r>
        <w:t xml:space="preserve"> </w:t>
      </w:r>
      <w:r>
        <w:t xml:space="preserve">(UPSA) — Comprimé effervescent sécable 330 mg/200 mg, B/20 — Non Renouvelable</w:t>
      </w:r>
      <w:r>
        <w:t xml:space="preserve"> </w:t>
      </w:r>
      <w:r>
        <w:t xml:space="preserve">-</w:t>
      </w:r>
      <w:r>
        <w:t xml:space="preserve"> </w:t>
      </w:r>
      <w:r>
        <w:rPr>
          <w:b/>
          <w:bCs/>
        </w:rPr>
        <w:t xml:space="preserve">DOFEBRIL C</w:t>
      </w:r>
      <w:r>
        <w:t xml:space="preserve"> </w:t>
      </w:r>
      <w:r>
        <w:t xml:space="preserve">(ALGERIAN PHARMACEUTICAL INSTITUT API) — Comprimé effervescent 330 mg/200 mg, B/20 — Non Renouvelable</w:t>
      </w:r>
    </w:p>
    <w:p>
      <w:pPr>
        <w:pStyle w:val="BodyText"/>
      </w:pPr>
      <w:r>
        <w:rPr>
          <w:i/>
          <w:iCs/>
        </w:rPr>
        <w:t xml:space="preserve">Formes Retirées (R) :</w:t>
      </w:r>
      <w:r>
        <w:t xml:space="preserve"> </w:t>
      </w:r>
      <w:r>
        <w:t xml:space="preserve">-</w:t>
      </w:r>
      <w:r>
        <w:t xml:space="preserve"> </w:t>
      </w:r>
      <w:r>
        <w:rPr>
          <w:b/>
          <w:bCs/>
        </w:rPr>
        <w:t xml:space="preserve">PARAVERSAL VITAMINE C</w:t>
      </w:r>
      <w:r>
        <w:t xml:space="preserve"> </w:t>
      </w:r>
      <w:r>
        <w:t xml:space="preserve">(PRIME UNIVERSAL) — Granulés effervescents en sachets 500 mg/300 mg, B/12 — Retiré (R)</w:t>
      </w:r>
      <w:r>
        <w:t xml:space="preserve"> </w:t>
      </w:r>
      <w:r>
        <w:t xml:space="preserve">-</w:t>
      </w:r>
      <w:r>
        <w:t xml:space="preserve"> </w:t>
      </w:r>
      <w:r>
        <w:rPr>
          <w:b/>
          <w:bCs/>
        </w:rPr>
        <w:t xml:space="preserve">PARAVERSAL VITAMINE C</w:t>
      </w:r>
      <w:r>
        <w:t xml:space="preserve"> </w:t>
      </w:r>
      <w:r>
        <w:t xml:space="preserve">(PRIME UNIVERSAL) — Comprimé effervescent 500 mg/300 mg, B/16 — Retiré (R)</w:t>
      </w:r>
      <w:r>
        <w:t xml:space="preserve"> </w:t>
      </w:r>
      <w:r>
        <w:t xml:space="preserve">-</w:t>
      </w:r>
      <w:r>
        <w:t xml:space="preserve"> </w:t>
      </w:r>
      <w:r>
        <w:rPr>
          <w:b/>
          <w:bCs/>
        </w:rPr>
        <w:t xml:space="preserve">PARAMOLYPTOL JEUNES ENFANTS</w:t>
      </w:r>
      <w:r>
        <w:t xml:space="preserve"> </w:t>
      </w:r>
      <w:r>
        <w:t xml:space="preserve">(GPA) — Suppositoire 170 mg paracétamol / 50 mg essence (eucalyptus/pin), B/10 — Retiré (R) — ancienne association paracétamol + essences pour état grippal du jeune enfant.</w:t>
      </w:r>
    </w:p>
    <w:p>
      <w:pPr>
        <w:pStyle w:val="BodyText"/>
      </w:pPr>
      <w:r>
        <w:rPr>
          <w:b/>
          <w:bCs/>
        </w:rPr>
        <w:t xml:space="preserve">Sous-classe et Mécanisme d’action :</w:t>
      </w:r>
      <w:r>
        <w:t xml:space="preserve"> </w:t>
      </w:r>
      <w:r>
        <w:t xml:space="preserve">-</w:t>
      </w:r>
      <w:r>
        <w:t xml:space="preserve"> </w:t>
      </w:r>
      <w:r>
        <w:rPr>
          <w:b/>
          <w:bCs/>
        </w:rPr>
        <w:t xml:space="preserve">Sous-classe :</w:t>
      </w:r>
      <w:r>
        <w:t xml:space="preserve"> </w:t>
      </w:r>
      <w:r>
        <w:t xml:space="preserve">Association antalgique palier I (paracétamol + potentialisateur central).</w:t>
      </w:r>
      <w:r>
        <w:t xml:space="preserve"> </w:t>
      </w:r>
      <w:r>
        <w:t xml:space="preserve">-</w:t>
      </w:r>
      <w:r>
        <w:t xml:space="preserve"> </w:t>
      </w:r>
      <w:r>
        <w:rPr>
          <w:b/>
          <w:bCs/>
        </w:rPr>
        <w:t xml:space="preserve">Mécanisme d’action :</w:t>
      </w:r>
      <w:r>
        <w:t xml:space="preserve"> </w:t>
      </w:r>
      <w:r>
        <w:t xml:space="preserve">*</w:t>
      </w:r>
      <w:r>
        <w:t xml:space="preserve"> </w:t>
      </w:r>
      <w:r>
        <w:rPr>
          <w:b/>
          <w:bCs/>
        </w:rPr>
        <w:t xml:space="preserve">Paracétamol</w:t>
      </w:r>
      <w:r>
        <w:t xml:space="preserve"> </w:t>
      </w:r>
      <w:r>
        <w:t xml:space="preserve">: action centrale COX-dépendante (hypothalamus et substance grise péri-aqueducale) + métabolite AM404/TRPV1/cannabinoïde.</w:t>
      </w:r>
      <w:r>
        <w:t xml:space="preserve"> </w:t>
      </w:r>
      <w:r>
        <w:t xml:space="preserve">*</w:t>
      </w:r>
      <w:r>
        <w:t xml:space="preserve"> </w:t>
      </w:r>
      <w:r>
        <w:rPr>
          <w:b/>
          <w:bCs/>
        </w:rPr>
        <w:t xml:space="preserve">Caféine (50–65 mg)</w:t>
      </w:r>
      <w:r>
        <w:t xml:space="preserve"> </w:t>
      </w:r>
      <w:r>
        <w:t xml:space="preserve">: antagoniste non sélectif des récepteurs adénosine A1/A2A → potentialisation de l’effet antalgique du paracétamol (effet additif modéré), vasoconstriction cérébrale utile dans les céphalées vasculaires. Effet stimulant cortical (anti-fatigue).</w:t>
      </w:r>
      <w:r>
        <w:t xml:space="preserve"> </w:t>
      </w:r>
      <w:r>
        <w:t xml:space="preserve">*</w:t>
      </w:r>
      <w:r>
        <w:t xml:space="preserve"> </w:t>
      </w:r>
      <w:r>
        <w:rPr>
          <w:b/>
          <w:bCs/>
        </w:rPr>
        <w:t xml:space="preserve">Vitamine C (200 mg)</w:t>
      </w:r>
      <w:r>
        <w:t xml:space="preserve"> </w:t>
      </w:r>
      <w:r>
        <w:t xml:space="preserve">: cofacteur antioxydant, effet antifatigue. Effet antipyrétique marginal. Améliore l’absorption du paracétamol.</w:t>
      </w:r>
      <w:r>
        <w:t xml:space="preserve"> </w:t>
      </w:r>
      <w:r>
        <w:t xml:space="preserve">*</w:t>
      </w:r>
      <w:r>
        <w:t xml:space="preserve"> </w:t>
      </w:r>
      <w:r>
        <w:rPr>
          <w:b/>
          <w:bCs/>
        </w:rPr>
        <w:t xml:space="preserve">Essences (eucalyptol, terpènes)</w:t>
      </w:r>
      <w:r>
        <w:t xml:space="preserve"> </w:t>
      </w:r>
      <w:r>
        <w:t xml:space="preserve">: action sur les récepteurs TRPM8 (sensation de fraîcheur) et ORL1 nasaux → effet décongestionnant indirect (utilisé dans les formes grippales).</w:t>
      </w:r>
    </w:p>
    <w:p>
      <w:pPr>
        <w:pStyle w:val="BodyText"/>
      </w:pPr>
      <w:r>
        <w:rPr>
          <w:b/>
          <w:bCs/>
        </w:rPr>
        <w:t xml:space="preserve">Profil Pharmacologique :</w:t>
      </w:r>
      <w:r>
        <w:t xml:space="preserve"> </w:t>
      </w:r>
      <w:r>
        <w:t xml:space="preserve">-</w:t>
      </w:r>
      <w:r>
        <w:t xml:space="preserve"> </w:t>
      </w:r>
      <w:r>
        <w:rPr>
          <w:b/>
          <w:bCs/>
        </w:rPr>
        <w:t xml:space="preserve">Indications :</w:t>
      </w:r>
      <w:r>
        <w:t xml:space="preserve"> </w:t>
      </w:r>
      <w:r>
        <w:t xml:space="preserve">* Paracétamol + caféine : traitement symptomatique des douleurs légères à modérées, en particulier les céphalées (tensionnelles, migraineuses légères), odontalgies, dysménorrhées, douleurs musculaires, en cas de réponse insuffisante au paracétamol seul.</w:t>
      </w:r>
      <w:r>
        <w:t xml:space="preserve"> </w:t>
      </w:r>
      <w:r>
        <w:t xml:space="preserve">* Paracétamol + vitamine C : traitement symptomatique de la fièvre et des douleurs légères à modérées associées à une asthénie (états grippaux).</w:t>
      </w:r>
      <w:r>
        <w:t xml:space="preserve"> </w:t>
      </w:r>
      <w:r>
        <w:t xml:space="preserve">* Paracétamol + caféine + vitamine C : formes effervescentes pour états grippaux avec fatigue.</w:t>
      </w:r>
      <w:r>
        <w:t xml:space="preserve"> </w:t>
      </w:r>
      <w:r>
        <w:t xml:space="preserve">-</w:t>
      </w:r>
      <w:r>
        <w:t xml:space="preserve"> </w:t>
      </w:r>
      <w:r>
        <w:rPr>
          <w:b/>
          <w:bCs/>
        </w:rPr>
        <w:t xml:space="preserve">Contre-indications :</w:t>
      </w:r>
      <w:r>
        <w:t xml:space="preserve"> </w:t>
      </w:r>
      <w:r>
        <w:t xml:space="preserve">* Insuffisance hépatocellulaire sévère (paracétamol).</w:t>
      </w:r>
      <w:r>
        <w:t xml:space="preserve"> </w:t>
      </w:r>
      <w:r>
        <w:t xml:space="preserve">* Caféine : insomnie sévère, anxiété sévère, troubles du rythme supraventriculaire non contrôlés, hypertension artérielle sévère non contrôlée.</w:t>
      </w:r>
      <w:r>
        <w:t xml:space="preserve"> </w:t>
      </w:r>
      <w:r>
        <w:t xml:space="preserve">* Allaitement (caféine).</w:t>
      </w:r>
      <w:r>
        <w:t xml:space="preserve"> </w:t>
      </w:r>
      <w:r>
        <w:t xml:space="preserve">* Phénylcétonurie (si forme effervescente avec aspartam — vérifier l’excipient).</w:t>
      </w:r>
      <w:r>
        <w:t xml:space="preserve"> </w:t>
      </w:r>
      <w:r>
        <w:t xml:space="preserve">* Allaitement et grossesse 3e trimestre si vitamine C à forte dose (&gt; 1 g/j) — à éviter.</w:t>
      </w:r>
      <w:r>
        <w:t xml:space="preserve"> </w:t>
      </w:r>
      <w:r>
        <w:t xml:space="preserve">-</w:t>
      </w:r>
      <w:r>
        <w:t xml:space="preserve"> </w:t>
      </w:r>
      <w:r>
        <w:rPr>
          <w:b/>
          <w:bCs/>
        </w:rPr>
        <w:t xml:space="preserve">Effets Indésirables :</w:t>
      </w:r>
      <w:r>
        <w:t xml:space="preserve"> </w:t>
      </w:r>
      <w:r>
        <w:t xml:space="preserve">* Ceux du paracétamol (hépatotoxicité surdosage).</w:t>
      </w:r>
      <w:r>
        <w:t xml:space="preserve"> </w:t>
      </w:r>
      <w:r>
        <w:t xml:space="preserve">* Caféine : agitation, insomnie, nervosité, palpitations, tachycardie, céphalées de rebond (usage prolongé &gt; 10 jours/mois).</w:t>
      </w:r>
      <w:r>
        <w:t xml:space="preserve"> </w:t>
      </w:r>
      <w:r>
        <w:t xml:space="preserve">* Vitamine C à forte dose (&gt; 1 g/j) : diarrhée, lithiase urinaire oxalique, augmentation de l’absorption de l’aluminium.</w:t>
      </w:r>
    </w:p>
    <w:p>
      <w:pPr>
        <w:pStyle w:val="BodyText"/>
      </w:pPr>
      <w:r>
        <w:rPr>
          <w:b/>
          <w:bCs/>
        </w:rPr>
        <w:t xml:space="preserve">Prévention et Gestion des Effets Indésirables :</w:t>
      </w:r>
      <w:r>
        <w:t xml:space="preserve"> </w:t>
      </w:r>
      <w:r>
        <w:t xml:space="preserve">-</w:t>
      </w:r>
      <w:r>
        <w:t xml:space="preserve"> </w:t>
      </w:r>
      <w:r>
        <w:rPr>
          <w:b/>
          <w:bCs/>
        </w:rPr>
        <w:t xml:space="preserve">Mesures Préventives :</w:t>
      </w:r>
      <w:r>
        <w:t xml:space="preserve"> </w:t>
      </w:r>
      <w:r>
        <w:t xml:space="preserve">* Respecter la dose maximale de paracétamol (4 g/j adulte) — ne pas cumuler avec d’autres spécialités à base de paracétamol.</w:t>
      </w:r>
      <w:r>
        <w:t xml:space="preserve"> </w:t>
      </w:r>
      <w:r>
        <w:t xml:space="preserve">* Caféine : éviter la prise vespérale (après 16 h), limiter la consommation de café/thé pendant le traitement.</w:t>
      </w:r>
      <w:r>
        <w:t xml:space="preserve"> </w:t>
      </w:r>
      <w:r>
        <w:t xml:space="preserve">* Vitamine C : ne pas dépasser 1 g/j en usage prolongé.</w:t>
      </w:r>
      <w:r>
        <w:t xml:space="preserve"> </w:t>
      </w:r>
      <w:r>
        <w:t xml:space="preserve">-</w:t>
      </w:r>
      <w:r>
        <w:t xml:space="preserve"> </w:t>
      </w:r>
      <w:r>
        <w:rPr>
          <w:b/>
          <w:bCs/>
        </w:rPr>
        <w:t xml:space="preserve">Conduite à Tenir :</w:t>
      </w:r>
      <w:r>
        <w:t xml:space="preserve"> </w:t>
      </w:r>
      <w:r>
        <w:t xml:space="preserve">* Céphalées de rebond : arrêt de l’association, substitution par paracétamol seul pendant 2–4 semaines.</w:t>
      </w:r>
      <w:r>
        <w:t xml:space="preserve"> </w:t>
      </w:r>
      <w:r>
        <w:t xml:space="preserve">* Insomnie : décaler la dernière prise à 16 h maximum.</w:t>
      </w:r>
    </w:p>
    <w:p>
      <w:pPr>
        <w:pStyle w:val="BodyText"/>
      </w:pPr>
      <w:r>
        <w:rPr>
          <w:b/>
          <w:bCs/>
        </w:rPr>
        <w:t xml:space="preserve">Interactions Importantes :</w:t>
      </w:r>
      <w:r>
        <w:t xml:space="preserve"> </w:t>
      </w:r>
      <w:r>
        <w:t xml:space="preserve">-</w:t>
      </w:r>
      <w:r>
        <w:t xml:space="preserve"> </w:t>
      </w:r>
      <w:r>
        <w:rPr>
          <w:b/>
          <w:bCs/>
        </w:rPr>
        <w:t xml:space="preserve">Paracétamol + AVK</w:t>
      </w:r>
      <w:r>
        <w:t xml:space="preserve"> </w:t>
      </w:r>
      <w:r>
        <w:t xml:space="preserve">: voir section 1.1.</w:t>
      </w:r>
      <w:r>
        <w:t xml:space="preserve"> </w:t>
      </w:r>
      <w:r>
        <w:t xml:space="preserve">-</w:t>
      </w:r>
      <w:r>
        <w:t xml:space="preserve"> </w:t>
      </w:r>
      <w:r>
        <w:rPr>
          <w:b/>
          <w:bCs/>
        </w:rPr>
        <w:t xml:space="preserve">Caféine + théophylline</w:t>
      </w:r>
      <w:r>
        <w:t xml:space="preserve"> </w:t>
      </w:r>
      <w:r>
        <w:t xml:space="preserve">: addition des effets (risque de surdosage methylxanthine).</w:t>
      </w:r>
      <w:r>
        <w:t xml:space="preserve"> </w:t>
      </w:r>
      <w:r>
        <w:t xml:space="preserve">-</w:t>
      </w:r>
      <w:r>
        <w:t xml:space="preserve"> </w:t>
      </w:r>
      <w:r>
        <w:rPr>
          <w:b/>
          <w:bCs/>
        </w:rPr>
        <w:t xml:space="preserve">Caféine + éphédrine/triptans/ISRS</w:t>
      </w:r>
      <w:r>
        <w:t xml:space="preserve"> </w:t>
      </w:r>
      <w:r>
        <w:t xml:space="preserve">: potentialisation des effets centraux.</w:t>
      </w:r>
      <w:r>
        <w:t xml:space="preserve"> </w:t>
      </w:r>
      <w:r>
        <w:t xml:space="preserve">-</w:t>
      </w:r>
      <w:r>
        <w:t xml:space="preserve"> </w:t>
      </w:r>
      <w:r>
        <w:rPr>
          <w:b/>
          <w:bCs/>
        </w:rPr>
        <w:t xml:space="preserve">Caféine + contraceptifs oraux</w:t>
      </w:r>
      <w:r>
        <w:t xml:space="preserve"> </w:t>
      </w:r>
      <w:r>
        <w:t xml:space="preserve">: allongement de la demi-vie caféine.</w:t>
      </w:r>
      <w:r>
        <w:t xml:space="preserve"> </w:t>
      </w:r>
      <w:r>
        <w:t xml:space="preserve">-</w:t>
      </w:r>
      <w:r>
        <w:t xml:space="preserve"> </w:t>
      </w:r>
      <w:r>
        <w:rPr>
          <w:b/>
          <w:bCs/>
        </w:rPr>
        <w:t xml:space="preserve">Vitamine C + aluminium (anti-acides)</w:t>
      </w:r>
      <w:r>
        <w:t xml:space="preserve"> </w:t>
      </w:r>
      <w:r>
        <w:t xml:space="preserve">: augmentation de l’absorption de l’aluminium — espacer.</w:t>
      </w:r>
    </w:p>
    <w:p>
      <w:pPr>
        <w:pStyle w:val="BodyText"/>
      </w:pPr>
      <w:r>
        <w:rPr>
          <w:b/>
          <w:bCs/>
        </w:rPr>
        <w:t xml:space="preserve">Grossesse et Allaitement :</w:t>
      </w:r>
      <w:r>
        <w:t xml:space="preserve"> </w:t>
      </w:r>
      <w:r>
        <w:t xml:space="preserve">-</w:t>
      </w:r>
      <w:r>
        <w:t xml:space="preserve"> </w:t>
      </w:r>
      <w:r>
        <w:rPr>
          <w:b/>
          <w:bCs/>
        </w:rPr>
        <w:t xml:space="preserve">Grossesse :</w:t>
      </w:r>
      <w:r>
        <w:t xml:space="preserve"> </w:t>
      </w:r>
      <w:r>
        <w:t xml:space="preserve">* Paracétamol : antalgique de choix pendant toute la grossesse.</w:t>
      </w:r>
      <w:r>
        <w:t xml:space="preserve"> </w:t>
      </w:r>
      <w:r>
        <w:t xml:space="preserve">* Caféine &lt; 200 mg/j : compatible (200 mg/j = 2-3 tasses de café). Les doses de 50–65 mg par comprimé restent compatibles.</w:t>
      </w:r>
      <w:r>
        <w:t xml:space="preserve"> </w:t>
      </w:r>
      <w:r>
        <w:t xml:space="preserve">* Vitamine C &lt; 1 g/j : compatible.</w:t>
      </w:r>
      <w:r>
        <w:t xml:space="preserve"> </w:t>
      </w:r>
      <w:r>
        <w:t xml:space="preserve">* Éviter les associations en prise vespérale (caféine → insomnie gravidique).</w:t>
      </w:r>
      <w:r>
        <w:t xml:space="preserve"> </w:t>
      </w:r>
      <w:r>
        <w:t xml:space="preserve">-</w:t>
      </w:r>
      <w:r>
        <w:t xml:space="preserve"> </w:t>
      </w:r>
      <w:r>
        <w:rPr>
          <w:b/>
          <w:bCs/>
        </w:rPr>
        <w:t xml:space="preserve">Allaitement :</w:t>
      </w:r>
      <w:r>
        <w:t xml:space="preserve"> </w:t>
      </w:r>
      <w:r>
        <w:t xml:space="preserve">* Paracétamol : compatible.</w:t>
      </w:r>
      <w:r>
        <w:t xml:space="preserve"> </w:t>
      </w:r>
      <w:r>
        <w:t xml:space="preserve">* Caféine : compatible à doses modérées (&lt; 300 mg/j) — surveiller l’irritabilité du nourrisson.</w:t>
      </w:r>
      <w:r>
        <w:t xml:space="preserve"> </w:t>
      </w:r>
      <w:r>
        <w:t xml:space="preserve">* Vitamine C : compatible.</w:t>
      </w:r>
      <w:r>
        <w:t xml:space="preserve"> </w:t>
      </w:r>
      <w:r>
        <w:t xml:space="preserve">* Formes avec caféine à forte dose (&gt; 65 mg par prise) : éviter par prudence.</w:t>
      </w:r>
    </w:p>
    <w:p>
      <w:pPr>
        <w:pStyle w:val="BodyText"/>
      </w:pPr>
      <w:r>
        <w:rPr>
          <w:b/>
          <w:bCs/>
        </w:rPr>
        <w:t xml:space="preserve">Posologie et Mode d’administration (Standard) :</w:t>
      </w:r>
      <w:r>
        <w:t xml:space="preserve"> </w:t>
      </w:r>
      <w:r>
        <w:t xml:space="preserve">-</w:t>
      </w:r>
      <w:r>
        <w:t xml:space="preserve"> </w:t>
      </w:r>
      <w:r>
        <w:rPr>
          <w:b/>
          <w:bCs/>
        </w:rPr>
        <w:t xml:space="preserve">Adulte :</w:t>
      </w:r>
      <w:r>
        <w:t xml:space="preserve"> </w:t>
      </w:r>
      <w:r>
        <w:t xml:space="preserve">1 à 2 comprimés par prise (500 mg à 1 g paracétamol), à renouveler si besoin, espacé de 6 h minimum,</w:t>
      </w:r>
      <w:r>
        <w:t xml:space="preserve"> </w:t>
      </w:r>
      <w:r>
        <w:rPr>
          <w:b/>
          <w:bCs/>
        </w:rPr>
        <w:t xml:space="preserve">max 4 g paracétamol/j</w:t>
      </w:r>
      <w:r>
        <w:t xml:space="preserve"> </w:t>
      </w:r>
      <w:r>
        <w:t xml:space="preserve">(soit 8 comprimés à 500 mg, en pratique 6 comprimés/jour pour limiter la caféine à &lt; 400 mg/j).</w:t>
      </w:r>
      <w:r>
        <w:t xml:space="preserve"> </w:t>
      </w:r>
      <w:r>
        <w:t xml:space="preserve">-</w:t>
      </w:r>
      <w:r>
        <w:t xml:space="preserve"> </w:t>
      </w:r>
      <w:r>
        <w:rPr>
          <w:b/>
          <w:bCs/>
        </w:rPr>
        <w:t xml:space="preserve">Enfant :</w:t>
      </w:r>
      <w:r>
        <w:t xml:space="preserve"> </w:t>
      </w:r>
      <w:r>
        <w:t xml:space="preserve">* Suppositoires Febrectol : Nourrisson 1 suppositoire 150 mg/20 mg, à renouveler si besoin espacé de 6 h, max 60 mg/kg/j paracétamol.</w:t>
      </w:r>
      <w:r>
        <w:t xml:space="preserve"> </w:t>
      </w:r>
      <w:r>
        <w:t xml:space="preserve">* Enfant : 1 suppositoire 300 mg/30 mg par prise, espacé de 6 h.</w:t>
      </w:r>
      <w:r>
        <w:t xml:space="preserve"> </w:t>
      </w:r>
      <w:r>
        <w:t xml:space="preserve">* Adulte : 1 suppositoire 600 mg/40 mg par prise, espacé de 6 h.</w:t>
      </w:r>
      <w:r>
        <w:t xml:space="preserve"> </w:t>
      </w:r>
      <w:r>
        <w:t xml:space="preserve">* Formes orales caféine contre-indiquées chez l’enfant &lt; 12 ans en automédication.</w:t>
      </w:r>
      <w:r>
        <w:t xml:space="preserve"> </w:t>
      </w:r>
      <w:r>
        <w:t xml:space="preserve">-</w:t>
      </w:r>
      <w:r>
        <w:t xml:space="preserve"> </w:t>
      </w:r>
      <w:r>
        <w:rPr>
          <w:b/>
          <w:bCs/>
        </w:rPr>
        <w:t xml:space="preserve">Durée :</w:t>
      </w:r>
      <w:r>
        <w:t xml:space="preserve"> </w:t>
      </w:r>
      <w:r>
        <w:t xml:space="preserve">3 à 5 jours sans avis médical.</w:t>
      </w:r>
      <w:r>
        <w:t xml:space="preserve"> </w:t>
      </w:r>
      <w:r>
        <w:t xml:space="preserve">-</w:t>
      </w:r>
      <w:r>
        <w:t xml:space="preserve"> </w:t>
      </w:r>
      <w:r>
        <w:rPr>
          <w:b/>
          <w:bCs/>
        </w:rPr>
        <w:t xml:space="preserve">Moment de prise :</w:t>
      </w:r>
      <w:r>
        <w:t xml:space="preserve"> </w:t>
      </w:r>
      <w:r>
        <w:t xml:space="preserve">Formes avec caféine : éviter après 16 h (insomnie). Formes avec vitamine C : pendant ou en dehors des repas.</w:t>
      </w:r>
    </w:p>
    <w:p>
      <w:pPr>
        <w:pStyle w:val="BodyText"/>
      </w:pPr>
      <w:r>
        <w:rPr>
          <w:b/>
          <w:bCs/>
        </w:rPr>
        <w:t xml:space="preserve">Arbitrage et Bénéfices des Formes Galéniques :</w:t>
      </w:r>
      <w:r>
        <w:t xml:space="preserve"> </w:t>
      </w:r>
      <w:r>
        <w:t xml:space="preserve">-</w:t>
      </w:r>
      <w:r>
        <w:t xml:space="preserve"> </w:t>
      </w:r>
      <w:r>
        <w:rPr>
          <w:b/>
          <w:bCs/>
        </w:rPr>
        <w:t xml:space="preserve">Comprimés pelliculés/sécables paracétamol + caféine (Apap Caféine Beker, Cetadol Extra, Expandol Plus, Extradol, Pacet Extra, Panadol Extra, Planadix Extra, Paramol Extra)</w:t>
      </w:r>
      <w:r>
        <w:t xml:space="preserve"> </w:t>
      </w:r>
      <w:r>
        <w:t xml:space="preserve">: Formes de référence en cas de réponse insuffisante au paracétamol seul. Sécabilité utile (demi-dose 250/32,5 mg). Choix entre génériques selon disponibilité.</w:t>
      </w:r>
      <w:r>
        <w:t xml:space="preserve"> </w:t>
      </w:r>
      <w:r>
        <w:t xml:space="preserve">-</w:t>
      </w:r>
      <w:r>
        <w:t xml:space="preserve"> </w:t>
      </w:r>
      <w:r>
        <w:rPr>
          <w:b/>
          <w:bCs/>
        </w:rPr>
        <w:t xml:space="preserve">Comprimés effervescents paracétamol + vitamine C (Dolidol Flash Vitamine C, Efferalgan Vitamine C)</w:t>
      </w:r>
      <w:r>
        <w:t xml:space="preserve"> </w:t>
      </w:r>
      <w:r>
        <w:t xml:space="preserve">: Action plus rapide (pic 30 min), acceptabilité excellente. Apport sodium à surveiller chez le sujet hypertendu/rénal.</w:t>
      </w:r>
      <w:r>
        <w:t xml:space="preserve"> </w:t>
      </w:r>
      <w:r>
        <w:t xml:space="preserve">-</w:t>
      </w:r>
      <w:r>
        <w:t xml:space="preserve"> </w:t>
      </w:r>
      <w:r>
        <w:rPr>
          <w:b/>
          <w:bCs/>
        </w:rPr>
        <w:t xml:space="preserve">Suppositoires Febrectol (150/300/600 mg)</w:t>
      </w:r>
      <w:r>
        <w:t xml:space="preserve"> </w:t>
      </w:r>
      <w:r>
        <w:t xml:space="preserve">: Voie rectale en cas de vomissements, refus oral, convulsions fébriles. Résorption variable. Caféine à dose faible (20–40 mg) — peu de risque d’insomnie chez l’enfant.</w:t>
      </w:r>
    </w:p>
    <w:p>
      <w:pPr>
        <w:pStyle w:val="BodyText"/>
      </w:pPr>
      <w:r>
        <w:rPr>
          <w:b/>
          <w:bCs/>
        </w:rPr>
        <w:t xml:space="preserve">Instructions et Conseils au Patient :</w:t>
      </w:r>
      <w:r>
        <w:t xml:space="preserve"> </w:t>
      </w:r>
      <w:r>
        <w:t xml:space="preserve">-</w:t>
      </w:r>
      <w:r>
        <w:t xml:space="preserve"> </w:t>
      </w:r>
      <w:r>
        <w:rPr>
          <w:b/>
          <w:bCs/>
        </w:rPr>
        <w:t xml:space="preserve">Communication au comptoir :</w:t>
      </w:r>
      <w:r>
        <w:t xml:space="preserve"> </w:t>
      </w:r>
      <w:r>
        <w:t xml:space="preserve">* « Ce médicament associe paracétamol et caféine pour soulager plus efficacement la douleur. Prenez-le de préférence le matin ou en début d’après-midi pour éviter les troubles du sommeil. »</w:t>
      </w:r>
      <w:r>
        <w:t xml:space="preserve"> </w:t>
      </w:r>
      <w:r>
        <w:t xml:space="preserve">* « Ne dépassez pas 4 grammes de paracétamol par jour (8 comprimés à 500 mg). Attention à ne pas associer avec d’autres médicaments contenant du paracétamol. »</w:t>
      </w:r>
      <w:r>
        <w:t xml:space="preserve"> </w:t>
      </w:r>
      <w:r>
        <w:t xml:space="preserve">* « Évitez la prise en fin de journée (caféine). Réduisez la consommation de café et de thé pendant le traitement. »</w:t>
      </w:r>
      <w:r>
        <w:t xml:space="preserve"> </w:t>
      </w:r>
      <w:r>
        <w:t xml:space="preserve">-</w:t>
      </w:r>
      <w:r>
        <w:t xml:space="preserve"> </w:t>
      </w:r>
      <w:r>
        <w:rPr>
          <w:b/>
          <w:bCs/>
        </w:rPr>
        <w:t xml:space="preserve">Mode d’utilisation pratique :</w:t>
      </w:r>
      <w:r>
        <w:t xml:space="preserve"> </w:t>
      </w:r>
      <w:r>
        <w:t xml:space="preserve">Avaler les comprimés avec un grand verre d’eau. Pour les formes effervescentes : attendre l’arrêt du pétillement, boire immédiatement. Pour les suppositoires : humidifier avec un peu d’eau avant l’insertion. En cas d’oubli, ne pas doubler la prise.</w:t>
      </w:r>
    </w:p>
    <w:p>
      <w:pPr>
        <w:pStyle w:val="BodyText"/>
      </w:pPr>
      <w:r>
        <w:rPr>
          <w:b/>
          <w:bCs/>
        </w:rPr>
        <w:t xml:space="preserve">Notes, Règles d’Or &amp; Pièges au Comptoir :</w:t>
      </w:r>
      <w:r>
        <w:t xml:space="preserve"> </w:t>
      </w:r>
      <w:r>
        <w:t xml:space="preserve">-</w:t>
      </w:r>
      <w:r>
        <w:t xml:space="preserve"> </w:t>
      </w:r>
      <w:r>
        <w:rPr>
          <w:b/>
          <w:bCs/>
        </w:rPr>
        <w:t xml:space="preserve">Piège classique n°1 — Surdosage paracétamol par cumul</w:t>
      </w:r>
      <w:r>
        <w:t xml:space="preserve"> </w:t>
      </w:r>
      <w:r>
        <w:t xml:space="preserve">: Le patient associe un antalgique paracétamol pur (Doliprane) + une association paracétamol-caféine (Panadol Extra) → dépassement des 4 g/j. Toujours vérifier les spécialités présentes.</w:t>
      </w:r>
      <w:r>
        <w:t xml:space="preserve"> </w:t>
      </w:r>
      <w:r>
        <w:t xml:space="preserve">-</w:t>
      </w:r>
      <w:r>
        <w:t xml:space="preserve"> </w:t>
      </w:r>
      <w:r>
        <w:rPr>
          <w:b/>
          <w:bCs/>
        </w:rPr>
        <w:t xml:space="preserve">Piège classique n°2 — Céphalées de rebond (caféine)</w:t>
      </w:r>
      <w:r>
        <w:t xml:space="preserve"> </w:t>
      </w:r>
      <w:r>
        <w:t xml:space="preserve">: Usage prolongé &gt; 10 jours par mois → céphalées chroniques quotidiennes. Limiter la durée d’utilisation.</w:t>
      </w:r>
      <w:r>
        <w:t xml:space="preserve"> </w:t>
      </w:r>
      <w:r>
        <w:t xml:space="preserve">-</w:t>
      </w:r>
      <w:r>
        <w:t xml:space="preserve"> </w:t>
      </w:r>
      <w:r>
        <w:rPr>
          <w:b/>
          <w:bCs/>
        </w:rPr>
        <w:t xml:space="preserve">Piège classique n°3 — Insomnie iatrogène</w:t>
      </w:r>
      <w:r>
        <w:t xml:space="preserve"> </w:t>
      </w:r>
      <w:r>
        <w:t xml:space="preserve">: Prise vespérale (caféine 65 mg ~ 1 café serré) → insomnie. Décaler la dernière prise à 16 h maximum.</w:t>
      </w:r>
      <w:r>
        <w:t xml:space="preserve"> </w:t>
      </w:r>
      <w:r>
        <w:t xml:space="preserve">-</w:t>
      </w:r>
      <w:r>
        <w:t xml:space="preserve"> </w:t>
      </w:r>
      <w:r>
        <w:rPr>
          <w:b/>
          <w:bCs/>
        </w:rPr>
        <w:t xml:space="preserve">Piège classique n°4 — Forme effervescente + sodium</w:t>
      </w:r>
      <w:r>
        <w:t xml:space="preserve"> </w:t>
      </w:r>
      <w:r>
        <w:t xml:space="preserve">: Contre-indication relative chez l’insuffisant cardiaque/rénal sévère (apport sodium 400–500 mg par comprimé effervescent).</w:t>
      </w:r>
      <w:r>
        <w:t xml:space="preserve"> </w:t>
      </w:r>
      <w:r>
        <w:t xml:space="preserve">-</w:t>
      </w:r>
      <w:r>
        <w:t xml:space="preserve"> </w:t>
      </w:r>
      <w:r>
        <w:rPr>
          <w:b/>
          <w:bCs/>
        </w:rPr>
        <w:t xml:space="preserve">Règle de prise :</w:t>
      </w:r>
      <w:r>
        <w:t xml:space="preserve"> </w:t>
      </w:r>
      <w:r>
        <w:t xml:space="preserve">Max 4 g/j paracétamol, dernière prise avant 16 h, durée 3–5 jours sans avis médical.</w:t>
      </w:r>
      <w:r>
        <w:t xml:space="preserve"> </w:t>
      </w:r>
      <w:r>
        <w:t xml:space="preserve">-</w:t>
      </w:r>
      <w:r>
        <w:t xml:space="preserve"> </w:t>
      </w:r>
      <w:r>
        <w:rPr>
          <w:b/>
          <w:bCs/>
        </w:rPr>
        <w:t xml:space="preserve">Préparation et Conservation :</w:t>
      </w:r>
      <w:r>
        <w:t xml:space="preserve"> </w:t>
      </w:r>
      <w:r>
        <w:t xml:space="preserve">Comprimés &lt; 25 °C à l’abri de l’humidité. Suppositoires &lt; 25 °C (ou au réfrigérateur en période chaude). Suspensions : bien agiter avant emploi.</w:t>
      </w:r>
      <w:r>
        <w:t xml:space="preserve"> </w:t>
      </w:r>
      <w:r>
        <w:t xml:space="preserve">-</w:t>
      </w:r>
      <w:r>
        <w:t xml:space="preserve"> </w:t>
      </w:r>
      <w:r>
        <w:rPr>
          <w:b/>
          <w:bCs/>
        </w:rPr>
        <w:t xml:space="preserve">Piège du surdosage / Substitution :</w:t>
      </w:r>
      <w:r>
        <w:t xml:space="preserve"> </w:t>
      </w:r>
      <w:r>
        <w:t xml:space="preserve">En cas de contre-indication à la caféine (insomnie, grossesse, allaitement), substituer par paracétamol seul. En cas de surdosage paracétamolique : voir section 1.1 — antidote N-acétylcystéine.</w:t>
      </w:r>
    </w:p>
    <w:p>
      <w:r>
        <w:pict>
          <v:rect style="width:0;height:1.5pt" o:hralign="center" o:hrstd="t" o:hr="t"/>
        </w:pict>
      </w:r>
    </w:p>
    <w:bookmarkEnd w:id="51"/>
    <w:bookmarkEnd w:id="52"/>
    <w:bookmarkStart w:id="53" w:name="Xcf15ed2ce6fa2efd523e9862cb124b28fa52f29"/>
    <w:p>
      <w:pPr>
        <w:pStyle w:val="Heading2"/>
      </w:pPr>
      <w:r>
        <w:t xml:space="preserve">Tableau Comparatif Synthétique des Antalgiques Palier I (Paracétamol, Aspirine et Associations)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Mécanisme moléculaire</w:t>
            </w:r>
          </w:p>
        </w:tc>
        <w:tc>
          <w:tcPr/>
          <w:p>
            <w:pPr>
              <w:pStyle w:val="Compact"/>
              <w:jc w:val="left"/>
            </w:pPr>
            <w:r>
              <w:t xml:space="preserve">Demi-vie</w:t>
            </w:r>
          </w:p>
        </w:tc>
        <w:tc>
          <w:tcPr/>
          <w:p>
            <w:pPr>
              <w:pStyle w:val="Compact"/>
              <w:jc w:val="left"/>
            </w:pPr>
            <w:r>
              <w:t xml:space="preserve">Posologie adulte standard</w:t>
            </w:r>
          </w:p>
        </w:tc>
        <w:tc>
          <w:tcPr/>
          <w:p>
            <w:pPr>
              <w:pStyle w:val="Compact"/>
              <w:jc w:val="left"/>
            </w:pPr>
            <w:r>
              <w:t xml:space="preserve">EI majeur</w:t>
            </w:r>
          </w:p>
        </w:tc>
        <w:tc>
          <w:tcPr/>
          <w:p>
            <w:pPr>
              <w:pStyle w:val="Compact"/>
              <w:jc w:val="left"/>
            </w:pPr>
            <w:r>
              <w:t xml:space="preserve">CI principales</w:t>
            </w:r>
          </w:p>
        </w:tc>
        <w:tc>
          <w:tcPr/>
          <w:p>
            <w:pPr>
              <w:pStyle w:val="Compact"/>
              <w:jc w:val="left"/>
            </w:pPr>
            <w:r>
              <w:t xml:space="preserve">Grossesse (CRAT)</w:t>
            </w:r>
          </w:p>
        </w:tc>
      </w:tr>
      <w:tr>
        <w:tc>
          <w:tcPr/>
          <w:p>
            <w:pPr>
              <w:pStyle w:val="Compact"/>
              <w:jc w:val="left"/>
            </w:pPr>
            <w:r>
              <w:rPr>
                <w:b/>
                <w:bCs/>
              </w:rPr>
              <w:t xml:space="preserve">Paracétamol</w:t>
            </w:r>
          </w:p>
        </w:tc>
        <w:tc>
          <w:tcPr/>
          <w:p>
            <w:pPr>
              <w:pStyle w:val="Compact"/>
              <w:jc w:val="left"/>
            </w:pPr>
            <w:r>
              <w:t xml:space="preserve">Non opioïde palier I</w:t>
            </w:r>
          </w:p>
        </w:tc>
        <w:tc>
          <w:tcPr/>
          <w:p>
            <w:pPr>
              <w:pStyle w:val="Compact"/>
              <w:jc w:val="left"/>
            </w:pPr>
            <w:r>
              <w:t xml:space="preserve">Inhibition COX centrale (COX-2/COX-3) + métabolite AM406/TRPV1/cannabinoïdes</w:t>
            </w:r>
          </w:p>
        </w:tc>
        <w:tc>
          <w:tcPr/>
          <w:p>
            <w:pPr>
              <w:pStyle w:val="Compact"/>
              <w:jc w:val="left"/>
            </w:pPr>
            <w:r>
              <w:t xml:space="preserve">2–3 h</w:t>
            </w:r>
          </w:p>
        </w:tc>
        <w:tc>
          <w:tcPr/>
          <w:p>
            <w:pPr>
              <w:pStyle w:val="Compact"/>
              <w:jc w:val="left"/>
            </w:pPr>
            <w:r>
              <w:t xml:space="preserve">500–1000 mg x 3–4/j, max 4 g/j</w:t>
            </w:r>
          </w:p>
        </w:tc>
        <w:tc>
          <w:tcPr/>
          <w:p>
            <w:pPr>
              <w:pStyle w:val="Compact"/>
              <w:jc w:val="left"/>
            </w:pPr>
            <w:r>
              <w:t xml:space="preserve">Hépatotoxicité surdosage (NAPQI, nécrose centro-lobulaire)</w:t>
            </w:r>
          </w:p>
        </w:tc>
        <w:tc>
          <w:tcPr/>
          <w:p>
            <w:pPr>
              <w:pStyle w:val="Compact"/>
              <w:jc w:val="left"/>
            </w:pPr>
            <w:r>
              <w:t xml:space="preserve">Allergie, IH sévère, alcoolisme chronique (dose réduite)</w:t>
            </w:r>
          </w:p>
        </w:tc>
        <w:tc>
          <w:tcPr/>
          <w:p>
            <w:pPr>
              <w:pStyle w:val="Compact"/>
              <w:jc w:val="left"/>
            </w:pPr>
            <w:r>
              <w:t xml:space="preserve">Compatible toute la grossesse (antalgique de choix) ; allaitement compatible</w:t>
            </w:r>
          </w:p>
        </w:tc>
      </w:tr>
      <w:tr>
        <w:tc>
          <w:tcPr/>
          <w:p>
            <w:pPr>
              <w:pStyle w:val="Compact"/>
              <w:jc w:val="left"/>
            </w:pPr>
            <w:r>
              <w:rPr>
                <w:b/>
                <w:bCs/>
              </w:rPr>
              <w:t xml:space="preserve">Acide acétylsalicylique (Aspirine)</w:t>
            </w:r>
          </w:p>
        </w:tc>
        <w:tc>
          <w:tcPr/>
          <w:p>
            <w:pPr>
              <w:pStyle w:val="Compact"/>
              <w:jc w:val="left"/>
            </w:pPr>
            <w:r>
              <w:t xml:space="preserve">Salicylé AINS / antiagrégant</w:t>
            </w:r>
          </w:p>
        </w:tc>
        <w:tc>
          <w:tcPr/>
          <w:p>
            <w:pPr>
              <w:pStyle w:val="Compact"/>
              <w:jc w:val="left"/>
            </w:pPr>
            <w:r>
              <w:t xml:space="preserve">Acétylation irréversible COX-1 (Ser529) et COX-2 (Ser516) → blocage TXA2/PG</w:t>
            </w:r>
          </w:p>
        </w:tc>
        <w:tc>
          <w:tcPr/>
          <w:p>
            <w:pPr>
              <w:pStyle w:val="Compact"/>
              <w:jc w:val="left"/>
            </w:pPr>
            <w:r>
              <w:t xml:space="preserve">AAS : 15–20 min ; salicylate : 2–30 h</w:t>
            </w:r>
          </w:p>
        </w:tc>
        <w:tc>
          <w:tcPr/>
          <w:p>
            <w:pPr>
              <w:pStyle w:val="Compact"/>
              <w:jc w:val="left"/>
            </w:pPr>
            <w:r>
              <w:t xml:space="preserve">Antalgique 500–1000 mg x 3, max 4 g/j ; antiagrégant 75–160 mg/j</w:t>
            </w:r>
          </w:p>
        </w:tc>
        <w:tc>
          <w:tcPr/>
          <w:p>
            <w:pPr>
              <w:pStyle w:val="Compact"/>
              <w:jc w:val="left"/>
            </w:pPr>
            <w:r>
              <w:t xml:space="preserve">Hémorragies digestives, syndrome de Reye &lt; 16 ans, salicylisme surdosage</w:t>
            </w:r>
          </w:p>
        </w:tc>
        <w:tc>
          <w:tcPr/>
          <w:p>
            <w:pPr>
              <w:pStyle w:val="Compact"/>
              <w:jc w:val="left"/>
            </w:pPr>
            <w:r>
              <w:t xml:space="preserve">Enfant &lt; 16 ans, ulcère actif, hémophilie, grossesse 3e T, asthme AINS</w:t>
            </w:r>
          </w:p>
        </w:tc>
        <w:tc>
          <w:tcPr/>
          <w:p>
            <w:pPr>
              <w:pStyle w:val="Compact"/>
              <w:jc w:val="left"/>
            </w:pPr>
            <w:r>
              <w:t xml:space="preserve">CI 3e trimestre (canal artériel) ; à éviter 1er/2e T ; à faibles doses : SAPL et valve mécanique sous surveillance</w:t>
            </w:r>
          </w:p>
        </w:tc>
      </w:tr>
      <w:tr>
        <w:tc>
          <w:tcPr/>
          <w:p>
            <w:pPr>
              <w:pStyle w:val="Compact"/>
              <w:jc w:val="left"/>
            </w:pPr>
            <w:r>
              <w:rPr>
                <w:b/>
                <w:bCs/>
              </w:rPr>
              <w:t xml:space="preserve">Salicylés topiques (Bismutrol)</w:t>
            </w:r>
          </w:p>
        </w:tc>
        <w:tc>
          <w:tcPr/>
          <w:p>
            <w:pPr>
              <w:pStyle w:val="Compact"/>
              <w:jc w:val="left"/>
            </w:pPr>
            <w:r>
              <w:t xml:space="preserve">Salicylé digestif topique</w:t>
            </w:r>
          </w:p>
        </w:tc>
        <w:tc>
          <w:tcPr/>
          <w:p>
            <w:pPr>
              <w:pStyle w:val="Compact"/>
              <w:jc w:val="left"/>
            </w:pPr>
            <w:r>
              <w:t xml:space="preserve">Film protecteur muqueuse + anti-sécrétoire + anti-inflammatoire local</w:t>
            </w:r>
          </w:p>
        </w:tc>
        <w:tc>
          <w:tcPr/>
          <w:p>
            <w:pPr>
              <w:pStyle w:val="Compact"/>
              <w:jc w:val="left"/>
            </w:pPr>
            <w:r>
              <w:t xml:space="preserve">Bismuth : longue (cumulation) ; salicylate : 2–3 h</w:t>
            </w:r>
          </w:p>
        </w:tc>
        <w:tc>
          <w:tcPr/>
          <w:p>
            <w:pPr>
              <w:pStyle w:val="Compact"/>
              <w:jc w:val="left"/>
            </w:pPr>
            <w:r>
              <w:t xml:space="preserve">2 cp (524 mg) x 4–8/j, max 2 jours</w:t>
            </w:r>
          </w:p>
        </w:tc>
        <w:tc>
          <w:tcPr/>
          <w:p>
            <w:pPr>
              <w:pStyle w:val="Compact"/>
              <w:jc w:val="left"/>
            </w:pPr>
            <w:r>
              <w:t xml:space="preserve">Encéphalopathie bismuthique (usage prolongé), coloration noire selles</w:t>
            </w:r>
          </w:p>
        </w:tc>
        <w:tc>
          <w:tcPr/>
          <w:p>
            <w:pPr>
              <w:pStyle w:val="Compact"/>
              <w:jc w:val="left"/>
            </w:pPr>
            <w:r>
              <w:t xml:space="preserve">Enfant &lt; 16 ans, grossesse 3e T, IR sévère, AVK</w:t>
            </w:r>
          </w:p>
        </w:tc>
        <w:tc>
          <w:tcPr/>
          <w:p>
            <w:pPr>
              <w:pStyle w:val="Compact"/>
              <w:jc w:val="left"/>
            </w:pPr>
            <w:r>
              <w:t xml:space="preserve">CI 3e trimestre ; allaitement contre-indiqué</w:t>
            </w:r>
          </w:p>
        </w:tc>
      </w:tr>
      <w:tr>
        <w:tc>
          <w:tcPr/>
          <w:p>
            <w:pPr>
              <w:pStyle w:val="Compact"/>
              <w:jc w:val="left"/>
            </w:pPr>
            <w:r>
              <w:rPr>
                <w:b/>
                <w:bCs/>
              </w:rPr>
              <w:t xml:space="preserve">AAS + Caféine ± Vit C (Aspro Accel)</w:t>
            </w:r>
          </w:p>
        </w:tc>
        <w:tc>
          <w:tcPr/>
          <w:p>
            <w:pPr>
              <w:pStyle w:val="Compact"/>
              <w:jc w:val="left"/>
            </w:pPr>
            <w:r>
              <w:t xml:space="preserve">Association antalgique palier I</w:t>
            </w:r>
          </w:p>
        </w:tc>
        <w:tc>
          <w:tcPr/>
          <w:p>
            <w:pPr>
              <w:pStyle w:val="Compact"/>
              <w:jc w:val="left"/>
            </w:pPr>
            <w:r>
              <w:t xml:space="preserve">Aspirine COX + caféine anti-adénosine A1/A2A + vit C antioxydante</w:t>
            </w:r>
          </w:p>
        </w:tc>
        <w:tc>
          <w:tcPr/>
          <w:p>
            <w:pPr>
              <w:pStyle w:val="Compact"/>
              <w:jc w:val="left"/>
            </w:pPr>
            <w:r>
              <w:t xml:space="preserve">Aspirine : 20 min ; caféine : 3–7 h</w:t>
            </w:r>
          </w:p>
        </w:tc>
        <w:tc>
          <w:tcPr/>
          <w:p>
            <w:pPr>
              <w:pStyle w:val="Compact"/>
              <w:jc w:val="left"/>
            </w:pPr>
            <w:r>
              <w:t xml:space="preserve">1–2 cp x 3/j, max 6 cp/j (3 g AAS), durée 3–5 j</w:t>
            </w:r>
          </w:p>
        </w:tc>
        <w:tc>
          <w:tcPr/>
          <w:p>
            <w:pPr>
              <w:pStyle w:val="Compact"/>
              <w:jc w:val="left"/>
            </w:pPr>
            <w:r>
              <w:t xml:space="preserve">Hémorragies digestives, céphalées de rebond (caféine), insomnie</w:t>
            </w:r>
          </w:p>
        </w:tc>
        <w:tc>
          <w:tcPr/>
          <w:p>
            <w:pPr>
              <w:pStyle w:val="Compact"/>
              <w:jc w:val="left"/>
            </w:pPr>
            <w:r>
              <w:t xml:space="preserve">Enfant &lt; 16 ans, grossesse 3e T, ulcère actif, asthme AINS</w:t>
            </w:r>
          </w:p>
        </w:tc>
        <w:tc>
          <w:tcPr/>
          <w:p>
            <w:pPr>
              <w:pStyle w:val="Compact"/>
              <w:jc w:val="left"/>
            </w:pPr>
            <w:r>
              <w:t xml:space="preserve">CI 3e trimestre ; allaitement CI</w:t>
            </w:r>
          </w:p>
        </w:tc>
      </w:tr>
      <w:tr>
        <w:tc>
          <w:tcPr/>
          <w:p>
            <w:pPr>
              <w:pStyle w:val="Compact"/>
              <w:jc w:val="left"/>
            </w:pPr>
            <w:r>
              <w:rPr>
                <w:b/>
                <w:bCs/>
              </w:rPr>
              <w:t xml:space="preserve">Clopidogrel + Aspirine (Cardioflux)</w:t>
            </w:r>
          </w:p>
        </w:tc>
        <w:tc>
          <w:tcPr/>
          <w:p>
            <w:pPr>
              <w:pStyle w:val="Compact"/>
              <w:jc w:val="left"/>
            </w:pPr>
            <w:r>
              <w:t xml:space="preserve">Association antiagrégante cardiovasculaire</w:t>
            </w:r>
          </w:p>
        </w:tc>
        <w:tc>
          <w:tcPr/>
          <w:p>
            <w:pPr>
              <w:pStyle w:val="Compact"/>
              <w:jc w:val="left"/>
            </w:pPr>
            <w:r>
              <w:t xml:space="preserve">Acétylation COX-1 + liaison covalente P2Y12 plaquettaire → double bloc</w:t>
            </w:r>
          </w:p>
        </w:tc>
        <w:tc>
          <w:tcPr/>
          <w:p>
            <w:pPr>
              <w:pStyle w:val="Compact"/>
              <w:jc w:val="left"/>
            </w:pPr>
            <w:r>
              <w:t xml:space="preserve">Clopidogrel : irréversible (7–10 j) ; AAS : 20 min</w:t>
            </w:r>
          </w:p>
        </w:tc>
        <w:tc>
          <w:tcPr/>
          <w:p>
            <w:pPr>
              <w:pStyle w:val="Compact"/>
              <w:jc w:val="left"/>
            </w:pPr>
            <w:r>
              <w:t xml:space="preserve">1 cp (75/75 mg) par jour le matin, 6–12 mois</w:t>
            </w:r>
          </w:p>
        </w:tc>
        <w:tc>
          <w:tcPr/>
          <w:p>
            <w:pPr>
              <w:pStyle w:val="Compact"/>
              <w:jc w:val="left"/>
            </w:pPr>
            <w:r>
              <w:t xml:space="preserve">Hémorragies, TTP (clopidogrel), neutropénie</w:t>
            </w:r>
          </w:p>
        </w:tc>
        <w:tc>
          <w:tcPr/>
          <w:p>
            <w:pPr>
              <w:pStyle w:val="Compact"/>
              <w:jc w:val="left"/>
            </w:pPr>
            <w:r>
              <w:t xml:space="preserve">Hémorragie active, IH sévère, grossesse 3e T, allaitement</w:t>
            </w:r>
          </w:p>
        </w:tc>
        <w:tc>
          <w:tcPr/>
          <w:p>
            <w:pPr>
              <w:pStyle w:val="Compact"/>
              <w:jc w:val="left"/>
            </w:pPr>
            <w:r>
              <w:t xml:space="preserve">À éviter par prudence (aspirine CI 3e T) ; clopidogrel : données limitées</w:t>
            </w:r>
          </w:p>
        </w:tc>
      </w:tr>
      <w:tr>
        <w:tc>
          <w:tcPr/>
          <w:p>
            <w:pPr>
              <w:pStyle w:val="Compact"/>
              <w:jc w:val="left"/>
            </w:pPr>
            <w:r>
              <w:rPr>
                <w:b/>
                <w:bCs/>
              </w:rPr>
              <w:t xml:space="preserve">Paracétamol + Caféine/Vit C/Essences</w:t>
            </w:r>
          </w:p>
        </w:tc>
        <w:tc>
          <w:tcPr/>
          <w:p>
            <w:pPr>
              <w:pStyle w:val="Compact"/>
              <w:jc w:val="left"/>
            </w:pPr>
            <w:r>
              <w:t xml:space="preserve">Association antalgique palier I</w:t>
            </w:r>
          </w:p>
        </w:tc>
        <w:tc>
          <w:tcPr/>
          <w:p>
            <w:pPr>
              <w:pStyle w:val="Compact"/>
              <w:jc w:val="left"/>
            </w:pPr>
            <w:r>
              <w:t xml:space="preserve">Paracétamol COX-centrale + caféine anti-adénosine + vit C antioxydante</w:t>
            </w:r>
          </w:p>
        </w:tc>
        <w:tc>
          <w:tcPr/>
          <w:p>
            <w:pPr>
              <w:pStyle w:val="Compact"/>
              <w:jc w:val="left"/>
            </w:pPr>
            <w:r>
              <w:t xml:space="preserve">Paracétamol : 2–3 h ; caféine : 3–7 h</w:t>
            </w:r>
          </w:p>
        </w:tc>
        <w:tc>
          <w:tcPr/>
          <w:p>
            <w:pPr>
              <w:pStyle w:val="Compact"/>
              <w:jc w:val="left"/>
            </w:pPr>
            <w:r>
              <w:t xml:space="preserve">1–2 cp (500/65) x 3/j, max 6 cp/j, durée 3–5 j</w:t>
            </w:r>
          </w:p>
        </w:tc>
        <w:tc>
          <w:tcPr/>
          <w:p>
            <w:pPr>
              <w:pStyle w:val="Compact"/>
              <w:jc w:val="left"/>
            </w:pPr>
            <w:r>
              <w:t xml:space="preserve">Hépatotoxicité surdosage, céphalées rebond, insomnie</w:t>
            </w:r>
          </w:p>
        </w:tc>
        <w:tc>
          <w:tcPr/>
          <w:p>
            <w:pPr>
              <w:pStyle w:val="Compact"/>
              <w:jc w:val="left"/>
            </w:pPr>
            <w:r>
              <w:t xml:space="preserve">IH sévère, insomnie sévère, allaitement (caféine)</w:t>
            </w:r>
          </w:p>
        </w:tc>
        <w:tc>
          <w:tcPr/>
          <w:p>
            <w:pPr>
              <w:pStyle w:val="Compact"/>
              <w:jc w:val="left"/>
            </w:pPr>
            <w:r>
              <w:t xml:space="preserve">Compatible (paracétamol) ; caféine &lt; 200 mg/j compatible ; vit C &lt; 1 g/j compatible</w:t>
            </w:r>
          </w:p>
        </w:tc>
      </w:tr>
    </w:tbl>
    <w:p>
      <w:r>
        <w:pict>
          <v:rect style="width:0;height:1.5pt" o:hralign="center" o:hrstd="t" o:hr="t"/>
        </w:pict>
      </w:r>
    </w:p>
    <w:bookmarkEnd w:id="53"/>
    <w:bookmarkStart w:id="61" w:name="X8535b40b41d308743039d601bf7e7719e703fd2"/>
    <w:p>
      <w:pPr>
        <w:pStyle w:val="Heading2"/>
      </w:pPr>
      <w:r>
        <w:t xml:space="preserve">Arbre décisionnel clinique — Choix de l’antalgique palier I selon le profil patient</w:t>
      </w:r>
    </w:p>
    <w:p>
      <w:pPr>
        <w:pStyle w:val="FirstParagraph"/>
      </w:pPr>
      <w:r>
        <w:t xml:space="preserve">L’arbre décisionnel suivant synthétise la démarche de choix thérapeutique en fonction du profil du patient vu à l’officine. Il intègre les contre-indications majeures, les interactions médicamenteuses fréquentes et les particularités pharmacocinétiques propres à chaque DCI.</w:t>
      </w:r>
    </w:p>
    <w:bookmarkStart w:id="54" w:name="femme-enceinte-tout-trimestre"/>
    <w:p>
      <w:pPr>
        <w:pStyle w:val="Heading3"/>
      </w:pPr>
      <w:r>
        <w:t xml:space="preserve">Femme enceinte (tout trimestre)</w:t>
      </w:r>
    </w:p>
    <w:p>
      <w:pPr>
        <w:pStyle w:val="Compact"/>
        <w:numPr>
          <w:ilvl w:val="0"/>
          <w:numId w:val="1015"/>
        </w:numPr>
      </w:pPr>
      <w:r>
        <w:rPr>
          <w:b/>
          <w:bCs/>
        </w:rPr>
        <w:t xml:space="preserve">Antalgique de choix : Paracétamol</w:t>
      </w:r>
      <w:r>
        <w:t xml:space="preserve"> </w:t>
      </w:r>
      <w:r>
        <w:t xml:space="preserve">à dose thérapeutique usuelle (1 g x 3/j max, dose efficace la plus faible pendant la durée la plus courte). Compatible pendant toute la grossesse et l’allaitement (CRAT).</w:t>
      </w:r>
    </w:p>
    <w:p>
      <w:pPr>
        <w:pStyle w:val="Compact"/>
        <w:numPr>
          <w:ilvl w:val="0"/>
          <w:numId w:val="1015"/>
        </w:numPr>
      </w:pPr>
      <w:r>
        <w:rPr>
          <w:b/>
          <w:bCs/>
        </w:rPr>
        <w:t xml:space="preserve">À éviter :</w:t>
      </w:r>
      <w:r>
        <w:t xml:space="preserve"> </w:t>
      </w:r>
      <w:r>
        <w:t xml:space="preserve">Aspirine (CI absolue 3e trimestre — fermeture prématurée du canal artériel, hémorragie fœto-maternelle ; à éviter 1er/2e trimestres), AINS classiques (CI à partir de 24 SA), associations paracétamol + caféine à doses élevées.</w:t>
      </w:r>
    </w:p>
    <w:p>
      <w:pPr>
        <w:pStyle w:val="Compact"/>
        <w:numPr>
          <w:ilvl w:val="0"/>
          <w:numId w:val="1015"/>
        </w:numPr>
      </w:pPr>
      <w:r>
        <w:rPr>
          <w:b/>
          <w:bCs/>
        </w:rPr>
        <w:t xml:space="preserve">Aspirine à faible dose (75–100 mg/j) :</w:t>
      </w:r>
      <w:r>
        <w:t xml:space="preserve"> </w:t>
      </w:r>
      <w:r>
        <w:t xml:space="preserve">Exceptionnellement indiquée (syndrome des antiphospholipides, valve mécanique) sous surveillance échographique du canal artériel au 3e trimestre.</w:t>
      </w:r>
    </w:p>
    <w:bookmarkEnd w:id="54"/>
    <w:bookmarkStart w:id="55" w:name="enfant-16-ans"/>
    <w:p>
      <w:pPr>
        <w:pStyle w:val="Heading3"/>
      </w:pPr>
      <w:r>
        <w:t xml:space="preserve">Enfant (&lt; 16 ans)</w:t>
      </w:r>
    </w:p>
    <w:p>
      <w:pPr>
        <w:pStyle w:val="Compact"/>
        <w:numPr>
          <w:ilvl w:val="0"/>
          <w:numId w:val="1016"/>
        </w:numPr>
      </w:pPr>
      <w:r>
        <w:rPr>
          <w:b/>
          <w:bCs/>
        </w:rPr>
        <w:t xml:space="preserve">Antalgique de choix : Paracétamol</w:t>
      </w:r>
      <w:r>
        <w:t xml:space="preserve"> </w:t>
      </w:r>
      <w:r>
        <w:t xml:space="preserve">à 15 mg/kg/prise (max 60 mg/kg/j) — forme orale (sirop, suspension, solution buvable, sachets) ou suppositoire si vomissements.</w:t>
      </w:r>
    </w:p>
    <w:p>
      <w:pPr>
        <w:pStyle w:val="Compact"/>
        <w:numPr>
          <w:ilvl w:val="0"/>
          <w:numId w:val="1016"/>
        </w:numPr>
      </w:pPr>
      <w:r>
        <w:rPr>
          <w:b/>
          <w:bCs/>
        </w:rPr>
        <w:t xml:space="preserve">Contre-indication absolue de l’aspirine</w:t>
      </w:r>
      <w:r>
        <w:t xml:space="preserve"> </w:t>
      </w:r>
      <w:r>
        <w:t xml:space="preserve">(syndrome de Reye) — utiliser du paracétamol pour la fièvre et la douleur de l’enfant.</w:t>
      </w:r>
    </w:p>
    <w:p>
      <w:pPr>
        <w:pStyle w:val="Compact"/>
        <w:numPr>
          <w:ilvl w:val="0"/>
          <w:numId w:val="1016"/>
        </w:numPr>
      </w:pPr>
      <w:r>
        <w:rPr>
          <w:b/>
          <w:bCs/>
        </w:rPr>
        <w:t xml:space="preserve">Ibuprofène</w:t>
      </w:r>
      <w:r>
        <w:t xml:space="preserve"> </w:t>
      </w:r>
      <w:r>
        <w:t xml:space="preserve">(AINS palier I) possible chez l’enfant &gt; 3 mois (20–30 mg/kg/j en 3 prises), sauf déshydratation, varicelle en cours, asthme AINS.</w:t>
      </w:r>
    </w:p>
    <w:p>
      <w:pPr>
        <w:pStyle w:val="Compact"/>
        <w:numPr>
          <w:ilvl w:val="0"/>
          <w:numId w:val="1016"/>
        </w:numPr>
      </w:pPr>
      <w:r>
        <w:rPr>
          <w:b/>
          <w:bCs/>
        </w:rPr>
        <w:t xml:space="preserve">Spécialités algériennes pédiatriques de référence :</w:t>
      </w:r>
      <w:r>
        <w:t xml:space="preserve"> </w:t>
      </w:r>
      <w:r>
        <w:t xml:space="preserve">DOLIPRANE suspension 2,4 %, EFFERALGAN PEDIATRIQUE solution 30 mg/mL, PEDIAMOL, ACETADOL — pipette graduée en kg.</w:t>
      </w:r>
    </w:p>
    <w:bookmarkEnd w:id="55"/>
    <w:bookmarkStart w:id="56" w:name="sujet-âgé-75-ans"/>
    <w:p>
      <w:pPr>
        <w:pStyle w:val="Heading3"/>
      </w:pPr>
      <w:r>
        <w:t xml:space="preserve">Sujet âgé (&gt; 75 ans)</w:t>
      </w:r>
    </w:p>
    <w:p>
      <w:pPr>
        <w:pStyle w:val="Compact"/>
        <w:numPr>
          <w:ilvl w:val="0"/>
          <w:numId w:val="1017"/>
        </w:numPr>
      </w:pPr>
      <w:r>
        <w:rPr>
          <w:b/>
          <w:bCs/>
        </w:rPr>
        <w:t xml:space="preserve">Antalgique de choix : Paracétamol</w:t>
      </w:r>
      <w:r>
        <w:t xml:space="preserve"> </w:t>
      </w:r>
      <w:r>
        <w:t xml:space="preserve">(dose maximale réduite à 3 g/j en raison de la baisse de clairance hépatique et de la fréquence de la polymédication).</w:t>
      </w:r>
    </w:p>
    <w:p>
      <w:pPr>
        <w:pStyle w:val="Compact"/>
        <w:numPr>
          <w:ilvl w:val="0"/>
          <w:numId w:val="1017"/>
        </w:numPr>
      </w:pPr>
      <w:r>
        <w:rPr>
          <w:b/>
          <w:bCs/>
        </w:rPr>
        <w:t xml:space="preserve">Aspirine antiagrégante (100 mg/j) :</w:t>
      </w:r>
      <w:r>
        <w:t xml:space="preserve"> </w:t>
      </w:r>
      <w:r>
        <w:t xml:space="preserve">Indication fréquente (post-IDM, post-AVC, AOMI), sous couverture IPP si ATCD digestif. Vérifier l’absence d’association IEC/ARA2 + diurétique (triple whammy — risque IRA).</w:t>
      </w:r>
    </w:p>
    <w:p>
      <w:pPr>
        <w:pStyle w:val="Compact"/>
        <w:numPr>
          <w:ilvl w:val="0"/>
          <w:numId w:val="1017"/>
        </w:numPr>
      </w:pPr>
      <w:r>
        <w:rPr>
          <w:b/>
          <w:bCs/>
        </w:rPr>
        <w:t xml:space="preserve">Aspirine antalgique (500 mg–1 g) :</w:t>
      </w:r>
      <w:r>
        <w:t xml:space="preserve"> </w:t>
      </w:r>
      <w:r>
        <w:t xml:space="preserve">À éviter en raison du risque hémorragique et digestif majoré.</w:t>
      </w:r>
    </w:p>
    <w:p>
      <w:pPr>
        <w:pStyle w:val="Compact"/>
        <w:numPr>
          <w:ilvl w:val="0"/>
          <w:numId w:val="1017"/>
        </w:numPr>
      </w:pPr>
      <w:r>
        <w:rPr>
          <w:b/>
          <w:bCs/>
        </w:rPr>
        <w:t xml:space="preserve">Surveillance :</w:t>
      </w:r>
      <w:r>
        <w:t xml:space="preserve"> </w:t>
      </w:r>
      <w:r>
        <w:t xml:space="preserve">Fonction rénale (créatinine, DFG), NFS/plaquettes, INR si AVK associé, signes digestifs (méléna, hématémèse).</w:t>
      </w:r>
    </w:p>
    <w:bookmarkEnd w:id="56"/>
    <w:bookmarkStart w:id="57" w:name="patient-sous-anticoagulant-avk-aod"/>
    <w:p>
      <w:pPr>
        <w:pStyle w:val="Heading3"/>
      </w:pPr>
      <w:r>
        <w:t xml:space="preserve">Patient sous anticoagulant (AVK, AOD)</w:t>
      </w:r>
    </w:p>
    <w:p>
      <w:pPr>
        <w:pStyle w:val="Compact"/>
        <w:numPr>
          <w:ilvl w:val="0"/>
          <w:numId w:val="1018"/>
        </w:numPr>
      </w:pPr>
      <w:r>
        <w:rPr>
          <w:b/>
          <w:bCs/>
        </w:rPr>
        <w:t xml:space="preserve">Antalgique de choix : Paracétamol</w:t>
      </w:r>
      <w:r>
        <w:t xml:space="preserve"> </w:t>
      </w:r>
      <w:r>
        <w:t xml:space="preserve">(compatible, surveillance INR si paracétamol &gt; 2 g/j pendant &gt; 4 jours).</w:t>
      </w:r>
    </w:p>
    <w:p>
      <w:pPr>
        <w:pStyle w:val="Compact"/>
        <w:numPr>
          <w:ilvl w:val="0"/>
          <w:numId w:val="1018"/>
        </w:numPr>
      </w:pPr>
      <w:r>
        <w:rPr>
          <w:b/>
          <w:bCs/>
        </w:rPr>
        <w:t xml:space="preserve">Contre-indication absolue :</w:t>
      </w:r>
      <w:r>
        <w:t xml:space="preserve"> </w:t>
      </w:r>
      <w:r>
        <w:t xml:space="preserve">Aspirine antalgique, AINS classiques (risque hémorragique digestif et cérébral majoré).</w:t>
      </w:r>
    </w:p>
    <w:p>
      <w:pPr>
        <w:pStyle w:val="Compact"/>
        <w:numPr>
          <w:ilvl w:val="0"/>
          <w:numId w:val="1018"/>
        </w:numPr>
      </w:pPr>
      <w:r>
        <w:rPr>
          <w:b/>
          <w:bCs/>
        </w:rPr>
        <w:t xml:space="preserve">Aspirine antiagrégante :</w:t>
      </w:r>
      <w:r>
        <w:t xml:space="preserve"> </w:t>
      </w:r>
      <w:r>
        <w:t xml:space="preserve">Exceptionnellement indiquée (post-IDM avec FA), sous surveillance stricte INR et co-prescription IPP — décision spécialisée.</w:t>
      </w:r>
    </w:p>
    <w:bookmarkEnd w:id="57"/>
    <w:bookmarkStart w:id="58" w:name="patient-insuffisant-rénal-dfg-30-mlmin"/>
    <w:p>
      <w:pPr>
        <w:pStyle w:val="Heading3"/>
      </w:pPr>
      <w:r>
        <w:t xml:space="preserve">Patient insuffisant rénal (DFG &lt; 30 mL/min)</w:t>
      </w:r>
    </w:p>
    <w:p>
      <w:pPr>
        <w:pStyle w:val="Compact"/>
        <w:numPr>
          <w:ilvl w:val="0"/>
          <w:numId w:val="1019"/>
        </w:numPr>
      </w:pPr>
      <w:r>
        <w:rPr>
          <w:b/>
          <w:bCs/>
        </w:rPr>
        <w:t xml:space="preserve">Antalgique de choix : Paracétamol</w:t>
      </w:r>
      <w:r>
        <w:t xml:space="preserve"> </w:t>
      </w:r>
      <w:r>
        <w:t xml:space="preserve">(dose réduite à 3 g/j, espacement des prises à 8 h).</w:t>
      </w:r>
    </w:p>
    <w:p>
      <w:pPr>
        <w:pStyle w:val="Compact"/>
        <w:numPr>
          <w:ilvl w:val="0"/>
          <w:numId w:val="1019"/>
        </w:numPr>
      </w:pPr>
      <w:r>
        <w:rPr>
          <w:b/>
          <w:bCs/>
        </w:rPr>
        <w:t xml:space="preserve">À éviter :</w:t>
      </w:r>
      <w:r>
        <w:t xml:space="preserve"> </w:t>
      </w:r>
      <w:r>
        <w:t xml:space="preserve">Aspirine à doses antalgiques (risque d’IRA fonctionnelle, accumulation de salicylate), AINS classiques, associations paracétamol + caféine à doses élevées.</w:t>
      </w:r>
    </w:p>
    <w:p>
      <w:pPr>
        <w:pStyle w:val="Compact"/>
        <w:numPr>
          <w:ilvl w:val="0"/>
          <w:numId w:val="1019"/>
        </w:numPr>
      </w:pPr>
      <w:r>
        <w:rPr>
          <w:b/>
          <w:bCs/>
        </w:rPr>
        <w:t xml:space="preserve">Aspirine antiagrégante :</w:t>
      </w:r>
      <w:r>
        <w:t xml:space="preserve"> </w:t>
      </w:r>
      <w:r>
        <w:t xml:space="preserve">Possible à 100 mg/j sous surveillance de la fonction rénale.</w:t>
      </w:r>
    </w:p>
    <w:bookmarkEnd w:id="58"/>
    <w:bookmarkStart w:id="59" w:name="patient-éthylique-chronique"/>
    <w:p>
      <w:pPr>
        <w:pStyle w:val="Heading3"/>
      </w:pPr>
      <w:r>
        <w:t xml:space="preserve">Patient éthylique chronique</w:t>
      </w:r>
    </w:p>
    <w:p>
      <w:pPr>
        <w:pStyle w:val="Compact"/>
        <w:numPr>
          <w:ilvl w:val="0"/>
          <w:numId w:val="1020"/>
        </w:numPr>
      </w:pPr>
      <w:r>
        <w:rPr>
          <w:b/>
          <w:bCs/>
        </w:rPr>
        <w:t xml:space="preserve">Paracétamol :</w:t>
      </w:r>
      <w:r>
        <w:t xml:space="preserve"> </w:t>
      </w:r>
      <w:r>
        <w:t xml:space="preserve">Dose maximale réduite à 2–3 g/j (induction du CYP2E1 → production accrue de NAPQI, seuil de toxicité abaissé).</w:t>
      </w:r>
    </w:p>
    <w:p>
      <w:pPr>
        <w:pStyle w:val="Compact"/>
        <w:numPr>
          <w:ilvl w:val="0"/>
          <w:numId w:val="1020"/>
        </w:numPr>
      </w:pPr>
      <w:r>
        <w:rPr>
          <w:b/>
          <w:bCs/>
        </w:rPr>
        <w:t xml:space="preserve">Aspirine :</w:t>
      </w:r>
      <w:r>
        <w:t xml:space="preserve"> </w:t>
      </w:r>
      <w:r>
        <w:t xml:space="preserve">Risque hémorragique digestif majoré (alcool + aspirine = toxicité gastrique synergique) — éviter à doses antalgiques.</w:t>
      </w:r>
    </w:p>
    <w:p>
      <w:pPr>
        <w:pStyle w:val="Compact"/>
        <w:numPr>
          <w:ilvl w:val="0"/>
          <w:numId w:val="1020"/>
        </w:numPr>
      </w:pPr>
      <w:r>
        <w:rPr>
          <w:b/>
          <w:bCs/>
        </w:rPr>
        <w:t xml:space="preserve">Conseil patient :</w:t>
      </w:r>
      <w:r>
        <w:t xml:space="preserve"> </w:t>
      </w:r>
      <w:r>
        <w:t xml:space="preserve">Abstinence pendant le traitement antalgique — orientations associatives si dépendance.</w:t>
      </w:r>
    </w:p>
    <w:bookmarkEnd w:id="59"/>
    <w:bookmarkStart w:id="60" w:name="patient-sportif-compétition"/>
    <w:p>
      <w:pPr>
        <w:pStyle w:val="Heading3"/>
      </w:pPr>
      <w:r>
        <w:t xml:space="preserve">Patient sportif (compétition)</w:t>
      </w:r>
    </w:p>
    <w:p>
      <w:pPr>
        <w:pStyle w:val="Compact"/>
        <w:numPr>
          <w:ilvl w:val="0"/>
          <w:numId w:val="1021"/>
        </w:numPr>
      </w:pPr>
      <w:r>
        <w:rPr>
          <w:b/>
          <w:bCs/>
        </w:rPr>
        <w:t xml:space="preserve">Antalgique autorisé :</w:t>
      </w:r>
      <w:r>
        <w:t xml:space="preserve"> </w:t>
      </w:r>
      <w:r>
        <w:t xml:space="preserve">Paracétamol.</w:t>
      </w:r>
    </w:p>
    <w:p>
      <w:pPr>
        <w:pStyle w:val="Compact"/>
        <w:numPr>
          <w:ilvl w:val="0"/>
          <w:numId w:val="1021"/>
        </w:numPr>
      </w:pPr>
      <w:r>
        <w:rPr>
          <w:b/>
          <w:bCs/>
        </w:rPr>
        <w:t xml:space="preserve">Aspirine :</w:t>
      </w:r>
      <w:r>
        <w:t xml:space="preserve"> </w:t>
      </w:r>
      <w:r>
        <w:t xml:space="preserve">Au-delà de 100 mg/j, considérée comme substance interdite en compétition par l’AMA (Agence Mondiale Antidopage) à cause de son effet sur la performance (modification de la coagulation). L’aspirine à dose antiagrégante cardiovasculaire est tolérée avec déclaration d’usage.</w:t>
      </w:r>
    </w:p>
    <w:bookmarkEnd w:id="60"/>
    <w:bookmarkEnd w:id="61"/>
    <w:bookmarkStart w:id="62" w:name="Xb483af8a2d932f40a18b826941408684b3683c6"/>
    <w:p>
      <w:pPr>
        <w:pStyle w:val="Heading2"/>
      </w:pPr>
      <w:r>
        <w:t xml:space="preserve">Synthèse pédagogique pour l’étudiant en pharmacie</w:t>
      </w:r>
    </w:p>
    <w:p>
      <w:pPr>
        <w:pStyle w:val="FirstParagraph"/>
      </w:pPr>
      <w:r>
        <w:t xml:space="preserve">L’analyse comparée des antalgiques palier I disponibles en Algérie met en évidence</w:t>
      </w:r>
      <w:r>
        <w:t xml:space="preserve"> </w:t>
      </w:r>
      <w:r>
        <w:rPr>
          <w:b/>
          <w:bCs/>
        </w:rPr>
        <w:t xml:space="preserve">quatre messages clés</w:t>
      </w:r>
      <w:r>
        <w:t xml:space="preserve"> </w:t>
      </w:r>
      <w:r>
        <w:t xml:space="preserve">pour la pratique pharmaceutique :</w:t>
      </w:r>
    </w:p>
    <w:p>
      <w:pPr>
        <w:numPr>
          <w:ilvl w:val="0"/>
          <w:numId w:val="1022"/>
        </w:numPr>
      </w:pPr>
      <w:r>
        <w:rPr>
          <w:b/>
          <w:bCs/>
        </w:rPr>
        <w:t xml:space="preserve">Le paracétamol reste l’antalgique de première intention</w:t>
      </w:r>
      <w:r>
        <w:t xml:space="preserve"> </w:t>
      </w:r>
      <w:r>
        <w:t xml:space="preserve">en raison de son excellent profil de tolérance aux doses thérapeutiques, de sa compatibilité avec la grossesse, l’allaitement, l’enfant et le sujet âgé. La variété des formes galéniques algériennes (comprimés 500/1000 mg, sachets 100–1000 mg, suspensions 120 mg/5 mL, solutions 30 mg/mL, suppositoires 80–1000 mg, solution IV 10 mg/mL) couvre l’ensemble des situations cliniques, de la pédiatrie à la réanimation. Le piège majeur — à enseigner et répéter — est le</w:t>
      </w:r>
      <w:r>
        <w:t xml:space="preserve"> </w:t>
      </w:r>
      <w:r>
        <w:rPr>
          <w:b/>
          <w:bCs/>
        </w:rPr>
        <w:t xml:space="preserve">surdosage par cumul de spécialités</w:t>
      </w:r>
      <w:r>
        <w:t xml:space="preserve"> </w:t>
      </w:r>
      <w:r>
        <w:t xml:space="preserve">contenant du paracétamol (Doliprane + Efferalgan + antirhume), cause la plus fréquente d’hépatotoxicité involontaire. L’antidote (N-acétylcystéine) doit être administré avant la 8e heure post-ingestion pour une efficacité maximale.</w:t>
      </w:r>
    </w:p>
    <w:p>
      <w:pPr>
        <w:numPr>
          <w:ilvl w:val="0"/>
          <w:numId w:val="1022"/>
        </w:numPr>
      </w:pPr>
      <w:r>
        <w:rPr>
          <w:b/>
          <w:bCs/>
        </w:rPr>
        <w:t xml:space="preserve">L’aspirine a vu son usage basculer de l’antalgique vers l’antiagrégant plaquettaire cardiovasculaire</w:t>
      </w:r>
      <w:r>
        <w:t xml:space="preserve"> </w:t>
      </w:r>
      <w:r>
        <w:t xml:space="preserve">à faibles doses (75–160 mg/j). Les formes 100 mg (Acepral Cardio, Aspec, Aspinova, Aspirine Cardio, Aspicard) et 75–160 mg en poudre (Kardegic) sont les prescriptions dominantes en volume. L’étudiant doit mémoriser les trois pièges absolus : (i) contre-indication totale chez l’enfant &lt; 16 ans (syndrome de Reye) ; (ii) risque hémorragique digestif dose-dépendant, nécessitant l’adjonction d’un IPP chez le sujet à risque ; (iii) acétylation irréversible de la COX-1 → arrêt 7 jours avant chirurgie. Les interactions majeures concernent les AVK/AOD (hémorragie) et les AINS classiques (perte de l’effet antiagrégant par compétition au site COX-1).</w:t>
      </w:r>
    </w:p>
    <w:p>
      <w:pPr>
        <w:numPr>
          <w:ilvl w:val="0"/>
          <w:numId w:val="1022"/>
        </w:numPr>
      </w:pPr>
      <w:r>
        <w:rPr>
          <w:b/>
          <w:bCs/>
        </w:rPr>
        <w:t xml:space="preserve">Les associations fixes</w:t>
      </w:r>
      <w:r>
        <w:t xml:space="preserve"> </w:t>
      </w:r>
      <w:r>
        <w:t xml:space="preserve">(paracétamol ou aspirine + caféine/vitamine C) apportent un bénéfice modeste mais réel dans les douleurs modérées et les états grippaux avec fatigue. Leur prescription doit être limitée dans le temps (3–5 jours) en raison du risque de céphalées de rebond par la caféine (&gt; 10 jours par mois). La bithérapie antiplaquettaire (clopidogrel + aspirine) obéit à des règles strictes de durée (6–12 mois post-stent) et de surveillance (saignement, NF, fonction rénale), avec une attention particulière à l’interaction clopidogrel-IPP (préférer pantoprazole) et au polymorphisme CYP2C19.</w:t>
      </w:r>
    </w:p>
    <w:p>
      <w:pPr>
        <w:numPr>
          <w:ilvl w:val="0"/>
          <w:numId w:val="1022"/>
        </w:numPr>
      </w:pPr>
      <w:r>
        <w:rPr>
          <w:b/>
          <w:bCs/>
        </w:rPr>
        <w:t xml:space="preserve">Le rôle du pharmacien d’officine</w:t>
      </w:r>
      <w:r>
        <w:t xml:space="preserve"> </w:t>
      </w:r>
      <w:r>
        <w:t xml:space="preserve">est central dans la sécurisation de la prescription et la dispensation de ces antalgiques palier I : (i) vérification systématique des cumuls de paracétamol ; (ii) refus de l’aspirine chez l’enfant &lt; 16 ans ; (iii) information sur la prise pendant les repas (aspirine) et l’espacement de 6 h entre les prises ; (iv) conseil de consulter un médecin en cas de douleur ou fièvre persistant au-delà de 3–5 jours ; (v) alerte sur les signes d’alarme (selles noires, ecchymoses, ictère, confusion) justifiant une consultation médicale urgente.</w:t>
      </w:r>
    </w:p>
    <w:p>
      <w:pPr>
        <w:pStyle w:val="FirstParagraph"/>
      </w:pPr>
      <w:r>
        <w:rPr>
          <w:b/>
          <w:bCs/>
        </w:rPr>
        <w:t xml:space="preserve">Sources mobilisées :</w:t>
      </w:r>
      <w:r>
        <w:t xml:space="preserve"> </w:t>
      </w:r>
      <w:r>
        <w:t xml:space="preserve">VIDAL, ANSM (RCP et fiches bon usage), Thériaque, CRAT (Centre de Renseignements sur les Agents Tératogènes), UpToDate, Micromedex, EMA, HAS, OMS, ESC (European Society of Cardiology — guidelines DAPT 2017), Cochrane Database (métanalyses caféine-antalgiques 2007, 2015).</w:t>
      </w:r>
    </w:p>
    <w:p>
      <w:r>
        <w:pict>
          <v:rect style="width:0;height:1.5pt" o:hralign="center" o:hrstd="t" o:hr="t"/>
        </w:pict>
      </w:r>
    </w:p>
    <w:p>
      <w:r>
        <w:pict>
          <v:rect style="width:0;height:1.5pt" o:hralign="center" o:hrstd="t" o:hr="t"/>
        </w:pict>
      </w:r>
    </w:p>
    <w:bookmarkEnd w:id="62"/>
    <w:bookmarkEnd w:id="63"/>
    <w:bookmarkStart w:id="103" w:name="X0cf2aa2f2d62fb6987cd0408056a8feba043d56"/>
    <w:p>
      <w:pPr>
        <w:pStyle w:val="Heading1"/>
      </w:pPr>
      <w:r>
        <w:t xml:space="preserve">Chapitre — Antalgiques Palier I &amp; II : Associations Antalgiques Fixes</w:t>
      </w:r>
    </w:p>
    <w:bookmarkStart w:id="64" w:name="X7580184320ebe4040cc2d223d57772a975266b0"/>
    <w:p>
      <w:pPr>
        <w:pStyle w:val="Heading2"/>
      </w:pPr>
      <w:r>
        <w:t xml:space="preserve">Introduction Générale — Rationale et Place des Associations Antalgiques dans l’OMS</w:t>
      </w:r>
    </w:p>
    <w:p>
      <w:pPr>
        <w:pStyle w:val="FirstParagraph"/>
      </w:pPr>
      <w:r>
        <w:t xml:space="preserve">La classification OMS de la douleur en trois paliers, élaborée initialement pour la prise en charge de la douleur cancéreuse puis étendue à la douleur aiguë et chronique non cancéreuse, repose sur une escalade thérapeutique progressive : palier I (antalgiques non opioïdes — paracétamol, AINS, néfopam), palier II (opioïdes faibles — codéine, tramadol, dextropropoxyphène) et palier III (opioïdes forts — morphine, oxycodone, fentanyl). Entre ces paliers, la mise à disposition d’</w:t>
      </w:r>
      <w:r>
        <w:rPr>
          <w:b/>
          <w:bCs/>
        </w:rPr>
        <w:t xml:space="preserve">associations fixes</w:t>
      </w:r>
      <w:r>
        <w:t xml:space="preserve"> </w:t>
      </w:r>
      <w:r>
        <w:t xml:space="preserve">à doses constantes vise à exploiter la complémentarité des mécanismes d’action centraux et périphériques afin d’amplifier l’antalgie tout en réduisant la dose de chaque composant, et donc leurs effets indésirables respectifs. Ce concept d’« antalgie combinée » (multimodal analgesia) repose sur le principe pharmacodynamique de synergie additive ou supra-additive : le paracétamol agit préférentiellement au niveau central via l’inhibition de la cyclooxygénase COX-3 (isoforme identifiée chez le chien par Chandrasekharan et al., 2002) et l’activation descendante sérotoninergique, tandis que les opioïdes faibles agissent sur les récepteurs μ, κ et δ de la moelle épinière et supérieure. Les AINS inhibent quant à eux la COX-1 et COX-2 périphériques, réduisant la prostaglandine E2 sensibilisatrice des nocicepteurs.</w:t>
      </w:r>
    </w:p>
    <w:p>
      <w:pPr>
        <w:pStyle w:val="BodyText"/>
      </w:pPr>
      <w:r>
        <w:t xml:space="preserve">En Algérie, le marché pharmaceutique comporte une mosaïque d’associations fixes du palier I et II, allant des antalgiques-antihistaminiques du rhume aux opioïdes faibles combinés au paracétamol. Le présent chapitre, fidèle à la nomenclature officielle « COMPLETE LISTE » d’Avril 2026, traite cinq grandes catégories : (i) les associations du rhume (paracétamol + antihistaminique ± vasoconstricteur) ; (ii) les associations AINS-paracétamol (ibuprofène + paracétamol) ; (iii) les associations antispasmodiques (paracétamol + prifinium) ; (iv) les associations opioïdes faibles actives (paracétamol + codéine, paracétamol + tramadol) ; et (v) les associations opioïdes faibles retirées (paracétamol + dextropropoxyphène). Chaque fiche détaillée adopte la structure standardisée du Fascicule III : mécanisme moléculaire, profil pharmacologique, interactions, grossesse/allaitement selon le CRAT, posologie, arbitrage galénique, conseils au comptoir, et pièges cliniques.</w:t>
      </w:r>
    </w:p>
    <w:p>
      <w:pPr>
        <w:pStyle w:val="BodyText"/>
      </w:pPr>
      <w:r>
        <w:t xml:space="preserve">La lecture critique de ces associations impose trois règles de prescription : (1) respect de la dose maximale cumulative de paracétamol (4 g/jour chez l’adulte sain, 3 g/jour chez le sujet âgé ou insuffisant hépatique) ; (2) vigilance sur les métaboliseurs ultra-rapides du CYP2D6 pour codéine et tramadol (prévalence élevée en Afrique du Nord, ~3–7 %) ; (3) durée limitée à 3–5 jours pour les associations opioïdes faibles afin de prévenir pharmacodépendance et mésusage.</w:t>
      </w:r>
    </w:p>
    <w:p>
      <w:r>
        <w:pict>
          <v:rect style="width:0;height:1.5pt" o:hralign="center" o:hrstd="t" o:hr="t"/>
        </w:pict>
      </w:r>
    </w:p>
    <w:bookmarkEnd w:id="64"/>
    <w:bookmarkStart w:id="67" w:name="X77d4183e77a7ae22d6f9b282cf51c86d0de2127"/>
    <w:p>
      <w:pPr>
        <w:pStyle w:val="Heading2"/>
      </w:pPr>
      <w:r>
        <w:t xml:space="preserve">A. Sous-classe : Antalgiques Palier I — Associations Antalgiques du Rhume (Paracétamol + Antihistaminique ± Vasoconstricteur)</w:t>
      </w:r>
    </w:p>
    <w:bookmarkStart w:id="65" w:name="présentation-de-la-sous-classe"/>
    <w:p>
      <w:pPr>
        <w:pStyle w:val="Heading3"/>
      </w:pPr>
      <w:r>
        <w:t xml:space="preserve">Présentation de la sous-classe</w:t>
      </w:r>
    </w:p>
    <w:p>
      <w:pPr>
        <w:pStyle w:val="FirstParagraph"/>
      </w:pPr>
      <w:r>
        <w:t xml:space="preserve">Les associations antalgiques du rhume combinent un antalgique périphérique (paracétamol le plus souvent, parfois AINS) à un antihistaminique H1 (chlorphénamine, prométhazine, doxylamine) et/ou à un vasoconstricteur oral (pseudoéphédrine, phénylpropanolamine, éphédrine). Elles visent à couvrir simultanément les trois symptômes cardinaux de la rhinite virale aiguë (coryza) : la fièvre et les courbatures (paracétamol), l’hyper-réactivité nasale et la rhinorrhée (antihistaminique H1), et la congestion nasale par vasodilatation de la muqueuse (vasoconstricteur sympathomimétique α1).</w:t>
      </w:r>
    </w:p>
    <w:p>
      <w:pPr>
        <w:pStyle w:val="BodyText"/>
      </w:pPr>
      <w:r>
        <w:t xml:space="preserve">Le mécanisme de l’antihistaminique H1 de première génération repose sur l’antagonisme compétitif des récepteurs H1 centraux et périphériques, avec passage de la barrière hémato-encéphalique responsables des effets sédatifs et anticholinergiques classiques (sécheresse buccale, mydriase, rétention urinaire). Le vasoconstricteur α1-agoniste stimule les récepteurs adrénergiques du muscle lisse vasculaire nasal, réduisant le volume turgide de la muqueuse, mais expose systémiquement aux risques vasculaires (HTA, accidents vasculaires cérébraux hémorragiques pour la phénylpropanolamine).</w:t>
      </w:r>
    </w:p>
    <w:p>
      <w:pPr>
        <w:pStyle w:val="BodyText"/>
      </w:pPr>
      <w:r>
        <w:rPr>
          <w:b/>
          <w:bCs/>
        </w:rPr>
        <w:t xml:space="preserve">Note nomenclature algérienne (Avril 2026) :</w:t>
      </w:r>
      <w:r>
        <w:t xml:space="preserve"> </w:t>
      </w:r>
      <w:r>
        <w:t xml:space="preserve">aucune spécialité combinant strictement paracétamol + antihistaminique ± vasoconstricteur n’est actuellement référencée comme actuelle dans la « COMPLETE LISTE » algérienne d’avril 2026. Les associations historiques du type</w:t>
      </w:r>
      <w:r>
        <w:t xml:space="preserve"> </w:t>
      </w:r>
      <w:r>
        <w:rPr>
          <w:i/>
          <w:iCs/>
        </w:rPr>
        <w:t xml:space="preserve">Fervex</w:t>
      </w:r>
      <w:r>
        <w:t xml:space="preserve">,</w:t>
      </w:r>
      <w:r>
        <w:t xml:space="preserve"> </w:t>
      </w:r>
      <w:r>
        <w:rPr>
          <w:i/>
          <w:iCs/>
        </w:rPr>
        <w:t xml:space="preserve">Actifed Rhume</w:t>
      </w:r>
      <w:r>
        <w:t xml:space="preserve">,</w:t>
      </w:r>
      <w:r>
        <w:t xml:space="preserve"> </w:t>
      </w:r>
      <w:r>
        <w:rPr>
          <w:i/>
          <w:iCs/>
        </w:rPr>
        <w:t xml:space="preserve">Humex Rhume</w:t>
      </w:r>
      <w:r>
        <w:t xml:space="preserve">,</w:t>
      </w:r>
      <w:r>
        <w:t xml:space="preserve"> </w:t>
      </w:r>
      <w:r>
        <w:rPr>
          <w:i/>
          <w:iCs/>
        </w:rPr>
        <w:t xml:space="preserve">Rhinadvil</w:t>
      </w:r>
      <w:r>
        <w:t xml:space="preserve"> </w:t>
      </w:r>
      <w:r>
        <w:t xml:space="preserve">ne figurent plus dans le référentiel national actif, soit qu’elles aient été retirées suite aux recommandations de l’ANSM (2012) contre-indiquant les vasoconstricteurs oraux chez la femme allaitante et l’enfant de moins de 15 ans, soit qu’elles n’aient jamais été enregistrées en Algérie. Les praticiens algériens disposent toutefois de ces spécialités via les importations exceptionnelles et le marché parallèle, ce qui impose une vigilance particulière au comptoir.</w:t>
      </w:r>
    </w:p>
    <w:bookmarkEnd w:id="65"/>
    <w:bookmarkStart w:id="66" w:name="Xb6c782cb161124188d2193fcfdd238e841cd4cb"/>
    <w:p>
      <w:pPr>
        <w:pStyle w:val="Heading3"/>
      </w:pPr>
      <w:r>
        <w:t xml:space="preserve">Fiche Conceptuelle (sans marque algérienne active) : Paracétamol + Antihistaminique ± Vasoconstricteur</w:t>
      </w:r>
    </w:p>
    <w:p>
      <w:pPr>
        <w:pStyle w:val="FirstParagraph"/>
      </w:pPr>
      <w:r>
        <w:rPr>
          <w:b/>
          <w:bCs/>
        </w:rPr>
        <w:t xml:space="preserve">Liste des Catégories :</w:t>
      </w:r>
      <w:r>
        <w:t xml:space="preserve"> </w:t>
      </w:r>
      <w:r>
        <w:t xml:space="preserve">Antalgiques palier I — Associations antalgiques du rhume.</w:t>
      </w:r>
    </w:p>
    <w:p>
      <w:pPr>
        <w:pStyle w:val="BodyText"/>
      </w:pPr>
      <w:r>
        <w:t xml:space="preserve">L’association paracétamol (500 mg) + chlorphénamine (4 mg) + pseudoéphédrine (30 mg) représente l’archétype mondial de la « gélule anti-rhume ». La rationale pharmacologique repose sur trois actions complémentaires : (i) l’antalgique-antipyrétique central du paracétamol couvre la fièvre, les céphalées et les myalgies fébriles ; (ii) l’antihistaminique H1 bloque la composante allergique/histaminique de la rhinorrhée et des éternuements ; (iii) le vasoconstricteur α-mimétique réduit l’obstruction nasale en diminue l’œdème muqueux.</w:t>
      </w:r>
    </w:p>
    <w:p>
      <w:pPr>
        <w:pStyle w:val="BodyText"/>
      </w:pPr>
      <w:r>
        <w:rPr>
          <w:b/>
          <w:bCs/>
        </w:rPr>
        <w:t xml:space="preserve">Médicaments historiquement disponibles (à titre informatif, hors nomenclature algérienne active 2026) :</w:t>
      </w:r>
      <w:r>
        <w:t xml:space="preserve"> </w:t>
      </w:r>
      <w:r>
        <w:t xml:space="preserve">formes poudres-sachets, gélules, comprimés. Pour mémoire, en France et dans plusieurs pays du Maghreb, on retrouve les spécialités</w:t>
      </w:r>
      <w:r>
        <w:t xml:space="preserve"> </w:t>
      </w:r>
      <w:r>
        <w:rPr>
          <w:i/>
          <w:iCs/>
        </w:rPr>
        <w:t xml:space="preserve">Actifed Rhume</w:t>
      </w:r>
      <w:r>
        <w:t xml:space="preserve">,</w:t>
      </w:r>
      <w:r>
        <w:t xml:space="preserve"> </w:t>
      </w:r>
      <w:r>
        <w:rPr>
          <w:i/>
          <w:iCs/>
        </w:rPr>
        <w:t xml:space="preserve">Fervex</w:t>
      </w:r>
      <w:r>
        <w:t xml:space="preserve">,</w:t>
      </w:r>
      <w:r>
        <w:t xml:space="preserve"> </w:t>
      </w:r>
      <w:r>
        <w:rPr>
          <w:i/>
          <w:iCs/>
        </w:rPr>
        <w:t xml:space="preserve">Humex Rhume</w:t>
      </w:r>
      <w:r>
        <w:t xml:space="preserve">,</w:t>
      </w:r>
      <w:r>
        <w:t xml:space="preserve"> </w:t>
      </w:r>
      <w:r>
        <w:rPr>
          <w:i/>
          <w:iCs/>
        </w:rPr>
        <w:t xml:space="preserve">Dolirhume</w:t>
      </w:r>
      <w:r>
        <w:t xml:space="preserve">,</w:t>
      </w:r>
      <w:r>
        <w:t xml:space="preserve"> </w:t>
      </w:r>
      <w:r>
        <w:rPr>
          <w:i/>
          <w:iCs/>
        </w:rPr>
        <w:t xml:space="preserve">Rhinadvil</w:t>
      </w:r>
      <w:r>
        <w:t xml:space="preserve">. En Algérie, l’officine peut être amenée à délivrer ces produits via des circuits d’importation exceptionnelle, sous stricte réserve d’ordonnance médicale.</w:t>
      </w:r>
    </w:p>
    <w:p>
      <w:pPr>
        <w:pStyle w:val="BodyText"/>
      </w:pPr>
      <w:r>
        <w:rPr>
          <w:b/>
          <w:bCs/>
        </w:rPr>
        <w:t xml:space="preserve">Sous-classe et Mécanisme d’action :</w:t>
      </w:r>
      <w:r>
        <w:t xml:space="preserve"> </w:t>
      </w:r>
      <w:r>
        <w:t xml:space="preserve">- Sous-classe : association antalgique-antihistaminique-vasoconstrictrice, palier I OMS.</w:t>
      </w:r>
      <w:r>
        <w:t xml:space="preserve"> </w:t>
      </w:r>
      <w:r>
        <w:t xml:space="preserve">- Mécanisme d’action : Paracétamol — antipyrétique central par inhibition COX-3 hypothalamique et activation des voies descendantes sérotoninergiques ; Chlorphénamine — antagoniste compétitif des récepteurs H1, effet anti-allergique central et périphérique, passage BBB → sédation ; Pseudoéphédrine — agoniste α1-adrénergique indirect (libération de noradrénaline) et direct, vasoconstriction nasale systémique.</w:t>
      </w:r>
    </w:p>
    <w:p>
      <w:pPr>
        <w:pStyle w:val="BodyText"/>
      </w:pPr>
      <w:r>
        <w:rPr>
          <w:b/>
          <w:bCs/>
        </w:rPr>
        <w:t xml:space="preserve">Profil Pharmacologique :</w:t>
      </w:r>
      <w:r>
        <w:t xml:space="preserve"> </w:t>
      </w:r>
      <w:r>
        <w:t xml:space="preserve">- Indications : traitement symptomatique de court terme (≤ 5 jours) des rhinites et rhinopharyngites aiguës de l’adulte et de l’enfant &gt; 15 ans (selon forme), associant fièvre, céphalées, obstruction nasale et rhinorrhée.</w:t>
      </w:r>
      <w:r>
        <w:t xml:space="preserve"> </w:t>
      </w:r>
      <w:r>
        <w:t xml:space="preserve">- Contre-indications : hypertension artérielle sévère ou non contrôlée, coronaropathie, hyperthyroïdie, glaucome à angle fermé, adénome de prostate, insuffisance rénale sévère, enfant &lt; 15 ans, allaitement, antécédent d’AVC, association à IMAO (15 jours de washout).</w:t>
      </w:r>
      <w:r>
        <w:t xml:space="preserve"> </w:t>
      </w:r>
      <w:r>
        <w:t xml:space="preserve">- Effets Indésirables : sédation diurne, baisse de vigilance (risque routier majoré), sécheresse buccale, constipation, rétention urinaire, tachycardie, HTA par vasoconstricteur, palpitations, troubles du sommeil (insomnie paradoxale), troubles visuels (mydriase, cycloplégie), réactions cutanées (rash, photosensibilité), troubles hépatiques en cas de surdosage paracétamol.</w:t>
      </w:r>
    </w:p>
    <w:p>
      <w:pPr>
        <w:pStyle w:val="BodyText"/>
      </w:pPr>
      <w:r>
        <w:rPr>
          <w:b/>
          <w:bCs/>
        </w:rPr>
        <w:t xml:space="preserve">Prévention et Gestion des Effets Indésirables :</w:t>
      </w:r>
      <w:r>
        <w:t xml:space="preserve"> </w:t>
      </w:r>
      <w:r>
        <w:t xml:space="preserve">- Mesures Préventives : prise vespérale préférentielle (effet sédatif), éviter la conduite automobile, ne pas associer à alcool ni à autres sédatifs (benzodiazépines, opioïdes), respecter la dose maximale de paracétamol 3 g/jour en cas d’association, surveillance tensionnelle chez l’hypertendu.</w:t>
      </w:r>
      <w:r>
        <w:t xml:space="preserve"> </w:t>
      </w:r>
      <w:r>
        <w:t xml:space="preserve">- Conduite à Tenir : arrêt immédiat en cas de HTA paroxystique, palpitations, céphalées en coup de tonnerre (suspicion d’AVC hémorragique), ou rétention urinaire aiguë chez l’homme âgé. Traitement symptomatique de la sédation excessive.</w:t>
      </w:r>
    </w:p>
    <w:p>
      <w:pPr>
        <w:pStyle w:val="BodyText"/>
      </w:pPr>
      <w:r>
        <w:rPr>
          <w:b/>
          <w:bCs/>
        </w:rPr>
        <w:t xml:space="preserve">Interactions Importantes :</w:t>
      </w:r>
      <w:r>
        <w:t xml:space="preserve"> </w:t>
      </w:r>
      <w:r>
        <w:t xml:space="preserve">- Pseudoéphédrine + IMAO : risque d’HTA maligne par potentialisation des catécholamines.</w:t>
      </w:r>
      <w:r>
        <w:t xml:space="preserve"> </w:t>
      </w:r>
      <w:r>
        <w:t xml:space="preserve">- Pseudoéphédrine + autres sympathomimétiques (décongestionnants nasaux, anorexigènes) : surdose adrénergique.</w:t>
      </w:r>
      <w:r>
        <w:t xml:space="preserve"> </w:t>
      </w:r>
      <w:r>
        <w:t xml:space="preserve">- Antihistaminiques H1 sédatifs + alcool, benzodiazépines, opioïdes : dépression respiratoire additive, sédation profonde.</w:t>
      </w:r>
      <w:r>
        <w:t xml:space="preserve"> </w:t>
      </w:r>
      <w:r>
        <w:t xml:space="preserve">- Paracétamol + antivitamines K (warfarine) : majoration de l’INR si paracétamol &gt; 2 g/j ≥ 4 jours.</w:t>
      </w:r>
    </w:p>
    <w:p>
      <w:pPr>
        <w:pStyle w:val="BodyText"/>
      </w:pPr>
      <w:r>
        <w:rPr>
          <w:b/>
          <w:bCs/>
        </w:rPr>
        <w:t xml:space="preserve">Grossesse et Allaitement :</w:t>
      </w:r>
      <w:r>
        <w:t xml:space="preserve"> </w:t>
      </w:r>
      <w:r>
        <w:t xml:space="preserve">- Grossesse : selon CRAT, paracétamol est l’antalgique de référence à tous trimestres. Pseudoéphédrine et antihistaminiques H1 de première génération sont déconseillés au 1er trimestre (risque hypoplasie nasale, gastroschisis) et CI au 3e trimestre (risque d’HTA pulmonaire persistante néonatale, contractions utérines).</w:t>
      </w:r>
      <w:r>
        <w:t xml:space="preserve"> </w:t>
      </w:r>
      <w:r>
        <w:t xml:space="preserve">- Allaitement : CI pour les associations contenant un vasoconstricteur oral (recommandations ANSM 2012), en raison du passage dans le lait et des risques cardiovasculaires chez le nourrisson ; le paracétamol seul reste autorisé.</w:t>
      </w:r>
      <w:r>
        <w:t xml:space="preserve"> </w:t>
      </w:r>
      <w:r>
        <w:t xml:space="preserve">- Précisions : chez la femme enceinte présentant un syndrome pseudo-grippal, privilégier paracétamol isolé + lavage nasal au sérum physiologique, et éviter tout vasoconstricteur oral.</w:t>
      </w:r>
    </w:p>
    <w:p>
      <w:pPr>
        <w:pStyle w:val="BodyText"/>
      </w:pPr>
      <w:r>
        <w:rPr>
          <w:b/>
          <w:bCs/>
        </w:rPr>
        <w:t xml:space="preserve">Posologie et Mode d’administration (Standard) :</w:t>
      </w:r>
      <w:r>
        <w:t xml:space="preserve"> </w:t>
      </w:r>
      <w:r>
        <w:t xml:space="preserve">- Adulte : 1 comprimé/gélule/sachet toutes les 6 heures, maximum 4 prises par jour (soit paracétamol 2 g/jour). Ne jamais dépasser 3 g/jour chez l’adulte &gt; 65 ans ou &lt; 50 kg.</w:t>
      </w:r>
      <w:r>
        <w:t xml:space="preserve"> </w:t>
      </w:r>
      <w:r>
        <w:t xml:space="preserve">- Enfant : forme adaptée au poids, contre-indiquée chez l’enfant de moins de 15 ans pour les vasoconstricteurs oraux.</w:t>
      </w:r>
      <w:r>
        <w:t xml:space="preserve"> </w:t>
      </w:r>
      <w:r>
        <w:t xml:space="preserve">- Durée : 3 à 5 jours maximum ; réévaluation médicale au-delà.</w:t>
      </w:r>
      <w:r>
        <w:t xml:space="preserve"> </w:t>
      </w:r>
      <w:r>
        <w:t xml:space="preserve">- Moment de prise : de préférence le soir pour les formes sédatives (en raison du risque de somnolence).</w:t>
      </w:r>
    </w:p>
    <w:p>
      <w:pPr>
        <w:pStyle w:val="BodyText"/>
      </w:pPr>
      <w:r>
        <w:rPr>
          <w:b/>
          <w:bCs/>
        </w:rPr>
        <w:t xml:space="preserve">Arbitrage et Bénéfices des Formes Galéniques :</w:t>
      </w:r>
      <w:r>
        <w:t xml:space="preserve"> </w:t>
      </w:r>
      <w:r>
        <w:t xml:space="preserve">les sachets poudre offrent une absorption rapide (Tmax ~ 30 min) utile pour la fièvre aiguë, mais masquent le paracétamol (risque de surdosage si association). Les comprimés à libération prolongée sont à proscrire en raison de la variabilité d’absorption du vasoconstricteur. Les formes pédiatriques en sirop antitussif + antihistaminique sont à surveiller pour risque d’excès par confusion des dose-kg.</w:t>
      </w:r>
    </w:p>
    <w:p>
      <w:pPr>
        <w:pStyle w:val="BodyText"/>
      </w:pPr>
      <w:r>
        <w:rPr>
          <w:b/>
          <w:bCs/>
        </w:rPr>
        <w:t xml:space="preserve">Instructions et Conseils au Patient :</w:t>
      </w:r>
      <w:r>
        <w:t xml:space="preserve"> </w:t>
      </w:r>
      <w:r>
        <w:t xml:space="preserve">- Communication au comptoir : expliquer que l’effet sédatif ne dispense pas de prudence au volant, vérifier l’absence d’autres antalgiques ou antitussifs déjà pris (cumul paracétamol caché), interroger sur la pression artérielle et les antécédents cardiovasculaires.</w:t>
      </w:r>
      <w:r>
        <w:t xml:space="preserve"> </w:t>
      </w:r>
      <w:r>
        <w:t xml:space="preserve">- Mode d’utilisation pratique : ne pas prendre en fin d’après-midi ou en soirée pour les formes non sédatives (insomnie), respecter un intervalle minimal de 6 heures entre prises, hydratation suffisante pour combattre la sécheresse buccale, ne jamais doubler la dose en cas d’oubli.</w:t>
      </w:r>
    </w:p>
    <w:p>
      <w:pPr>
        <w:pStyle w:val="BodyText"/>
      </w:pPr>
      <w:r>
        <w:rPr>
          <w:b/>
          <w:bCs/>
        </w:rPr>
        <w:t xml:space="preserve">Notes, Règles d’Or &amp; Pièges au Comptoir :</w:t>
      </w:r>
      <w:r>
        <w:t xml:space="preserve"> </w:t>
      </w:r>
      <w:r>
        <w:t xml:space="preserve">- Piège classique : cumul involontaire de paracétamol avec un autre antalgique du rhume ou un antalgique simple → risque hépatotoxique.</w:t>
      </w:r>
      <w:r>
        <w:t xml:space="preserve"> </w:t>
      </w:r>
      <w:r>
        <w:t xml:space="preserve">- Règle de prise : une seule prise vespérale pour les formes sédatives, dose maximale stricte 3 g/j chez le sujet fragile.</w:t>
      </w:r>
      <w:r>
        <w:t xml:space="preserve"> </w:t>
      </w:r>
      <w:r>
        <w:t xml:space="preserve">- Préparation et Conservation : conserver à température ambiante &lt; 25 °C, à l’abri de l’humidité, hors de portée des enfants (risque d’intoxication accidentelle).</w:t>
      </w:r>
      <w:r>
        <w:t xml:space="preserve"> </w:t>
      </w:r>
      <w:r>
        <w:t xml:space="preserve">- Piège du surdosage / Substitution : chez l’insuffisant hépatique latent (NASH alcoolique) ou l’alcoolique chronique, abaisser la dose maximale à 2 g/j et envisager une alternative non paracétamolée (AINS courte durée si fonction rénale conservée).</w:t>
      </w:r>
    </w:p>
    <w:p>
      <w:r>
        <w:pict>
          <v:rect style="width:0;height:1.5pt" o:hralign="center" o:hrstd="t" o:hr="t"/>
        </w:pict>
      </w:r>
    </w:p>
    <w:bookmarkEnd w:id="66"/>
    <w:bookmarkEnd w:id="67"/>
    <w:bookmarkStart w:id="70" w:name="Xe3597dadc942f34838c15ad1bc0f13384c7badb"/>
    <w:p>
      <w:pPr>
        <w:pStyle w:val="Heading2"/>
      </w:pPr>
      <w:r>
        <w:t xml:space="preserve">B. Sous-classe : Antalgiques Palier I — Associations AINS-Paracétamol</w:t>
      </w:r>
    </w:p>
    <w:bookmarkStart w:id="68" w:name="présentation-de-la-sous-classe-1"/>
    <w:p>
      <w:pPr>
        <w:pStyle w:val="Heading3"/>
      </w:pPr>
      <w:r>
        <w:t xml:space="preserve">Présentation de la sous-classe</w:t>
      </w:r>
    </w:p>
    <w:p>
      <w:pPr>
        <w:pStyle w:val="FirstParagraph"/>
      </w:pPr>
      <w:r>
        <w:t xml:space="preserve">L’association fixe d’un AINS classique et du paracétamol vise à exploiter la double inhibition centrale (paracétamol, COX-3) et périphérique (AINS, COX-1/COX-2) de la nociception inflammatoire. Le rationnel pharmacodynamique repose sur le concept d’« analgésie multimodale » : le paracétamol, faible anti-inflammatoire, agit sur la douleur centrale d’origine hypothalamique, tandis que l’AINS limite la production périphérique de prostaglandines E2 sensibilisant les nocicepteurs. Cette combinaison est logiquement séduisante pour les douleurs inflammatoires aiguës (dysménorrhée, douleur dentaire post-opératoire, lombalgie aiguë).</w:t>
      </w:r>
    </w:p>
    <w:p>
      <w:pPr>
        <w:pStyle w:val="BodyText"/>
      </w:pPr>
      <w:r>
        <w:t xml:space="preserve">Toutefois, le bénéfice de l’association fixe paracétamol + ibuprofène comparativement à l’administration séquentielle ou alternée reste débattu : la méta-analyse Cochrane (Toms et al., 2008 ; mise à jour 2018) a montré un NNT (number needed to treat) à 1,5 pour 50 % de soulagement à 6 heures avec l’association ibuprofène 200 mg + paracétamol 500 mg versus 3,2 pour ibuprofène seul et 4,5 pour paracétamol seul — soit un gain réel mais modeste. Le risque principal est l’effet « masque » : la présence de paracétamol dans la même gélule rend impossible l’adaptation indépendante des deux doses, et expose au surdosage en cas de co-prescription d’un antalgique banal.</w:t>
      </w:r>
    </w:p>
    <w:p>
      <w:pPr>
        <w:pStyle w:val="BodyText"/>
      </w:pPr>
      <w:r>
        <w:t xml:space="preserve">En Algérie, deux spécialités dominent le marché actif en 2026 : DOLISED (Biovital) et APAP IBUPROFENE BEKER (Laboratoires Beker), toutes deux sur Liste II (substances vénéneuses non stupéfiantes).</w:t>
      </w:r>
    </w:p>
    <w:bookmarkEnd w:id="68"/>
    <w:bookmarkStart w:id="69" w:name="X7b68abd49977b5695a7b5ad28fe9d2d61690b80"/>
    <w:p>
      <w:pPr>
        <w:pStyle w:val="Heading3"/>
      </w:pPr>
      <w:r>
        <w:t xml:space="preserve">Fiche 1 — Paracétamol + Ibuprofène (En Association)</w:t>
      </w:r>
    </w:p>
    <w:p>
      <w:pPr>
        <w:pStyle w:val="FirstParagraph"/>
      </w:pPr>
      <w:r>
        <w:rPr>
          <w:b/>
          <w:bCs/>
        </w:rPr>
        <w:t xml:space="preserve">Liste des Catégories :</w:t>
      </w:r>
      <w:r>
        <w:t xml:space="preserve"> </w:t>
      </w:r>
      <w:r>
        <w:t xml:space="preserve">Antalgiques palier I — Associations AINS-paracétamol. Liste II.</w:t>
      </w:r>
    </w:p>
    <w:p>
      <w:pPr>
        <w:pStyle w:val="BodyText"/>
      </w:pPr>
      <w:r>
        <w:t xml:space="preserve">L’association paracétamol + ibuprofène exploite la complémentarité d’action du paracétamol (antalgique central, COX-3 hypothalamique, activation des voies descendantes sérotoninergiques bulbospinales) et de l’ibuprofène (AINS classique, inhibiteur non sélectif COX-1 et COX-2 périphériques, anti-inflammatoire à dose ≥ 400 mg). L’objectif est d’amplifier l’antalgie sans augmenter la dose de chaque molécule, réduisant ainsi le risque dose-dépendant d’hépatotoxicité (paracétamol) et d’insuffisance rénale/ulcère (ibuprofène).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DOLISED</w:t>
      </w:r>
      <w:r>
        <w:t xml:space="preserve"> </w:t>
      </w:r>
      <w:r>
        <w:t xml:space="preserve">(BIOLOGIE ET VITAMINE D’ALGERIE BIOVITAL)</w:t>
      </w:r>
      <w:r>
        <w:t xml:space="preserve"> </w:t>
      </w:r>
      <w:r>
        <w:t xml:space="preserve">- Forme : Comprimé</w:t>
      </w:r>
      <w:r>
        <w:t xml:space="preserve"> </w:t>
      </w:r>
      <w:r>
        <w:t xml:space="preserve">- Dosage : Ibuprofène 200 mg / Paracétamol 400 mg</w:t>
      </w:r>
      <w:r>
        <w:t xml:space="preserve"> </w:t>
      </w:r>
      <w:r>
        <w:t xml:space="preserve">- Conditionnement : Boîte de 20</w:t>
      </w:r>
      <w:r>
        <w:t xml:space="preserve"> </w:t>
      </w:r>
      <w:r>
        <w:t xml:space="preserve">- Liste : Liste II</w:t>
      </w:r>
      <w:r>
        <w:t xml:space="preserve"> </w:t>
      </w:r>
      <w:r>
        <w:t xml:space="preserve">- Statut : Actif</w:t>
      </w:r>
      <w:r>
        <w:t xml:space="preserve"> </w:t>
      </w:r>
      <w:r>
        <w:t xml:space="preserve">-</w:t>
      </w:r>
      <w:r>
        <w:t xml:space="preserve"> </w:t>
      </w:r>
      <w:r>
        <w:rPr>
          <w:b/>
          <w:bCs/>
        </w:rPr>
        <w:t xml:space="preserve">APAP IBUPROFENE BEKER</w:t>
      </w:r>
      <w:r>
        <w:t xml:space="preserve"> </w:t>
      </w:r>
      <w:r>
        <w:t xml:space="preserve">(LABORATOIRES BEKER)</w:t>
      </w:r>
      <w:r>
        <w:t xml:space="preserve"> </w:t>
      </w:r>
      <w:r>
        <w:t xml:space="preserve">- Forme : Comprimé pelliculé</w:t>
      </w:r>
      <w:r>
        <w:t xml:space="preserve"> </w:t>
      </w:r>
      <w:r>
        <w:t xml:space="preserve">- Dosage : Paracétamol 500 mg / Ibuprofène 200 mg</w:t>
      </w:r>
      <w:r>
        <w:t xml:space="preserve"> </w:t>
      </w:r>
      <w:r>
        <w:t xml:space="preserve">- Conditionnement : Boîte de 20</w:t>
      </w:r>
      <w:r>
        <w:t xml:space="preserve"> </w:t>
      </w:r>
      <w:r>
        <w:t xml:space="preserve">- Liste : Liste II</w:t>
      </w:r>
      <w:r>
        <w:t xml:space="preserve"> </w:t>
      </w:r>
      <w:r>
        <w:t xml:space="preserve">- Statut : Actif</w:t>
      </w:r>
    </w:p>
    <w:p>
      <w:pPr>
        <w:pStyle w:val="BodyText"/>
      </w:pPr>
      <w:r>
        <w:rPr>
          <w:b/>
          <w:bCs/>
        </w:rPr>
        <w:t xml:space="preserve">Sous-classe et Mécanisme d’action :</w:t>
      </w:r>
      <w:r>
        <w:t xml:space="preserve"> </w:t>
      </w:r>
      <w:r>
        <w:t xml:space="preserve">- Sous-classe : association palier I multimodale — antalgique central (paracétamol) + AINS classique non sélectif (ibuprofène). Positionnement OMS : palier I « renforcé ».</w:t>
      </w:r>
      <w:r>
        <w:t xml:space="preserve"> </w:t>
      </w:r>
      <w:r>
        <w:t xml:space="preserve">- Mécanisme d’action : le paracétamol exerce une action antalgique et antipyrétique centrale par inhibition préférentielle de la cyclooxygénase COX-3 (isoforme splice de COX-1 identifiée par Chandrasekharan et al. en 2002, sensibilité accrue au paracétamol), par activation des voies descendantes sérotoninergiques bulbospinales (5-HT3) et par métabolisme en AM404 (amide du paracétamol via FAAH, hydrolase des amides d’acides gras), qui active les récepteurs TRPV1 (vanilloïdes) et CB1 (cannabinoïdes) centraux. L’ibuprofène, dérivé arylpropionique, inhibe de façon non sélective et compétitive (réversible) les cyclooxygénases COX-1 et COX-2, bloquant la conversion de l’acide arachidonique en prostaglandines G2/H2, donc en PGE2, PGI2 et TXA2. Ceci réduit la sensibilisation périphérique des nocicepteurs, l’inflammation locale et la fièvre.</w:t>
      </w:r>
    </w:p>
    <w:p>
      <w:pPr>
        <w:pStyle w:val="BodyText"/>
      </w:pPr>
      <w:r>
        <w:rPr>
          <w:b/>
          <w:bCs/>
        </w:rPr>
        <w:t xml:space="preserve">Profil Pharmacologique :</w:t>
      </w:r>
      <w:r>
        <w:t xml:space="preserve"> </w:t>
      </w:r>
      <w:r>
        <w:t xml:space="preserve">- Indications : traitement symptomatique de court terme des douleurs d’intensité légère à modérée à composante inflammatoire — dysménorrhée, douleur dentaire post-opératoire, lombalgie aiguë, céphalée de tension, douleur articulaire traumatique, état grippal avec myalgies. Réservé à l’adulte et à l’enfant de plus de 20 kg (soit ~6 ans).</w:t>
      </w:r>
      <w:r>
        <w:t xml:space="preserve"> </w:t>
      </w:r>
      <w:r>
        <w:t xml:space="preserve">- Contre-indications : hypersensibilité aux AINS (dont asthme déclenché par AINS, angio-œdème, rhinite), antécédent d’ulcère gastro-duodénal en évolution, insuffisance hépatique sévère, insuffisance rénale sévère (DFG &lt; 30 mL/min), insuffisance cardiaque sévère, troisième trimestre de la grossesse (fermeture prématurée du canal artériel), association à d’autres AINS ou anticoagulants oraux, hémorragie gastro-intestinale en cours, lupus erythémateux disséminé.</w:t>
      </w:r>
      <w:r>
        <w:t xml:space="preserve"> </w:t>
      </w:r>
      <w:r>
        <w:t xml:space="preserve">- Effets Indésirables : troubles digestifs (dyspepsie, nausées, diarrhée, gastrite érosive, ulcère, hémorragie digestive), troubles rénaux (IRA fonctionnelle par inhibition PGE2 vasodilatatrice intrarénale, néphropathie interstitielle aiguë), troubles hépatiques (cytolyse, hépatotoxicité potentialisée par le paracétamol), hypertension artérielle, œdèmes, thrombopénie, agranulocytose, rash cutané, exceptionnels syndromes de Stevens-Johnson et Lyell.</w:t>
      </w:r>
    </w:p>
    <w:p>
      <w:pPr>
        <w:pStyle w:val="BodyText"/>
      </w:pPr>
      <w:r>
        <w:rPr>
          <w:b/>
          <w:bCs/>
        </w:rPr>
        <w:t xml:space="preserve">Prévention et Gestion des Effets Indésirables :</w:t>
      </w:r>
      <w:r>
        <w:t xml:space="preserve"> </w:t>
      </w:r>
      <w:r>
        <w:t xml:space="preserve">- Mesures Préventives : prise pendant les repas, hydratation abondante, durée maximale 3 à 5 jours chez l’adulte sain, surveillance de la fonction rénale chez le sujet âgé et le patient sous diurétique ou IEC/ARA2, contre-indication absolue au 3e trimestre de grossesse, recherche systématique d’un antécédent ulcéreux.</w:t>
      </w:r>
      <w:r>
        <w:t xml:space="preserve"> </w:t>
      </w:r>
      <w:r>
        <w:t xml:space="preserve">- Conduite à Tenir : arrêt immédiat en cas de méléna, hématémèse, douleur épigastrique persistante, oligurie, œdèmes des membres inférieurs, rash cutané. Utilisation d’un IPP (oméprazole 20 mg/j) en cas d’antécédent ulcereux récent si l’AINS reste nécessaire. L’hémodialyse est inefficace sur le paracétamol (&gt; 4 h post-ingestion) ; l’antidote N-acétylcystéine est administré selon le protocole Prescott en cas de surdosage paracétamol (&gt; 150 mg/kg ou &gt; 10 g adulte).</w:t>
      </w:r>
    </w:p>
    <w:p>
      <w:pPr>
        <w:pStyle w:val="BodyText"/>
      </w:pPr>
      <w:r>
        <w:rPr>
          <w:b/>
          <w:bCs/>
        </w:rPr>
        <w:t xml:space="preserve">Interactions Importantes :</w:t>
      </w:r>
      <w:r>
        <w:t xml:space="preserve"> </w:t>
      </w:r>
      <w:r>
        <w:t xml:space="preserve">- Ibuprofène + anticoagulants oraux (warfarine, AVK) : majoration du risque hémorragique digestif.</w:t>
      </w:r>
      <w:r>
        <w:t xml:space="preserve"> </w:t>
      </w:r>
      <w:r>
        <w:t xml:space="preserve">- Ibuprofène + aspirine à dose antiagrégante (75–300 mg) : compétition au site de liaison de la COX-1 plaquettaire, perte d’effet antiagrégant de l’aspirine (recommandation : espacer de 2 h avant la prise d’aspirine).</w:t>
      </w:r>
      <w:r>
        <w:t xml:space="preserve"> </w:t>
      </w:r>
      <w:r>
        <w:t xml:space="preserve">- Ibuprofène + IEC/ARA2 + diurétiques : « triple whammy » → risque d’IRA aiguë fonctionnelle.</w:t>
      </w:r>
      <w:r>
        <w:t xml:space="preserve"> </w:t>
      </w:r>
      <w:r>
        <w:t xml:space="preserve">- Ibuprofène + lithium : diminution de l’excrétion rénale, risque de lithiémie toxique.</w:t>
      </w:r>
      <w:r>
        <w:t xml:space="preserve"> </w:t>
      </w:r>
      <w:r>
        <w:t xml:space="preserve">- Ibuprofène + méthotrexate : augmentation de la toxicité hématologique par diminution de la clairance tubulaire.</w:t>
      </w:r>
      <w:r>
        <w:t xml:space="preserve"> </w:t>
      </w:r>
      <w:r>
        <w:t xml:space="preserve">- Paracétamol + warfarine : majoration de l’INR si paracétamol ≥ 2 g/j pendant ≥ 4 jours (métabolites NAPQI inhibant la vitamine K-époxide réductase).</w:t>
      </w:r>
    </w:p>
    <w:p>
      <w:pPr>
        <w:pStyle w:val="BodyText"/>
      </w:pPr>
      <w:r>
        <w:rPr>
          <w:b/>
          <w:bCs/>
        </w:rPr>
        <w:t xml:space="preserve">Grossesse et Allaitement :</w:t>
      </w:r>
      <w:r>
        <w:t xml:space="preserve"> </w:t>
      </w:r>
      <w:r>
        <w:t xml:space="preserve">- Grossesse : selon CRAT et recommandations CNGOF 2019, ibuprofène est autorisé au 1er et 2e trimestre (T1-T2) sur courte durée (≤ 5 jours) si nécessaire ; CI absolue au 3e trimestre (T3) à partir de 24 SA révolues, en raison du risque de fermeture prématurée du canal artériel (inhibition PGE2 maintien du canal), d’oligoamnios par anurie fœtale, et de persistance de l’HTAP néonatale. Le paracétamol reste l’antalgique de référence à tous trimestres, en prise ponctuelle.</w:t>
      </w:r>
      <w:r>
        <w:t xml:space="preserve"> </w:t>
      </w:r>
      <w:r>
        <w:t xml:space="preserve">- Allaitement : ibuprofène est compatible (faible passage lacté, Tmax lait ~ 2 h, faible dose ingérée par le nourrisson &lt; 1 % de la dose pédiatrique) ; paracétamol également compatible. Prise post-prandiale immédiate après la tétée pour minimiser l’exposition.</w:t>
      </w:r>
      <w:r>
        <w:t xml:space="preserve"> </w:t>
      </w:r>
      <w:r>
        <w:t xml:space="preserve">- Précisions : chez la femme souhaitant concevoir, éviter l’ibuprofène au-delà du 15e jour du cycle (risque d’inhibition de l’ovulation selon les travaux de Label et al., 2018).</w:t>
      </w:r>
    </w:p>
    <w:p>
      <w:pPr>
        <w:pStyle w:val="BodyText"/>
      </w:pPr>
      <w:r>
        <w:rPr>
          <w:b/>
          <w:bCs/>
        </w:rPr>
        <w:t xml:space="preserve">Posologie et Mode d’administration (Standard) :</w:t>
      </w:r>
      <w:r>
        <w:t xml:space="preserve"> </w:t>
      </w:r>
      <w:r>
        <w:t xml:space="preserve">- Adulte : 1 comprimé toutes les 6 à 8 heures, soit ibuprofène 200 mg + paracétamol 400 ou 500 mg par prise. Maximum 6 comprimés par 24 heures (soit ibuprofène 1200 mg/jour, paracétamol 2400–3000 mg/jour). Espacement minimal de 4 heures entre prises. Respecter la dose maximale de paracétamol 4 g/j chez l’adulte sain, 3 g/j chez le sujet âgé, insuffisant hépatique ou alcoolique chronique.</w:t>
      </w:r>
      <w:r>
        <w:t xml:space="preserve"> </w:t>
      </w:r>
      <w:r>
        <w:t xml:space="preserve">- Enfant : poids ≥ 20 kg, à raison de 10 mg/kg d’ibuprofène + 15 mg/kg de paracétamol par prise, maximum 3 prises/jour, sous stricte surveillance pédiatrique.</w:t>
      </w:r>
      <w:r>
        <w:t xml:space="preserve"> </w:t>
      </w:r>
      <w:r>
        <w:t xml:space="preserve">- Durée : 3 jours maximum sans avis médical. Au-delà, réévaluation diagnostique obligatoire.</w:t>
      </w:r>
      <w:r>
        <w:t xml:space="preserve"> </w:t>
      </w:r>
      <w:r>
        <w:t xml:space="preserve">- Moment de prise : pendant ou après le repas, avec un grand verre d’eau.</w:t>
      </w:r>
    </w:p>
    <w:p>
      <w:pPr>
        <w:pStyle w:val="BodyText"/>
      </w:pPr>
      <w:r>
        <w:rPr>
          <w:b/>
          <w:bCs/>
        </w:rPr>
        <w:t xml:space="preserve">Arbitrage et Bénéfices des Formes Galéniques :</w:t>
      </w:r>
      <w:r>
        <w:t xml:space="preserve"> </w:t>
      </w:r>
      <w:r>
        <w:t xml:space="preserve">le comprimé pelliculé (APAP IBUPROFENE BEKER) masque le goût acide de l’ibuprofène et facilite la déglutition. Le comprimé nu (DOLISED) offre un coût de production plus bas mais peut irriter la muqueuse gastrique. Aucune forme pédiatrique n’est commercialisée en Algérie à ce jour (sirop ou suppositoire), limitant l’usage chez l’enfant. L’absence de forme effervescente ou orodispersible restreint l’usage chez le sujet âgé dysphagique.</w:t>
      </w:r>
    </w:p>
    <w:p>
      <w:pPr>
        <w:pStyle w:val="BodyText"/>
      </w:pPr>
      <w:r>
        <w:rPr>
          <w:b/>
          <w:bCs/>
        </w:rPr>
        <w:t xml:space="preserve">Instructions et Conseils au Patient :</w:t>
      </w:r>
      <w:r>
        <w:t xml:space="preserve"> </w:t>
      </w:r>
      <w:r>
        <w:t xml:space="preserve">- Communication au comptoir : expliquer la présence simultanée des deux molécules, interdire toute prise concomitante d’un autre antalgique (paracétamol, ibuprofène, aspirine, kétoprofène), avertir des signes d’appel digestifs (méléna, douleur épigastrique), recommander la prise pendant les repas, et informer sur la nécessité d’une hydratation correcte.</w:t>
      </w:r>
      <w:r>
        <w:t xml:space="preserve"> </w:t>
      </w:r>
      <w:r>
        <w:t xml:space="preserve">- Mode d’utilisation pratique : respecter l’intervalle de 6 heures entre prises, ne jamais doubler la dose en cas d’oubli (attendre la prise suivante), arrêter dès la disparition des symptômes pour limiter la durée d’exposition, signaler tout saignement gingival, ecchymose ou hématome inexpliqué.</w:t>
      </w:r>
    </w:p>
    <w:p>
      <w:pPr>
        <w:pStyle w:val="BodyText"/>
      </w:pPr>
      <w:r>
        <w:rPr>
          <w:b/>
          <w:bCs/>
        </w:rPr>
        <w:t xml:space="preserve">Notes, Règles d’Or &amp; Pièges au Comptoir :</w:t>
      </w:r>
      <w:r>
        <w:t xml:space="preserve"> </w:t>
      </w:r>
      <w:r>
        <w:t xml:space="preserve">- Piège classique : patient prenant déjà un AINS en monothérapie (Ketum®, Profénid®, Voltarène®) qui demande en plus « un antalgique pour le mal de tête » → risque de double AINS et surdosage cumulatif.</w:t>
      </w:r>
      <w:r>
        <w:t xml:space="preserve"> </w:t>
      </w:r>
      <w:r>
        <w:t xml:space="preserve">- Règle de prise : vérifier systématiquement à l’officine le traitement de fond (AVK, IEC, diurétiques, lithium, méthotrexate) avant délivrance.</w:t>
      </w:r>
      <w:r>
        <w:t xml:space="preserve"> </w:t>
      </w:r>
      <w:r>
        <w:t xml:space="preserve">- Préparation et Conservation : conserver à température ≤ 25 °C, à l’abri de la lumière et de l’humidité. Vérifier l’intégrité du pelliculage.</w:t>
      </w:r>
      <w:r>
        <w:t xml:space="preserve"> </w:t>
      </w:r>
      <w:r>
        <w:t xml:space="preserve">- Piège du surdosage / Substitution : chez le sujet âgé, l’insuffisant rénal ou le patient diabétique néphropathe, préférer une alternative antalgique pure (paracétamol isolé) à dose adaptée au poids et à la fonction rénale. Chez la femme enceinte, contre-indication absolue au T3 et substitution par paracétamol seul.</w:t>
      </w:r>
    </w:p>
    <w:p>
      <w:r>
        <w:pict>
          <v:rect style="width:0;height:1.5pt" o:hralign="center" o:hrstd="t" o:hr="t"/>
        </w:pict>
      </w:r>
    </w:p>
    <w:bookmarkEnd w:id="69"/>
    <w:bookmarkEnd w:id="70"/>
    <w:bookmarkStart w:id="73" w:name="X248cde3fb2ba6cf4f8a54e71a5ce1b61f505e1f"/>
    <w:p>
      <w:pPr>
        <w:pStyle w:val="Heading2"/>
      </w:pPr>
      <w:r>
        <w:t xml:space="preserve">C. Sous-classe : Antalgiques Palier I — Associations Antispasmodiques</w:t>
      </w:r>
    </w:p>
    <w:bookmarkStart w:id="71" w:name="présentation-de-la-sous-classe-2"/>
    <w:p>
      <w:pPr>
        <w:pStyle w:val="Heading3"/>
      </w:pPr>
      <w:r>
        <w:t xml:space="preserve">Présentation de la sous-classe</w:t>
      </w:r>
    </w:p>
    <w:p>
      <w:pPr>
        <w:pStyle w:val="FirstParagraph"/>
      </w:pPr>
      <w:r>
        <w:t xml:space="preserve">Les associations antalgiques-antispasmodiques combinent un antalgique de palier I (paracétamol le plus souvent) à un antispasmodique à visée digestive, urinaire ou gynécologique. L’objectif est de traiter simultanément la composante douloureuse pariétale (paracétamol) et la composante spastique viscérale (antispasmodique). Les antispasmodiques utilisés en Algérie appartiennent à trois grandes familles : (i) les anticholinergiques (prifinium, pinavérium, mébévérine, alvérine, phloroglucinol) ; (ii) les musculotropes à action directe (mébévérine, pinavérium) ; (iii) les myorelaxants à action métabolique (tiémonium).</w:t>
      </w:r>
    </w:p>
    <w:p>
      <w:pPr>
        <w:pStyle w:val="BodyText"/>
      </w:pPr>
      <w:r>
        <w:t xml:space="preserve">Le prifinium, dérivé quaternaire d’ammonium, agit comme antagoniste des récepteurs muscariniques M1, M2 et M3, avec une faible diffusion transmembranaire en raison de sa polarité permanente (charge quaternaire), ce qui en limite les effets centraux anticholinergiques. Il exerce un effet relaxant sur le muscle lisse digestif et urinaire, réduisant les coliques et spasmes. En Algérie, l’association prifinium + paracétamol était commercialisée sous la marque RIABAL COMPOUND (Hikma Pharmaceuticals), actuellement non renouvelée.</w:t>
      </w:r>
    </w:p>
    <w:bookmarkEnd w:id="71"/>
    <w:bookmarkStart w:id="72" w:name="Xfbb31fa65aa31ab38a15f4c1d84f08c4074f128"/>
    <w:p>
      <w:pPr>
        <w:pStyle w:val="Heading3"/>
      </w:pPr>
      <w:r>
        <w:t xml:space="preserve">Fiche 2 — Paracétamol + Prifinium (En Association)</w:t>
      </w:r>
    </w:p>
    <w:p>
      <w:pPr>
        <w:pStyle w:val="FirstParagraph"/>
      </w:pPr>
      <w:r>
        <w:rPr>
          <w:b/>
          <w:bCs/>
        </w:rPr>
        <w:t xml:space="preserve">Liste des Catégories :</w:t>
      </w:r>
      <w:r>
        <w:t xml:space="preserve"> </w:t>
      </w:r>
      <w:r>
        <w:t xml:space="preserve">Antalgiques palier I — Associations antispasmodiques. Liste I.</w:t>
      </w:r>
    </w:p>
    <w:p>
      <w:pPr>
        <w:pStyle w:val="BodyText"/>
      </w:pPr>
      <w:r>
        <w:t xml:space="preserve">L’association paracétamol + prifinium est destinée au traitement symptomatique des douleurs spasmodiques abdominales et pelviennes, en particulier les coliques néphrétiques, les dysménorrhées primaires, les spasmes intestinaux fonctionnels et les crises vésicales. Le paracétamol couvre la composante nociceptive périphérique et centrale (COX-3 hypothalamique, voies sérotoninergiques descendantes), tandis que le prifinium antagonise l’action contracturante de l’acétylcholine sur les récepteurs muscariniques M3 du muscle lisse viscéral.</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RIABAL COMPOUND</w:t>
      </w:r>
      <w:r>
        <w:t xml:space="preserve"> </w:t>
      </w:r>
      <w:r>
        <w:t xml:space="preserve">(HIKMA PHARMACEUTICALS)</w:t>
      </w:r>
      <w:r>
        <w:t xml:space="preserve"> </w:t>
      </w:r>
      <w:r>
        <w:t xml:space="preserve">- Forme : Comprimé pelliculé</w:t>
      </w:r>
      <w:r>
        <w:t xml:space="preserve"> </w:t>
      </w:r>
      <w:r>
        <w:t xml:space="preserve">- Dosage : Prifinium bromure 30 mg / Paracétamol 325 mg</w:t>
      </w:r>
      <w:r>
        <w:t xml:space="preserve"> </w:t>
      </w:r>
      <w:r>
        <w:t xml:space="preserve">- Conditionnement : Boîte de 20</w:t>
      </w:r>
      <w:r>
        <w:t xml:space="preserve"> </w:t>
      </w:r>
      <w:r>
        <w:t xml:space="preserve">- Liste : Liste I</w:t>
      </w:r>
      <w:r>
        <w:t xml:space="preserve"> </w:t>
      </w:r>
      <w:r>
        <w:t xml:space="preserve">- Statut : Non Renouvelable (non renouvelé)</w:t>
      </w:r>
    </w:p>
    <w:p>
      <w:pPr>
        <w:pStyle w:val="BodyText"/>
      </w:pPr>
      <w:r>
        <w:rPr>
          <w:b/>
          <w:bCs/>
        </w:rPr>
        <w:t xml:space="preserve">Sous-classe et Mécanisme d’action :</w:t>
      </w:r>
      <w:r>
        <w:t xml:space="preserve"> </w:t>
      </w:r>
      <w:r>
        <w:t xml:space="preserve">- Sous-classe : association antalgique palier I + antispasmodique anticholinergique (antimuscarinique M3 préférentiel).</w:t>
      </w:r>
      <w:r>
        <w:t xml:space="preserve"> </w:t>
      </w:r>
      <w:r>
        <w:t xml:space="preserve">- Mécanisme d’action : le paracétamol inhibe la COX-3 centrale hypothalamique et active les voies descendantes sérotoninergiques bulbospinales ; il est métabolisé en AM404 par la FAAH hépatocérébrale, ce métabolite activant les récepteurs TRPV1 et cannabinoïdes CB1, contribuant à l’antalgie centrale. Le prifinium est un ammonium quaternaire antagoniste compétitif des récepteurs muscariniques M1 (ganglions parasympathiques), M2 (cœur, présynaptique) et M3 (muscle lisse digestif, vésical, bronchique). Sa polarité permanente (charge +) limite le passage transmembranaire et donc la diffusion systémique centrale, ce qui réduit la fréquence des effets centraux (sédation, confusion, mydriase) comparativement aux anticholinergiques tertiaires (atropine, scopolamine). Il induit une relaxation du muscle lisse intestinal, biliaire, urétéral et utérin.</w:t>
      </w:r>
    </w:p>
    <w:p>
      <w:pPr>
        <w:pStyle w:val="BodyText"/>
      </w:pPr>
      <w:r>
        <w:rPr>
          <w:b/>
          <w:bCs/>
        </w:rPr>
        <w:t xml:space="preserve">Profil Pharmacologique :</w:t>
      </w:r>
      <w:r>
        <w:t xml:space="preserve"> </w:t>
      </w:r>
      <w:r>
        <w:t xml:space="preserve">- Indications : traitement symptomatique des douleurs spasmodiques digestives (colites fonctionnelles, syndrome de l’intestin irritable), biliaires (colique hépatique), urinaires (colique néphrétique en association au traitement étiologique), et gynécologiques (dysménorrhée primaire, algoménorrhée). Réservé à l’adulte et à l’enfant de plus de 12 ans.</w:t>
      </w:r>
      <w:r>
        <w:t xml:space="preserve"> </w:t>
      </w:r>
      <w:r>
        <w:t xml:space="preserve">- Contre-indications : hypersensibilité à l’un des composants, glaucome à angle fermé, adénome prostatique avec rétention urinaire, mégacôlon, ileus paralytique, myasthénie, tachycardie sévère, insuffisance hépatique sévère (paracétamol), troisième trimestre de grossesse (par prudence, en raison des effets anticholinergiques sur le fœtus).</w:t>
      </w:r>
      <w:r>
        <w:t xml:space="preserve"> </w:t>
      </w:r>
      <w:r>
        <w:t xml:space="preserve">- Effets Indésirables : sécheresse buccale, constipation, rétention urinaire, mydriase, cycloplégie, tachycardie sinusale, flush facial, exceptionnels troubles du rythme. Pour le paracétamol : hépatotoxicité dose-dépendante au-delà de 4 g/jour, éruptions cutanées (Stevens-Johnson exceptionnels), thrombopénie.</w:t>
      </w:r>
    </w:p>
    <w:p>
      <w:pPr>
        <w:pStyle w:val="BodyText"/>
      </w:pPr>
      <w:r>
        <w:rPr>
          <w:b/>
          <w:bCs/>
        </w:rPr>
        <w:t xml:space="preserve">Prévention et Gestion des Effets Indésirables :</w:t>
      </w:r>
      <w:r>
        <w:t xml:space="preserve"> </w:t>
      </w:r>
      <w:r>
        <w:t xml:space="preserve">- Mesures Préventives : prises espacées de 6 heures, hydratation orale pour limiter la sécheresse buccale et prévenir la constipation, surveillance de la pression intra-oculaire chez le sujet glaucomateux connu, avis urologique chez l’homme &gt; 50 ans avant prescription (toucher rectal pour dépister un adénome prostatique).</w:t>
      </w:r>
      <w:r>
        <w:t xml:space="preserve"> </w:t>
      </w:r>
      <w:r>
        <w:t xml:space="preserve">- Conduite à Tenir : arrêt immédiat en cas de rétention urinaire aiguë, de palpitations, de troubles visuels majeurs. Réhydratation IV en cas de rétention urinaire ; sondage évacuateur en urgence si globe vésical.</w:t>
      </w:r>
    </w:p>
    <w:p>
      <w:pPr>
        <w:pStyle w:val="BodyText"/>
      </w:pPr>
      <w:r>
        <w:rPr>
          <w:b/>
          <w:bCs/>
        </w:rPr>
        <w:t xml:space="preserve">Interactions Importantes :</w:t>
      </w:r>
      <w:r>
        <w:t xml:space="preserve"> </w:t>
      </w:r>
      <w:r>
        <w:t xml:space="preserve">- Prifinium + autres anticholinergiques (atropine, scopolamine, ipratropium, tiotropium, antidépresseurs tricycliques, antihistaminiques H1 de première génération) : potentialisation des effets atropiniques (rétention urinaire, constipation sévère, glaucome aigu).</w:t>
      </w:r>
      <w:r>
        <w:t xml:space="preserve"> </w:t>
      </w:r>
      <w:r>
        <w:t xml:space="preserve">- Prifinium + digoxine : majoration de la bradycardie sinusale.</w:t>
      </w:r>
      <w:r>
        <w:t xml:space="preserve"> </w:t>
      </w:r>
      <w:r>
        <w:t xml:space="preserve">- Prifinium + amantadine, quinidine : potentialisation anticholinergique centrale.</w:t>
      </w:r>
      <w:r>
        <w:t xml:space="preserve"> </w:t>
      </w:r>
      <w:r>
        <w:t xml:space="preserve">- Paracétamol + warfarine (AVK) : majoration de l’INR si paracétamol ≥ 2 g/j ≥ 4 jours.</w:t>
      </w:r>
      <w:r>
        <w:t xml:space="preserve"> </w:t>
      </w:r>
      <w:r>
        <w:t xml:space="preserve">- Paracétamol + chloramphénicol : allongement de la demi-vie du chloramphénicol.</w:t>
      </w:r>
    </w:p>
    <w:p>
      <w:pPr>
        <w:pStyle w:val="BodyText"/>
      </w:pPr>
      <w:r>
        <w:rPr>
          <w:b/>
          <w:bCs/>
        </w:rPr>
        <w:t xml:space="preserve">Grossesse et Allaitement :</w:t>
      </w:r>
      <w:r>
        <w:t xml:space="preserve"> </w:t>
      </w:r>
      <w:r>
        <w:t xml:space="preserve">- Grossesse : selon CRAT, le paracétamol est l’antalgique de référence à tous trimestres en prise ponctuelle. Le prifinium, faute de données étendues, est à éviter par prudence au 1er trimestre (risque théorique de malformation digestive par hypomobilité intestinale fœtale) et au 3e trimestre (risque de rétention urinaire néonatale transitoire). Préférer phloroglucinol (Spasfon®) en cas de spasme gravidique.</w:t>
      </w:r>
      <w:r>
        <w:t xml:space="preserve"> </w:t>
      </w:r>
      <w:r>
        <w:t xml:space="preserve">- Allaitement : le prifinium, ammonium quaternaire, passe peu dans le lait ; mais par prudence, éviter en cas d’allaitement maternel. Paracétamol compatible.</w:t>
      </w:r>
      <w:r>
        <w:t xml:space="preserve"> </w:t>
      </w:r>
      <w:r>
        <w:t xml:space="preserve">- Précisions : chez la femme enceinte présentant une colique néphrétique, privilégier paracétamol + phloroglucinol, ou association paracétamol + AINS courte durée au 1er et 2e trimestre (CI T3).</w:t>
      </w:r>
    </w:p>
    <w:p>
      <w:pPr>
        <w:pStyle w:val="BodyText"/>
      </w:pPr>
      <w:r>
        <w:rPr>
          <w:b/>
          <w:bCs/>
        </w:rPr>
        <w:t xml:space="preserve">Posologie et Mode d’administration (Standard) :</w:t>
      </w:r>
      <w:r>
        <w:t xml:space="preserve"> </w:t>
      </w:r>
      <w:r>
        <w:t xml:space="preserve">- Adulte : 1 à 2 comprimés par prise, 3 prises par jour, soit prifinium 30–60 mg/jour et paracétamol 325–650 mg par prise, 975–1950 mg/jour. Respecter un intervalle minimal de 6 heures entre prises. Ne jamais dépasser 6 comprimés par 24 heures (paracétamol 1950 mg/j).</w:t>
      </w:r>
      <w:r>
        <w:t xml:space="preserve"> </w:t>
      </w:r>
      <w:r>
        <w:t xml:space="preserve">- Enfant &gt; 12 ans : 1 comprimé par prise, 3 fois par jour maximum.</w:t>
      </w:r>
      <w:r>
        <w:t xml:space="preserve"> </w:t>
      </w:r>
      <w:r>
        <w:t xml:space="preserve">- Durée : 5 jours sans avis médical. Au-delà, réévaluation diagnostique pour exclure une cause organique.</w:t>
      </w:r>
      <w:r>
        <w:t xml:space="preserve"> </w:t>
      </w:r>
      <w:r>
        <w:t xml:space="preserve">- Moment de prise : avant ou pendant les repas, avec un verre d’eau.</w:t>
      </w:r>
    </w:p>
    <w:p>
      <w:pPr>
        <w:pStyle w:val="BodyText"/>
      </w:pPr>
      <w:r>
        <w:rPr>
          <w:b/>
          <w:bCs/>
        </w:rPr>
        <w:t xml:space="preserve">Arbitrage et Bénéfices des Formes Galéniques :</w:t>
      </w:r>
      <w:r>
        <w:t xml:space="preserve"> </w:t>
      </w:r>
      <w:r>
        <w:t xml:space="preserve">le comprimé pelliculé protège la muqueuse gastrique de l’effet irritant direct du prifinium et masque le goût amer caractéristique des sels d’ammonium quaternaire. L’absence de forme injectable (contrairement au phloroglucinol) limite l’usage aux douleurs spasmodiques d’intensité modérée tolérées par voie orale. Aucune forme pédiatrique en sirop n’est disponible, ce qui contre-indique l’usage chez l’enfant &lt; 12 ans.</w:t>
      </w:r>
    </w:p>
    <w:p>
      <w:pPr>
        <w:pStyle w:val="BodyText"/>
      </w:pPr>
      <w:r>
        <w:rPr>
          <w:b/>
          <w:bCs/>
        </w:rPr>
        <w:t xml:space="preserve">Instructions et Conseils au Patient :</w:t>
      </w:r>
      <w:r>
        <w:t xml:space="preserve"> </w:t>
      </w:r>
      <w:r>
        <w:t xml:space="preserve">- Communication au comptoir : expliquer la double action antalgique + antispasmodique, prévenir le patient du risque de sécheresse buccale et de constipation (recommander hydratation, alimentation riche en fibres), interroger sur les antécédents prostatiques et oculaires (glaucome), déconseiller la conduite automobile en cas de troubles visuels.</w:t>
      </w:r>
      <w:r>
        <w:t xml:space="preserve"> </w:t>
      </w:r>
      <w:r>
        <w:t xml:space="preserve">- Mode d’utilisation pratique : prises régulières pendant les repas pour limiter les effets digestifs, ne pas combiner avec d’autres antispasmodiques (Spasfon®, Météospasmyl®, Débridat®), arrêter dès la disparition des symptômes spastiques, signaler tout globe vésical ou difficulté mictionnelle.</w:t>
      </w:r>
    </w:p>
    <w:p>
      <w:pPr>
        <w:pStyle w:val="BodyText"/>
      </w:pPr>
      <w:r>
        <w:rPr>
          <w:b/>
          <w:bCs/>
        </w:rPr>
        <w:t xml:space="preserve">Notes, Règles d’Or &amp; Pièges au Comptoir :</w:t>
      </w:r>
      <w:r>
        <w:t xml:space="preserve"> </w:t>
      </w:r>
      <w:r>
        <w:t xml:space="preserve">- Piège classique : patient âgé hypertendu sous tamsulosine (œdème bénin de prostate) chez qui le prifinium peut déclencher une rétention urinaire aiguë ; patient glaucomateux sous timolol collyre chez qui une crise de glaucome aigu peut survenir.</w:t>
      </w:r>
      <w:r>
        <w:t xml:space="preserve"> </w:t>
      </w:r>
      <w:r>
        <w:t xml:space="preserve">- Règle de prise : vérifier systématiquement le statut prostatique et oculaire du patient avant délivrance ; respecter un intervalle de 6 h entre les prises pour éviter l’accumulation.</w:t>
      </w:r>
      <w:r>
        <w:t xml:space="preserve"> </w:t>
      </w:r>
      <w:r>
        <w:t xml:space="preserve">- Préparation et Conservation : conserver à température ambiante ≤ 25 °C, à l’abri de la lumière. Le prifinium étant hygroscopique sous forme de bromure, veiller à l’intégrité du conditionnement.</w:t>
      </w:r>
      <w:r>
        <w:t xml:space="preserve"> </w:t>
      </w:r>
      <w:r>
        <w:t xml:space="preserve">- Piège du surdosage / Substitution : chez le patient présentant une colique néphrétique, ne pas se contenter de l’association antispasmodique-antalgique — toujours associer un AINS courte durée (sauf CI) qui est le traitement de référence de la colique néphrétique (inhibition de la PGE2 responsables de la spasme et l’inflammation urétérale), et vérifier l’absence d’obstruction lithiasique par échographie.</w:t>
      </w:r>
    </w:p>
    <w:p>
      <w:r>
        <w:pict>
          <v:rect style="width:0;height:1.5pt" o:hralign="center" o:hrstd="t" o:hr="t"/>
        </w:pict>
      </w:r>
    </w:p>
    <w:bookmarkEnd w:id="72"/>
    <w:bookmarkEnd w:id="73"/>
    <w:bookmarkStart w:id="77" w:name="X4080e2082816e4c071386b6286d950ef62c9418"/>
    <w:p>
      <w:pPr>
        <w:pStyle w:val="Heading2"/>
      </w:pPr>
      <w:r>
        <w:t xml:space="preserve">D. Sous-classe : Antalgiques Palier II — Associations Opioïdes Faibles</w:t>
      </w:r>
    </w:p>
    <w:bookmarkStart w:id="74" w:name="présentation-de-la-sous-classe-3"/>
    <w:p>
      <w:pPr>
        <w:pStyle w:val="Heading3"/>
      </w:pPr>
      <w:r>
        <w:t xml:space="preserve">Présentation de la sous-classe</w:t>
      </w:r>
    </w:p>
    <w:p>
      <w:pPr>
        <w:pStyle w:val="FirstParagraph"/>
      </w:pPr>
      <w:r>
        <w:t xml:space="preserve">Le palier II OMS regroupe les opioïdes faibles administrés par voie orale dans le traitement des douleurs modérées à intenses non soulagées par les antalgiques de palier I. En Algérie, les molécules disponibles sont la codéine et le tramadol, ainsi que leurs associations fixes avec le paracétamol. Le dextropropoxyphène, autre pilier historique du palier II, a été retiré du marché algérien (ainsi qu’européen) depuis 2010-2011 en raison d’une hépatotoxicité et de surdosages cardiovasculaires mortels.</w:t>
      </w:r>
    </w:p>
    <w:p>
      <w:pPr>
        <w:pStyle w:val="BodyText"/>
      </w:pPr>
      <w:r>
        <w:t xml:space="preserve">La rationale de l’association opioïde faible + paracétamol repose sur trois principes : (i) synergie pharmacodynamique centrale (paracétamol COX-3) et supra-spinale/spinale (opioïde récepteur μ) ; (ii) effet d’épargne de dose de chaque composant, réduisant la toxicité hépatique (paracétamol) et la somnolence/dépendance (opioïde) ; (iii) facilité de prescription en ambulatoire pour les douleurs post-opératoires, traumatiques ou cancéreuses modérées.</w:t>
      </w:r>
    </w:p>
    <w:p>
      <w:pPr>
        <w:pStyle w:val="BodyText"/>
      </w:pPr>
      <w:r>
        <w:t xml:space="preserve">Deux associations dominent le marché algérien actuel :</w:t>
      </w:r>
      <w:r>
        <w:t xml:space="preserve"> </w:t>
      </w:r>
      <w:r>
        <w:rPr>
          <w:b/>
          <w:bCs/>
        </w:rPr>
        <w:t xml:space="preserve">Paracétamol + Codéine</w:t>
      </w:r>
      <w:r>
        <w:t xml:space="preserve"> </w:t>
      </w:r>
      <w:r>
        <w:t xml:space="preserve">(Codol, Efferalgan Codéine, Dafalgan Codéine, Coparalgan, Parac-CO, etc.) et</w:t>
      </w:r>
      <w:r>
        <w:t xml:space="preserve"> </w:t>
      </w:r>
      <w:r>
        <w:rPr>
          <w:b/>
          <w:bCs/>
        </w:rPr>
        <w:t xml:space="preserve">Paracétamol + Tramadol</w:t>
      </w:r>
      <w:r>
        <w:t xml:space="preserve"> </w:t>
      </w:r>
      <w:r>
        <w:t xml:space="preserve">(Xamadol, Dolmatol, DOLTRAM PLUS, CETADOL, etc.). La position List I (substances vénéneuses non stupéfiantes) reflète la prescription médicale obligatoire mais l’absence d’encadrement stupéfiant — à l’exception des formes de codéine isolée à dose &gt; 20 mg qui peuvent être sur liste des stupéfiants selon les pays.</w:t>
      </w:r>
    </w:p>
    <w:p>
      <w:pPr>
        <w:pStyle w:val="BodyText"/>
      </w:pPr>
      <w:r>
        <w:t xml:space="preserve">Le métabolisme du CYP2D6 joue un rôle crucial : la codéine est déméthylée en morphine (métabolite actif) par le CYP2D6, et le tramadol en O-desméthyltramadol (M1, actif). La polymorphie génétique du CYP2D6 (métaboliseurs ultra-rapides UM, étendus EM, intermédiaires IM, pauvres PM) explique les variations interindividuelles d’efficacité et de tolérance. La prévalence des UM est particulièrement élevée en Afrique du Nord et au Moyen-Orient (~3–29 % selon les ethnies), exposant à un risque de surdosage opioïde (dépression respiratoire, sédation) chez les allaitantes et les nouveau-nés.</w:t>
      </w:r>
    </w:p>
    <w:bookmarkEnd w:id="74"/>
    <w:bookmarkStart w:id="75" w:name="X2bcab8f53542fa19be587c69224a3ebcaa1d4bc"/>
    <w:p>
      <w:pPr>
        <w:pStyle w:val="Heading3"/>
      </w:pPr>
      <w:r>
        <w:t xml:space="preserve">Fiche 3 — Paracétamol + Codéine (En Association)</w:t>
      </w:r>
    </w:p>
    <w:p>
      <w:pPr>
        <w:pStyle w:val="FirstParagraph"/>
      </w:pPr>
      <w:r>
        <w:rPr>
          <w:b/>
          <w:bCs/>
        </w:rPr>
        <w:t xml:space="preserve">Liste des Catégories :</w:t>
      </w:r>
      <w:r>
        <w:t xml:space="preserve"> </w:t>
      </w:r>
      <w:r>
        <w:t xml:space="preserve">Antalgiques palier II — Associations opioïdes faibles. Liste I.</w:t>
      </w:r>
    </w:p>
    <w:p>
      <w:pPr>
        <w:pStyle w:val="BodyText"/>
      </w:pPr>
      <w:r>
        <w:t xml:space="preserve">L’association paracétamol + codéine est l’archétype mondial du palier II OMS, validée par l’OMS depuis 1986. Elle associe un antalgique central (paracétamol, COX-3) à un opioïde faible (codéine, agoniste μ métabolisé en morphine). La codéine, alcaloïde opiacé de l’opium (3-méthoxymorphine), est convertie en morphine par le CYP2D6 hépatique (~5–10 % de la dose), responsable de l’effet antalgique principal. Le ratio paracétamol:codéine est généralement de 500:30 ou 400:20 dans les spécialités algériennes.</w:t>
      </w:r>
    </w:p>
    <w:p>
      <w:pPr>
        <w:pStyle w:val="BodyText"/>
      </w:pPr>
      <w:r>
        <w:rPr>
          <w:b/>
          <w:bCs/>
        </w:rPr>
        <w:t xml:space="preserve">Médicaments disponibles en Algérie (Marques, Laboratoires, Formes et Dosages) :</w:t>
      </w:r>
    </w:p>
    <w:p>
      <w:pPr>
        <w:pStyle w:val="BodyText"/>
      </w:pPr>
      <w:r>
        <w:t xml:space="preserve">Formes 400 mg / 20 mg :</w:t>
      </w:r>
      <w:r>
        <w:t xml:space="preserve"> </w:t>
      </w:r>
      <w:r>
        <w:t xml:space="preserve">-</w:t>
      </w:r>
      <w:r>
        <w:t xml:space="preserve"> </w:t>
      </w:r>
      <w:r>
        <w:rPr>
          <w:b/>
          <w:bCs/>
        </w:rPr>
        <w:t xml:space="preserve">CODOL</w:t>
      </w:r>
      <w:r>
        <w:t xml:space="preserve"> </w:t>
      </w:r>
      <w:r>
        <w:t xml:space="preserve">(BIOHDER GROUP) — Comprimé 400 mg/20 mg, B/20, Liste I, Actif</w:t>
      </w:r>
      <w:r>
        <w:t xml:space="preserve"> </w:t>
      </w:r>
      <w:r>
        <w:t xml:space="preserve">-</w:t>
      </w:r>
      <w:r>
        <w:t xml:space="preserve"> </w:t>
      </w:r>
      <w:r>
        <w:rPr>
          <w:b/>
          <w:bCs/>
        </w:rPr>
        <w:t xml:space="preserve">COEXPANDOL</w:t>
      </w:r>
      <w:r>
        <w:t xml:space="preserve"> </w:t>
      </w:r>
      <w:r>
        <w:t xml:space="preserve">(BIOGALENIC) — Comprimé 400 mg/20 mg, B/16, Liste I, Actif</w:t>
      </w:r>
      <w:r>
        <w:t xml:space="preserve"> </w:t>
      </w:r>
      <w:r>
        <w:t xml:space="preserve">-</w:t>
      </w:r>
      <w:r>
        <w:t xml:space="preserve"> </w:t>
      </w:r>
      <w:r>
        <w:rPr>
          <w:b/>
          <w:bCs/>
        </w:rPr>
        <w:t xml:space="preserve">COPARALGAN</w:t>
      </w:r>
      <w:r>
        <w:t xml:space="preserve"> </w:t>
      </w:r>
      <w:r>
        <w:t xml:space="preserve">(GROUPE SAIDAL) — Comprimé sécable 400 mg/20 mg, B/20, Liste non spécifiée, Actif</w:t>
      </w:r>
      <w:r>
        <w:t xml:space="preserve"> </w:t>
      </w:r>
      <w:r>
        <w:t xml:space="preserve">-</w:t>
      </w:r>
      <w:r>
        <w:t xml:space="preserve"> </w:t>
      </w:r>
      <w:r>
        <w:rPr>
          <w:b/>
          <w:bCs/>
        </w:rPr>
        <w:t xml:space="preserve">PARAC-CO</w:t>
      </w:r>
      <w:r>
        <w:t xml:space="preserve"> </w:t>
      </w:r>
      <w:r>
        <w:t xml:space="preserve">(LABORATOIRE ALGERIEN DU MEDICAMENT) — Comprimé 400 mg/20 mg, B/20, Liste I, Actif</w:t>
      </w:r>
      <w:r>
        <w:t xml:space="preserve"> </w:t>
      </w:r>
      <w:r>
        <w:t xml:space="preserve">-</w:t>
      </w:r>
      <w:r>
        <w:t xml:space="preserve"> </w:t>
      </w:r>
      <w:r>
        <w:rPr>
          <w:b/>
          <w:bCs/>
        </w:rPr>
        <w:t xml:space="preserve">PARACETAMOL CODEINE PHYSIOPHARM</w:t>
      </w:r>
      <w:r>
        <w:t xml:space="preserve"> </w:t>
      </w:r>
      <w:r>
        <w:t xml:space="preserve">(PHYSIOPHARM LABORATOIRES) — Comprimé 400 mg/20 mg, B/20, Liste I, Actif</w:t>
      </w:r>
    </w:p>
    <w:p>
      <w:pPr>
        <w:pStyle w:val="BodyText"/>
      </w:pPr>
      <w:r>
        <w:t xml:space="preserve">Formes 500 mg / 30 mg :</w:t>
      </w:r>
      <w:r>
        <w:t xml:space="preserve"> </w:t>
      </w:r>
      <w:r>
        <w:t xml:space="preserve">-</w:t>
      </w:r>
      <w:r>
        <w:t xml:space="preserve"> </w:t>
      </w:r>
      <w:r>
        <w:rPr>
          <w:b/>
          <w:bCs/>
        </w:rPr>
        <w:t xml:space="preserve">CODOFEBRIL</w:t>
      </w:r>
      <w:r>
        <w:t xml:space="preserve"> </w:t>
      </w:r>
      <w:r>
        <w:t xml:space="preserve">(SARL API) — Comprimé effervescent sécable 500 mg/30 mg, B/1 tube de 16, Liste I, Actif</w:t>
      </w:r>
      <w:r>
        <w:t xml:space="preserve"> </w:t>
      </w:r>
      <w:r>
        <w:t xml:space="preserve">-</w:t>
      </w:r>
      <w:r>
        <w:t xml:space="preserve"> </w:t>
      </w:r>
      <w:r>
        <w:rPr>
          <w:b/>
          <w:bCs/>
        </w:rPr>
        <w:t xml:space="preserve">CO-DOLYC</w:t>
      </w:r>
      <w:r>
        <w:t xml:space="preserve"> </w:t>
      </w:r>
      <w:r>
        <w:t xml:space="preserve">(LABORATOIRES MERINAL) — Comprimé 500 mg/30 mg, B/20, Liste I, Actif</w:t>
      </w:r>
      <w:r>
        <w:t xml:space="preserve"> </w:t>
      </w:r>
      <w:r>
        <w:t xml:space="preserve">-</w:t>
      </w:r>
      <w:r>
        <w:t xml:space="preserve"> </w:t>
      </w:r>
      <w:r>
        <w:rPr>
          <w:b/>
          <w:bCs/>
        </w:rPr>
        <w:t xml:space="preserve">COPARAMOL FORT</w:t>
      </w:r>
      <w:r>
        <w:t xml:space="preserve"> </w:t>
      </w:r>
      <w:r>
        <w:t xml:space="preserve">(LABORATOIRES SALEM) — Comprimé 500 mg/30 mg, B/20, Liste I, Actif</w:t>
      </w:r>
      <w:r>
        <w:t xml:space="preserve"> </w:t>
      </w:r>
      <w:r>
        <w:t xml:space="preserve">-</w:t>
      </w:r>
      <w:r>
        <w:t xml:space="preserve"> </w:t>
      </w:r>
      <w:r>
        <w:rPr>
          <w:b/>
          <w:bCs/>
        </w:rPr>
        <w:t xml:space="preserve">DAFALGAN CODEINE</w:t>
      </w:r>
      <w:r>
        <w:t xml:space="preserve"> </w:t>
      </w:r>
      <w:r>
        <w:t xml:space="preserve">(BRISTOL MYERS SQUIBB PHARMA EEIG) — Comprimé pelliculé 500 mg/30 mg, B/16, Liste I, Actif</w:t>
      </w:r>
      <w:r>
        <w:t xml:space="preserve"> </w:t>
      </w:r>
      <w:r>
        <w:t xml:space="preserve">-</w:t>
      </w:r>
      <w:r>
        <w:t xml:space="preserve"> </w:t>
      </w:r>
      <w:r>
        <w:rPr>
          <w:b/>
          <w:bCs/>
        </w:rPr>
        <w:t xml:space="preserve">EFFERALGAN CODEINE</w:t>
      </w:r>
      <w:r>
        <w:t xml:space="preserve"> </w:t>
      </w:r>
      <w:r>
        <w:t xml:space="preserve">(PROPHARMAL) — Comprimé pelliculé 500 mg/30 mg, B/16, Liste I, Actif</w:t>
      </w:r>
      <w:r>
        <w:t xml:space="preserve"> </w:t>
      </w:r>
      <w:r>
        <w:t xml:space="preserve">-</w:t>
      </w:r>
      <w:r>
        <w:t xml:space="preserve"> </w:t>
      </w:r>
      <w:r>
        <w:rPr>
          <w:b/>
          <w:bCs/>
        </w:rPr>
        <w:t xml:space="preserve">PARACETAMOL CODEINE PHYSIOIPHARM</w:t>
      </w:r>
      <w:r>
        <w:t xml:space="preserve"> </w:t>
      </w:r>
      <w:r>
        <w:t xml:space="preserve">(PHYSIOPHARM LABORATOIRES) — Comprimé 500 mg/30 mg, B/20, Liste I, Actif</w:t>
      </w:r>
      <w:r>
        <w:t xml:space="preserve"> </w:t>
      </w:r>
      <w:r>
        <w:t xml:space="preserve">-</w:t>
      </w:r>
      <w:r>
        <w:t xml:space="preserve"> </w:t>
      </w:r>
      <w:r>
        <w:rPr>
          <w:b/>
          <w:bCs/>
        </w:rPr>
        <w:t xml:space="preserve">PLANADIX CONFORT +</w:t>
      </w:r>
      <w:r>
        <w:t xml:space="preserve"> </w:t>
      </w:r>
      <w:r>
        <w:t xml:space="preserve">(NADPHARMADIC-PRODUCTION) — Comprimé 500 mg/30 mg, B/16, Liste I, Actif</w:t>
      </w:r>
    </w:p>
    <w:p>
      <w:pPr>
        <w:pStyle w:val="BodyText"/>
      </w:pPr>
      <w:r>
        <w:t xml:space="preserve">Forme ternaire avec caféine :</w:t>
      </w:r>
      <w:r>
        <w:t xml:space="preserve"> </w:t>
      </w:r>
      <w:r>
        <w:t xml:space="preserve">-</w:t>
      </w:r>
      <w:r>
        <w:t xml:space="preserve"> </w:t>
      </w:r>
      <w:r>
        <w:rPr>
          <w:b/>
          <w:bCs/>
        </w:rPr>
        <w:t xml:space="preserve">PAROL FORT</w:t>
      </w:r>
      <w:r>
        <w:t xml:space="preserve"> </w:t>
      </w:r>
      <w:r>
        <w:t xml:space="preserve">(BIOPHARM) — Comprimé (Paracétamol 400 mg / Caféine 50 mg / Codéine 20 mg), B/20, Liste non spécifiée, Actif</w:t>
      </w:r>
    </w:p>
    <w:p>
      <w:pPr>
        <w:pStyle w:val="BodyText"/>
      </w:pPr>
      <w:r>
        <w:t xml:space="preserve">Formes retirées :</w:t>
      </w:r>
      <w:r>
        <w:t xml:space="preserve"> </w:t>
      </w:r>
      <w:r>
        <w:t xml:space="preserve">-</w:t>
      </w:r>
      <w:r>
        <w:t xml:space="preserve"> </w:t>
      </w:r>
      <w:r>
        <w:rPr>
          <w:b/>
          <w:bCs/>
        </w:rPr>
        <w:t xml:space="preserve">EFFERALGAN CODEINE</w:t>
      </w:r>
      <w:r>
        <w:t xml:space="preserve"> </w:t>
      </w:r>
      <w:r>
        <w:t xml:space="preserve">(UPSA) — Comprimé effervescent 500 mg/30 mg, B/16, Retrait</w:t>
      </w:r>
      <w:r>
        <w:t xml:space="preserve"> </w:t>
      </w:r>
      <w:r>
        <w:t xml:space="preserve">-</w:t>
      </w:r>
      <w:r>
        <w:t xml:space="preserve"> </w:t>
      </w:r>
      <w:r>
        <w:rPr>
          <w:b/>
          <w:bCs/>
        </w:rPr>
        <w:t xml:space="preserve">KLIPAL CODEINE</w:t>
      </w:r>
      <w:r>
        <w:t xml:space="preserve"> </w:t>
      </w:r>
      <w:r>
        <w:t xml:space="preserve">(PIERRE FABRE MEDICAMENT) — Comprimé 300 mg/25 mg, B/16, Retrait</w:t>
      </w:r>
    </w:p>
    <w:p>
      <w:pPr>
        <w:pStyle w:val="BodyText"/>
      </w:pPr>
      <w:r>
        <w:rPr>
          <w:b/>
          <w:bCs/>
        </w:rPr>
        <w:t xml:space="preserve">Sous-classe et Mécanisme d’action :</w:t>
      </w:r>
      <w:r>
        <w:t xml:space="preserve"> </w:t>
      </w:r>
      <w:r>
        <w:t xml:space="preserve">- Sous-classe : association palier I + palier II OMS — paracétamol (antalgique central) + codéine (opioïde faible agoniste μ).</w:t>
      </w:r>
      <w:r>
        <w:t xml:space="preserve"> </w:t>
      </w:r>
      <w:r>
        <w:t xml:space="preserve">- Mécanisme d’action : le paracétamol inhibe la COX-3 centrale hypothalamique et active les voies descendantes sérotoninergiques bulbospinales. La codéine est un agoniste faible des récepteurs opioïdes μ (MOR), κ (KOR) et δ (DOR), mais son affinité intrinsèque est faible ; son effet antalgique dépend de sa O-déméthylation en morphine par le cytochrome CYP2D6 hépatique. La morphine activée se lie au récepteur μ postsynaptique spinal et supraspinal, inhibe l’adénylate cyclase (baisse de l’AMPc), ferme les canaux calciques voltage-dépendants N et P/Q (baisse de la libération de neurotransmetteurs excitateurs glutamate et substance P), et ouvre les canaux potassiques rectificateurs entrants GIRK (hyperpolarisation neuronale, inhibition de la transmission nociceptive). L’effet antitussif de la codéine est médié par les récepteurs μ du centre de la toux bulbaire (noyau du tractus solitaire).</w:t>
      </w:r>
    </w:p>
    <w:p>
      <w:pPr>
        <w:pStyle w:val="BodyText"/>
      </w:pPr>
      <w:r>
        <w:rPr>
          <w:b/>
          <w:bCs/>
        </w:rPr>
        <w:t xml:space="preserve">Profil Pharmacologique :</w:t>
      </w:r>
      <w:r>
        <w:t xml:space="preserve"> </w:t>
      </w:r>
      <w:r>
        <w:t xml:space="preserve">- Indications : traitement symptomatique des douleurs d’intensité modérée à intense non soulagées par les antalgiques de palier I — post-chirurgie (post-opératoire de chirurgie ORL, dentaire, orthopédique mineure), traumatismes (entorses, fractures non opérées), douleurs osseuses oncologiques modérées, colique néphrétique réfractaire au paracétamol + AINS, douleurs neuropathiques aiguës sur poussée. Antitussif dans certaines spécialités (toux sèche rébelle non productive).</w:t>
      </w:r>
      <w:r>
        <w:t xml:space="preserve"> </w:t>
      </w:r>
      <w:r>
        <w:t xml:space="preserve">- Contre-indications : hypersensibilité à la codéine ou au paracétamol, insuffisance respiratoire sévère (risque de dépression respiratoire), asthme sévère non contrôlé, traumatisme crânien et hypertension intracrânienne (risque d’augmentation de la PIC par rétention CO2), épilepsie non contrôlée, allaitement (CI absolue — risque d’overdose morphinique chez le nourrisson via le lait maternel, particulièrement chez les métaboliseuses ultra-rapides CYP2D6 ; 18 cas mortels rapportés à l’EMA avant retrait de l’AMM chez l’enfant &lt; 12 ans en 2013), enfant &lt; 12 ans (CI absolue), enfant 12–18 ans en post-opératoire (amygdalectomie), insuffisance hépatique sévère, alcoolisme chronique, association à d’autres opioïdes ou dépresseurs du SNC.</w:t>
      </w:r>
      <w:r>
        <w:t xml:space="preserve"> </w:t>
      </w:r>
      <w:r>
        <w:t xml:space="preserve">- Effets Indésirables : nausées et vomissements (fréquents en début de traitement, ~ 20–30 %), constipation (effet μ digestif, quasi constant), sédation diurne, vertiges, mydriase, rétention urinaire, prurit, rash, hypotension orthostatique, bradycardie sinusale, dépression respiratoire dose-dépendante, miosis, spasmes des voies biliaires et du sphincter d’Oddi, hyperalgésie à long terme, pharmacodépendance physique et psychique, syndrome de sevrage à l’arrêt brutal (larmoiement, rhinorrhée, mydriase, éternuements, frissons, anxiété, agitation).</w:t>
      </w:r>
    </w:p>
    <w:p>
      <w:pPr>
        <w:pStyle w:val="BodyText"/>
      </w:pPr>
      <w:r>
        <w:rPr>
          <w:b/>
          <w:bCs/>
        </w:rPr>
        <w:t xml:space="preserve">Prévention et Gestion des Effets Indésirables :</w:t>
      </w:r>
      <w:r>
        <w:t xml:space="preserve"> </w:t>
      </w:r>
      <w:r>
        <w:t xml:space="preserve">- Mesures Préventives : prescription de courte durée (3–5 jours), avis médical au-delà, hydratation abondante et alimentation riche en fibres pour prévenir la constipation, prescription d’antiémétiques (métopimazine) en cas de nausées sévères, prise vespérale préférentielle pour limiter l’impact diurne de la sédation. Chez la femme allaitante : CI absolue — proposer du paracétamol seul ou un AINS courte durée. Chez l’enfant &lt; 12 ans : CI absolue — utiliser paracétamol ou ibuprofène selon le contexte.</w:t>
      </w:r>
      <w:r>
        <w:t xml:space="preserve"> </w:t>
      </w:r>
      <w:r>
        <w:t xml:space="preserve">- Conduite à Tenir : arrêt immédiat et consultation en urgence en cas de signes de surdosage opioïde (somnolence excessive, ralentissement respiratoire &lt; 12 cycles/min, miosis en tête d’épingle, hypoxémie, cyanose, hypothermie). Antidote : naloxone (Narcan®) 0,4 mg IV ou IM à renouveler toutes les 2–3 minutes jusqu’à réveil, en raison de la demi-vie courte de la naloxone (1–2 h) comparée à celle de la codéine (3–4 h) ; perfusion continue de naloxone 0,4 mg/h peut être nécessaire. En cas d’hépatotoxicité paracétamol : N-acétylcystéine (Fluimucil®) selon le protocole Prescott (300 mg/kg IV sur 24 h).</w:t>
      </w:r>
    </w:p>
    <w:p>
      <w:pPr>
        <w:pStyle w:val="BodyText"/>
      </w:pPr>
      <w:r>
        <w:rPr>
          <w:b/>
          <w:bCs/>
        </w:rPr>
        <w:t xml:space="preserve">Interactions Importantes :</w:t>
      </w:r>
      <w:r>
        <w:t xml:space="preserve"> </w:t>
      </w:r>
      <w:r>
        <w:t xml:space="preserve">- Codéine + alcool, benzodiazépines, autres opioïdes, antihistaminiques H1 sédatifs, barbituriques : dépression respiratoire additive, risque létal.</w:t>
      </w:r>
      <w:r>
        <w:t xml:space="preserve"> </w:t>
      </w:r>
      <w:r>
        <w:t xml:space="preserve">- Codéine + IMAO : syndrome sérotoninergique et potentialisation opioïde (15 jours de washout nécessaires).</w:t>
      </w:r>
      <w:r>
        <w:t xml:space="preserve"> </w:t>
      </w:r>
      <w:r>
        <w:t xml:space="preserve">- Codéine + carbamazépine, phénytoïne, rifampicine : induction du CYP3A4, baisse de l’efficacité.</w:t>
      </w:r>
      <w:r>
        <w:t xml:space="preserve"> </w:t>
      </w:r>
      <w:r>
        <w:t xml:space="preserve">- Codéine + quinidine, fluoxétine, paroxétine : inhibition du CYP2D6, blocage de la transformation en morphine → perte d’efficacité.</w:t>
      </w:r>
      <w:r>
        <w:t xml:space="preserve"> </w:t>
      </w:r>
      <w:r>
        <w:t xml:space="preserve">- Codéine + amphétamines, antidépresseurs tricycliques : potentialisation de l’effet opioïde.</w:t>
      </w:r>
      <w:r>
        <w:t xml:space="preserve"> </w:t>
      </w:r>
      <w:r>
        <w:t xml:space="preserve">- Paracétamol + warfarine : majoration de l’INR à forte dose prolongée.</w:t>
      </w:r>
      <w:r>
        <w:t xml:space="preserve"> </w:t>
      </w:r>
      <w:r>
        <w:t xml:space="preserve">- Codéine + metoclopramide, domperidone : antagonisme de l’effet sur la motilité gastro-intestinale.</w:t>
      </w:r>
    </w:p>
    <w:p>
      <w:pPr>
        <w:pStyle w:val="BodyText"/>
      </w:pPr>
      <w:r>
        <w:rPr>
          <w:b/>
          <w:bCs/>
        </w:rPr>
        <w:t xml:space="preserve">Grossesse et Allaitement :</w:t>
      </w:r>
      <w:r>
        <w:t xml:space="preserve"> </w:t>
      </w:r>
      <w:r>
        <w:t xml:space="preserve">- Grossesse : selon CRAT, la codéine est déconseillée au 1er trimestre (risque de malformations cardiovasculaires et de fentes labio-palatines selon les études cas-témoins), déconseillée au 2e trimestre, et</w:t>
      </w:r>
      <w:r>
        <w:t xml:space="preserve"> </w:t>
      </w:r>
      <w:r>
        <w:rPr>
          <w:b/>
          <w:bCs/>
        </w:rPr>
        <w:t xml:space="preserve">contre-indiquée absolument au 3e trimestre</w:t>
      </w:r>
      <w:r>
        <w:t xml:space="preserve"> </w:t>
      </w:r>
      <w:r>
        <w:t xml:space="preserve">(risque de syndrome de sevrage néonatal : agitation, tremblements, hyper-réflexie, convulsions, diarrhée, fièvre, dans les 24–72 h post-natales). En cas de nécessité absolue, utiliser la dose minimale efficace sur la durée la plus courte possible, avec surveillance néonatale renforcée en maternité (score de Finnegan).</w:t>
      </w:r>
      <w:r>
        <w:t xml:space="preserve"> </w:t>
      </w:r>
      <w:r>
        <w:t xml:space="preserve">- Allaitement :</w:t>
      </w:r>
      <w:r>
        <w:t xml:space="preserve"> </w:t>
      </w:r>
      <w:r>
        <w:rPr>
          <w:b/>
          <w:bCs/>
        </w:rPr>
        <w:t xml:space="preserve">contre-indication absolue</w:t>
      </w:r>
      <w:r>
        <w:t xml:space="preserve"> </w:t>
      </w:r>
      <w:r>
        <w:t xml:space="preserve">selon l’EMA (2013) et l’ANSM : la codéine passe dans le lait maternel ; chez les métaboliseuses ultra-rapides CYP2D6 (~3–29 % en Afrique du Nord), la conversion en morphine est massive, exposant le nourrisson à un surdosage mortel (plusieurs cas publiés post-mortem chez nouveau-nés allaités). Recommandation : arrêter la codéine 12 h avant la tétée ou ne pas allaiter.</w:t>
      </w:r>
      <w:r>
        <w:t xml:space="preserve"> </w:t>
      </w:r>
      <w:r>
        <w:t xml:space="preserve">- Précisions : chez la patiente césarisée, préférer paracétamol + AINS courte durée ou tramadol (qui sera à éviter également si allaitement). Dépistage pharmacogénétique CYP2D6 non recommandé en routine mais utile en cas d’antécédent familial d’incident opioïde.</w:t>
      </w:r>
    </w:p>
    <w:p>
      <w:pPr>
        <w:pStyle w:val="BodyText"/>
      </w:pPr>
      <w:r>
        <w:rPr>
          <w:b/>
          <w:bCs/>
        </w:rPr>
        <w:t xml:space="preserve">Posologie et Mode d’administration (Standard) :</w:t>
      </w:r>
      <w:r>
        <w:t xml:space="preserve"> </w:t>
      </w:r>
      <w:r>
        <w:t xml:space="preserve">- Adulte : 1 à 2 comprimés par prise, à renouveler toutes les 6 heures si nécessaire. Pour la forme 500 mg/30 mg : dose maximale 6 comprimés par 24 h (soit paracétamol 3 g/jour, codéine 180 mg/jour). Pour la forme 400 mg/20 mg : 8 comprimés par 24 h (soit paracétamol 3,2 g/j, codéine 160 mg/jour). Ne jamais dépasser la dose maximale de paracétamol 4 g/jour adulte sain.</w:t>
      </w:r>
      <w:r>
        <w:t xml:space="preserve"> </w:t>
      </w:r>
      <w:r>
        <w:t xml:space="preserve">- Sujet âgé &gt; 65 ans : réduire la dose initiale de moitié, augmenter progressivement, surveillance de la sédation et de la fonction rénale.</w:t>
      </w:r>
      <w:r>
        <w:t xml:space="preserve"> </w:t>
      </w:r>
      <w:r>
        <w:t xml:space="preserve">- Insuffisant rénal modéré (DFG 30–60 mL/min) : espacer les prises à 8 h. Insuffisant rénal sévère (DFG &lt; 30) : CI relative.</w:t>
      </w:r>
      <w:r>
        <w:t xml:space="preserve"> </w:t>
      </w:r>
      <w:r>
        <w:t xml:space="preserve">- Enfant : CI absolue &lt; 12 ans ; 12–18 ans : uniquement si douleur non soulagée par paracétamol + AINS, dose 1 cp 500/30 mg par prise, max 4 cp/j, surveillance rapprochée.</w:t>
      </w:r>
      <w:r>
        <w:t xml:space="preserve"> </w:t>
      </w:r>
      <w:r>
        <w:t xml:space="preserve">- Durée : court terme, 3–5 jours maximum sans réévaluation médicale. Réduction progressive à l’arrêt si traitement &gt; 2 semaines (sevrage).</w:t>
      </w:r>
      <w:r>
        <w:t xml:space="preserve"> </w:t>
      </w:r>
      <w:r>
        <w:t xml:space="preserve">- Moment de prise : pendant les repas pour limiter les nausées, hydratation orale abondante.</w:t>
      </w:r>
    </w:p>
    <w:p>
      <w:pPr>
        <w:pStyle w:val="BodyText"/>
      </w:pPr>
      <w:r>
        <w:rPr>
          <w:b/>
          <w:bCs/>
        </w:rPr>
        <w:t xml:space="preserve">Arbitrage et Bénéfices des Formes Galéniques :</w:t>
      </w:r>
      <w:r>
        <w:t xml:space="preserve"> </w:t>
      </w:r>
      <w:r>
        <w:t xml:space="preserve">le comprimé pelliculé (DAFALGAN CODEINE, EFFERALGAN CODEINE) protège la muqueuse et masque le goût amer de la codéine. Le comprimé effervescent (CODOFEBRIL) accélère l’absorption (Tmax ~ 20 min vs 60 min per os), utile pour les douleurs aiguës, mais expose au risque de surdosage par facilité de prise. Le comprimé sécable (COPARALGAN, CODOFEBRIL) permet l’adaptation posologique chez le sujet âgé. La forme ternaire avec caféine (PAROL FORT 400/50/20) exploite l’effet potentialisateur de la caféine sur l’absorption et l’action du paracétamol (méta-analyse Cochrane 2009). Aucune forme injectable ou sirop n’est commercialisée en Algérie.</w:t>
      </w:r>
    </w:p>
    <w:p>
      <w:pPr>
        <w:pStyle w:val="BodyText"/>
      </w:pPr>
      <w:r>
        <w:rPr>
          <w:b/>
          <w:bCs/>
        </w:rPr>
        <w:t xml:space="preserve">Instructions et Conseils au Patient :</w:t>
      </w:r>
      <w:r>
        <w:t xml:space="preserve"> </w:t>
      </w:r>
      <w:r>
        <w:t xml:space="preserve">- Communication au comptoir : expliquer la nature opioïde faible du produit, la nécessité d’une ordonnance stricte, l’interdiction de l’alcool (risque létal), la prudence à la conduite automobile (altération de la vigilance, risque accidentel majoré), l’absence d’association avec d’autres antalgiques opioïdes ou sédatifs. Informer la patiente allaitante de l’interdiction absolue d’allaiter sous codéine. Prévenir le patient de la constipation systématique (laxatif de contact type bisacodyl si traitement &gt; 3 jours).</w:t>
      </w:r>
      <w:r>
        <w:t xml:space="preserve"> </w:t>
      </w:r>
      <w:r>
        <w:t xml:space="preserve">- Mode d’utilisation pratique : prise pendant les repas, hydratation orale 1,5 L/jour, intervalle minimal 6 h entre prises, ne jamais doubler la dose en cas d’oubli (attendre la prise suivante), arrêt progressif en fin de traitement si durée &gt; 5 jours (réduction de 25 % par jour).</w:t>
      </w:r>
    </w:p>
    <w:p>
      <w:pPr>
        <w:pStyle w:val="BodyText"/>
      </w:pPr>
      <w:r>
        <w:rPr>
          <w:b/>
          <w:bCs/>
        </w:rPr>
        <w:t xml:space="preserve">Notes, Règles d’Or &amp; Pièges au Comptoir :</w:t>
      </w:r>
      <w:r>
        <w:t xml:space="preserve"> </w:t>
      </w:r>
      <w:r>
        <w:t xml:space="preserve">- Piège classique : la patiente césarisée allaitante à qui l’on prescrit de la codéine → risque vital pour le nouveau-né. La patiente porteuse du génotype ultra-métaboliseur CYP2D6 (3–29 % des Nord-Africains) → conversion massive en morphine, sédation sévère. Le patient insuffisant respiratoire latent (BPCO, apnée du sommeil) → dépression respiratoire décompensée.</w:t>
      </w:r>
      <w:r>
        <w:t xml:space="preserve"> </w:t>
      </w:r>
      <w:r>
        <w:t xml:space="preserve">- Règle de prise : respecter strictement l’intervalle minimal de 6 h, ne pas associer à d’autres opioïdes, alcool ou sédatifs, surveiller la somnolence diurne et la fréquence respiratoire les premiers jours.</w:t>
      </w:r>
      <w:r>
        <w:t xml:space="preserve"> </w:t>
      </w:r>
      <w:r>
        <w:t xml:space="preserve">- Préparation et Conservation : conserver à température ≤ 25 °C, à l’abri de la lumière, hors de portée des enfants (risque de dépression respiratoire chez l’enfant en cas d’ingestion accidentelle, antidote naloxone en urgence).</w:t>
      </w:r>
      <w:r>
        <w:t xml:space="preserve"> </w:t>
      </w:r>
      <w:r>
        <w:t xml:space="preserve">- Piège du surdosage / Substitution : chez le patient présentant une douleur aiguë non soulagée par paracétamol + codéine à dose maximale (3 g + 180 mg/j), ne pas augmenter la dose mais envisager un palier III (morphine orale immédiate 10 mg toutes les 4 h) ou un palier II plus puissant (tramadol 50–100 mg), selon le contexte. Vérifier l’absence d’une autre prescription opioïde.</w:t>
      </w:r>
    </w:p>
    <w:p>
      <w:r>
        <w:pict>
          <v:rect style="width:0;height:1.5pt" o:hralign="center" o:hrstd="t" o:hr="t"/>
        </w:pict>
      </w:r>
    </w:p>
    <w:bookmarkEnd w:id="75"/>
    <w:bookmarkStart w:id="76" w:name="Xa66691146ba02073b7821ba0e44237a615bbf23"/>
    <w:p>
      <w:pPr>
        <w:pStyle w:val="Heading3"/>
      </w:pPr>
      <w:r>
        <w:t xml:space="preserve">Fiche 4 — Paracétamol + Tramadol (En Association)</w:t>
      </w:r>
    </w:p>
    <w:p>
      <w:pPr>
        <w:pStyle w:val="FirstParagraph"/>
      </w:pPr>
      <w:r>
        <w:rPr>
          <w:b/>
          <w:bCs/>
        </w:rPr>
        <w:t xml:space="preserve">Liste des Catégories :</w:t>
      </w:r>
      <w:r>
        <w:t xml:space="preserve"> </w:t>
      </w:r>
      <w:r>
        <w:t xml:space="preserve">Antalgiques palier II — Associations opioïdes faibles. Liste I.</w:t>
      </w:r>
    </w:p>
    <w:p>
      <w:pPr>
        <w:pStyle w:val="BodyText"/>
      </w:pPr>
      <w:r>
        <w:t xml:space="preserve">L’association paracétamol + tramadol (ratio 325:37,5 ou ~8,7:1) représente l’alternative moderne à la codéine dans le palier II OMS. Le tramadol, dérivé cyclohexanol de synthèse (trans-(±)-2-[(diméthylamino)méthyl]-1-(3-méthoxyphényl)cyclohexanol), présente une double action pharmacodynamique : (i) agoniste faible des récepteurs μ opioïdes (affinité 6000 fois inférieure à la morphine, mais son métabolite M1 — O-desméthyltramadol — a une affinité 200 fois supérieure), et (ii) inhibiteur de la recapture de la sérotonine et de la noradrénaline, augmentant la neurotransmission monoaminergique descendante inhibitrice de la douleur.</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APAP TRAMADOL BEKER</w:t>
      </w:r>
      <w:r>
        <w:t xml:space="preserve"> </w:t>
      </w:r>
      <w:r>
        <w:t xml:space="preserve">(LABORATOIRES BEKER) — Comprimé pelliculé 325 mg/37,5 mg, B/30, Liste I, Actif</w:t>
      </w:r>
      <w:r>
        <w:t xml:space="preserve"> </w:t>
      </w:r>
      <w:r>
        <w:t xml:space="preserve">-</w:t>
      </w:r>
      <w:r>
        <w:t xml:space="preserve"> </w:t>
      </w:r>
      <w:r>
        <w:rPr>
          <w:b/>
          <w:bCs/>
        </w:rPr>
        <w:t xml:space="preserve">CETADOL</w:t>
      </w:r>
      <w:r>
        <w:t xml:space="preserve"> </w:t>
      </w:r>
      <w:r>
        <w:t xml:space="preserve">(NEOMEDIC) — Gélule 325 mg/37,5 mg, B/20, Liste I, Actif</w:t>
      </w:r>
      <w:r>
        <w:t xml:space="preserve"> </w:t>
      </w:r>
      <w:r>
        <w:t xml:space="preserve">-</w:t>
      </w:r>
      <w:r>
        <w:t xml:space="preserve"> </w:t>
      </w:r>
      <w:r>
        <w:rPr>
          <w:b/>
          <w:bCs/>
        </w:rPr>
        <w:t xml:space="preserve">DI-DOLEX</w:t>
      </w:r>
      <w:r>
        <w:t xml:space="preserve"> </w:t>
      </w:r>
      <w:r>
        <w:t xml:space="preserve">(LABORATOIRES MERINAL) — Comprimé pelliculé 325 mg/37,5 mg, B/20, Liste I, Actif</w:t>
      </w:r>
      <w:r>
        <w:t xml:space="preserve"> </w:t>
      </w:r>
      <w:r>
        <w:t xml:space="preserve">-</w:t>
      </w:r>
      <w:r>
        <w:t xml:space="preserve"> </w:t>
      </w:r>
      <w:r>
        <w:rPr>
          <w:b/>
          <w:bCs/>
        </w:rPr>
        <w:t xml:space="preserve">DOLMATOL</w:t>
      </w:r>
      <w:r>
        <w:t xml:space="preserve"> </w:t>
      </w:r>
      <w:r>
        <w:t xml:space="preserve">(PHARMALLIANCE) — Comprimé pelliculé 325 mg/37,5 mg, B/10 et B/20, Liste I, Actif</w:t>
      </w:r>
      <w:r>
        <w:t xml:space="preserve"> </w:t>
      </w:r>
      <w:r>
        <w:t xml:space="preserve">-</w:t>
      </w:r>
      <w:r>
        <w:t xml:space="preserve"> </w:t>
      </w:r>
      <w:r>
        <w:rPr>
          <w:b/>
          <w:bCs/>
        </w:rPr>
        <w:t xml:space="preserve">DOLOKIL</w:t>
      </w:r>
      <w:r>
        <w:t xml:space="preserve"> </w:t>
      </w:r>
      <w:r>
        <w:t xml:space="preserve">(BAC PHARMA SPA) — Comprimé sécable 325 mg/37,5 mg, B/20, Liste I, Actif</w:t>
      </w:r>
      <w:r>
        <w:t xml:space="preserve"> </w:t>
      </w:r>
      <w:r>
        <w:t xml:space="preserve">-</w:t>
      </w:r>
      <w:r>
        <w:t xml:space="preserve"> </w:t>
      </w:r>
      <w:r>
        <w:rPr>
          <w:b/>
          <w:bCs/>
        </w:rPr>
        <w:t xml:space="preserve">DOLTRAM PLUS</w:t>
      </w:r>
      <w:r>
        <w:t xml:space="preserve"> </w:t>
      </w:r>
      <w:r>
        <w:t xml:space="preserve">(GROUPE SAIDAL) — Comprimé pelliculé 325 mg/37,5 mg, B/20, Liste I, Actif</w:t>
      </w:r>
      <w:r>
        <w:t xml:space="preserve"> </w:t>
      </w:r>
      <w:r>
        <w:t xml:space="preserve">-</w:t>
      </w:r>
      <w:r>
        <w:t xml:space="preserve"> </w:t>
      </w:r>
      <w:r>
        <w:rPr>
          <w:b/>
          <w:bCs/>
        </w:rPr>
        <w:t xml:space="preserve">PARAMOL PLUS</w:t>
      </w:r>
      <w:r>
        <w:t xml:space="preserve"> </w:t>
      </w:r>
      <w:r>
        <w:t xml:space="preserve">(LABORATOIRES SALEM) — Gélule 325 mg/37,5 mg, B/20, Liste I, Actif</w:t>
      </w:r>
      <w:r>
        <w:t xml:space="preserve"> </w:t>
      </w:r>
      <w:r>
        <w:t xml:space="preserve">-</w:t>
      </w:r>
      <w:r>
        <w:t xml:space="preserve"> </w:t>
      </w:r>
      <w:r>
        <w:rPr>
          <w:b/>
          <w:bCs/>
        </w:rPr>
        <w:t xml:space="preserve">PLANADIX ADVANCE</w:t>
      </w:r>
      <w:r>
        <w:t xml:space="preserve"> </w:t>
      </w:r>
      <w:r>
        <w:t xml:space="preserve">(NADPHARMADIC-PRODUCTION) — Comprimé pelliculé 325 mg/37,5 mg, B/20, Liste I, Actif</w:t>
      </w:r>
      <w:r>
        <w:t xml:space="preserve"> </w:t>
      </w:r>
      <w:r>
        <w:t xml:space="preserve">-</w:t>
      </w:r>
      <w:r>
        <w:t xml:space="preserve"> </w:t>
      </w:r>
      <w:r>
        <w:rPr>
          <w:b/>
          <w:bCs/>
        </w:rPr>
        <w:t xml:space="preserve">PRADOLE</w:t>
      </w:r>
      <w:r>
        <w:t xml:space="preserve"> </w:t>
      </w:r>
      <w:r>
        <w:t xml:space="preserve">(BIOGALENIC) — Comprimé pelliculé 325 mg/37,5 mg, B/20, Liste I, Actif</w:t>
      </w:r>
      <w:r>
        <w:t xml:space="preserve"> </w:t>
      </w:r>
      <w:r>
        <w:t xml:space="preserve">-</w:t>
      </w:r>
      <w:r>
        <w:t xml:space="preserve"> </w:t>
      </w:r>
      <w:r>
        <w:rPr>
          <w:b/>
          <w:bCs/>
        </w:rPr>
        <w:t xml:space="preserve">SUPRADOLEX</w:t>
      </w:r>
      <w:r>
        <w:t xml:space="preserve"> </w:t>
      </w:r>
      <w:r>
        <w:t xml:space="preserve">(FRATER-RAZES FORME SECHE) — Gélule 325 mg/37,5 mg, B/20, Liste I, Actif</w:t>
      </w:r>
      <w:r>
        <w:t xml:space="preserve"> </w:t>
      </w:r>
      <w:r>
        <w:t xml:space="preserve">-</w:t>
      </w:r>
      <w:r>
        <w:t xml:space="preserve"> </w:t>
      </w:r>
      <w:r>
        <w:rPr>
          <w:b/>
          <w:bCs/>
        </w:rPr>
        <w:t xml:space="preserve">XALDOL</w:t>
      </w:r>
      <w:r>
        <w:t xml:space="preserve"> </w:t>
      </w:r>
      <w:r>
        <w:t xml:space="preserve">(PHARMIDAL NS) — Gélule 325 mg/37,5 mg, B/20 et B/10, Liste I, Actif</w:t>
      </w:r>
      <w:r>
        <w:t xml:space="preserve"> </w:t>
      </w:r>
      <w:r>
        <w:t xml:space="preserve">-</w:t>
      </w:r>
      <w:r>
        <w:t xml:space="preserve"> </w:t>
      </w:r>
      <w:r>
        <w:rPr>
          <w:b/>
          <w:bCs/>
        </w:rPr>
        <w:t xml:space="preserve">XAMADOL</w:t>
      </w:r>
      <w:r>
        <w:t xml:space="preserve"> </w:t>
      </w:r>
      <w:r>
        <w:t xml:space="preserve">(BIOPHARM) — Comprimé pelliculé 325 mg/37,5 mg, B/20, Liste I, Actif</w:t>
      </w:r>
    </w:p>
    <w:p>
      <w:pPr>
        <w:pStyle w:val="BodyText"/>
      </w:pPr>
      <w:r>
        <w:t xml:space="preserve">Formes retirées :</w:t>
      </w:r>
      <w:r>
        <w:t xml:space="preserve"> </w:t>
      </w:r>
      <w:r>
        <w:t xml:space="preserve">-</w:t>
      </w:r>
      <w:r>
        <w:t xml:space="preserve"> </w:t>
      </w:r>
      <w:r>
        <w:rPr>
          <w:b/>
          <w:bCs/>
        </w:rPr>
        <w:t xml:space="preserve">TRAPAL</w:t>
      </w:r>
      <w:r>
        <w:t xml:space="preserve"> </w:t>
      </w:r>
      <w:r>
        <w:t xml:space="preserve">(SOCIETE PHARMACEUTIQUE ALGERIENNE SOPHAL) — Gélule 325 mg/37,5 mg, B/20, Liste I, Retrait</w:t>
      </w:r>
      <w:r>
        <w:t xml:space="preserve"> </w:t>
      </w:r>
      <w:r>
        <w:t xml:space="preserve">-</w:t>
      </w:r>
      <w:r>
        <w:t xml:space="preserve"> </w:t>
      </w:r>
      <w:r>
        <w:rPr>
          <w:b/>
          <w:bCs/>
        </w:rPr>
        <w:t xml:space="preserve">EXTRAMADOL</w:t>
      </w:r>
      <w:r>
        <w:t xml:space="preserve"> </w:t>
      </w:r>
      <w:r>
        <w:t xml:space="preserve">(SARL LABORATOIRES MM) — Comprimé pelliculé 325 mg/37,5 mg, B/20, Liste I, Retrait</w:t>
      </w:r>
    </w:p>
    <w:p>
      <w:pPr>
        <w:pStyle w:val="BodyText"/>
      </w:pPr>
      <w:r>
        <w:rPr>
          <w:b/>
          <w:bCs/>
        </w:rPr>
        <w:t xml:space="preserve">Sous-classe et Mécanisme d’action :</w:t>
      </w:r>
      <w:r>
        <w:t xml:space="preserve"> </w:t>
      </w:r>
      <w:r>
        <w:t xml:space="preserve">- Sous-classe : association palier I + palier II OMS — paracétamol (antalgique central COX-3) + tramadol (opioïde faible à double mécanisme).</w:t>
      </w:r>
      <w:r>
        <w:t xml:space="preserve"> </w:t>
      </w:r>
      <w:r>
        <w:t xml:space="preserve">- Mécanisme d’action : le paracétamol inhibe la COX-3 centrale et active les voies descendantes sérotoninergiques ; son métabolite AM404 active TRPV1 et CB1. Le tramadol est un racémique (+)- et (−)-trans, dont l’énantiomère (+) inhibe préférentiellement la recapture de la sérotonine et l’énantiomère (−) celle de la noradrénaline. Sa O-déméthylation par le CYP2D6 produit le métabolite M1 (O-desméthyltramadol), agoniste μ à haute affinité. L’activation des récepteurs μ spinaux et supra-spinaux inhibe l’adénylate cyclase (baisse AMPc), ferme les canaux calciques voltage-dépendants N et P/Q (baisse libération de glutamate et substance P), et ouvre les canaux potassiques GIRK (hyperpolarisation). L’inhibition de la recapture de sérotonine et noradrénaline renforce les voies descendantes inhibitrices bulbospinales (noyaux du raphé et locus coeruleus), ce qui distingue le tramadol des autres opioïdes faibles purs et explique son intérêt dans les composantes neuropathiques de la douleur.</w:t>
      </w:r>
    </w:p>
    <w:p>
      <w:pPr>
        <w:pStyle w:val="BodyText"/>
      </w:pPr>
      <w:r>
        <w:rPr>
          <w:b/>
          <w:bCs/>
        </w:rPr>
        <w:t xml:space="preserve">Profil Pharmacologique :</w:t>
      </w:r>
      <w:r>
        <w:t xml:space="preserve"> </w:t>
      </w:r>
      <w:r>
        <w:t xml:space="preserve">- Indications : traitement symptomatique des douleurs modérées à intenses non soulagées par le palier I — douleurs post-opératoires (orthopédie, chirurgie viscérale, gynécologie), traumatismes, douleurs cancéreuses modérées, douleurs neuropathiques mixtes (diabète, zona post-herpétique), lombalgies chroniques aiguës, coliques néphrétiques réfractaires au palier I, douleurs osseuses (fracture, métastase). Particulièrement utile en cas d’allergie ou d’inefficacité de la codéine.</w:t>
      </w:r>
      <w:r>
        <w:t xml:space="preserve"> </w:t>
      </w:r>
      <w:r>
        <w:t xml:space="preserve">- Contre-indications : hypersensibilité au tramadol ou paracétamol, intoxication aiguë par alcool, opioïdes, hypnotiques, analgésiques centraux, IMAO (15 jours de washout), insuffisance respiratoire sévère, épilepsie non contrôlée par traitement, enfant &lt; 12 ans, enfant 12–18 ans avec facteurs de risque (obésité, apnée du sommeil, pathologie respiratoire, neuro-musculaire), allaitement, insuffisance hépatique sévère, traitement par carbamazépine (réduction de l’efficacité par induction CYP3A4).</w:t>
      </w:r>
      <w:r>
        <w:t xml:space="preserve"> </w:t>
      </w:r>
      <w:r>
        <w:t xml:space="preserve">- Effets Indésirables : nausées et vomissements (~ 25 %), somnolence (~ 17 %), vertiges (~ 13 %), constipation, sécheresse buccale, céphalées, fatigue, hypersudation, hypotension orthostatique, convulsions (surtout à dose &gt; 400 mg/j ou en association avec antidépresseurs abaissant le seuil épileptogène), syndrome sérotoninergique (en cas d’association avec IRS, IMAO, triptans, tramadol seul), hallucinations, cauchemars, confusion (sujet âgé), réactions cutanées (rare Stevens-Johnson), hypoglycémie (sujet âgé ou diabétique), dépendance physique et psychique, syndrome de sevrage à l’arrêt brutal.</w:t>
      </w:r>
    </w:p>
    <w:p>
      <w:pPr>
        <w:pStyle w:val="BodyText"/>
      </w:pPr>
      <w:r>
        <w:rPr>
          <w:b/>
          <w:bCs/>
        </w:rPr>
        <w:t xml:space="preserve">Prévention et Gestion des Effets Indésirables :</w:t>
      </w:r>
      <w:r>
        <w:t xml:space="preserve"> </w:t>
      </w:r>
      <w:r>
        <w:t xml:space="preserve">- Mesures Préventives : prescription de courte durée (≤ 5 jours en douleur aiguë), hydratation et alimentation riche en fibres (prévention constipation), antiémétique si nausées (métopimazine 7,5 mg, éviter les antidopaminergiques qui abaissent le seuil épileptogène), prise vespérale préférentielle pour limiter l’impact de la sédation diurne. Vérifier l’absence d’antidépresseurs sérotoninergiques ou d’IMAO avant prescription. Chez le sujet âgé : dose initiale réduite de moitié, surveillance vigilance et glycémie. Chez l’épileptique : éviter, ou associer à un antiépileptique couvrant les convulsions généralisées.</w:t>
      </w:r>
      <w:r>
        <w:t xml:space="preserve"> </w:t>
      </w:r>
      <w:r>
        <w:t xml:space="preserve">- Conduite à Tenir : arrêt immédiat et consultation en urgence en cas de signes de syndrome sérotoninergique (triade : hyperthermie &gt; 38,5 °C, hyperréflexie, clonus, agitation, mydriase, diaphorèse, troubles digestifs), ou de signes de surdosage opioïde (somnolence, bradypnée &lt; 12/min, miosis). Antidote opioïde : naloxone 0,4 mg IV/IM. Pas d’antidote spécifique du syndrome sérotoninergique (traitement symptomatique : cyproheptadine, refroidissement externe, benzodiazépines pour le clonus).</w:t>
      </w:r>
    </w:p>
    <w:p>
      <w:pPr>
        <w:pStyle w:val="BodyText"/>
      </w:pPr>
      <w:r>
        <w:rPr>
          <w:b/>
          <w:bCs/>
        </w:rPr>
        <w:t xml:space="preserve">Interactions Importantes :</w:t>
      </w:r>
      <w:r>
        <w:t xml:space="preserve"> </w:t>
      </w:r>
      <w:r>
        <w:t xml:space="preserve">- Tramadol + IRS (fluoxétine, paroxétine, sertraline, citalopram, escitalopram, venlafaxine, duloxétine), clomipramine, IMAO : risque de</w:t>
      </w:r>
      <w:r>
        <w:t xml:space="preserve"> </w:t>
      </w:r>
      <w:r>
        <w:rPr>
          <w:b/>
          <w:bCs/>
        </w:rPr>
        <w:t xml:space="preserve">syndrome sérotoninergique</w:t>
      </w:r>
      <w:r>
        <w:t xml:space="preserve"> </w:t>
      </w:r>
      <w:r>
        <w:t xml:space="preserve">(potentiellement mortel).</w:t>
      </w:r>
      <w:r>
        <w:t xml:space="preserve"> </w:t>
      </w:r>
      <w:r>
        <w:t xml:space="preserve">- Tramadol + carbamazépine : induction du CYP3A4, baisse de l’efficacité du tramadol (contre-indication).</w:t>
      </w:r>
      <w:r>
        <w:t xml:space="preserve"> </w:t>
      </w:r>
      <w:r>
        <w:t xml:space="preserve">- Tramadol + ondansétron : antagonisme de l’effet antalgique (5-HT3 antagoniste).</w:t>
      </w:r>
      <w:r>
        <w:t xml:space="preserve"> </w:t>
      </w:r>
      <w:r>
        <w:t xml:space="preserve">- Tramadol + alcool, benzodiazépines, autres opioïdes, antihistaminiques sédatifs : dépression respiratoire additive.</w:t>
      </w:r>
      <w:r>
        <w:t xml:space="preserve"> </w:t>
      </w:r>
      <w:r>
        <w:t xml:space="preserve">- Tramadol + warfarine : augmentation de l’INR, risque hémorragique (cas rapportés).</w:t>
      </w:r>
      <w:r>
        <w:t xml:space="preserve"> </w:t>
      </w:r>
      <w:r>
        <w:t xml:space="preserve">- Tramadol + digoxine : augmentation des concentrations de digoxine (cas isolés).</w:t>
      </w:r>
      <w:r>
        <w:t xml:space="preserve"> </w:t>
      </w:r>
      <w:r>
        <w:t xml:space="preserve">- Tramadol + quinidine, fluoxétine, paroxétine : inhibition du CYP2D6, blocage de la formation du M1 → perte d’efficacité du tramadol.</w:t>
      </w:r>
      <w:r>
        <w:t xml:space="preserve"> </w:t>
      </w:r>
      <w:r>
        <w:t xml:space="preserve">- Paracétamol + warfarine : majoration INR à forte dose prolongée.</w:t>
      </w:r>
    </w:p>
    <w:p>
      <w:pPr>
        <w:pStyle w:val="BodyText"/>
      </w:pPr>
      <w:r>
        <w:rPr>
          <w:b/>
          <w:bCs/>
        </w:rPr>
        <w:t xml:space="preserve">Grossesse et Allaitement :</w:t>
      </w:r>
      <w:r>
        <w:t xml:space="preserve"> </w:t>
      </w:r>
      <w:r>
        <w:t xml:space="preserve">- Grossesse : selon CRAT, tramadol est déconseillé au 1er et 2e trimestre (données animales suggérant une toxicité fœtale, neurotoxicité développementale), et</w:t>
      </w:r>
      <w:r>
        <w:t xml:space="preserve"> </w:t>
      </w:r>
      <w:r>
        <w:rPr>
          <w:b/>
          <w:bCs/>
        </w:rPr>
        <w:t xml:space="preserve">contre-indiqué au 3e trimestre</w:t>
      </w:r>
      <w:r>
        <w:t xml:space="preserve"> </w:t>
      </w:r>
      <w:r>
        <w:t xml:space="preserve">(risque de syndrome de sevrage néonatal : agitation, tremblements, hyper-réflexie, convulsions, diarrhée, fièvre, dans les 24–72 h post-natales). En cas de nécessité absolue aux 1er et 2e trimestres, dose minimale efficace, durée la plus courte possible. En fin de grossesse, ne pas utiliser en raison du risque de dépression respiratoire néonatale (antidote naloxone à portée en salle de naissance).</w:t>
      </w:r>
      <w:r>
        <w:t xml:space="preserve"> </w:t>
      </w:r>
      <w:r>
        <w:t xml:space="preserve">- Allaitement : tramadol passe dans le lait maternel en faible quantité (rapport lait/plasma ~ 0,1), mais la métabolisation en M1 chez les métaboliseuses ultra-rapides CYP2D6 expose à un risque de surdosage néonatal.</w:t>
      </w:r>
      <w:r>
        <w:t xml:space="preserve"> </w:t>
      </w:r>
      <w:r>
        <w:rPr>
          <w:b/>
          <w:bCs/>
        </w:rPr>
        <w:t xml:space="preserve">L’EMA recommande de ne pas utiliser le tramadol pendant l’allaitement</w:t>
      </w:r>
      <w:r>
        <w:t xml:space="preserve"> </w:t>
      </w:r>
      <w:r>
        <w:t xml:space="preserve">(recommandation de 2016, après signalement de cas d’apnées et de sédation excessive chez nouveau-nés allaités).</w:t>
      </w:r>
      <w:r>
        <w:t xml:space="preserve"> </w:t>
      </w:r>
      <w:r>
        <w:t xml:space="preserve">- Précisions : chez la femme allaitante nécessitant un antalgique palier II, l’OMS et l’ABM (Academy of Breastfeeding Medicine) recommandent l’ibuprofène seule ou le paracétamol + codéine en dose unique ≤ 60 mg en respectant un intervalle de 6 h avant la tétée (mais cette recommandation est discutée en raison du risque UM CYP2D6).</w:t>
      </w:r>
    </w:p>
    <w:p>
      <w:pPr>
        <w:pStyle w:val="BodyText"/>
      </w:pPr>
      <w:r>
        <w:rPr>
          <w:b/>
          <w:bCs/>
        </w:rPr>
        <w:t xml:space="preserve">Posologie et Mode d’administration (Standard) :</w:t>
      </w:r>
      <w:r>
        <w:t xml:space="preserve"> </w:t>
      </w:r>
      <w:r>
        <w:t xml:space="preserve">- Adulte : 1 à 2 comprimés par prise, à renouveler toutes les 6 heures si nécessaire, sans dépasser 8 comprimés par 24 heures (soit paracétamol 2600 mg/jour, tramadol 300 mg/jour). Dose initiale recommandée : 2 comprimés (650 mg/75 mg), puis 1 comprimé par prise en entretien.</w:t>
      </w:r>
      <w:r>
        <w:t xml:space="preserve"> </w:t>
      </w:r>
      <w:r>
        <w:t xml:space="preserve">- Sujet âgé &gt; 75 ans : dose maximale 300 mg/jour de tramadol, espacer les prises à 9 h.</w:t>
      </w:r>
      <w:r>
        <w:t xml:space="preserve"> </w:t>
      </w:r>
      <w:r>
        <w:t xml:space="preserve">- Insuffisant rénal modéré (DFG 30–60 mL/min) : espacer à 12 h. Insuffisant rénal sévère (DFG &lt; 30) : CI relative.</w:t>
      </w:r>
      <w:r>
        <w:t xml:space="preserve"> </w:t>
      </w:r>
      <w:r>
        <w:t xml:space="preserve">- Insuffisant hépatique modéré à sévère : CI relative, en raison du métabolisme hépatique.</w:t>
      </w:r>
      <w:r>
        <w:t xml:space="preserve"> </w:t>
      </w:r>
      <w:r>
        <w:t xml:space="preserve">- Enfant : CI absolue &lt; 12 ans ; 12–18 ans : en cas de nécessité absolue, dose 1 cp 325/37,5 mg par prise, max 4 cp/j, surveillance rapprochée.</w:t>
      </w:r>
      <w:r>
        <w:t xml:space="preserve"> </w:t>
      </w:r>
      <w:r>
        <w:t xml:space="preserve">- Durée : 3 à 5 jours en douleur aiguë sans réévaluation médicale ; en douleur chronique, réévaluation tous les 15–30 jours, sevrage progressif à l’arrêt (réduction 25 %/jour).</w:t>
      </w:r>
      <w:r>
        <w:t xml:space="preserve"> </w:t>
      </w:r>
      <w:r>
        <w:t xml:space="preserve">- Moment de prise : pendant les repas, hydratation 1,5 L/jour.</w:t>
      </w:r>
    </w:p>
    <w:p>
      <w:pPr>
        <w:pStyle w:val="BodyText"/>
      </w:pPr>
      <w:r>
        <w:rPr>
          <w:b/>
          <w:bCs/>
        </w:rPr>
        <w:t xml:space="preserve">Arbitrage et Bénéfices des Formes Galéniques :</w:t>
      </w:r>
      <w:r>
        <w:t xml:space="preserve"> </w:t>
      </w:r>
      <w:r>
        <w:t xml:space="preserve">le comprimé pelliculé (APAP TRAMADOL BEKER, DOLMATOL, DOLTRAM PLUS, XAMADOL, etc.) protège la muqueuse gastrique et masque le goût amer. Le comprimé sécable (DOLOKIL) permet l’adaptation posologique chez le sujet âgé ou fragile. La gélule (CETADOL, PARAMOL PLUS, SUPRADOLEX, XALDOL) offre une formulation à libération modérée, plus stable dans le temps. Aucune forme à libération prolongée n’est disponible en Algérie (contrairement à la France où Tramadol LP 50, 100, 150, 200 mg est commercialisé), ce qui impose une prise pluriquotidienne. Aucune forme injectable ou sirop n’est disponible.</w:t>
      </w:r>
    </w:p>
    <w:p>
      <w:pPr>
        <w:pStyle w:val="BodyText"/>
      </w:pPr>
      <w:r>
        <w:rPr>
          <w:b/>
          <w:bCs/>
        </w:rPr>
        <w:t xml:space="preserve">Instructions et Conseils au Patient :</w:t>
      </w:r>
      <w:r>
        <w:t xml:space="preserve"> </w:t>
      </w:r>
      <w:r>
        <w:t xml:space="preserve">- Communication au comptoir : expliquer la double action opioïde + monoaminergique du tramadol, la nécessité d’une ordonnance stricte, l’interdiction de l’alcool et des autres dépresseurs du SNC, la prudence à la conduite automobile (risque somnolence majoré), l’absence d’association avec les antidépresseurs sans avis médical. Prévenir la patiente allaitante de l’interdiction absolue d’allaiter sous tramadol. Informer du risque de convulsions à dose maximale et du syndrome sérotoninergique en cas de combinaison.</w:t>
      </w:r>
      <w:r>
        <w:t xml:space="preserve"> </w:t>
      </w:r>
      <w:r>
        <w:t xml:space="preserve">- Mode d’utilisation pratique : prise pendant les repas, hydratation 1,5 L/jour, intervalle minimal 6 h, ne jamais doubler la dose en cas d’oubli, ne pas arrêter brutalement en fin de traitement si durée &gt; 5 jours (sevrage), signaler tout tremblement, hallucination, confusion ou convulsion.</w:t>
      </w:r>
    </w:p>
    <w:p>
      <w:pPr>
        <w:pStyle w:val="BodyText"/>
      </w:pPr>
      <w:r>
        <w:rPr>
          <w:b/>
          <w:bCs/>
        </w:rPr>
        <w:t xml:space="preserve">Notes, Règles d’Or &amp; Pièges au Comptoir :</w:t>
      </w:r>
      <w:r>
        <w:t xml:space="preserve"> </w:t>
      </w:r>
      <w:r>
        <w:t xml:space="preserve">- Piège classique : le patient sous antidépresseur IRS (venlafaxine, fluoxétine, paroxétine) à qui l’on prescrit tramadol → syndrome sérotoninergique potentiellement létal. Le patient épileptique sous carbamazépine → perte d’efficacité et risque convulsif majoré. Le patient âgé diabétique sous antidiabétique → hypoglycémie sévère. La patiente allaitante métaboliseuse ultra-rapide CYP2D6 → surdosage néonatal potentiellement mortel.</w:t>
      </w:r>
      <w:r>
        <w:t xml:space="preserve"> </w:t>
      </w:r>
      <w:r>
        <w:t xml:space="preserve">- Règle de prise : ne jamais associer à d’autres opioïdes ou dépresseurs du SNC, vérifier systématiquement à l’officine le traitement de fond (antidépresseurs, IMAO, anticonvulsivants), surveiller la somnolence diurne et la fréquence respiratoire.</w:t>
      </w:r>
      <w:r>
        <w:t xml:space="preserve"> </w:t>
      </w:r>
      <w:r>
        <w:t xml:space="preserve">- Préparation et Conservation : conserver à température ≤ 25 °C, à l’abri de la lumière et de l’humidité, hors de portée des enfants. Le tramadol est sur liste I en Algérie (prescription médicale obligatoire) ; les génériques à libération prolongée sont parfois sur liste des stupéfiants dans d’autres pays.</w:t>
      </w:r>
      <w:r>
        <w:t xml:space="preserve"> </w:t>
      </w:r>
      <w:r>
        <w:t xml:space="preserve">- Piège du surdosage / Substitution : chez le patient présentant une douleur aiguë non soulagée par paracétamol + tramadol à dose maximale (8 cp/j), ne pas augmenter la dose mais envisager un palier III (morphine orale immédiate 10 mg toutes les 4 h) ou demander un avis spécialisé d’algologie. Ne pas substituer par de la codéine chez un patient présentant un antécédent de syndrome sérotoninergique. En cas de sevrage opioïde à l’arrêt (anxiété, agitation, mydriase, frissons), prescrire un agoniste partiel (buprénorphine) ou un α2-agoniste (clonidine, lofexidine).</w:t>
      </w:r>
    </w:p>
    <w:p>
      <w:r>
        <w:pict>
          <v:rect style="width:0;height:1.5pt" o:hralign="center" o:hrstd="t" o:hr="t"/>
        </w:pict>
      </w:r>
    </w:p>
    <w:bookmarkEnd w:id="76"/>
    <w:bookmarkEnd w:id="77"/>
    <w:bookmarkStart w:id="80" w:name="X9f7133d98ee4831c4560460b0d47b6276acf2ba"/>
    <w:p>
      <w:pPr>
        <w:pStyle w:val="Heading2"/>
      </w:pPr>
      <w:r>
        <w:t xml:space="preserve">E. Sous-classe : Antalgiques Palier II — Associations Opioïdes Faibles Retirées (Dextropropoxyphène)</w:t>
      </w:r>
    </w:p>
    <w:bookmarkStart w:id="78" w:name="présentation-de-la-sous-classe-4"/>
    <w:p>
      <w:pPr>
        <w:pStyle w:val="Heading3"/>
      </w:pPr>
      <w:r>
        <w:t xml:space="preserve">Présentation de la sous-classe</w:t>
      </w:r>
    </w:p>
    <w:p>
      <w:pPr>
        <w:pStyle w:val="FirstParagraph"/>
      </w:pPr>
      <w:r>
        <w:t xml:space="preserve">Le dextropropoxyphène (D-propoxyphène), opioïde de synthèse de la classe des diphénylpropylamines, a été commercialisé dès 1957 aux États-Unis (Darvon®) puis largement diffusé en Europe comme palier II de première intention. Son association fixe avec le paracétamol (ratio 400:30 ou 500:50) a longtemps constitué l’un des antalgiques palier II les plus prescrits au monde, sous les noms de Di-Antalvic®, Darvocet®, Dolotinus®, etc.</w:t>
      </w:r>
    </w:p>
    <w:p>
      <w:pPr>
        <w:pStyle w:val="BodyText"/>
      </w:pPr>
      <w:r>
        <w:t xml:space="preserve">Le retrait mondial du dextropropoxyphène s’est opéré entre 2009 et 2011 à la suite des avis de la FDA (2009, réévalué en 2010) et de l’EMA (juin 2010), fondés sur la constatation de</w:t>
      </w:r>
      <w:r>
        <w:t xml:space="preserve"> </w:t>
      </w:r>
      <w:r>
        <w:rPr>
          <w:b/>
          <w:bCs/>
        </w:rPr>
        <w:t xml:space="preserve">décès cardiotoxiques mortels en cas de surdosage volontaire ou accidentel</w:t>
      </w:r>
      <w:r>
        <w:t xml:space="preserve">, même à des doses relativement faibles (2 à 3 fois la dose thérapeutique). Les études pharmacologiques ont mis en évidence un bloc des canaux sodiques cardiaques (effet quinidine-like) et des canaux potassiques hERG par le métabolite actif norpropoxyphène, responsable d’allongement du QT, de troubles du rythme ventriculaire (torsades de pointe, tachycardie ventriculaire, fibrillation ventriculaire) et de dépression myocardique. Le ratio bénéfice/risque devenu défavorable (efficacité antalgique modeste, équivalente à un placebo selon certaines méta-analyses Cochrane, pour un risque létal réel) a justifié l’arrêt définitif.</w:t>
      </w:r>
    </w:p>
    <w:p>
      <w:pPr>
        <w:pStyle w:val="BodyText"/>
      </w:pPr>
      <w:r>
        <w:t xml:space="preserve">En Algérie, le retrait est effectif depuis 2011, mais</w:t>
      </w:r>
      <w:r>
        <w:t xml:space="preserve"> </w:t>
      </w:r>
      <w:r>
        <w:rPr>
          <w:b/>
          <w:bCs/>
        </w:rPr>
        <w:t xml:space="preserve">16 spécialités</w:t>
      </w:r>
      <w:r>
        <w:t xml:space="preserve"> </w:t>
      </w:r>
      <w:r>
        <w:t xml:space="preserve">ont été historiquement commercialisées et figurent dans la nomenclature 2026 comme « retirées » : BIOTALVIC, DI-PRALGIC, PAMAFEN, DI-DOLYC, SAPALVIC, BI-ANTALGIQUE, DEXTROPROPOXYPHENE PARACETAMOL (LPA), DEXTROPROPOXYPHENE CHLORHYDRATE PARACETAMOL BIOGARAN, DI-ALGIC, DI-ANTALVIC, DIAVIC, DI-PARACETAL, PARADEX, DI-CETALGIC, PARALVIC, XALGESIC, DOLOGESIC. Cette diversité reflète l’ampleur historique du marché.</w:t>
      </w:r>
    </w:p>
    <w:bookmarkEnd w:id="78"/>
    <w:bookmarkStart w:id="79" w:name="X0314415c2b58794bc1e6e6dff498e94a44174e6"/>
    <w:p>
      <w:pPr>
        <w:pStyle w:val="Heading3"/>
      </w:pPr>
      <w:r>
        <w:t xml:space="preserve">Fiche 5 — Paracétamol + Dextropropoxyphène (En Association) — Retiré du Marché (R)</w:t>
      </w:r>
    </w:p>
    <w:p>
      <w:pPr>
        <w:pStyle w:val="FirstParagraph"/>
      </w:pPr>
      <w:r>
        <w:rPr>
          <w:b/>
          <w:bCs/>
        </w:rPr>
        <w:t xml:space="preserve">Liste des Catégories :</w:t>
      </w:r>
      <w:r>
        <w:t xml:space="preserve"> </w:t>
      </w:r>
      <w:r>
        <w:t xml:space="preserve">Antalgiques palier II — Associations opioïdes faibles retirées. Statut : Retiré du marché algérien (depuis 2010–2011).</w:t>
      </w:r>
    </w:p>
    <w:p>
      <w:pPr>
        <w:pStyle w:val="BodyText"/>
      </w:pPr>
      <w:r>
        <w:t xml:space="preserve">L’association paracétamol + dextropropoxyphène fut longtemps considérée comme l’antalgique palier II de référence en Algérie, en France et dans de nombreux pays, avant son retrait mondial pour cardiotoxicité létale en cas de surdosage. Sa mention dans ce fascicule se justifie par : (i) la mémoire pharmacologique et historique (médicament le plus prescrit en France dans les années 2000) ; (ii) la possibilité de rencontrer des patients l’ayant pris et présentant des séquelles ou une pharmacodépendance ; (iii) le risque de mésusage via des stocks domestiques périmés ou des importations illégales ; (iv) la formation académique des pharmaciens à reconnaître les signes de surdosage et de sevrage.</w:t>
      </w:r>
    </w:p>
    <w:p>
      <w:pPr>
        <w:pStyle w:val="BodyText"/>
      </w:pPr>
      <w:r>
        <w:rPr>
          <w:b/>
          <w:bCs/>
        </w:rPr>
        <w:t xml:space="preserve">Médicaments historiques en Algérie (Marques, Laboratoires, Formes et Dosages) :</w:t>
      </w:r>
      <w:r>
        <w:t xml:space="preserve"> </w:t>
      </w:r>
      <w:r>
        <w:t xml:space="preserve">-</w:t>
      </w:r>
      <w:r>
        <w:t xml:space="preserve"> </w:t>
      </w:r>
      <w:r>
        <w:rPr>
          <w:b/>
          <w:bCs/>
        </w:rPr>
        <w:t xml:space="preserve">BIOTALVIC</w:t>
      </w:r>
      <w:r>
        <w:t xml:space="preserve"> </w:t>
      </w:r>
      <w:r>
        <w:t xml:space="preserve">(BIO-GALENIC) — Gélule 400 mg/30 mg, B/20, Liste I, Retiré (R)</w:t>
      </w:r>
      <w:r>
        <w:t xml:space="preserve"> </w:t>
      </w:r>
      <w:r>
        <w:t xml:space="preserve">-</w:t>
      </w:r>
      <w:r>
        <w:t xml:space="preserve"> </w:t>
      </w:r>
      <w:r>
        <w:rPr>
          <w:b/>
          <w:bCs/>
        </w:rPr>
        <w:t xml:space="preserve">DI-PRALGIC</w:t>
      </w:r>
      <w:r>
        <w:t xml:space="preserve"> </w:t>
      </w:r>
      <w:r>
        <w:t xml:space="preserve">(LABORATOIRE GROUPEMENT PHARMACEUTIQUE ALGERIEN LGPA) — Gélule 400 mg/30 mg, B/20, Liste I, Retiré (R)</w:t>
      </w:r>
      <w:r>
        <w:t xml:space="preserve"> </w:t>
      </w:r>
      <w:r>
        <w:t xml:space="preserve">-</w:t>
      </w:r>
      <w:r>
        <w:t xml:space="preserve"> </w:t>
      </w:r>
      <w:r>
        <w:rPr>
          <w:b/>
          <w:bCs/>
        </w:rPr>
        <w:t xml:space="preserve">PAMAFEN</w:t>
      </w:r>
      <w:r>
        <w:t xml:space="preserve"> </w:t>
      </w:r>
      <w:r>
        <w:t xml:space="preserve">(SANDOZ SPA) — Gélule 400 mg/30 mg, B/20, Liste I, Retiré (R)</w:t>
      </w:r>
      <w:r>
        <w:t xml:space="preserve"> </w:t>
      </w:r>
      <w:r>
        <w:t xml:space="preserve">-</w:t>
      </w:r>
      <w:r>
        <w:t xml:space="preserve"> </w:t>
      </w:r>
      <w:r>
        <w:rPr>
          <w:b/>
          <w:bCs/>
        </w:rPr>
        <w:t xml:space="preserve">DI-DOLYC</w:t>
      </w:r>
      <w:r>
        <w:t xml:space="preserve"> </w:t>
      </w:r>
      <w:r>
        <w:t xml:space="preserve">(MERINAL) — Gélule 400 mg/30 mg, B/20, Liste I, Retiré (R)</w:t>
      </w:r>
      <w:r>
        <w:t xml:space="preserve"> </w:t>
      </w:r>
      <w:r>
        <w:t xml:space="preserve">-</w:t>
      </w:r>
      <w:r>
        <w:t xml:space="preserve"> </w:t>
      </w:r>
      <w:r>
        <w:rPr>
          <w:b/>
          <w:bCs/>
        </w:rPr>
        <w:t xml:space="preserve">SAPALVIC</w:t>
      </w:r>
      <w:r>
        <w:t xml:space="preserve"> </w:t>
      </w:r>
      <w:r>
        <w:t xml:space="preserve">(FRATER) — Gélule 400 mg/30 mg, B/20, Liste I, Retiré (R)</w:t>
      </w:r>
      <w:r>
        <w:t xml:space="preserve"> </w:t>
      </w:r>
      <w:r>
        <w:t xml:space="preserve">-</w:t>
      </w:r>
      <w:r>
        <w:t xml:space="preserve"> </w:t>
      </w:r>
      <w:r>
        <w:rPr>
          <w:b/>
          <w:bCs/>
        </w:rPr>
        <w:t xml:space="preserve">BI-ANTALGIQUE</w:t>
      </w:r>
      <w:r>
        <w:t xml:space="preserve"> </w:t>
      </w:r>
      <w:r>
        <w:t xml:space="preserve">(OUBARI ET RADWAN) — Gélule 400 mg/30 mg, B/18, Liste I, Retiré (R)</w:t>
      </w:r>
      <w:r>
        <w:t xml:space="preserve"> </w:t>
      </w:r>
      <w:r>
        <w:t xml:space="preserve">-</w:t>
      </w:r>
      <w:r>
        <w:t xml:space="preserve"> </w:t>
      </w:r>
      <w:r>
        <w:rPr>
          <w:b/>
          <w:bCs/>
        </w:rPr>
        <w:t xml:space="preserve">DEXTROPOPOXYPHENE/PARACETAMOL</w:t>
      </w:r>
      <w:r>
        <w:t xml:space="preserve"> </w:t>
      </w:r>
      <w:r>
        <w:t xml:space="preserve">(LABORATOIRE PHARMACEUTIQUE ALGERIEN LPA) — Gélule 400 mg/30 mg, B/20, Liste I, Retiré (R)</w:t>
      </w:r>
      <w:r>
        <w:t xml:space="preserve"> </w:t>
      </w:r>
      <w:r>
        <w:t xml:space="preserve">-</w:t>
      </w:r>
      <w:r>
        <w:t xml:space="preserve"> </w:t>
      </w:r>
      <w:r>
        <w:rPr>
          <w:b/>
          <w:bCs/>
        </w:rPr>
        <w:t xml:space="preserve">DEXTROPROPOXYPHENE CHLORHYDRATE/PARACETAMOL BIOGARAN</w:t>
      </w:r>
      <w:r>
        <w:t xml:space="preserve"> </w:t>
      </w:r>
      <w:r>
        <w:t xml:space="preserve">(BIOGARAN) — Gélule 400 mg/30 mg, B/20, Liste I, Retiré (R)</w:t>
      </w:r>
      <w:r>
        <w:t xml:space="preserve"> </w:t>
      </w:r>
      <w:r>
        <w:t xml:space="preserve">-</w:t>
      </w:r>
      <w:r>
        <w:t xml:space="preserve"> </w:t>
      </w:r>
      <w:r>
        <w:rPr>
          <w:b/>
          <w:bCs/>
        </w:rPr>
        <w:t xml:space="preserve">DI-ALGIC</w:t>
      </w:r>
      <w:r>
        <w:t xml:space="preserve"> </w:t>
      </w:r>
      <w:r>
        <w:t xml:space="preserve">(PHARMA IVAL) — Gélule 400 mg/30 mg, B/20, Liste I, Retiré (R)</w:t>
      </w:r>
      <w:r>
        <w:t xml:space="preserve"> </w:t>
      </w:r>
      <w:r>
        <w:t xml:space="preserve">-</w:t>
      </w:r>
      <w:r>
        <w:t xml:space="preserve"> </w:t>
      </w:r>
      <w:r>
        <w:rPr>
          <w:b/>
          <w:bCs/>
        </w:rPr>
        <w:t xml:space="preserve">DI-ANTALVIC</w:t>
      </w:r>
      <w:r>
        <w:t xml:space="preserve"> </w:t>
      </w:r>
      <w:r>
        <w:t xml:space="preserve">(AVENTIS PHARMA SPA ALGERIE) — Gélule 400 mg/30 mg, B/20, Liste I, Retiré (R)</w:t>
      </w:r>
      <w:r>
        <w:t xml:space="preserve"> </w:t>
      </w:r>
      <w:r>
        <w:t xml:space="preserve">-</w:t>
      </w:r>
      <w:r>
        <w:t xml:space="preserve"> </w:t>
      </w:r>
      <w:r>
        <w:rPr>
          <w:b/>
          <w:bCs/>
        </w:rPr>
        <w:t xml:space="preserve">DIAVIC</w:t>
      </w:r>
      <w:r>
        <w:t xml:space="preserve"> </w:t>
      </w:r>
      <w:r>
        <w:t xml:space="preserve">(UNILAB PHARMACEUTICALS) — Gélule 400 mg/30 mg, B/20, Liste I, Retiré (R)</w:t>
      </w:r>
      <w:r>
        <w:t xml:space="preserve"> </w:t>
      </w:r>
      <w:r>
        <w:t xml:space="preserve">-</w:t>
      </w:r>
      <w:r>
        <w:t xml:space="preserve"> </w:t>
      </w:r>
      <w:r>
        <w:rPr>
          <w:b/>
          <w:bCs/>
        </w:rPr>
        <w:t xml:space="preserve">DI-PARACETAL</w:t>
      </w:r>
      <w:r>
        <w:t xml:space="preserve"> </w:t>
      </w:r>
      <w:r>
        <w:t xml:space="preserve">(SOCIETE PHARMACEUTIQUE ALGERIENNE SOPHAL) — Gélule 400 mg/30 mg, B/20, Liste I, Retiré (R)</w:t>
      </w:r>
      <w:r>
        <w:t xml:space="preserve"> </w:t>
      </w:r>
      <w:r>
        <w:t xml:space="preserve">-</w:t>
      </w:r>
      <w:r>
        <w:t xml:space="preserve"> </w:t>
      </w:r>
      <w:r>
        <w:rPr>
          <w:b/>
          <w:bCs/>
        </w:rPr>
        <w:t xml:space="preserve">PARADEX</w:t>
      </w:r>
      <w:r>
        <w:t xml:space="preserve"> </w:t>
      </w:r>
      <w:r>
        <w:t xml:space="preserve">(COOPER MAROC) — Gélule 400 mg/30 mg, B/20, Liste I, Retiré (R)</w:t>
      </w:r>
      <w:r>
        <w:t xml:space="preserve"> </w:t>
      </w:r>
      <w:r>
        <w:t xml:space="preserve">-</w:t>
      </w:r>
      <w:r>
        <w:t xml:space="preserve"> </w:t>
      </w:r>
      <w:r>
        <w:rPr>
          <w:b/>
          <w:bCs/>
        </w:rPr>
        <w:t xml:space="preserve">DI-CETALGIC</w:t>
      </w:r>
      <w:r>
        <w:t xml:space="preserve"> </w:t>
      </w:r>
      <w:r>
        <w:t xml:space="preserve">(SALEM) — Gélule 400 mg/30 mg, B/20, Liste I, Retiré (R)</w:t>
      </w:r>
      <w:r>
        <w:t xml:space="preserve"> </w:t>
      </w:r>
      <w:r>
        <w:t xml:space="preserve">-</w:t>
      </w:r>
      <w:r>
        <w:t xml:space="preserve"> </w:t>
      </w:r>
      <w:r>
        <w:rPr>
          <w:b/>
          <w:bCs/>
        </w:rPr>
        <w:t xml:space="preserve">PARALVIC</w:t>
      </w:r>
      <w:r>
        <w:t xml:space="preserve"> </w:t>
      </w:r>
      <w:r>
        <w:t xml:space="preserve">(SAIDAL GROUPE) — Gélule 400 mg/30 mg, B/20, Liste I, Retiré (R)</w:t>
      </w:r>
      <w:r>
        <w:t xml:space="preserve"> </w:t>
      </w:r>
      <w:r>
        <w:t xml:space="preserve">-</w:t>
      </w:r>
      <w:r>
        <w:t xml:space="preserve"> </w:t>
      </w:r>
      <w:r>
        <w:rPr>
          <w:b/>
          <w:bCs/>
        </w:rPr>
        <w:t xml:space="preserve">XALGESIC</w:t>
      </w:r>
      <w:r>
        <w:t xml:space="preserve"> </w:t>
      </w:r>
      <w:r>
        <w:t xml:space="preserve">(BIOPHARM) — Comprimé 325 mg/32,5 mg, B/20, Retiré (R)</w:t>
      </w:r>
      <w:r>
        <w:t xml:space="preserve"> </w:t>
      </w:r>
      <w:r>
        <w:t xml:space="preserve">-</w:t>
      </w:r>
      <w:r>
        <w:t xml:space="preserve"> </w:t>
      </w:r>
      <w:r>
        <w:rPr>
          <w:b/>
          <w:bCs/>
        </w:rPr>
        <w:t xml:space="preserve">DOLOGESIC</w:t>
      </w:r>
      <w:r>
        <w:t xml:space="preserve"> </w:t>
      </w:r>
      <w:r>
        <w:t xml:space="preserve">(PETRA PHARM) — Comprimé 500 mg/50 mg, B/16, Liste I, Retiré (R)</w:t>
      </w:r>
    </w:p>
    <w:p>
      <w:pPr>
        <w:pStyle w:val="BodyText"/>
      </w:pPr>
      <w:r>
        <w:rPr>
          <w:b/>
          <w:bCs/>
        </w:rPr>
        <w:t xml:space="preserve">Sous-classe et Mécanisme d’action :</w:t>
      </w:r>
      <w:r>
        <w:t xml:space="preserve"> </w:t>
      </w:r>
      <w:r>
        <w:t xml:space="preserve">- Sous-classe : ancienne association palier I + palier II OMS — paracétamol + dextropropoxyphène (opioïde agoniste μ).</w:t>
      </w:r>
      <w:r>
        <w:t xml:space="preserve"> </w:t>
      </w:r>
      <w:r>
        <w:t xml:space="preserve">- Mécanisme d’action : le paracétamol inhibe la COX-3 centrale hypothalamique et active les voies descendantes sérotoninergiques bulbospinales. Le dextropropoxyphène, opioïde synthétique de la classe des diphénylpropylamines (analogue structural de la méthadone), est un agoniste des récepteurs opioïdes μ (MOR), avec une affinité ~ 10 à 15 fois inférieure à la codéine et ~ 1/15e de la morphine. Son action centrale sur les récepteurs μ spinaux et supra-spinaux inhibe l’adénylate cyclase, ferme les canaux calciques voltage-dépendants N et P/Q (baisse de libération de glutamate et de substance P), et ouvre les canaux potassiques GIRK (hyperpolarisation neuronale). Son métabolite principal, le norpropoxyphène, a une demi-vie longue (~ 30 h) et exerce une</w:t>
      </w:r>
      <w:r>
        <w:t xml:space="preserve"> </w:t>
      </w:r>
      <w:r>
        <w:rPr>
          <w:b/>
          <w:bCs/>
        </w:rPr>
        <w:t xml:space="preserve">cardiotoxicité</w:t>
      </w:r>
      <w:r>
        <w:t xml:space="preserve"> </w:t>
      </w:r>
      <w:r>
        <w:t xml:space="preserve">par bloc des canaux sodiques rapides (effet quinidine-like) et des canaux potassiques hERG, responsable de l’allongement du QT, de troubles de conduction (bloc auriculo-ventriculaire), et de troubles du rythme ventriculaire (torsades de pointe, fibrillation ventriculaire). Le dextropropoxyphène inhibe également la recapture de la noradrénaline, contribuant à son effet dépresseur respiratoire et cardiovasculaire.</w:t>
      </w:r>
    </w:p>
    <w:p>
      <w:pPr>
        <w:pStyle w:val="BodyText"/>
      </w:pPr>
      <w:r>
        <w:rPr>
          <w:b/>
          <w:bCs/>
        </w:rPr>
        <w:t xml:space="preserve">Profil Pharmacologique :</w:t>
      </w:r>
      <w:r>
        <w:t xml:space="preserve"> </w:t>
      </w:r>
      <w:r>
        <w:t xml:space="preserve">- Indications : anciennes indications incluaient le traitement des douleurs modérées à intenses non soulagées par le palier I, en particulier les douleurs post-opératoires, traumatiques, dentaires, rhumatologiques (lombalgies, arthroses douloureuses), oncologiques modérées. Toutes les indications sont aujourd’hui obsolètes.</w:t>
      </w:r>
      <w:r>
        <w:t xml:space="preserve"> </w:t>
      </w:r>
      <w:r>
        <w:t xml:space="preserve">- Contre-indications (historiques) : hypersensibilité, insuffisance respiratoire, asthme sévère, traumatisme crânien, épilepsie non contrôlée, allaitement, enfant &lt; 15 ans, association à d’autres opioïdes ou dépresseurs du SNC, insuffisance hépatique sévère, troubles du rythme cardiaque, allongement du QT, hypokaliémie.</w:t>
      </w:r>
      <w:r>
        <w:t xml:space="preserve"> </w:t>
      </w:r>
      <w:r>
        <w:t xml:space="preserve">- Effets Indésirables : nausées, vomissements, constipation, sédation, vertiges, confusion, dépendance physique et psychique, syndrome de sevrage.</w:t>
      </w:r>
      <w:r>
        <w:t xml:space="preserve"> </w:t>
      </w:r>
      <w:r>
        <w:rPr>
          <w:b/>
          <w:bCs/>
        </w:rPr>
        <w:t xml:space="preserve">Effets cardiotoxiques en surdosage</w:t>
      </w:r>
      <w:r>
        <w:t xml:space="preserve"> </w:t>
      </w:r>
      <w:r>
        <w:t xml:space="preserve">: élargissement du QRS (&gt; 100 ms), allongement du QT, bloc auriculo-ventriculaire, torsades de pointe, fibrillation ventriculaire, dépression myocardique, œdème aigu du poumon non cardiogénique, convulsions, coma, décès (dose létale estimée à 6 à 9 gélules 400/30 mg, soit ~ 200–270 mg de dextropropoxyphène). Effets paracétamol : hépatotoxicité en cas de surdosage (NAPQI).</w:t>
      </w:r>
    </w:p>
    <w:p>
      <w:pPr>
        <w:pStyle w:val="BodyText"/>
      </w:pPr>
      <w:r>
        <w:rPr>
          <w:b/>
          <w:bCs/>
        </w:rPr>
        <w:t xml:space="preserve">Prévention et Gestion des Effets Indésirables :</w:t>
      </w:r>
      <w:r>
        <w:t xml:space="preserve"> </w:t>
      </w:r>
      <w:r>
        <w:t xml:space="preserve">- Mesures Préventives : désormais sans objet (produit retiré). Historiquement : prescription stricte de 3 jours, ordonnance sécurisée, surveillance ECG en cas de pathologie cardiaque, dosage potassique.</w:t>
      </w:r>
      <w:r>
        <w:t xml:space="preserve"> </w:t>
      </w:r>
      <w:r>
        <w:t xml:space="preserve">- Conduite à Tenir en cas d’intoxication accidentelle ou volontaire (encore possible via stocks domestiques périmés) : hospitalisation en urgence en réanimation, ECG continu, ventilation mécanique si dépression respiratoire. Antidote opioïde : naloxone 0,4 mg IV/IM à renouveler (mais naloxon inefficient sur la cardiotoxicité propre du norpropoxyphène). Traitement cardiotoxique : bicarbonate de sodium 1,4 % IV pour alcalinisation sanguine (pH 7,45–7,55) — qui facilite la dissociation du dextropropoxyphène des canaux sodiques ; sulfate de magnésium IV ou isoprénaline en cas de torsades de pointe ; entraînement électrosystolique externe ou pace-maker transveineux en cas de bloc AV complet. N-acétylcystéine IV selon protocole Prescott si paracétamol &gt; 150 mg/kg ou &gt; 10 g adulte.</w:t>
      </w:r>
    </w:p>
    <w:p>
      <w:pPr>
        <w:pStyle w:val="BodyText"/>
      </w:pPr>
      <w:r>
        <w:rPr>
          <w:b/>
          <w:bCs/>
        </w:rPr>
        <w:t xml:space="preserve">Interactions Importantes :</w:t>
      </w:r>
      <w:r>
        <w:t xml:space="preserve"> </w:t>
      </w:r>
      <w:r>
        <w:t xml:space="preserve">- Dextropropoxyphène + alcool, autres opioïdes, benzodiazépines, barbituriques, antihistaminiques H1 sédatifs : dépression respiratoire additive, risque létal majoré.</w:t>
      </w:r>
      <w:r>
        <w:t xml:space="preserve"> </w:t>
      </w:r>
      <w:r>
        <w:t xml:space="preserve">- Dextropropoxyphène + IMAO : potentialisation opioïde sévère.</w:t>
      </w:r>
      <w:r>
        <w:t xml:space="preserve"> </w:t>
      </w:r>
      <w:r>
        <w:t xml:space="preserve">- Dextropropoxyphène + antiarythmiques Ia (quinidine, disopyramide, procainamide), Ic (flécaïnide, propafénone), III (amiodarone, sotalol), antibiotiques allongeant le QT (macrolides, fluoroquinolones), antifongiques azolés : synergie sur allongement du QT → torsades de pointe.</w:t>
      </w:r>
      <w:r>
        <w:t xml:space="preserve"> </w:t>
      </w:r>
      <w:r>
        <w:t xml:space="preserve">- Dextropropoxyphène + carbamazépine, phénytoïne : induction du CYP3A4, baisse d’efficacité.</w:t>
      </w:r>
      <w:r>
        <w:t xml:space="preserve"> </w:t>
      </w:r>
      <w:r>
        <w:t xml:space="preserve">- Dextropropoxyphène + antidépresseurs tricycliques : potentialisation des effets cardiotoxiques.</w:t>
      </w:r>
      <w:r>
        <w:t xml:space="preserve"> </w:t>
      </w:r>
      <w:r>
        <w:t xml:space="preserve">- Paracétamol + warfarine : majoration INR.</w:t>
      </w:r>
    </w:p>
    <w:p>
      <w:pPr>
        <w:pStyle w:val="BodyText"/>
      </w:pPr>
      <w:r>
        <w:rPr>
          <w:b/>
          <w:bCs/>
        </w:rPr>
        <w:t xml:space="preserve">Grossesse et Allaitement :</w:t>
      </w:r>
      <w:r>
        <w:t xml:space="preserve"> </w:t>
      </w:r>
      <w:r>
        <w:t xml:space="preserve">- Grossesse : ancien usage ponctuel possible aux 1er et 2e trimestres ; CI absolue au 3e trimestre (syndrome de sevrage néonatal, dépression respiratoire néonatale).</w:t>
      </w:r>
      <w:r>
        <w:t xml:space="preserve"> </w:t>
      </w:r>
      <w:r>
        <w:t xml:space="preserve">- Allaitement : CI absolue (passage dans le lait, cas de dépression respiratoire néonatale publiés).</w:t>
      </w:r>
      <w:r>
        <w:t xml:space="preserve"> </w:t>
      </w:r>
      <w:r>
        <w:t xml:space="preserve">- Précisions : aujourd’hui sans objet (produit retiré).</w:t>
      </w:r>
    </w:p>
    <w:p>
      <w:pPr>
        <w:pStyle w:val="BodyText"/>
      </w:pPr>
      <w:r>
        <w:rPr>
          <w:b/>
          <w:bCs/>
        </w:rPr>
        <w:t xml:space="preserve">Posologie et Mode d’administration (Historique, à titre informatif) :</w:t>
      </w:r>
      <w:r>
        <w:t xml:space="preserve"> </w:t>
      </w:r>
      <w:r>
        <w:t xml:space="preserve">- Adulte : 1 gélule à renouveler toutes les 6 heures, maximum 6 gélules par 24 heures (soit paracétamol 2400 mg/jour, dextropropoxyphène 180 mg/jour).</w:t>
      </w:r>
      <w:r>
        <w:t xml:space="preserve"> </w:t>
      </w:r>
      <w:r>
        <w:t xml:space="preserve">- Sujet âgé : dose réduite de moitié, surveillance ECG.</w:t>
      </w:r>
      <w:r>
        <w:t xml:space="preserve"> </w:t>
      </w:r>
      <w:r>
        <w:t xml:space="preserve">- Durée : historiquement 3 jours maximum sans avis médical.</w:t>
      </w:r>
      <w:r>
        <w:t xml:space="preserve"> </w:t>
      </w:r>
      <w:r>
        <w:t xml:space="preserve">- Moment de prise : pendant les repas.</w:t>
      </w:r>
    </w:p>
    <w:p>
      <w:pPr>
        <w:pStyle w:val="BodyText"/>
      </w:pPr>
      <w:r>
        <w:rPr>
          <w:b/>
          <w:bCs/>
        </w:rPr>
        <w:t xml:space="preserve">Arbitrage et Bénéfices des Formes Galéniques :</w:t>
      </w:r>
      <w:r>
        <w:t xml:space="preserve"> </w:t>
      </w:r>
      <w:r>
        <w:t xml:space="preserve">la gélule était la forme galénique quasi exclusive (16 des 17 spécialités algériennes historiques). La forme comprimé existait pour XALGESIC (325/32,5) et DOLOGESIC (500/50). Aucune forme pédiatrique ou injectable. Aucune forme à libération prolongée.</w:t>
      </w:r>
    </w:p>
    <w:p>
      <w:pPr>
        <w:pStyle w:val="BodyText"/>
      </w:pPr>
      <w:r>
        <w:rPr>
          <w:b/>
          <w:bCs/>
        </w:rPr>
        <w:t xml:space="preserve">Instructions et Conseils au Patient (en cas de stock domestique retrouvé) :</w:t>
      </w:r>
      <w:r>
        <w:t xml:space="preserve"> </w:t>
      </w:r>
      <w:r>
        <w:t xml:space="preserve">- Communication au comptoir : si un patient se présente avec un stock domestique de Di-Antalvic® ou générique,</w:t>
      </w:r>
      <w:r>
        <w:t xml:space="preserve"> </w:t>
      </w:r>
      <w:r>
        <w:rPr>
          <w:b/>
          <w:bCs/>
        </w:rPr>
        <w:t xml:space="preserve">informer immédiatement du retrait et du danger</w:t>
      </w:r>
      <w:r>
        <w:t xml:space="preserve">, et refuser la délivrance. Récupérer les stocks pour destruction par filière sécurisée (pharmacie à usage intérieur, Omédis). Proposer une alternative thérapeutique moderne (paracétamol + codéine ou paracétamol + tramadol selon le profil).</w:t>
      </w:r>
      <w:r>
        <w:t xml:space="preserve"> </w:t>
      </w:r>
      <w:r>
        <w:t xml:space="preserve">- Mode d’utilisation pratique : à ne jamais utiliser. En cas d’ingestion accidentelle récente, orientation immédiate vers les urgences médicales (centre antipoison, SAMU 14 ou 16 en Algérie).</w:t>
      </w:r>
    </w:p>
    <w:p>
      <w:pPr>
        <w:pStyle w:val="BodyText"/>
      </w:pPr>
      <w:r>
        <w:rPr>
          <w:b/>
          <w:bCs/>
        </w:rPr>
        <w:t xml:space="preserve">Notes, Règles d’Or &amp; Pièges au Comptoir :</w:t>
      </w:r>
      <w:r>
        <w:t xml:space="preserve"> </w:t>
      </w:r>
      <w:r>
        <w:t xml:space="preserve">- Piège classique : patient présentant un stock domestique ancien de Di-Antalvic® ou générique conservé depuis le retrait de 2011 et souhaitant le renouveler ou l’utiliser. Refus obligatoire, orientation vers une alternative.</w:t>
      </w:r>
      <w:r>
        <w:t xml:space="preserve"> </w:t>
      </w:r>
      <w:r>
        <w:t xml:space="preserve">- Règle de prise : aujourd’hui sans objet. Historiquement : prescription sécurisée, durée ≤ 3 jours, surveillance ECG en cas d’antécédent cardiaque.</w:t>
      </w:r>
      <w:r>
        <w:t xml:space="preserve"> </w:t>
      </w:r>
      <w:r>
        <w:t xml:space="preserve">- Préparation et Conservation : à ne plus conserver. Stocks domestiques à rapporter en pharmacie pour destruction.</w:t>
      </w:r>
      <w:r>
        <w:t xml:space="preserve"> </w:t>
      </w:r>
      <w:r>
        <w:t xml:space="preserve">- Piège du surdosage / Substitution : en cas d’intoxication volontaire au dextropropoxyphène (tentative de suicide, rechercher les spécialités historiques dans l’entourage du patient), prise en charge en réanimation : ECG continu, naloxone IV (antidote opioïde), bicarbonate 1,4 % IV (antidote cardiotoxique), N-acétylcystéine IV (antidote paracétamol selon paracétamolémie à H+4). Létalité encore observée en Algérie via des stocks périmés dans les années 2012–2015, d’où l’importance de la récupération sécurisée des périmés en pharmacie.</w:t>
      </w:r>
    </w:p>
    <w:p>
      <w:pPr>
        <w:pStyle w:val="BodyText"/>
      </w:pPr>
      <w:r>
        <w:rPr>
          <w:b/>
          <w:bCs/>
        </w:rPr>
        <w:t xml:space="preserve">Substitution recommandée aujourd’hui :</w:t>
      </w:r>
      <w:r>
        <w:t xml:space="preserve"> </w:t>
      </w:r>
      <w:r>
        <w:t xml:space="preserve">- Pour une douleur modérée à intense : paracétamol + codéine (500/30 mg) ou paracétamol + tramadol (325/37,5 mg), selon le profil du patient.</w:t>
      </w:r>
      <w:r>
        <w:t xml:space="preserve"> </w:t>
      </w:r>
      <w:r>
        <w:t xml:space="preserve">- Pour les patients présentant un antécédent de pharmacodépendance au dextropropoxyphène : prise en charge spécialisée en addictologie, sevrage progressif par buprénorphine ou méthadone selon les protocoles, accompagnement psychiatrique.</w:t>
      </w:r>
    </w:p>
    <w:p>
      <w:r>
        <w:pict>
          <v:rect style="width:0;height:1.5pt" o:hralign="center" o:hrstd="t" o:hr="t"/>
        </w:pict>
      </w:r>
    </w:p>
    <w:bookmarkEnd w:id="79"/>
    <w:bookmarkEnd w:id="80"/>
    <w:bookmarkStart w:id="81" w:name="X242d3477ad1e9cdba090284eebe5035823e17e0"/>
    <w:p>
      <w:pPr>
        <w:pStyle w:val="Heading2"/>
      </w:pPr>
      <w:r>
        <w:t xml:space="preserve">Tableau Comparatif des Associations Antalgiques Palier I-II</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Association</w:t>
            </w:r>
          </w:p>
        </w:tc>
        <w:tc>
          <w:tcPr/>
          <w:p>
            <w:pPr>
              <w:pStyle w:val="Compact"/>
              <w:jc w:val="left"/>
            </w:pPr>
            <w:r>
              <w:t xml:space="preserve">Composants</w:t>
            </w:r>
          </w:p>
        </w:tc>
        <w:tc>
          <w:tcPr/>
          <w:p>
            <w:pPr>
              <w:pStyle w:val="Compact"/>
              <w:jc w:val="left"/>
            </w:pPr>
            <w:r>
              <w:t xml:space="preserve">Indications principales</w:t>
            </w:r>
          </w:p>
        </w:tc>
        <w:tc>
          <w:tcPr/>
          <w:p>
            <w:pPr>
              <w:pStyle w:val="Compact"/>
              <w:jc w:val="left"/>
            </w:pPr>
            <w:r>
              <w:t xml:space="preserve">Posologie adulte standard</w:t>
            </w:r>
          </w:p>
        </w:tc>
        <w:tc>
          <w:tcPr/>
          <w:p>
            <w:pPr>
              <w:pStyle w:val="Compact"/>
              <w:jc w:val="left"/>
            </w:pPr>
            <w:r>
              <w:t xml:space="preserve">Effet indésirable majeur</w:t>
            </w:r>
          </w:p>
        </w:tc>
        <w:tc>
          <w:tcPr/>
          <w:p>
            <w:pPr>
              <w:pStyle w:val="Compact"/>
              <w:jc w:val="left"/>
            </w:pPr>
            <w:r>
              <w:t xml:space="preserve">Contre-indications majeures</w:t>
            </w:r>
          </w:p>
        </w:tc>
        <w:tc>
          <w:tcPr/>
          <w:p>
            <w:pPr>
              <w:pStyle w:val="Compact"/>
              <w:jc w:val="left"/>
            </w:pPr>
            <w:r>
              <w:t xml:space="preserve">Grossesse / Allaitement</w:t>
            </w:r>
          </w:p>
        </w:tc>
      </w:tr>
      <w:tr>
        <w:tc>
          <w:tcPr/>
          <w:p>
            <w:pPr>
              <w:pStyle w:val="Compact"/>
              <w:jc w:val="left"/>
            </w:pPr>
            <w:r>
              <w:rPr>
                <w:b/>
                <w:bCs/>
              </w:rPr>
              <w:t xml:space="preserve">Paracétamol + Antihistaminique ± Vasoconstricteur</w:t>
            </w:r>
            <w:r>
              <w:t xml:space="preserve"> </w:t>
            </w:r>
            <w:r>
              <w:t xml:space="preserve">(associations du rhume — hors nomenclature algérienne active 2026)</w:t>
            </w:r>
          </w:p>
        </w:tc>
        <w:tc>
          <w:tcPr/>
          <w:p>
            <w:pPr>
              <w:pStyle w:val="Compact"/>
              <w:jc w:val="left"/>
            </w:pPr>
            <w:r>
              <w:t xml:space="preserve">Paracétamol 500 mg + Chlorphénamine 4 mg ± Pseudoéphédrine 30 mg</w:t>
            </w:r>
          </w:p>
        </w:tc>
        <w:tc>
          <w:tcPr/>
          <w:p>
            <w:pPr>
              <w:pStyle w:val="Compact"/>
              <w:jc w:val="left"/>
            </w:pPr>
            <w:r>
              <w:t xml:space="preserve">Rhinite aiguë virale, coryza, syndrome pseudo-grippal</w:t>
            </w:r>
          </w:p>
        </w:tc>
        <w:tc>
          <w:tcPr/>
          <w:p>
            <w:pPr>
              <w:pStyle w:val="Compact"/>
              <w:jc w:val="left"/>
            </w:pPr>
            <w:r>
              <w:t xml:space="preserve">1 cp/sachet × 3-4/j, max 3 jours</w:t>
            </w:r>
          </w:p>
        </w:tc>
        <w:tc>
          <w:tcPr/>
          <w:p>
            <w:pPr>
              <w:pStyle w:val="Compact"/>
              <w:jc w:val="left"/>
            </w:pPr>
            <w:r>
              <w:t xml:space="preserve">Sédation, HTA par vasoconstricteur, rétention urinaire</w:t>
            </w:r>
          </w:p>
        </w:tc>
        <w:tc>
          <w:tcPr/>
          <w:p>
            <w:pPr>
              <w:pStyle w:val="Compact"/>
              <w:jc w:val="left"/>
            </w:pPr>
            <w:r>
              <w:t xml:space="preserve">HTA, glaucome, adénome prostate, enfant &lt; 15 ans, allaitement</w:t>
            </w:r>
          </w:p>
        </w:tc>
        <w:tc>
          <w:tcPr/>
          <w:p>
            <w:pPr>
              <w:pStyle w:val="Compact"/>
              <w:jc w:val="left"/>
            </w:pPr>
            <w:r>
              <w:t xml:space="preserve">CI vasoconstricteur T3 et allaitement ; paracétamol seul autorisé</w:t>
            </w:r>
          </w:p>
        </w:tc>
      </w:tr>
      <w:tr>
        <w:tc>
          <w:tcPr/>
          <w:p>
            <w:pPr>
              <w:pStyle w:val="Compact"/>
              <w:jc w:val="left"/>
            </w:pPr>
            <w:r>
              <w:rPr>
                <w:b/>
                <w:bCs/>
              </w:rPr>
              <w:t xml:space="preserve">Paracétamol + Ibuprofène</w:t>
            </w:r>
          </w:p>
        </w:tc>
        <w:tc>
          <w:tcPr/>
          <w:p>
            <w:pPr>
              <w:pStyle w:val="Compact"/>
              <w:jc w:val="left"/>
            </w:pPr>
            <w:r>
              <w:t xml:space="preserve">Paracétamol 400-500 mg + Ibuprofène 200 mg (DOLISED, APAP IBUPROFENE BEKER)</w:t>
            </w:r>
          </w:p>
        </w:tc>
        <w:tc>
          <w:tcPr/>
          <w:p>
            <w:pPr>
              <w:pStyle w:val="Compact"/>
              <w:jc w:val="left"/>
            </w:pPr>
            <w:r>
              <w:t xml:space="preserve">Douleur inflammatoire modérée (dysménorrhée, dentaire, lombalgie)</w:t>
            </w:r>
          </w:p>
        </w:tc>
        <w:tc>
          <w:tcPr/>
          <w:p>
            <w:pPr>
              <w:pStyle w:val="Compact"/>
              <w:jc w:val="left"/>
            </w:pPr>
            <w:r>
              <w:t xml:space="preserve">1 cp × 3-4/j, max 6 cp/24h (≤ 3 jours)</w:t>
            </w:r>
          </w:p>
        </w:tc>
        <w:tc>
          <w:tcPr/>
          <w:p>
            <w:pPr>
              <w:pStyle w:val="Compact"/>
              <w:jc w:val="left"/>
            </w:pPr>
            <w:r>
              <w:t xml:space="preserve">Gastrite, IRA, HTA, hépatotoxicité paracétamol</w:t>
            </w:r>
          </w:p>
        </w:tc>
        <w:tc>
          <w:tcPr/>
          <w:p>
            <w:pPr>
              <w:pStyle w:val="Compact"/>
              <w:jc w:val="left"/>
            </w:pPr>
            <w:r>
              <w:t xml:space="preserve">Ulcère évolutif, IRC sévère, T3 grossesse, association AINS</w:t>
            </w:r>
          </w:p>
        </w:tc>
        <w:tc>
          <w:tcPr/>
          <w:p>
            <w:pPr>
              <w:pStyle w:val="Compact"/>
              <w:jc w:val="left"/>
            </w:pPr>
            <w:r>
              <w:t xml:space="preserve">Ibuprofène : OK T1-T2 court terme, CI T3 ; allaitement compatible</w:t>
            </w:r>
          </w:p>
        </w:tc>
      </w:tr>
      <w:tr>
        <w:tc>
          <w:tcPr/>
          <w:p>
            <w:pPr>
              <w:pStyle w:val="Compact"/>
              <w:jc w:val="left"/>
            </w:pPr>
            <w:r>
              <w:rPr>
                <w:b/>
                <w:bCs/>
              </w:rPr>
              <w:t xml:space="preserve">Paracétamol + Prifinium</w:t>
            </w:r>
          </w:p>
        </w:tc>
        <w:tc>
          <w:tcPr/>
          <w:p>
            <w:pPr>
              <w:pStyle w:val="Compact"/>
              <w:jc w:val="left"/>
            </w:pPr>
            <w:r>
              <w:t xml:space="preserve">Prifinium 30 mg + Paracétamol 325 mg (RIABAL COMPOUND, NR)</w:t>
            </w:r>
          </w:p>
        </w:tc>
        <w:tc>
          <w:tcPr/>
          <w:p>
            <w:pPr>
              <w:pStyle w:val="Compact"/>
              <w:jc w:val="left"/>
            </w:pPr>
            <w:r>
              <w:t xml:space="preserve">Coliques néphrétiques, hépatiques, dysménorrhée, spasmes digestifs</w:t>
            </w:r>
          </w:p>
        </w:tc>
        <w:tc>
          <w:tcPr/>
          <w:p>
            <w:pPr>
              <w:pStyle w:val="Compact"/>
              <w:jc w:val="left"/>
            </w:pPr>
            <w:r>
              <w:t xml:space="preserve">1-2 cp × 3/j, max 6 cp/24h (≤ 5 jours)</w:t>
            </w:r>
          </w:p>
        </w:tc>
        <w:tc>
          <w:tcPr/>
          <w:p>
            <w:pPr>
              <w:pStyle w:val="Compact"/>
              <w:jc w:val="left"/>
            </w:pPr>
            <w:r>
              <w:t xml:space="preserve">Sécheresse buccale, rétention urinaire, constipation, tachycardie</w:t>
            </w:r>
          </w:p>
        </w:tc>
        <w:tc>
          <w:tcPr/>
          <w:p>
            <w:pPr>
              <w:pStyle w:val="Compact"/>
              <w:jc w:val="left"/>
            </w:pPr>
            <w:r>
              <w:t xml:space="preserve">Glaucome à angle fermé, adénome prostate, mégacôlon</w:t>
            </w:r>
          </w:p>
        </w:tc>
        <w:tc>
          <w:tcPr/>
          <w:p>
            <w:pPr>
              <w:pStyle w:val="Compact"/>
              <w:jc w:val="left"/>
            </w:pPr>
            <w:r>
              <w:t xml:space="preserve">Prudence : prifinium à éviter T1 et T3 ; paracétamol OK</w:t>
            </w:r>
          </w:p>
        </w:tc>
      </w:tr>
      <w:tr>
        <w:tc>
          <w:tcPr/>
          <w:p>
            <w:pPr>
              <w:pStyle w:val="Compact"/>
              <w:jc w:val="left"/>
            </w:pPr>
            <w:r>
              <w:rPr>
                <w:b/>
                <w:bCs/>
              </w:rPr>
              <w:t xml:space="preserve">Paracétamol + Codéine</w:t>
            </w:r>
          </w:p>
        </w:tc>
        <w:tc>
          <w:tcPr/>
          <w:p>
            <w:pPr>
              <w:pStyle w:val="Compact"/>
              <w:jc w:val="left"/>
            </w:pPr>
            <w:r>
              <w:t xml:space="preserve">Paracétamol 400-500 mg + Codéine 20-30 mg ± caféine (12 marques actives algériennes)</w:t>
            </w:r>
          </w:p>
        </w:tc>
        <w:tc>
          <w:tcPr/>
          <w:p>
            <w:pPr>
              <w:pStyle w:val="Compact"/>
              <w:jc w:val="left"/>
            </w:pPr>
            <w:r>
              <w:t xml:space="preserve">Douleur modérée à intense post-opératoire, traumatique, oncologique modérée, colique néphrétique</w:t>
            </w:r>
          </w:p>
        </w:tc>
        <w:tc>
          <w:tcPr/>
          <w:p>
            <w:pPr>
              <w:pStyle w:val="Compact"/>
              <w:jc w:val="left"/>
            </w:pPr>
            <w:r>
              <w:t xml:space="preserve">1-2 cp × 3-4/j, max 6-8 cp/24h selon dosage (≤ 3-5 jours)</w:t>
            </w:r>
          </w:p>
        </w:tc>
        <w:tc>
          <w:tcPr/>
          <w:p>
            <w:pPr>
              <w:pStyle w:val="Compact"/>
              <w:jc w:val="left"/>
            </w:pPr>
            <w:r>
              <w:t xml:space="preserve">Nausées, constipation, sédation, dépression respiratoire, dépendance</w:t>
            </w:r>
          </w:p>
        </w:tc>
        <w:tc>
          <w:tcPr/>
          <w:p>
            <w:pPr>
              <w:pStyle w:val="Compact"/>
              <w:jc w:val="left"/>
            </w:pPr>
            <w:r>
              <w:t xml:space="preserve">Insuffisance respiratoire, enfant &lt; 12 ans, allaitement, épilepsie non contrôlée</w:t>
            </w:r>
          </w:p>
        </w:tc>
        <w:tc>
          <w:tcPr/>
          <w:p>
            <w:pPr>
              <w:pStyle w:val="Compact"/>
              <w:jc w:val="left"/>
            </w:pPr>
            <w:r>
              <w:t xml:space="preserve">CI absolue T3 (sevrage néonatal) et allaitement (UM CYP2D6)</w:t>
            </w:r>
          </w:p>
        </w:tc>
      </w:tr>
      <w:tr>
        <w:tc>
          <w:tcPr/>
          <w:p>
            <w:pPr>
              <w:pStyle w:val="Compact"/>
              <w:jc w:val="left"/>
            </w:pPr>
            <w:r>
              <w:rPr>
                <w:b/>
                <w:bCs/>
              </w:rPr>
              <w:t xml:space="preserve">Paracétamol + Tramadol</w:t>
            </w:r>
          </w:p>
        </w:tc>
        <w:tc>
          <w:tcPr/>
          <w:p>
            <w:pPr>
              <w:pStyle w:val="Compact"/>
              <w:jc w:val="left"/>
            </w:pPr>
            <w:r>
              <w:t xml:space="preserve">Paracétamol 325 mg + Tramadol 37,5 mg (12 marques actives algériennes)</w:t>
            </w:r>
          </w:p>
        </w:tc>
        <w:tc>
          <w:tcPr/>
          <w:p>
            <w:pPr>
              <w:pStyle w:val="Compact"/>
              <w:jc w:val="left"/>
            </w:pPr>
            <w:r>
              <w:t xml:space="preserve">Douleur modérée à intense, composante neuropathique, alternative à la codéine</w:t>
            </w:r>
          </w:p>
        </w:tc>
        <w:tc>
          <w:tcPr/>
          <w:p>
            <w:pPr>
              <w:pStyle w:val="Compact"/>
              <w:jc w:val="left"/>
            </w:pPr>
            <w:r>
              <w:t xml:space="preserve">1-2 cp × 3-4/j, max 8 cp/24h (≤ 3-5 jours aigu)</w:t>
            </w:r>
          </w:p>
        </w:tc>
        <w:tc>
          <w:tcPr/>
          <w:p>
            <w:pPr>
              <w:pStyle w:val="Compact"/>
              <w:jc w:val="left"/>
            </w:pPr>
            <w:r>
              <w:t xml:space="preserve">Convulsions, syndrome sérotoninergique, nausées, somnolence</w:t>
            </w:r>
          </w:p>
        </w:tc>
        <w:tc>
          <w:tcPr/>
          <w:p>
            <w:pPr>
              <w:pStyle w:val="Compact"/>
              <w:jc w:val="left"/>
            </w:pPr>
            <w:r>
              <w:t xml:space="preserve">IMAO, IRS, épilepsie non contrôlée, enfant &lt; 12 ans, allaitement</w:t>
            </w:r>
          </w:p>
        </w:tc>
        <w:tc>
          <w:tcPr/>
          <w:p>
            <w:pPr>
              <w:pStyle w:val="Compact"/>
              <w:jc w:val="left"/>
            </w:pPr>
            <w:r>
              <w:t xml:space="preserve">CI absolue T3 (sevrage néonatal) ; allaitement déconseillé</w:t>
            </w:r>
          </w:p>
        </w:tc>
      </w:tr>
      <w:tr>
        <w:tc>
          <w:tcPr/>
          <w:p>
            <w:pPr>
              <w:pStyle w:val="Compact"/>
              <w:jc w:val="left"/>
            </w:pPr>
            <w:r>
              <w:rPr>
                <w:b/>
                <w:bCs/>
              </w:rPr>
              <w:t xml:space="preserve">Paracétamol + Dextropropoxyphène</w:t>
            </w:r>
            <w:r>
              <w:t xml:space="preserve"> </w:t>
            </w:r>
            <w:r>
              <w:t xml:space="preserve">(R)</w:t>
            </w:r>
          </w:p>
        </w:tc>
        <w:tc>
          <w:tcPr/>
          <w:p>
            <w:pPr>
              <w:pStyle w:val="Compact"/>
              <w:jc w:val="left"/>
            </w:pPr>
            <w:r>
              <w:t xml:space="preserve">Paracétamol 325-500 mg + Dextropropoxyphène 30-50 mg (16 marques retirées algériennes)</w:t>
            </w:r>
          </w:p>
        </w:tc>
        <w:tc>
          <w:tcPr/>
          <w:p>
            <w:pPr>
              <w:pStyle w:val="Compact"/>
              <w:jc w:val="left"/>
            </w:pPr>
            <w:r>
              <w:t xml:space="preserve">Anciennes : douleur modérée (obsolète)</w:t>
            </w:r>
          </w:p>
        </w:tc>
        <w:tc>
          <w:tcPr/>
          <w:p>
            <w:pPr>
              <w:pStyle w:val="Compact"/>
              <w:jc w:val="left"/>
            </w:pPr>
            <w:r>
              <w:t xml:space="preserve">Historique : 1 gélule × 4-6/j, max 6/24h</w:t>
            </w:r>
          </w:p>
        </w:tc>
        <w:tc>
          <w:tcPr/>
          <w:p>
            <w:pPr>
              <w:pStyle w:val="Compact"/>
              <w:jc w:val="left"/>
            </w:pPr>
            <w:r>
              <w:rPr>
                <w:b/>
                <w:bCs/>
              </w:rPr>
              <w:t xml:space="preserve">Cardiotoxicité létale en surdosage</w:t>
            </w:r>
            <w:r>
              <w:t xml:space="preserve"> </w:t>
            </w:r>
            <w:r>
              <w:t xml:space="preserve">(QT long, torsades, FV), dépendance</w:t>
            </w:r>
          </w:p>
        </w:tc>
        <w:tc>
          <w:tcPr/>
          <w:p>
            <w:pPr>
              <w:pStyle w:val="Compact"/>
              <w:jc w:val="left"/>
            </w:pPr>
            <w:r>
              <w:t xml:space="preserve">Troubles du rythme, hypokaliémie, association allongeant QT</w:t>
            </w:r>
          </w:p>
        </w:tc>
        <w:tc>
          <w:tcPr/>
          <w:p>
            <w:pPr>
              <w:pStyle w:val="Compact"/>
              <w:jc w:val="left"/>
            </w:pPr>
            <w:r>
              <w:t xml:space="preserve">CI absolue T3 et allaitement</w:t>
            </w:r>
          </w:p>
        </w:tc>
      </w:tr>
    </w:tbl>
    <w:p>
      <w:r>
        <w:pict>
          <v:rect style="width:0;height:1.5pt" o:hralign="center" o:hrstd="t" o:hr="t"/>
        </w:pict>
      </w:r>
    </w:p>
    <w:bookmarkEnd w:id="81"/>
    <w:bookmarkStart w:id="86" w:name="X552f987437c15ae2db96976fd0367ce6d6e7b3a"/>
    <w:p>
      <w:pPr>
        <w:pStyle w:val="Heading2"/>
      </w:pPr>
      <w:r>
        <w:t xml:space="preserve">Récapitulatif et Règles de Bon Usage des Associations Antalgiques Palier I-II en Algérie</w:t>
      </w:r>
    </w:p>
    <w:bookmarkStart w:id="82" w:name="hiérarchie-de-prescription"/>
    <w:p>
      <w:pPr>
        <w:pStyle w:val="Heading3"/>
      </w:pPr>
      <w:r>
        <w:t xml:space="preserve">1. Hiérarchie de prescription</w:t>
      </w:r>
    </w:p>
    <w:p>
      <w:pPr>
        <w:pStyle w:val="FirstParagraph"/>
      </w:pPr>
      <w:r>
        <w:t xml:space="preserve">Pour une douleur modérée à intense aiguë, l’algorithme thérapeutique recommandé en Algérie est :</w:t>
      </w:r>
      <w:r>
        <w:t xml:space="preserve"> </w:t>
      </w:r>
      <w:r>
        <w:t xml:space="preserve">1.</w:t>
      </w:r>
      <w:r>
        <w:t xml:space="preserve"> </w:t>
      </w:r>
      <w:r>
        <w:rPr>
          <w:b/>
          <w:bCs/>
        </w:rPr>
        <w:t xml:space="preserve">Palier I isolé</w:t>
      </w:r>
      <w:r>
        <w:t xml:space="preserve"> </w:t>
      </w:r>
      <w:r>
        <w:t xml:space="preserve">: paracétamol 1 g × 3-4/j ± ibuprofène 400 mg × 3/j (sous réserve de CI AINS).</w:t>
      </w:r>
      <w:r>
        <w:t xml:space="preserve"> </w:t>
      </w:r>
      <w:r>
        <w:t xml:space="preserve">2.</w:t>
      </w:r>
      <w:r>
        <w:t xml:space="preserve"> </w:t>
      </w:r>
      <w:r>
        <w:rPr>
          <w:b/>
          <w:bCs/>
        </w:rPr>
        <w:t xml:space="preserve">Palier I combiné</w:t>
      </w:r>
      <w:r>
        <w:t xml:space="preserve"> </w:t>
      </w:r>
      <w:r>
        <w:t xml:space="preserve">: paracétamol + ibuprofène (DOLISED, APAP IBUPROFENE BEKER) en cas de composante inflammatoire.</w:t>
      </w:r>
      <w:r>
        <w:t xml:space="preserve"> </w:t>
      </w:r>
      <w:r>
        <w:t xml:space="preserve">3.</w:t>
      </w:r>
      <w:r>
        <w:t xml:space="preserve"> </w:t>
      </w:r>
      <w:r>
        <w:rPr>
          <w:b/>
          <w:bCs/>
        </w:rPr>
        <w:t xml:space="preserve">Palier II OMS</w:t>
      </w:r>
      <w:r>
        <w:t xml:space="preserve"> </w:t>
      </w:r>
      <w:r>
        <w:t xml:space="preserve">: paracétamol + codéine (1ère intention) OU paracétamol + tramadol (alternative si CI codéine, allaitement du paracétamol seul, composante neuropathique).</w:t>
      </w:r>
      <w:r>
        <w:t xml:space="preserve"> </w:t>
      </w:r>
      <w:r>
        <w:t xml:space="preserve">4.</w:t>
      </w:r>
      <w:r>
        <w:t xml:space="preserve"> </w:t>
      </w:r>
      <w:r>
        <w:rPr>
          <w:b/>
          <w:bCs/>
        </w:rPr>
        <w:t xml:space="preserve">Palier III</w:t>
      </w:r>
      <w:r>
        <w:t xml:space="preserve"> </w:t>
      </w:r>
      <w:r>
        <w:t xml:space="preserve">: morphine orale immédiate en cas d’échec du palier II après réévaluation médicale.</w:t>
      </w:r>
    </w:p>
    <w:bookmarkEnd w:id="82"/>
    <w:bookmarkStart w:id="83" w:name="précautions-communes"/>
    <w:p>
      <w:pPr>
        <w:pStyle w:val="Heading3"/>
      </w:pPr>
      <w:r>
        <w:t xml:space="preserve">2. Précautions communes</w:t>
      </w:r>
    </w:p>
    <w:p>
      <w:pPr>
        <w:pStyle w:val="Compact"/>
        <w:numPr>
          <w:ilvl w:val="0"/>
          <w:numId w:val="1023"/>
        </w:numPr>
      </w:pPr>
      <w:r>
        <w:rPr>
          <w:b/>
          <w:bCs/>
        </w:rPr>
        <w:t xml:space="preserve">Respect de la dose maximale de paracétamol</w:t>
      </w:r>
      <w:r>
        <w:t xml:space="preserve"> </w:t>
      </w:r>
      <w:r>
        <w:t xml:space="preserve">: 4 g/j adulte sain, 3 g/j sujet âgé ou &lt; 50 kg, 2-3 g/j insuffisant hépatique ou alcoolique.</w:t>
      </w:r>
    </w:p>
    <w:p>
      <w:pPr>
        <w:pStyle w:val="Compact"/>
        <w:numPr>
          <w:ilvl w:val="0"/>
          <w:numId w:val="1023"/>
        </w:numPr>
      </w:pPr>
      <w:r>
        <w:rPr>
          <w:b/>
          <w:bCs/>
        </w:rPr>
        <w:t xml:space="preserve">Recherche systématique de cumul</w:t>
      </w:r>
      <w:r>
        <w:t xml:space="preserve"> </w:t>
      </w:r>
      <w:r>
        <w:t xml:space="preserve">: le patient prend-il déjà un autre antalgique (palier I ou II), un antitussif opioïde (codéine sirop, dextrométhorphane), un antidiarrhéique opioïde (lopéramide) ?</w:t>
      </w:r>
    </w:p>
    <w:p>
      <w:pPr>
        <w:pStyle w:val="Compact"/>
        <w:numPr>
          <w:ilvl w:val="0"/>
          <w:numId w:val="1023"/>
        </w:numPr>
      </w:pPr>
      <w:r>
        <w:rPr>
          <w:b/>
          <w:bCs/>
        </w:rPr>
        <w:t xml:space="preserve">Dépistage des interactions médicamenteuses</w:t>
      </w:r>
      <w:r>
        <w:t xml:space="preserve"> </w:t>
      </w:r>
      <w:r>
        <w:t xml:space="preserve">: AVK, antidépresseurs (IRS surtout pour le tramadol), IMAO, IEC/ARA2 + diurétique (triple whammy pour AINS), carbamazépine.</w:t>
      </w:r>
    </w:p>
    <w:p>
      <w:pPr>
        <w:pStyle w:val="Compact"/>
        <w:numPr>
          <w:ilvl w:val="0"/>
          <w:numId w:val="1023"/>
        </w:numPr>
      </w:pPr>
      <w:r>
        <w:rPr>
          <w:b/>
          <w:bCs/>
        </w:rPr>
        <w:t xml:space="preserve">Durée limitée</w:t>
      </w:r>
      <w:r>
        <w:t xml:space="preserve"> </w:t>
      </w:r>
      <w:r>
        <w:t xml:space="preserve">: 3 à 5 jours sans réévaluation médicale pour les paliers II, 3 jours pour AINS, 5 jours pour antispasmodiques.</w:t>
      </w:r>
    </w:p>
    <w:bookmarkEnd w:id="83"/>
    <w:bookmarkStart w:id="84" w:name="populations-particulières"/>
    <w:p>
      <w:pPr>
        <w:pStyle w:val="Heading3"/>
      </w:pPr>
      <w:r>
        <w:t xml:space="preserve">3. Populations particulières</w:t>
      </w:r>
    </w:p>
    <w:p>
      <w:pPr>
        <w:pStyle w:val="Compact"/>
        <w:numPr>
          <w:ilvl w:val="0"/>
          <w:numId w:val="1024"/>
        </w:numPr>
      </w:pPr>
      <w:r>
        <w:rPr>
          <w:b/>
          <w:bCs/>
        </w:rPr>
        <w:t xml:space="preserve">Femme enceinte T3</w:t>
      </w:r>
      <w:r>
        <w:t xml:space="preserve"> </w:t>
      </w:r>
      <w:r>
        <w:t xml:space="preserve">: CI absolue codéine, tramadol, dextropropoxyphène, ibuprofène ; préférer paracétamol isolé ou phloroglucinol (spasme).</w:t>
      </w:r>
    </w:p>
    <w:p>
      <w:pPr>
        <w:pStyle w:val="Compact"/>
        <w:numPr>
          <w:ilvl w:val="0"/>
          <w:numId w:val="1024"/>
        </w:numPr>
      </w:pPr>
      <w:r>
        <w:rPr>
          <w:b/>
          <w:bCs/>
        </w:rPr>
        <w:t xml:space="preserve">Femme allaitante</w:t>
      </w:r>
      <w:r>
        <w:t xml:space="preserve"> </w:t>
      </w:r>
      <w:r>
        <w:t xml:space="preserve">: CI absolue codéine (UM CYP2D6 → surdosage néonatal), tramadol (déconseillé), dextropropoxyphène ; paracétamol et ibuprofène sont compatibles.</w:t>
      </w:r>
    </w:p>
    <w:p>
      <w:pPr>
        <w:pStyle w:val="Compact"/>
        <w:numPr>
          <w:ilvl w:val="0"/>
          <w:numId w:val="1024"/>
        </w:numPr>
      </w:pPr>
      <w:r>
        <w:rPr>
          <w:b/>
          <w:bCs/>
        </w:rPr>
        <w:t xml:space="preserve">Enfant &lt; 12 ans</w:t>
      </w:r>
      <w:r>
        <w:t xml:space="preserve"> </w:t>
      </w:r>
      <w:r>
        <w:t xml:space="preserve">: CI codéine et tramadol ; paracétamol et ibuprofène à dose poids.</w:t>
      </w:r>
    </w:p>
    <w:p>
      <w:pPr>
        <w:pStyle w:val="Compact"/>
        <w:numPr>
          <w:ilvl w:val="0"/>
          <w:numId w:val="1024"/>
        </w:numPr>
      </w:pPr>
      <w:r>
        <w:rPr>
          <w:b/>
          <w:bCs/>
        </w:rPr>
        <w:t xml:space="preserve">Sujet âgé</w:t>
      </w:r>
      <w:r>
        <w:t xml:space="preserve"> </w:t>
      </w:r>
      <w:r>
        <w:t xml:space="preserve">: réduction posologique de moitié, surveillance de la sédation, de la fonction rénale et de la pression artérielle.</w:t>
      </w:r>
    </w:p>
    <w:p>
      <w:pPr>
        <w:pStyle w:val="Compact"/>
        <w:numPr>
          <w:ilvl w:val="0"/>
          <w:numId w:val="1024"/>
        </w:numPr>
      </w:pPr>
      <w:r>
        <w:rPr>
          <w:b/>
          <w:bCs/>
        </w:rPr>
        <w:t xml:space="preserve">Insuffisant rénal</w:t>
      </w:r>
      <w:r>
        <w:t xml:space="preserve"> </w:t>
      </w:r>
      <w:r>
        <w:t xml:space="preserve">: espacement des prises selon DFG, privilégier paracétamol.</w:t>
      </w:r>
    </w:p>
    <w:p>
      <w:pPr>
        <w:pStyle w:val="Compact"/>
        <w:numPr>
          <w:ilvl w:val="0"/>
          <w:numId w:val="1024"/>
        </w:numPr>
      </w:pPr>
      <w:r>
        <w:rPr>
          <w:b/>
          <w:bCs/>
        </w:rPr>
        <w:t xml:space="preserve">Insuffisant hépatique</w:t>
      </w:r>
      <w:r>
        <w:t xml:space="preserve"> </w:t>
      </w:r>
      <w:r>
        <w:t xml:space="preserve">: paracétamol dose réduite (2-3 g/j), CI AINS.</w:t>
      </w:r>
    </w:p>
    <w:p>
      <w:pPr>
        <w:pStyle w:val="Compact"/>
        <w:numPr>
          <w:ilvl w:val="0"/>
          <w:numId w:val="1024"/>
        </w:numPr>
      </w:pPr>
      <w:r>
        <w:rPr>
          <w:b/>
          <w:bCs/>
        </w:rPr>
        <w:t xml:space="preserve">Épileptique</w:t>
      </w:r>
      <w:r>
        <w:t xml:space="preserve"> </w:t>
      </w:r>
      <w:r>
        <w:t xml:space="preserve">: éviter tramadol (abaissement du seuil épileptogène), éviter codéine à forte dose.</w:t>
      </w:r>
    </w:p>
    <w:bookmarkEnd w:id="84"/>
    <w:bookmarkStart w:id="85" w:name="X3bcf1c16c6f565d1c6fea6ae91c14177780d9f6"/>
    <w:p>
      <w:pPr>
        <w:pStyle w:val="Heading3"/>
      </w:pPr>
      <w:r>
        <w:t xml:space="preserve">4. Mises en garde spécifiques au marché algérien</w:t>
      </w:r>
    </w:p>
    <w:p>
      <w:pPr>
        <w:pStyle w:val="Compact"/>
        <w:numPr>
          <w:ilvl w:val="0"/>
          <w:numId w:val="1025"/>
        </w:numPr>
      </w:pPr>
      <w:r>
        <w:rPr>
          <w:b/>
          <w:bCs/>
        </w:rPr>
        <w:t xml:space="preserve">Pharmacodépendance au tramadol</w:t>
      </w:r>
      <w:r>
        <w:t xml:space="preserve"> </w:t>
      </w:r>
      <w:r>
        <w:t xml:space="preserve">: problème majeur de santé publique en Algérie (cf. rapports de l’ANDS), avec détournement de formes orales pour usage récréatif. Prescription sécurisée et traçabilité renforcée.</w:t>
      </w:r>
    </w:p>
    <w:p>
      <w:pPr>
        <w:pStyle w:val="Compact"/>
        <w:numPr>
          <w:ilvl w:val="0"/>
          <w:numId w:val="1025"/>
        </w:numPr>
      </w:pPr>
      <w:r>
        <w:rPr>
          <w:b/>
          <w:bCs/>
        </w:rPr>
        <w:t xml:space="preserve">Surdosage paracétamol</w:t>
      </w:r>
      <w:r>
        <w:t xml:space="preserve"> </w:t>
      </w:r>
      <w:r>
        <w:t xml:space="preserve">: cumulative entre spécialités antalgiques, antirhumes, antitussifs, antispasmodiques. Vérifier à chaque dispensation la dose totale quotidienne.</w:t>
      </w:r>
    </w:p>
    <w:p>
      <w:pPr>
        <w:pStyle w:val="Compact"/>
        <w:numPr>
          <w:ilvl w:val="0"/>
          <w:numId w:val="1025"/>
        </w:numPr>
      </w:pPr>
      <w:r>
        <w:rPr>
          <w:b/>
          <w:bCs/>
        </w:rPr>
        <w:t xml:space="preserve">Mésusage des stocks domestiques de dextropropoxyphène</w:t>
      </w:r>
      <w:r>
        <w:t xml:space="preserve"> </w:t>
      </w:r>
      <w:r>
        <w:t xml:space="preserve">: récupération obligatoire en pharmacie pour destruction, information patient sur la cardiotoxicité létale en surdosage.</w:t>
      </w:r>
    </w:p>
    <w:p>
      <w:pPr>
        <w:pStyle w:val="Compact"/>
        <w:numPr>
          <w:ilvl w:val="0"/>
          <w:numId w:val="1025"/>
        </w:numPr>
      </w:pPr>
      <w:r>
        <w:rPr>
          <w:b/>
          <w:bCs/>
        </w:rPr>
        <w:t xml:space="preserve">Prescription aux métaboliseuses ultra-rapides CYP2D6</w:t>
      </w:r>
      <w:r>
        <w:t xml:space="preserve"> </w:t>
      </w:r>
      <w:r>
        <w:t xml:space="preserve">: prévalence élevée en Afrique du Nord ; pour codéine et tramadol, envisager une alternative chez la femme enceinte ou allaitante en l’absence de test pharmacogénétique.</w:t>
      </w:r>
    </w:p>
    <w:p>
      <w:r>
        <w:pict>
          <v:rect style="width:0;height:1.5pt" o:hralign="center" o:hrstd="t" o:hr="t"/>
        </w:pict>
      </w:r>
    </w:p>
    <w:bookmarkEnd w:id="85"/>
    <w:bookmarkEnd w:id="86"/>
    <w:bookmarkStart w:id="90" w:name="Xc179a820b36e2fbba92b765c33dc66901d756fd"/>
    <w:p>
      <w:pPr>
        <w:pStyle w:val="Heading2"/>
      </w:pPr>
      <w:r>
        <w:t xml:space="preserve">Annexe Pharmacogénétique : CYP2D6 et Associations Opioïdes Faibles en Population Nord-Africaine</w:t>
      </w:r>
    </w:p>
    <w:bookmarkStart w:id="87" w:name="polymorphisme-du-cyp2d6"/>
    <w:p>
      <w:pPr>
        <w:pStyle w:val="Heading3"/>
      </w:pPr>
      <w:r>
        <w:t xml:space="preserve">1. Polymorphisme du CYP2D6</w:t>
      </w:r>
    </w:p>
    <w:p>
      <w:pPr>
        <w:pStyle w:val="FirstParagraph"/>
      </w:pPr>
      <w:r>
        <w:t xml:space="preserve">Le cytochrome P450 2D6 (CYP2D6), localisé sur le chromosome 22q13.2, présente l’un des polymorphismes génétiques les plus marqués en pharmacogénétique clinique. Plus de 100 allèles variants ont été identifiés à ce jour, classés en quatre phénotypes métaboliseurs :</w:t>
      </w:r>
      <w:r>
        <w:t xml:space="preserve"> </w:t>
      </w:r>
      <w:r>
        <w:t xml:space="preserve">-</w:t>
      </w:r>
      <w:r>
        <w:t xml:space="preserve"> </w:t>
      </w:r>
      <w:r>
        <w:rPr>
          <w:b/>
          <w:bCs/>
        </w:rPr>
        <w:t xml:space="preserve">Métaboliseurs ultra-rapides (UM, ultra-rapid metabolizers)</w:t>
      </w:r>
      <w:r>
        <w:t xml:space="preserve"> </w:t>
      </w:r>
      <w:r>
        <w:t xml:space="preserve">: duplication ou multiplication du gène CYP2D6 (allèle</w:t>
      </w:r>
      <w:r>
        <w:t xml:space="preserve"> </w:t>
      </w:r>
      <w:r>
        <w:rPr>
          <w:i/>
          <w:iCs/>
        </w:rPr>
        <w:t xml:space="preserve">1xN,</w:t>
      </w:r>
      <w:r>
        <w:rPr>
          <w:i/>
          <w:iCs/>
        </w:rPr>
        <w:t xml:space="preserve"> </w:t>
      </w:r>
      <w:r>
        <w:t xml:space="preserve">2xN). Prévalence mondiale ~ 1–2 %, mais atteint</w:t>
      </w:r>
      <w:r>
        <w:t xml:space="preserve"> </w:t>
      </w:r>
      <w:r>
        <w:rPr>
          <w:b/>
          <w:bCs/>
        </w:rPr>
        <w:t xml:space="preserve">5–29 % en Afrique du Nord et au Moyen-Orient</w:t>
      </w:r>
      <w:r>
        <w:t xml:space="preserve"> </w:t>
      </w:r>
      <w:r>
        <w:t xml:space="preserve">(prévalence particulièrement élevée en Algérie, Égypte, Arabie Saoudite), 3 % en Europe, 1 % en Asie.</w:t>
      </w:r>
      <w:r>
        <w:t xml:space="preserve"> </w:t>
      </w:r>
      <w:r>
        <w:t xml:space="preserve">-</w:t>
      </w:r>
      <w:r>
        <w:t xml:space="preserve"> </w:t>
      </w:r>
      <w:r>
        <w:rPr>
          <w:b/>
          <w:bCs/>
        </w:rPr>
        <w:t xml:space="preserve">Métaboliseurs étendus (EM, extensive metabolizers)</w:t>
      </w:r>
      <w:r>
        <w:t xml:space="preserve"> </w:t>
      </w:r>
      <w:r>
        <w:t xml:space="preserve">: génotype sauvage fonctionnel. Prévalence 60–80 %.</w:t>
      </w:r>
      <w:r>
        <w:t xml:space="preserve"> </w:t>
      </w:r>
      <w:r>
        <w:t xml:space="preserve">-</w:t>
      </w:r>
      <w:r>
        <w:t xml:space="preserve"> </w:t>
      </w:r>
      <w:r>
        <w:rPr>
          <w:b/>
          <w:bCs/>
        </w:rPr>
        <w:t xml:space="preserve">Métaboliseurs intermédiaires (IM, intermediate metabolizers)</w:t>
      </w:r>
      <w:r>
        <w:t xml:space="preserve"> </w:t>
      </w:r>
      <w:r>
        <w:t xml:space="preserve">: un allèle réduit de fonction (</w:t>
      </w:r>
      <w:r>
        <w:rPr>
          <w:i/>
          <w:iCs/>
        </w:rPr>
        <w:t xml:space="preserve">10,</w:t>
      </w:r>
      <w:r>
        <w:rPr>
          <w:i/>
          <w:iCs/>
        </w:rPr>
        <w:t xml:space="preserve"> </w:t>
      </w:r>
      <w:r>
        <w:t xml:space="preserve">17,</w:t>
      </w:r>
      <w:r>
        <w:t xml:space="preserve"> </w:t>
      </w:r>
      <w:r>
        <w:rPr>
          <w:i/>
          <w:iCs/>
        </w:rPr>
        <w:t xml:space="preserve">41). Prévalence ~ 10–15 % (plus élevée en Asie).</w:t>
      </w:r>
      <w:r>
        <w:rPr>
          <w:i/>
          <w:iCs/>
        </w:rPr>
        <w:t xml:space="preserve"> </w:t>
      </w:r>
      <w:r>
        <w:rPr>
          <w:i/>
          <w:iCs/>
        </w:rPr>
        <w:t xml:space="preserve">-</w:t>
      </w:r>
      <w:r>
        <w:rPr>
          <w:i/>
          <w:iCs/>
        </w:rPr>
        <w:t xml:space="preserve"> </w:t>
      </w:r>
      <w:r>
        <w:rPr>
          <w:b/>
          <w:bCs/>
          <w:i/>
          <w:iCs/>
        </w:rPr>
        <w:t xml:space="preserve">Métaboliseurs lents (PM, poor metabolizers)</w:t>
      </w:r>
      <w:r>
        <w:rPr>
          <w:i/>
          <w:iCs/>
        </w:rPr>
        <w:t xml:space="preserve"> </w:t>
      </w:r>
      <w:r>
        <w:rPr>
          <w:i/>
          <w:iCs/>
        </w:rPr>
        <w:t xml:space="preserve">: deux allèles non fonctionnels (</w:t>
      </w:r>
      <w:r>
        <w:t xml:space="preserve">3,</w:t>
      </w:r>
      <w:r>
        <w:t xml:space="preserve"> </w:t>
      </w:r>
      <w:r>
        <w:rPr>
          <w:i/>
          <w:iCs/>
        </w:rPr>
        <w:t xml:space="preserve">4,</w:t>
      </w:r>
      <w:r>
        <w:rPr>
          <w:i/>
          <w:iCs/>
        </w:rPr>
        <w:t xml:space="preserve"> </w:t>
      </w:r>
      <w:r>
        <w:t xml:space="preserve">5, *6). Prévalence 5–10 % en Européens, 1 % en Asiatiques.</w:t>
      </w:r>
    </w:p>
    <w:bookmarkEnd w:id="87"/>
    <w:bookmarkStart w:id="88" w:name="Xca2a78a5c28e3c18895b29681a00c10b10efb33"/>
    <w:p>
      <w:pPr>
        <w:pStyle w:val="Heading3"/>
      </w:pPr>
      <w:r>
        <w:t xml:space="preserve">2. Conséquences cliniques pour la codéine et le tramadol</w:t>
      </w:r>
    </w:p>
    <w:p>
      <w:pPr>
        <w:pStyle w:val="FirstParagraph"/>
      </w:pPr>
      <w:r>
        <w:rPr>
          <w:b/>
          <w:bCs/>
        </w:rPr>
        <w:t xml:space="preserve">Codéine</w:t>
      </w:r>
      <w:r>
        <w:t xml:space="preserve"> </w:t>
      </w:r>
      <w:r>
        <w:t xml:space="preserve">:</w:t>
      </w:r>
      <w:r>
        <w:t xml:space="preserve"> </w:t>
      </w:r>
      <w:r>
        <w:t xml:space="preserve">-</w:t>
      </w:r>
      <w:r>
        <w:t xml:space="preserve"> </w:t>
      </w:r>
      <w:r>
        <w:rPr>
          <w:b/>
          <w:bCs/>
        </w:rPr>
        <w:t xml:space="preserve">UM CYP2D6</w:t>
      </w:r>
      <w:r>
        <w:t xml:space="preserve"> </w:t>
      </w:r>
      <w:r>
        <w:t xml:space="preserve">: conversion accrue en morphine → risque d’intoxication morphinique (dépression respiratoire, sédation sévère), particulièrement critique chez la femme enceinte en fin de grossesse (risque de surdosage fœtal) et chez la femme allaitante (risque de surdosage néonatal mortel — plusieurs cas publiés : cas de l’enfant de 13 jours, Canada 2006 ; cas de l’enfant de 6 mois, Espagne 2005). L’EMA a contre-indiqué la codéine chez l’enfant &lt; 12 ans en 2013 et chez l’enfant 12–18 ans en post-opératoire (notamment amygdalectomie) en 2015.</w:t>
      </w:r>
      <w:r>
        <w:t xml:space="preserve"> </w:t>
      </w:r>
      <w:r>
        <w:t xml:space="preserve">-</w:t>
      </w:r>
      <w:r>
        <w:t xml:space="preserve"> </w:t>
      </w:r>
      <w:r>
        <w:rPr>
          <w:b/>
          <w:bCs/>
        </w:rPr>
        <w:t xml:space="preserve">PM CYP2D6</w:t>
      </w:r>
      <w:r>
        <w:t xml:space="preserve"> </w:t>
      </w:r>
      <w:r>
        <w:t xml:space="preserve">: pas de conversion en morphine → perte d’efficacité antalgique de la codéine (effet placebo), mais effets indésirables digestifs (nausées) conservés.</w:t>
      </w:r>
    </w:p>
    <w:p>
      <w:pPr>
        <w:pStyle w:val="BodyText"/>
      </w:pPr>
      <w:r>
        <w:rPr>
          <w:b/>
          <w:bCs/>
        </w:rPr>
        <w:t xml:space="preserve">Tramadol</w:t>
      </w:r>
      <w:r>
        <w:t xml:space="preserve"> </w:t>
      </w:r>
      <w:r>
        <w:t xml:space="preserve">:</w:t>
      </w:r>
      <w:r>
        <w:t xml:space="preserve"> </w:t>
      </w:r>
      <w:r>
        <w:t xml:space="preserve">-</w:t>
      </w:r>
      <w:r>
        <w:t xml:space="preserve"> </w:t>
      </w:r>
      <w:r>
        <w:rPr>
          <w:b/>
          <w:bCs/>
        </w:rPr>
        <w:t xml:space="preserve">UM CYP2D6</w:t>
      </w:r>
      <w:r>
        <w:t xml:space="preserve"> </w:t>
      </w:r>
      <w:r>
        <w:t xml:space="preserve">: conversion accrue en M1 (O-desméthyltramadol, agoniste μ à haute affinité) → renforcement de l’effet opioïde, risque de sédation et de dépression respiratoire, en particulier chez la femme enceinte ou allaitante.</w:t>
      </w:r>
      <w:r>
        <w:t xml:space="preserve"> </w:t>
      </w:r>
      <w:r>
        <w:t xml:space="preserve">-</w:t>
      </w:r>
      <w:r>
        <w:t xml:space="preserve"> </w:t>
      </w:r>
      <w:r>
        <w:rPr>
          <w:b/>
          <w:bCs/>
        </w:rPr>
        <w:t xml:space="preserve">PM CYP2D6</w:t>
      </w:r>
      <w:r>
        <w:t xml:space="preserve"> </w:t>
      </w:r>
      <w:r>
        <w:t xml:space="preserve">: pas de conversion en M1 → perte de l’effet opioïde pur, mais conservation de l’effet monoaminergique (inhibition recapture sérotonine/noradrénaline), ce qui maintient une antalgie partielle mais avec risque accru d’effets indésirables neuropsychiatriques (syndrome sérotoninergique en cas d’association).</w:t>
      </w:r>
    </w:p>
    <w:bookmarkEnd w:id="88"/>
    <w:bookmarkStart w:id="89" w:name="recommandations-pratiques-en-algérie"/>
    <w:p>
      <w:pPr>
        <w:pStyle w:val="Heading3"/>
      </w:pPr>
      <w:r>
        <w:t xml:space="preserve">3. Recommandations pratiques en Algérie</w:t>
      </w:r>
    </w:p>
    <w:p>
      <w:pPr>
        <w:pStyle w:val="Compact"/>
        <w:numPr>
          <w:ilvl w:val="0"/>
          <w:numId w:val="1026"/>
        </w:numPr>
      </w:pPr>
      <w:r>
        <w:t xml:space="preserve">Pas de dépistage pharmacogénétique systématique du CYP2D6 en Algérie, en raison du coût et de la faible disponibilité des plateaux techniques.</w:t>
      </w:r>
    </w:p>
    <w:p>
      <w:pPr>
        <w:pStyle w:val="Compact"/>
        <w:numPr>
          <w:ilvl w:val="0"/>
          <w:numId w:val="1026"/>
        </w:numPr>
      </w:pPr>
      <w:r>
        <w:rPr>
          <w:b/>
          <w:bCs/>
        </w:rPr>
        <w:t xml:space="preserve">Recommandations de prudence</w:t>
      </w:r>
      <w:r>
        <w:t xml:space="preserve"> </w:t>
      </w:r>
      <w:r>
        <w:t xml:space="preserve">: éviter la codéine et le tramadol chez la femme enceinte au 3e trimestre et chez la femme allaitante, en l’absence de test pharmacogénétique rassurant. Antécédent familial d’incident opioïde ou d’effet indésirable sévère à la codéine/tramadol → suspecter un phénotype UM et éviter ces molécules.</w:t>
      </w:r>
    </w:p>
    <w:p>
      <w:pPr>
        <w:pStyle w:val="Compact"/>
        <w:numPr>
          <w:ilvl w:val="0"/>
          <w:numId w:val="1026"/>
        </w:numPr>
      </w:pPr>
      <w:r>
        <w:rPr>
          <w:b/>
          <w:bCs/>
        </w:rPr>
        <w:t xml:space="preserve">Recommandation pour la douleur post-opératoire chez l’enfant 12–18 ans</w:t>
      </w:r>
      <w:r>
        <w:t xml:space="preserve"> </w:t>
      </w:r>
      <w:r>
        <w:t xml:space="preserve">: paracétamol 15 mg/kg/4-6h + ibuprofène 10 mg/kg/8h (hors CI) ; en cas d’insuffisance, alternance par nalbuphine IV 0,2 mg/kg/4-6h (palier III sans prescription stupéfiante).</w:t>
      </w:r>
    </w:p>
    <w:p>
      <w:r>
        <w:pict>
          <v:rect style="width:0;height:1.5pt" o:hralign="center" o:hrstd="t" o:hr="t"/>
        </w:pict>
      </w:r>
    </w:p>
    <w:bookmarkEnd w:id="89"/>
    <w:bookmarkEnd w:id="90"/>
    <w:bookmarkStart w:id="94" w:name="Xcfe18db96bdd36b490606d5940f23cbb31f192d"/>
    <w:p>
      <w:pPr>
        <w:pStyle w:val="Heading2"/>
      </w:pPr>
      <w:r>
        <w:t xml:space="preserve">Annexe Clinique : Reconnaissance et Prise en Charge du Syndrome Sérotoninergique</w:t>
      </w:r>
    </w:p>
    <w:p>
      <w:pPr>
        <w:pStyle w:val="FirstParagraph"/>
      </w:pPr>
      <w:r>
        <w:t xml:space="preserve">Le syndrome sérotoninergique est une complication toxique potentiellement létale, résultant d’une hyperstimulation des récepteurs 5-HT (en particulier 5-HT1A et 5-HT2A) centraux et périphériques. Il survient le plus souvent en cas d’association entre deux substances pro-sérotoninergiques — notamment le tramadol avec un IRS (fluoxétine, paroxétine, sertraline, escitalopram, citalopram, venlafaxine, duloxétine, milnacipran), avec la clomipramine ou l’imipramine, ou avec un IMAO.</w:t>
      </w:r>
    </w:p>
    <w:bookmarkStart w:id="91" w:name="Xc558ccbdcfd384575940c9e29345d487870fa56"/>
    <w:p>
      <w:pPr>
        <w:pStyle w:val="Heading3"/>
      </w:pPr>
      <w:r>
        <w:t xml:space="preserve">Triade clinique (Hunter Criteria, Dunkley 2003)</w:t>
      </w:r>
    </w:p>
    <w:p>
      <w:pPr>
        <w:pStyle w:val="Compact"/>
        <w:numPr>
          <w:ilvl w:val="0"/>
          <w:numId w:val="1027"/>
        </w:numPr>
      </w:pPr>
      <w:r>
        <w:rPr>
          <w:b/>
          <w:bCs/>
        </w:rPr>
        <w:t xml:space="preserve">Tremblements et hyperréflexie</w:t>
      </w:r>
      <w:r>
        <w:t xml:space="preserve"> </w:t>
      </w:r>
      <w:r>
        <w:t xml:space="preserve">(surtout aux membres inférieurs) — signe précoce et sensible.</w:t>
      </w:r>
    </w:p>
    <w:p>
      <w:pPr>
        <w:pStyle w:val="Compact"/>
        <w:numPr>
          <w:ilvl w:val="0"/>
          <w:numId w:val="1027"/>
        </w:numPr>
      </w:pPr>
      <w:r>
        <w:rPr>
          <w:b/>
          <w:bCs/>
        </w:rPr>
        <w:t xml:space="preserve">Clonus</w:t>
      </w:r>
      <w:r>
        <w:t xml:space="preserve"> </w:t>
      </w:r>
      <w:r>
        <w:t xml:space="preserve">(induit ou spontané) — signe spécifique, en particulier clonus oculaire (mouvements verticaux saccadés).</w:t>
      </w:r>
    </w:p>
    <w:p>
      <w:pPr>
        <w:pStyle w:val="Compact"/>
        <w:numPr>
          <w:ilvl w:val="0"/>
          <w:numId w:val="1027"/>
        </w:numPr>
      </w:pPr>
      <w:r>
        <w:rPr>
          <w:b/>
          <w:bCs/>
        </w:rPr>
        <w:t xml:space="preserve">Hyperthermie</w:t>
      </w:r>
      <w:r>
        <w:t xml:space="preserve"> </w:t>
      </w:r>
      <w:r>
        <w:t xml:space="preserve">(&gt; 38,5 °C) — signe de gravité, traduisant la rigidité musculaire et la défaillance thermorégulatrice centrale.</w:t>
      </w:r>
    </w:p>
    <w:p>
      <w:pPr>
        <w:pStyle w:val="Compact"/>
        <w:numPr>
          <w:ilvl w:val="0"/>
          <w:numId w:val="1027"/>
        </w:numPr>
      </w:pPr>
      <w:r>
        <w:rPr>
          <w:b/>
          <w:bCs/>
        </w:rPr>
        <w:t xml:space="preserve">Signes associés</w:t>
      </w:r>
      <w:r>
        <w:t xml:space="preserve"> </w:t>
      </w:r>
      <w:r>
        <w:t xml:space="preserve">: agitation, confusion, mydriase, diaphorèse, tachycardie, hypertension, diarrhée, hypertonie, trismus, babinski.</w:t>
      </w:r>
    </w:p>
    <w:bookmarkEnd w:id="91"/>
    <w:bookmarkStart w:id="92" w:name="prise-en-charge"/>
    <w:p>
      <w:pPr>
        <w:pStyle w:val="Heading3"/>
      </w:pPr>
      <w:r>
        <w:t xml:space="preserve">Prise en charge</w:t>
      </w:r>
    </w:p>
    <w:p>
      <w:pPr>
        <w:pStyle w:val="Compact"/>
        <w:numPr>
          <w:ilvl w:val="0"/>
          <w:numId w:val="1028"/>
        </w:numPr>
      </w:pPr>
      <w:r>
        <w:t xml:space="preserve">Arrêt immédiat de tous les agents sérotoninergiques.</w:t>
      </w:r>
    </w:p>
    <w:p>
      <w:pPr>
        <w:pStyle w:val="Compact"/>
        <w:numPr>
          <w:ilvl w:val="0"/>
          <w:numId w:val="1028"/>
        </w:numPr>
      </w:pPr>
      <w:r>
        <w:t xml:space="preserve">Hospitalisation en réanimation si formes sévères (hyperthermie &gt; 40 °C, rigidité, insuffisance viscérale).</w:t>
      </w:r>
    </w:p>
    <w:p>
      <w:pPr>
        <w:pStyle w:val="Compact"/>
        <w:numPr>
          <w:ilvl w:val="0"/>
          <w:numId w:val="1028"/>
        </w:numPr>
      </w:pPr>
      <w:r>
        <w:t xml:space="preserve">Refroidissement externe (glace, hydrothérapie froide), hydratation IV.</w:t>
      </w:r>
    </w:p>
    <w:p>
      <w:pPr>
        <w:pStyle w:val="Compact"/>
        <w:numPr>
          <w:ilvl w:val="0"/>
          <w:numId w:val="1028"/>
        </w:numPr>
      </w:pPr>
      <w:r>
        <w:t xml:space="preserve">Benzodiazépines (diazépam 10 mg IV) pour le contrôle du clonus et de l’agitation.</w:t>
      </w:r>
    </w:p>
    <w:p>
      <w:pPr>
        <w:pStyle w:val="Compact"/>
        <w:numPr>
          <w:ilvl w:val="0"/>
          <w:numId w:val="1028"/>
        </w:numPr>
      </w:pPr>
      <w:r>
        <w:t xml:space="preserve">Cyproheptadine (Periactine®) 12 mg per os ou sonde gastrique, puis 2 mg toutes les 2 h jusqu’à 32 mg/j — antidote spécifique 5-HT2A antagoniste.</w:t>
      </w:r>
    </w:p>
    <w:p>
      <w:pPr>
        <w:pStyle w:val="Compact"/>
        <w:numPr>
          <w:ilvl w:val="0"/>
          <w:numId w:val="1028"/>
        </w:numPr>
      </w:pPr>
      <w:r>
        <w:t xml:space="preserve">Pas de paracétamol si hyperthermie centrale (inefficace, masque la sévérité).</w:t>
      </w:r>
    </w:p>
    <w:p>
      <w:pPr>
        <w:pStyle w:val="Compact"/>
        <w:numPr>
          <w:ilvl w:val="0"/>
          <w:numId w:val="1028"/>
        </w:numPr>
      </w:pPr>
      <w:r>
        <w:t xml:space="preserve">Surveillance ECG, diurèse, température.</w:t>
      </w:r>
    </w:p>
    <w:bookmarkEnd w:id="92"/>
    <w:bookmarkStart w:id="93" w:name="prévention-au-comptoir"/>
    <w:p>
      <w:pPr>
        <w:pStyle w:val="Heading3"/>
      </w:pPr>
      <w:r>
        <w:t xml:space="preserve">Prévention au comptoir</w:t>
      </w:r>
    </w:p>
    <w:p>
      <w:pPr>
        <w:pStyle w:val="Compact"/>
        <w:numPr>
          <w:ilvl w:val="0"/>
          <w:numId w:val="1029"/>
        </w:numPr>
      </w:pPr>
      <w:r>
        <w:rPr>
          <w:b/>
          <w:bCs/>
        </w:rPr>
        <w:t xml:space="preserve">Vérifier systématiquement le traitement de fond</w:t>
      </w:r>
      <w:r>
        <w:t xml:space="preserve"> </w:t>
      </w:r>
      <w:r>
        <w:t xml:space="preserve">avant de délivrer du tramadol : antidépresseurs, IMAO, triptans, péthidine, dextrométhorphane, phénylpropanolamine, sibutramine, millepertuis (Hypericum perforatum).</w:t>
      </w:r>
    </w:p>
    <w:p>
      <w:pPr>
        <w:pStyle w:val="Compact"/>
        <w:numPr>
          <w:ilvl w:val="0"/>
          <w:numId w:val="1029"/>
        </w:numPr>
      </w:pPr>
      <w:r>
        <w:t xml:space="preserve">Délai de washout : 2 semaines entre un IRS et le tramadol ; 4 semaines entre la fluoxétine (demi-vie longue, norfluoxétine active 7-15 jours) et le tramadol.</w:t>
      </w:r>
    </w:p>
    <w:p>
      <w:pPr>
        <w:pStyle w:val="Compact"/>
        <w:numPr>
          <w:ilvl w:val="0"/>
          <w:numId w:val="1029"/>
        </w:numPr>
      </w:pPr>
      <w:r>
        <w:t xml:space="preserve">En cas d’association inévitable (dépression résistante sous IRS nécessitant antalgie palier II) : préférer la codéine (faible impact sérotoninergique), ou oxycodone (palier III), ou buprénorphine transdermique.</w:t>
      </w:r>
    </w:p>
    <w:p>
      <w:r>
        <w:pict>
          <v:rect style="width:0;height:1.5pt" o:hralign="center" o:hrstd="t" o:hr="t"/>
        </w:pict>
      </w:r>
    </w:p>
    <w:bookmarkEnd w:id="93"/>
    <w:bookmarkEnd w:id="94"/>
    <w:bookmarkStart w:id="100" w:name="X182ca21aa06b7e0458f56142cdbbaa70cf7f486"/>
    <w:p>
      <w:pPr>
        <w:pStyle w:val="Heading2"/>
      </w:pPr>
      <w:r>
        <w:t xml:space="preserve">Annexe Pédagogique : Cas Cliniques pour les Étudiants en Pharmacie</w:t>
      </w:r>
    </w:p>
    <w:bookmarkStart w:id="95" w:name="Xc57ce87eae0ee325b3541da03c0eee73a819ff4"/>
    <w:p>
      <w:pPr>
        <w:pStyle w:val="Heading3"/>
      </w:pPr>
      <w:r>
        <w:t xml:space="preserve">Cas n°1 : Douleur post-opératoire chez la femme allaitante</w:t>
      </w:r>
    </w:p>
    <w:p>
      <w:pPr>
        <w:pStyle w:val="FirstParagraph"/>
      </w:pPr>
      <w:r>
        <w:rPr>
          <w:b/>
          <w:bCs/>
        </w:rPr>
        <w:t xml:space="preserve">Présentation</w:t>
      </w:r>
      <w:r>
        <w:t xml:space="preserve"> </w:t>
      </w:r>
      <w:r>
        <w:t xml:space="preserve">: Mme A., 32 ans, accouche par césarienne sous anesthésie péridurale. À J+1, demande un antalgique compatible avec l’allaitement de son nouveau-né en parfaite santé.</w:t>
      </w:r>
      <w:r>
        <w:t xml:space="preserve"> </w:t>
      </w:r>
      <w:r>
        <w:rPr>
          <w:b/>
          <w:bCs/>
        </w:rPr>
        <w:t xml:space="preserve">Analyse</w:t>
      </w:r>
      <w:r>
        <w:t xml:space="preserve"> </w:t>
      </w:r>
      <w:r>
        <w:t xml:space="preserve">: la codéine et le tramadol sont CI absolus chez la femme allaitante (risque UM CYP2D6 → surdosage néonatal mortel). Le dextropropoxyphène est retiré du marché. Les alternatives compatibles sont : paracétamol 1 g × 3-4/j (sécurisé), ibuprofène 400 mg × 3/j (sauf CI AINS), kétoprofène 100 mg × 2/j (compatible court terme selon e-lactancia).</w:t>
      </w:r>
      <w:r>
        <w:t xml:space="preserve"> </w:t>
      </w:r>
      <w:r>
        <w:rPr>
          <w:b/>
          <w:bCs/>
        </w:rPr>
        <w:t xml:space="preserve">Recommandation</w:t>
      </w:r>
      <w:r>
        <w:t xml:space="preserve"> </w:t>
      </w:r>
      <w:r>
        <w:t xml:space="preserve">: paracétamol + ibuprofène à dose usuelle pendant 3 à 5 jours, prise post-prandiale immédiate après la tétée pour minimiser l’exposition lactée.</w:t>
      </w:r>
    </w:p>
    <w:bookmarkEnd w:id="95"/>
    <w:bookmarkStart w:id="96" w:name="Xb195cf52cc4b4a15b4e74df494556cb2fea3a2b"/>
    <w:p>
      <w:pPr>
        <w:pStyle w:val="Heading3"/>
      </w:pPr>
      <w:r>
        <w:t xml:space="preserve">Cas n°2 : Céphalée chez un patient sous antidépresseur IRS</w:t>
      </w:r>
    </w:p>
    <w:p>
      <w:pPr>
        <w:pStyle w:val="FirstParagraph"/>
      </w:pPr>
      <w:r>
        <w:rPr>
          <w:b/>
          <w:bCs/>
        </w:rPr>
        <w:t xml:space="preserve">Présentation</w:t>
      </w:r>
      <w:r>
        <w:t xml:space="preserve"> </w:t>
      </w:r>
      <w:r>
        <w:t xml:space="preserve">: M. B., 45 ans, sous paroxétine 20 mg/j pour trouble anxieux généralisé, présente une céphalée de tension aiguë non soulagée par le paracétamol seul. Demande « quelque chose de plus fort ».</w:t>
      </w:r>
      <w:r>
        <w:t xml:space="preserve"> </w:t>
      </w:r>
      <w:r>
        <w:rPr>
          <w:b/>
          <w:bCs/>
        </w:rPr>
        <w:t xml:space="preserve">Analyse</w:t>
      </w:r>
      <w:r>
        <w:t xml:space="preserve"> </w:t>
      </w:r>
      <w:r>
        <w:t xml:space="preserve">: association tramadol + paroxétine → risque de syndrome sérotoninergique (CI relative absolue). La codéine est théoriquement envisageable mais elle interagit aussi avec le CYP2D6, dont la paroxétine est un inhibiteur puissant → perte d’efficacité de la codéine.</w:t>
      </w:r>
      <w:r>
        <w:t xml:space="preserve"> </w:t>
      </w:r>
      <w:r>
        <w:rPr>
          <w:b/>
          <w:bCs/>
        </w:rPr>
        <w:t xml:space="preserve">Recommandation</w:t>
      </w:r>
      <w:r>
        <w:t xml:space="preserve"> </w:t>
      </w:r>
      <w:r>
        <w:t xml:space="preserve">: paracétamol + ibuprofène 200 mg × 3/j pendant 3 jours (si pas de CI AINS), ou paracétamol + naproxène 500 mg × 2/j. En cas d’inefficacité, avis médical pour envisager un palier III court (néfopam 30 mg × 3/j, anti-opioïde sans interaction sérotoninergique).</w:t>
      </w:r>
    </w:p>
    <w:bookmarkEnd w:id="96"/>
    <w:bookmarkStart w:id="97" w:name="Xa24c73c7f68deb6f26958ea8d797bd69c5793a6"/>
    <w:p>
      <w:pPr>
        <w:pStyle w:val="Heading3"/>
      </w:pPr>
      <w:r>
        <w:t xml:space="preserve">Cas n°3 : Découverte d’un stock domestique de Di-Antalvic®</w:t>
      </w:r>
    </w:p>
    <w:p>
      <w:pPr>
        <w:pStyle w:val="FirstParagraph"/>
      </w:pPr>
      <w:r>
        <w:rPr>
          <w:b/>
          <w:bCs/>
        </w:rPr>
        <w:t xml:space="preserve">Présentation</w:t>
      </w:r>
      <w:r>
        <w:t xml:space="preserve"> </w:t>
      </w:r>
      <w:r>
        <w:t xml:space="preserve">: M. C., 68 ans, hypertendu et diabétique, vient à l’officine avec une boîte entamée de Di-Antalvic® (paracétamol 400 mg + dextropropoxyphène 30 mg), périmée depuis 8 ans, en demandant s’il peut l’utiliser pour ses lombalgies chroniques.</w:t>
      </w:r>
      <w:r>
        <w:t xml:space="preserve"> </w:t>
      </w:r>
      <w:r>
        <w:rPr>
          <w:b/>
          <w:bCs/>
        </w:rPr>
        <w:t xml:space="preserve">Analyse</w:t>
      </w:r>
      <w:r>
        <w:t xml:space="preserve"> </w:t>
      </w:r>
      <w:r>
        <w:t xml:space="preserve">: Di-Antalvic® retiré du marché depuis 2011 pour cardiotoxicité létale en surdosage. Utilisation CI absolue, même périmé. Le patient présente par ailleurs des facteurs de risque cardiovasculaire (HTA, diabète) qui aggravent le risque cardiotoxique.</w:t>
      </w:r>
      <w:r>
        <w:t xml:space="preserve"> </w:t>
      </w:r>
      <w:r>
        <w:rPr>
          <w:b/>
          <w:bCs/>
        </w:rPr>
        <w:t xml:space="preserve">Recommandation</w:t>
      </w:r>
      <w:r>
        <w:t xml:space="preserve"> </w:t>
      </w:r>
      <w:r>
        <w:t xml:space="preserve">: refuser la délivrance, informer clairement du danger, récupérer la boîte pour destruction sécurisée (filière Omédis/DASRI). Proposer une alternative moderne : paracétamol 1 g × 3-4/j + ibuprofène 400 mg × 2/j pendant 5 jours, réévaluation médicale pour lombalgie chronique.</w:t>
      </w:r>
    </w:p>
    <w:bookmarkEnd w:id="97"/>
    <w:bookmarkStart w:id="98" w:name="Xf07ec915391636aa6fafe67825fbf1e081562f2"/>
    <w:p>
      <w:pPr>
        <w:pStyle w:val="Heading3"/>
      </w:pPr>
      <w:r>
        <w:t xml:space="preserve">Cas n°4 : Constipation réfractaire sous codéine</w:t>
      </w:r>
    </w:p>
    <w:p>
      <w:pPr>
        <w:pStyle w:val="FirstParagraph"/>
      </w:pPr>
      <w:r>
        <w:rPr>
          <w:b/>
          <w:bCs/>
        </w:rPr>
        <w:t xml:space="preserve">Présentation</w:t>
      </w:r>
      <w:r>
        <w:t xml:space="preserve"> </w:t>
      </w:r>
      <w:r>
        <w:t xml:space="preserve">: Mme D., 55 ans, prend Codol (paracétamol 400 mg + codéine 20 mg) 4 cp/j depuis 8 jours pour une douleur post-fracture du poignet. Se plaint d’une constipation sévère avec ballonnements.</w:t>
      </w:r>
      <w:r>
        <w:t xml:space="preserve"> </w:t>
      </w:r>
      <w:r>
        <w:rPr>
          <w:b/>
          <w:bCs/>
        </w:rPr>
        <w:t xml:space="preserve">Analyse</w:t>
      </w:r>
      <w:r>
        <w:t xml:space="preserve"> </w:t>
      </w:r>
      <w:r>
        <w:t xml:space="preserve">: la codéine, comme tous les opioïdes μ, ralentit le transit colique par augmentation du tonus sphinctérien, diminution des sécrétions digestives et augmentation de l’absorption de l’eau. Au-delà de 5 jours, le risque est majeur (fécalome, occlusion).</w:t>
      </w:r>
      <w:r>
        <w:t xml:space="preserve"> </w:t>
      </w:r>
      <w:r>
        <w:rPr>
          <w:b/>
          <w:bCs/>
        </w:rPr>
        <w:t xml:space="preserve">Recommandation</w:t>
      </w:r>
      <w:r>
        <w:t xml:space="preserve"> </w:t>
      </w:r>
      <w:r>
        <w:t xml:space="preserve">: arrêt progressif de la codéine (réduction 1 cp/j pour éviter le sevrage), relais par paracétamol seul. Traitement laxatif : macrogol 4000 (Forlax®) 1 sachet × 2/j + bisacodyl 10 mg au coucher si nécessaire. Hydratation 1,5-2 L/jour, alimentation riche en fibres (légumes verts, pruneaux). Réévaluation médicale pour le traitement de la douleur (fracture consolidée ? douleur neuropathique associée ?).</w:t>
      </w:r>
    </w:p>
    <w:bookmarkEnd w:id="98"/>
    <w:bookmarkStart w:id="99" w:name="cas-n5-patient-âgé-confus-sous-tramadol"/>
    <w:p>
      <w:pPr>
        <w:pStyle w:val="Heading3"/>
      </w:pPr>
      <w:r>
        <w:t xml:space="preserve">Cas n°5 : Patient âgé confus sous tramadol</w:t>
      </w:r>
    </w:p>
    <w:p>
      <w:pPr>
        <w:pStyle w:val="FirstParagraph"/>
      </w:pPr>
      <w:r>
        <w:rPr>
          <w:b/>
          <w:bCs/>
        </w:rPr>
        <w:t xml:space="preserve">Présentation</w:t>
      </w:r>
      <w:r>
        <w:t xml:space="preserve"> </w:t>
      </w:r>
      <w:r>
        <w:t xml:space="preserve">: M. E., 78 ans, insuffisant cardiaque et diabétique, sous XAMADOL 325/37,5 mg 2 cp × 3/j depuis 4 jours pour une névralgie cervico-brachiale. Sa famille signale une confusion, agitation nocturne, myoclonies.</w:t>
      </w:r>
      <w:r>
        <w:t xml:space="preserve"> </w:t>
      </w:r>
      <w:r>
        <w:rPr>
          <w:b/>
          <w:bCs/>
        </w:rPr>
        <w:t xml:space="preserve">Analyse</w:t>
      </w:r>
      <w:r>
        <w:t xml:space="preserve"> </w:t>
      </w:r>
      <w:r>
        <w:t xml:space="preserve">: tableau compatible avec une toxicité du tramadol chez le sujet âgé : dose trop élevée (6 cp/j soit 225 mg/j de tramadol, dose max recommandée 300 mg/j mais déjà à 6 cp/j, on atteint les limites), insuffisance rénale probable chez ce diabétique cardiaque (accumulation du tramadol et de ses métabolites), hypoglycémie possible (effet du tramadol sur la glycémie chez le diabétique).</w:t>
      </w:r>
      <w:r>
        <w:t xml:space="preserve"> </w:t>
      </w:r>
      <w:r>
        <w:rPr>
          <w:b/>
          <w:bCs/>
        </w:rPr>
        <w:t xml:space="preserve">Recommandation</w:t>
      </w:r>
      <w:r>
        <w:t xml:space="preserve"> </w:t>
      </w:r>
      <w:r>
        <w:t xml:space="preserve">: arrêt immédiat du tramadol, hospitalisation pour bilan (glycémie capillaire, ECG, ionogramme, créatininémie), réhydratation IV. Relais par paracétamol 1 g × 3/j + gabapentine 100 mg le soir pour la composante neuropathique, à titrer progressivement. Prévenir la famille du risque de sevrage opioïde si traitement &gt; 5 jours (clonidine 0,1 mg × 3/j si signes de sevrage).</w:t>
      </w:r>
    </w:p>
    <w:p>
      <w:r>
        <w:pict>
          <v:rect style="width:0;height:1.5pt" o:hralign="center" o:hrstd="t" o:hr="t"/>
        </w:pict>
      </w:r>
    </w:p>
    <w:bookmarkEnd w:id="99"/>
    <w:bookmarkEnd w:id="100"/>
    <w:bookmarkStart w:id="101" w:name="synthèse-pédagogique"/>
    <w:p>
      <w:pPr>
        <w:pStyle w:val="Heading2"/>
      </w:pPr>
      <w:r>
        <w:t xml:space="preserve">Synthèse Pédagogique</w:t>
      </w:r>
    </w:p>
    <w:p>
      <w:pPr>
        <w:pStyle w:val="FirstParagraph"/>
      </w:pPr>
      <w:r>
        <w:t xml:space="preserve">Les associations antalgiques fixes du palier I et II occupent une place majeure dans la pharmacopée algérienne, mais leur prescription doit s’inscrire dans une démarche rationnelle et sécurisée. Les cinq associations traitées dans ce chapitre illustrent la diversité des mécanismes (antalgique central pur, AINS périphérique, antispasmodique anticholinergique, opioïde μ), des indications (rhume, douleur inflammatoire, spasme viscéral, douleur modérée à intense), et des profils de tolérance.</w:t>
      </w:r>
    </w:p>
    <w:p>
      <w:pPr>
        <w:pStyle w:val="BodyText"/>
      </w:pPr>
      <w:r>
        <w:t xml:space="preserve">La pharmacienne et le pharmacien d’officine algérien jouent un rôle pivot dans :</w:t>
      </w:r>
      <w:r>
        <w:t xml:space="preserve"> </w:t>
      </w:r>
      <w:r>
        <w:t xml:space="preserve">-</w:t>
      </w:r>
      <w:r>
        <w:t xml:space="preserve"> </w:t>
      </w:r>
      <w:r>
        <w:rPr>
          <w:b/>
          <w:bCs/>
        </w:rPr>
        <w:t xml:space="preserve">La délivrance sécurisée</w:t>
      </w:r>
      <w:r>
        <w:t xml:space="preserve"> </w:t>
      </w:r>
      <w:r>
        <w:t xml:space="preserve">: vérification de l’ordonnance, recherche d’interactions médicamenteuses (notamment syndrome sérotoninergique avec le tramadol), contrôle du cumul de paracétamol.</w:t>
      </w:r>
      <w:r>
        <w:t xml:space="preserve"> </w:t>
      </w:r>
      <w:r>
        <w:t xml:space="preserve">-</w:t>
      </w:r>
      <w:r>
        <w:t xml:space="preserve"> </w:t>
      </w:r>
      <w:r>
        <w:rPr>
          <w:b/>
          <w:bCs/>
        </w:rPr>
        <w:t xml:space="preserve">L’information du patient</w:t>
      </w:r>
      <w:r>
        <w:t xml:space="preserve"> </w:t>
      </w:r>
      <w:r>
        <w:t xml:space="preserve">: explication des effets indésirables majeurs (somnolence, constipation, dépendance), des précautions (pas d’alcool, prudence au volant), des règles de prise (pendant les repas, hydratation, intervalle minimal).</w:t>
      </w:r>
      <w:r>
        <w:t xml:space="preserve"> </w:t>
      </w:r>
      <w:r>
        <w:t xml:space="preserve">-</w:t>
      </w:r>
      <w:r>
        <w:t xml:space="preserve"> </w:t>
      </w:r>
      <w:r>
        <w:rPr>
          <w:b/>
          <w:bCs/>
        </w:rPr>
        <w:t xml:space="preserve">Le dépistage des populations à risque</w:t>
      </w:r>
      <w:r>
        <w:t xml:space="preserve"> </w:t>
      </w:r>
      <w:r>
        <w:t xml:space="preserve">: femme enceinte T3, femme allaitante, enfant &lt; 12 ans, sujet âgé, insuffisant rénal/hépatique, épileptique, patient sous antidépresseur IRS.</w:t>
      </w:r>
      <w:r>
        <w:t xml:space="preserve"> </w:t>
      </w:r>
      <w:r>
        <w:t xml:space="preserve">-</w:t>
      </w:r>
      <w:r>
        <w:t xml:space="preserve"> </w:t>
      </w:r>
      <w:r>
        <w:rPr>
          <w:b/>
          <w:bCs/>
        </w:rPr>
        <w:t xml:space="preserve">La récupération des stocks périmés</w:t>
      </w:r>
      <w:r>
        <w:t xml:space="preserve"> </w:t>
      </w:r>
      <w:r>
        <w:t xml:space="preserve">: notamment Di-Antalvic® et génériques du dextropropoxyphène retirés, à rapporter en pharmacie pour destruction sécurisée.</w:t>
      </w:r>
    </w:p>
    <w:p>
      <w:pPr>
        <w:pStyle w:val="BodyText"/>
      </w:pPr>
      <w:r>
        <w:t xml:space="preserve">Cette formation académique, articulée autour des fiches structurées par DCI et de l’analyse critique des sources (VIDAL, ANSM, CRAT, EMA, OMS, Cochrane), prépare l’étudiant en pharmacie à une pratique clinique responsable et conforme aux recommandations internationales les plus récentes.</w:t>
      </w:r>
    </w:p>
    <w:p>
      <w:r>
        <w:pict>
          <v:rect style="width:0;height:1.5pt" o:hralign="center" o:hrstd="t" o:hr="t"/>
        </w:pict>
      </w:r>
    </w:p>
    <w:bookmarkEnd w:id="101"/>
    <w:bookmarkStart w:id="102" w:name="références-bibliographiques"/>
    <w:p>
      <w:pPr>
        <w:pStyle w:val="Heading2"/>
      </w:pPr>
      <w:r>
        <w:t xml:space="preserve">Références Bibliographiques</w:t>
      </w:r>
    </w:p>
    <w:p>
      <w:pPr>
        <w:pStyle w:val="Compact"/>
        <w:numPr>
          <w:ilvl w:val="0"/>
          <w:numId w:val="1030"/>
        </w:numPr>
      </w:pPr>
      <w:r>
        <w:t xml:space="preserve">OMS. Traitement de la douleur cancéreuse. Genève : OMS, 1986 (révisé 2018).</w:t>
      </w:r>
    </w:p>
    <w:p>
      <w:pPr>
        <w:pStyle w:val="Compact"/>
        <w:numPr>
          <w:ilvl w:val="0"/>
          <w:numId w:val="1030"/>
        </w:numPr>
      </w:pPr>
      <w:r>
        <w:t xml:space="preserve">ANSM. Bon usage des médicaments antalgiques. fiche Bon Usage, 2020.</w:t>
      </w:r>
    </w:p>
    <w:p>
      <w:pPr>
        <w:pStyle w:val="Compact"/>
        <w:numPr>
          <w:ilvl w:val="0"/>
          <w:numId w:val="1030"/>
        </w:numPr>
      </w:pPr>
      <w:r>
        <w:t xml:space="preserve">CRAT (Centre de Référence sur les Agents Tératogènes). Fiches Codéine, Tramadol, Ibuprofène, Paracétamol, Dextropropoxyphène. Hôpital Armand-Trousseau, Paris, mises à jour 2023-2024.</w:t>
      </w:r>
    </w:p>
    <w:p>
      <w:pPr>
        <w:pStyle w:val="Compact"/>
        <w:numPr>
          <w:ilvl w:val="0"/>
          <w:numId w:val="1030"/>
        </w:numPr>
      </w:pPr>
      <w:r>
        <w:t xml:space="preserve">EMA. Recommendation to withdraw Dexpropoxyphene-containing medicines. EMA/356410/2010.</w:t>
      </w:r>
    </w:p>
    <w:p>
      <w:pPr>
        <w:pStyle w:val="Compact"/>
        <w:numPr>
          <w:ilvl w:val="0"/>
          <w:numId w:val="1030"/>
        </w:numPr>
      </w:pPr>
      <w:r>
        <w:t xml:space="preserve">EMA. Restriction on use of codeine for pain relief in children. EMA/464559/2013.</w:t>
      </w:r>
    </w:p>
    <w:p>
      <w:pPr>
        <w:pStyle w:val="Compact"/>
        <w:numPr>
          <w:ilvl w:val="0"/>
          <w:numId w:val="1030"/>
        </w:numPr>
      </w:pPr>
      <w:r>
        <w:t xml:space="preserve">EMA. PRAC recommends restricting use of codeine for cough and cold in children. EMA/357053/2015.</w:t>
      </w:r>
    </w:p>
    <w:p>
      <w:pPr>
        <w:pStyle w:val="Compact"/>
        <w:numPr>
          <w:ilvl w:val="0"/>
          <w:numId w:val="1030"/>
        </w:numPr>
      </w:pPr>
      <w:r>
        <w:t xml:space="preserve">EMA. Restrictions on use of tramadol in children and adolescents. EMA/471982/2017.</w:t>
      </w:r>
    </w:p>
    <w:p>
      <w:pPr>
        <w:pStyle w:val="Compact"/>
        <w:numPr>
          <w:ilvl w:val="0"/>
          <w:numId w:val="1030"/>
        </w:numPr>
      </w:pPr>
      <w:r>
        <w:t xml:space="preserve">VIDAL. Dictionnaire des Spécialités Pharmaceutiques. Édition 2024.</w:t>
      </w:r>
    </w:p>
    <w:p>
      <w:pPr>
        <w:pStyle w:val="Compact"/>
        <w:numPr>
          <w:ilvl w:val="0"/>
          <w:numId w:val="1030"/>
        </w:numPr>
      </w:pPr>
      <w:r>
        <w:t xml:space="preserve">Thériaque. Banque de données sur les médicaments. Hôpital Necker, AP-HP, Paris.</w:t>
      </w:r>
    </w:p>
    <w:p>
      <w:pPr>
        <w:pStyle w:val="Compact"/>
        <w:numPr>
          <w:ilvl w:val="0"/>
          <w:numId w:val="1030"/>
        </w:numPr>
      </w:pPr>
      <w:r>
        <w:t xml:space="preserve">Toms L, Derry S, Moore RA, McQuay HJ. Single dose oral paracetamol (acetaminophen) with codeine for postoperative pain in adults. Cochrane Database Syst Rev. 2009;(1):CD001547.</w:t>
      </w:r>
    </w:p>
    <w:p>
      <w:pPr>
        <w:pStyle w:val="Compact"/>
        <w:numPr>
          <w:ilvl w:val="0"/>
          <w:numId w:val="1030"/>
        </w:numPr>
      </w:pPr>
      <w:r>
        <w:t xml:space="preserve">Edwards JE, McQuay HJ, Moore RA. Combination analgesic efficacy: individual patient data meta-analysis of single-dose oral tramadol plus acetaminophen in acute postoperative pain. J Pain Symptom Manage. 2002;23(2):121-30.</w:t>
      </w:r>
    </w:p>
    <w:p>
      <w:pPr>
        <w:pStyle w:val="Compact"/>
        <w:numPr>
          <w:ilvl w:val="0"/>
          <w:numId w:val="1030"/>
        </w:numPr>
      </w:pPr>
      <w:r>
        <w:t xml:space="preserve">Chandrasekharan NV, Dai H, Roos KL, et al. COX-3, a cyclooxygenase-1 variant inhibited by acetaminophen and other analgesic/antipyretic drugs. Proc Natl Acad Sci USA. 2002;99(21):13926-31.</w:t>
      </w:r>
    </w:p>
    <w:p>
      <w:pPr>
        <w:pStyle w:val="Compact"/>
        <w:numPr>
          <w:ilvl w:val="0"/>
          <w:numId w:val="1030"/>
        </w:numPr>
      </w:pPr>
      <w:r>
        <w:t xml:space="preserve">CYP2D6 Pharmacogenetics and Codeine/Tramadol. CPIC Guideline. Clin Pharmacol Ther. 2014;95(4):376-382.</w:t>
      </w:r>
    </w:p>
    <w:p>
      <w:pPr>
        <w:pStyle w:val="Compact"/>
        <w:numPr>
          <w:ilvl w:val="0"/>
          <w:numId w:val="1030"/>
        </w:numPr>
      </w:pPr>
      <w:r>
        <w:t xml:space="preserve">Recoan A, Atek N, Satta D. Prévalence des métaboliseurs ultra-rapides du CYP2D6 dans la population algérienne. Bull Soc Pharm Bordeaux. 2019;158(2):45-52.</w:t>
      </w:r>
    </w:p>
    <w:p>
      <w:pPr>
        <w:pStyle w:val="Compact"/>
        <w:numPr>
          <w:ilvl w:val="0"/>
          <w:numId w:val="1030"/>
        </w:numPr>
      </w:pPr>
      <w:r>
        <w:t xml:space="preserve">Nomenclature Algérienne des Médicaments « COMPLETE LISTE », Avril 2026. Ministère de la Santé, Direction de la Pharmacie et des Équipements Médicaux, ANDS.</w:t>
      </w:r>
    </w:p>
    <w:p>
      <w:r>
        <w:pict>
          <v:rect style="width:0;height:1.5pt" o:hralign="center" o:hrstd="t" o:hr="t"/>
        </w:pict>
      </w:r>
    </w:p>
    <w:bookmarkEnd w:id="102"/>
    <w:bookmarkEnd w:id="103"/>
    <w:bookmarkStart w:id="119" w:name="X67df0c1ebd2d5280671d24bb4274feaf85ffa56"/>
    <w:p>
      <w:pPr>
        <w:pStyle w:val="Heading1"/>
      </w:pPr>
      <w:r>
        <w:t xml:space="preserve">Section 23 — Antalgiques Paliers II et III : Opioïdes Faibles, Opioïdes Forts et Agonistes Partiels</w:t>
      </w:r>
    </w:p>
    <w:p>
      <w:pPr>
        <w:pStyle w:val="BlockText"/>
      </w:pPr>
      <w:r>
        <w:rPr>
          <w:b/>
          <w:bCs/>
        </w:rPr>
        <w:t xml:space="preserve">Fascicule III — Antalgiques &amp; Anti-inflammatoires</w:t>
      </w:r>
      <w:r>
        <w:t xml:space="preserve"> </w:t>
      </w:r>
      <w:r>
        <w:t xml:space="preserve">Chapitre : Antalgiques opioïdes paliers OMS II et III</w:t>
      </w:r>
      <w:r>
        <w:t xml:space="preserve"> </w:t>
      </w:r>
      <w:r>
        <w:t xml:space="preserve">Nomenclature algérienne des médicaments (Avril 2026)</w:t>
      </w:r>
      <w:r>
        <w:t xml:space="preserve"> </w:t>
      </w:r>
      <w:r>
        <w:t xml:space="preserve">Public cible : étudiants en pharmacie (cycle clinique, 5e année)</w:t>
      </w:r>
    </w:p>
    <w:bookmarkStart w:id="104" w:name="X02260e7544bcd22a06b1071cc26f5a56eda01f6"/>
    <w:p>
      <w:pPr>
        <w:pStyle w:val="Heading2"/>
      </w:pPr>
      <w:r>
        <w:t xml:space="preserve">Introduction générale à la classe des opioïdes</w:t>
      </w:r>
    </w:p>
    <w:p>
      <w:pPr>
        <w:pStyle w:val="FirstParagraph"/>
      </w:pPr>
      <w:r>
        <w:t xml:space="preserve">Les opioïdes constituent la pierre angulaire du traitement de la douleur modérée à sévère selon l’escalade antalgique OMS (Organisation Mondiale de la Santé, 1986, révisée 2018). Le palier II (opioïdes faibles pour douleurs modérées) regroupe la codéine et le tramadol — molécules de puissance modérée,Prescrites pour des douleurs d’intensité 4 à 7 sur l’échelle visuelle analogique (EVA), avec généralement un plafond d’efficacité et un plafond d’effets indésirables. Le palier III (opioïdes forts pour douleurs sévères) comprend la morphine, le fentanyl, l’oxycodone, le sufentanil, l’alfentanil et le rémifentanil ; il n’existe pas de plafond d’efficacité (titration jusqu’à l’effet recherché ou jusqu’à l’apparition d’effets indésirables limitants — typiquement sédation excessive). Enfin, la buprénorphine occupe une position particulière d’</w:t>
      </w:r>
      <w:r>
        <w:rPr>
          <w:b/>
          <w:bCs/>
        </w:rPr>
        <w:t xml:space="preserve">agoniste partiel μ</w:t>
      </w:r>
      <w:r>
        <w:t xml:space="preserve"> </w:t>
      </w:r>
      <w:r>
        <w:t xml:space="preserve">: son affinité élevée pour le récepteur μ couplée à une faible activité intrinsèque en fait un analgésique du palier III mais aussi un outil de substitution aux opioïdes forts (usage addictologique, hors des limites de ce fascicule).</w:t>
      </w:r>
    </w:p>
    <w:p>
      <w:pPr>
        <w:pStyle w:val="BodyText"/>
      </w:pPr>
      <w:r>
        <w:t xml:space="preserve">Tous ces médicaments partagent un mécanisme fondamental commun :</w:t>
      </w:r>
      <w:r>
        <w:t xml:space="preserve"> </w:t>
      </w:r>
      <w:r>
        <w:rPr>
          <w:b/>
          <w:bCs/>
        </w:rPr>
        <w:t xml:space="preserve">l’agonisme des récepteurs opioïdes endogènes</w:t>
      </w:r>
      <w:r>
        <w:t xml:space="preserve"> </w:t>
      </w:r>
      <w:r>
        <w:t xml:space="preserve">— principalement</w:t>
      </w:r>
      <w:r>
        <w:t xml:space="preserve"> </w:t>
      </w:r>
      <w:r>
        <w:rPr>
          <w:b/>
          <w:bCs/>
        </w:rPr>
        <w:t xml:space="preserve">μ (MOR, OPRM1)</w:t>
      </w:r>
      <w:r>
        <w:t xml:space="preserve">, mais aussi</w:t>
      </w:r>
      <w:r>
        <w:t xml:space="preserve"> </w:t>
      </w:r>
      <w:r>
        <w:rPr>
          <w:b/>
          <w:bCs/>
        </w:rPr>
        <w:t xml:space="preserve">κ (KOR, OPRK1)</w:t>
      </w:r>
      <w:r>
        <w:t xml:space="preserve"> </w:t>
      </w:r>
      <w:r>
        <w:t xml:space="preserve">et</w:t>
      </w:r>
      <w:r>
        <w:t xml:space="preserve"> </w:t>
      </w:r>
      <w:r>
        <w:rPr>
          <w:b/>
          <w:bCs/>
        </w:rPr>
        <w:t xml:space="preserve">δ (DOR, OPRD1)</w:t>
      </w:r>
      <w:r>
        <w:t xml:space="preserve">. Ces récepteurs sont couplés à la protéine Gi/Go. La liaison de l’opioïde déclenche : (1) inhibition de l’adénylate cyclase → baisse de l’AMPc intracellulaire ; (2) ouverture des canaux potassiques rectifiants entrants (GIRK, Kir3.x) → hyperpolarisation neuronale → réduction de l’excitabilité ; (3) fermeture des canaux calciques voltage-dépendants N et P/Q → diminution de la libération présynaptique de neurotransmetteurs excitateurs (glutamate, substance P). Le résultat final est une inhibition de la transmission nociceptive dans la corne postérieure de la moelle (substance gélatineuse, laminae I-II) et au-dessus dans le tronc cérébral (substance grise périaqueducale), le thalamus et le cortex limbique.</w:t>
      </w:r>
    </w:p>
    <w:p>
      <w:pPr>
        <w:pStyle w:val="BodyText"/>
      </w:pPr>
      <w:r>
        <w:t xml:space="preserve">Sur le plan réglementaire algérien, l’essentiel des opioïdes forts sont classés</w:t>
      </w:r>
      <w:r>
        <w:t xml:space="preserve"> </w:t>
      </w:r>
      <w:r>
        <w:rPr>
          <w:b/>
          <w:bCs/>
        </w:rPr>
        <w:t xml:space="preserve">Stupéfiants</w:t>
      </w:r>
      <w:r>
        <w:t xml:space="preserve"> </w:t>
      </w:r>
      <w:r>
        <w:t xml:space="preserve">(inscrits au tableau B de l’arrêté du 8 août 1986 relatif aux substances vénéneuses et à leurs modes de prescription), avec ordonnances sécurisées à carbone, duration maximale de 28 jours et conservation 3 ans. Les opioïdes faibles sont classés</w:t>
      </w:r>
      <w:r>
        <w:t xml:space="preserve"> </w:t>
      </w:r>
      <w:r>
        <w:rPr>
          <w:b/>
          <w:bCs/>
        </w:rPr>
        <w:t xml:space="preserve">Liste I</w:t>
      </w:r>
      <w:r>
        <w:t xml:space="preserve"> </w:t>
      </w:r>
      <w:r>
        <w:t xml:space="preserve">(prescription ordinaire valable 6 mois) ou</w:t>
      </w:r>
      <w:r>
        <w:t xml:space="preserve"> </w:t>
      </w:r>
      <w:r>
        <w:rPr>
          <w:b/>
          <w:bCs/>
        </w:rPr>
        <w:t xml:space="preserve">Liste II</w:t>
      </w:r>
      <w:r>
        <w:t xml:space="preserve"> </w:t>
      </w:r>
      <w:r>
        <w:t xml:space="preserve">(codéine en sirop antitussif à 0,05 g/100 mL en Algérie, dispensation libre pour les faibles dosages selon décret). Cette classification conditionne fortement la dispensation en officine.</w:t>
      </w:r>
    </w:p>
    <w:p>
      <w:pPr>
        <w:pStyle w:val="BodyText"/>
      </w:pPr>
      <w:r>
        <w:t xml:space="preserve">Le présent chapitre traite neuf DCI disponibles (actives, non renouvelées ou retirées) dans la nomenclature algérienne. Chaque fiche comporte systématiquement les sous-sections réglementaires, pharmacologiques, thérapeutiques et pédagogiques recommandées par l’AFSSAPS/HAS/ANSM et adaptées au contexte maghrébin.</w:t>
      </w:r>
    </w:p>
    <w:p>
      <w:r>
        <w:pict>
          <v:rect style="width:0;height:1.5pt" o:hralign="center" o:hrstd="t" o:hr="t"/>
        </w:pict>
      </w:r>
    </w:p>
    <w:bookmarkEnd w:id="104"/>
    <w:bookmarkStart w:id="107" w:name="Xdb8303364270b7d11ee86de187a073886c1aa1f"/>
    <w:p>
      <w:pPr>
        <w:pStyle w:val="Heading2"/>
      </w:pPr>
      <w:r>
        <w:t xml:space="preserve">Sous-classe : Antalgiques palier II — Opioïdes faibles</w:t>
      </w:r>
    </w:p>
    <w:p>
      <w:pPr>
        <w:pStyle w:val="FirstParagraph"/>
      </w:pPr>
      <w:r>
        <w:t xml:space="preserve">Le palier II de l’OMS correspond aux</w:t>
      </w:r>
      <w:r>
        <w:t xml:space="preserve"> </w:t>
      </w:r>
      <w:r>
        <w:rPr>
          <w:b/>
          <w:bCs/>
        </w:rPr>
        <w:t xml:space="preserve">opioïdes dits faibles</w:t>
      </w:r>
      <w:r>
        <w:t xml:space="preserve"> </w:t>
      </w:r>
      <w:r>
        <w:t xml:space="preserve">destinés au traitement des douleurs modérées (EVA 4–7) résistant aux antalgiques de palier I (paracétamol, AINS seuls ou en association à doses usuelles). Deux molécules dominent cette classe en Algérie : la</w:t>
      </w:r>
      <w:r>
        <w:t xml:space="preserve"> </w:t>
      </w:r>
      <w:r>
        <w:rPr>
          <w:b/>
          <w:bCs/>
        </w:rPr>
        <w:t xml:space="preserve">codéine</w:t>
      </w:r>
      <w:r>
        <w:t xml:space="preserve"> </w:t>
      </w:r>
      <w:r>
        <w:t xml:space="preserve">(alcaloïde phénanthrénique naturel du pavot, opiacé) et le</w:t>
      </w:r>
      <w:r>
        <w:t xml:space="preserve"> </w:t>
      </w:r>
      <w:r>
        <w:rPr>
          <w:b/>
          <w:bCs/>
        </w:rPr>
        <w:t xml:space="preserve">tramadol</w:t>
      </w:r>
      <w:r>
        <w:t xml:space="preserve"> </w:t>
      </w:r>
      <w:r>
        <w:t xml:space="preserve">(analogue de synthèse de la codéine, atypique, double mécanisme).</w:t>
      </w:r>
    </w:p>
    <w:p>
      <w:pPr>
        <w:pStyle w:val="BodyText"/>
      </w:pPr>
      <w:r>
        <w:t xml:space="preserve">Caractéristiques communes du palier II :</w:t>
      </w:r>
      <w:r>
        <w:t xml:space="preserve"> </w:t>
      </w:r>
      <w:r>
        <w:t xml:space="preserve">- Efficacité analgésique limitée par un</w:t>
      </w:r>
      <w:r>
        <w:t xml:space="preserve"> </w:t>
      </w:r>
      <w:r>
        <w:rPr>
          <w:b/>
          <w:bCs/>
        </w:rPr>
        <w:t xml:space="preserve">effet plafond</w:t>
      </w:r>
      <w:r>
        <w:t xml:space="preserve"> </w:t>
      </w:r>
      <w:r>
        <w:t xml:space="preserve">(au-delà de 60 mg de codéine ou 400 mg/j de tramadol, l’augmentation des doses n’apporte pas d’efficacité supplémentaire mais augmente linéairement la toxicité).</w:t>
      </w:r>
      <w:r>
        <w:t xml:space="preserve"> </w:t>
      </w:r>
      <w:r>
        <w:t xml:space="preserve">- Métabolisme hépatique dépendant du</w:t>
      </w:r>
      <w:r>
        <w:t xml:space="preserve"> </w:t>
      </w:r>
      <w:r>
        <w:rPr>
          <w:b/>
          <w:bCs/>
        </w:rPr>
        <w:t xml:space="preserve">CYP2D6</w:t>
      </w:r>
      <w:r>
        <w:t xml:space="preserve">, polymorphe, avec un pourcentage significatif de métaboliseurs lents (5–10 % de la population européenne, jusqu’à 10 % chez les Maghrébins) et de métaboliseurs ultra-rapides (1–5 %, risque de surdosage pour la codéine et le tramadol).</w:t>
      </w:r>
      <w:r>
        <w:t xml:space="preserve"> </w:t>
      </w:r>
      <w:r>
        <w:t xml:space="preserve">- Risque de</w:t>
      </w:r>
      <w:r>
        <w:t xml:space="preserve"> </w:t>
      </w:r>
      <w:r>
        <w:rPr>
          <w:b/>
          <w:bCs/>
        </w:rPr>
        <w:t xml:space="preserve">dépendance physique</w:t>
      </w:r>
      <w:r>
        <w:t xml:space="preserve"> </w:t>
      </w:r>
      <w:r>
        <w:t xml:space="preserve">réelle, mais moindre qu’au palier III en prescription courte.</w:t>
      </w:r>
      <w:r>
        <w:t xml:space="preserve"> </w:t>
      </w:r>
      <w:r>
        <w:t xml:space="preserve">- Pas de constipation aussi intense qu’au palier III, mais nécessité de mesures laxatives si usage &gt; 7 jours.</w:t>
      </w:r>
      <w:r>
        <w:t xml:space="preserve"> </w:t>
      </w:r>
      <w:r>
        <w:t xml:space="preserve">- Passage de la barrière hémato-encéphalique modéré (codéine) à bon (tramadol).</w:t>
      </w:r>
      <w:r>
        <w:t xml:space="preserve"> </w:t>
      </w:r>
      <w:r>
        <w:t xml:space="preserve">- Contre-indication au 3e trimestre de grossesse et pendant l’allaitement pour la codéine et le tramadol (selon le CRAT — Centre de Renseignement sur les Agents Tératogènes).</w:t>
      </w:r>
    </w:p>
    <w:p>
      <w:pPr>
        <w:pStyle w:val="BodyText"/>
      </w:pPr>
      <w:r>
        <w:t xml:space="preserve">La durée de prescription recommandée est courte (5–7 jours) en douleur aiguë ; un usage prolongé ne se conçoit que dans le cadre de douleurs chroniques cancéreuses ou stabilisées sous surveillance médicale spécialisée.</w:t>
      </w:r>
    </w:p>
    <w:p>
      <w:r>
        <w:pict>
          <v:rect style="width:0;height:1.5pt" o:hralign="center" o:hrstd="t" o:hr="t"/>
        </w:pict>
      </w:r>
    </w:p>
    <w:bookmarkStart w:id="105" w:name="dci-codéine-seule"/>
    <w:p>
      <w:pPr>
        <w:pStyle w:val="Heading3"/>
      </w:pPr>
      <w:r>
        <w:t xml:space="preserve">1. DCI : Codéine (Seule)</w:t>
      </w:r>
    </w:p>
    <w:p>
      <w:pPr>
        <w:pStyle w:val="FirstParagraph"/>
      </w:pPr>
      <w:r>
        <w:rPr>
          <w:b/>
          <w:bCs/>
        </w:rPr>
        <w:t xml:space="preserve">Liste des Catégories :</w:t>
      </w:r>
      <w:r>
        <w:t xml:space="preserve"> </w:t>
      </w:r>
      <w:r>
        <w:t xml:space="preserve">Antalgiques palier II - Opioïdes faibles ; Antitussif central (à faible dose).</w:t>
      </w:r>
    </w:p>
    <w:p>
      <w:pPr>
        <w:pStyle w:val="BodyText"/>
      </w:pPr>
      <w:r>
        <w:t xml:space="preserve">La codéine (3-méthoxy-morphine) est un alcaloïde phénanthrénique naturel extrait du pavot à opium</w:t>
      </w:r>
      <w:r>
        <w:t xml:space="preserve"> </w:t>
      </w:r>
      <w:r>
        <w:rPr>
          <w:i/>
          <w:iCs/>
        </w:rPr>
        <w:t xml:space="preserve">Papaver somniferum</w:t>
      </w:r>
      <w:r>
        <w:t xml:space="preserve">. Elle est environ 10 fois moins analgésique que la morphine administrée seule par voie parentérale, mais son métabolisme hépatique conduit à la</w:t>
      </w:r>
      <w:r>
        <w:t xml:space="preserve"> </w:t>
      </w:r>
      <w:r>
        <w:rPr>
          <w:b/>
          <w:bCs/>
        </w:rPr>
        <w:t xml:space="preserve">morphine</w:t>
      </w:r>
      <w:r>
        <w:t xml:space="preserve"> </w:t>
      </w:r>
      <w:r>
        <w:t xml:space="preserve">(conversion ~5–15 % de la dose) par O-déméthylation sous l’action du cytochrome</w:t>
      </w:r>
      <w:r>
        <w:t xml:space="preserve"> </w:t>
      </w:r>
      <w:r>
        <w:rPr>
          <w:b/>
          <w:bCs/>
        </w:rPr>
        <w:t xml:space="preserve">CYP2D6</w:t>
      </w:r>
      <w:r>
        <w:t xml:space="preserve"> </w:t>
      </w:r>
      <w:r>
        <w:t xml:space="preserve">— cette activation métabolique explique l’essentiel de son effet analgésique. À faible dose (≤ 15 mg), la codéine exerce surtout un effet antitussif central (récepteurs μ du tronc cérébral, noyau du tractus solitaire). À dose supérieure (30–60 mg), elle est analgésique palier II.</w:t>
      </w:r>
    </w:p>
    <w:p>
      <w:pPr>
        <w:pStyle w:val="BodyText"/>
      </w:pPr>
      <w:r>
        <w:rPr>
          <w:b/>
          <w:bCs/>
        </w:rPr>
        <w:t xml:space="preserve">Médicaments disponibles en Algérie (Marques, Laboratoires, Formes et Dosages) :</w:t>
      </w:r>
    </w:p>
    <w:p>
      <w:pPr>
        <w:pStyle w:val="Compact"/>
        <w:numPr>
          <w:ilvl w:val="0"/>
          <w:numId w:val="1031"/>
        </w:numPr>
      </w:pPr>
      <w:r>
        <w:rPr>
          <w:b/>
          <w:bCs/>
        </w:rPr>
        <w:t xml:space="preserve">NEO-CODION ADULTE</w:t>
      </w:r>
      <w:r>
        <w:t xml:space="preserve"> </w:t>
      </w:r>
      <w:r>
        <w:t xml:space="preserve">(BOUCHARA-RECORDATI)</w:t>
      </w:r>
    </w:p>
    <w:p>
      <w:pPr>
        <w:pStyle w:val="Compact"/>
        <w:numPr>
          <w:ilvl w:val="1"/>
          <w:numId w:val="1032"/>
        </w:numPr>
      </w:pPr>
      <w:r>
        <w:t xml:space="preserve">Formes et Dosages : Sirop 0,1722 g/100 mL (codéine base 15,4 mg/cuillère à soupe de 15 mL) ; flacon 180 mL</w:t>
      </w:r>
    </w:p>
    <w:p>
      <w:pPr>
        <w:pStyle w:val="Compact"/>
        <w:numPr>
          <w:ilvl w:val="1"/>
          <w:numId w:val="1032"/>
        </w:numPr>
      </w:pPr>
      <w:r>
        <w:t xml:space="preserve">Statut : Actif — Liste II</w:t>
      </w:r>
    </w:p>
    <w:p>
      <w:pPr>
        <w:pStyle w:val="Compact"/>
        <w:numPr>
          <w:ilvl w:val="0"/>
          <w:numId w:val="1031"/>
        </w:numPr>
      </w:pPr>
      <w:r>
        <w:rPr>
          <w:b/>
          <w:bCs/>
        </w:rPr>
        <w:t xml:space="preserve">TUSSICOD</w:t>
      </w:r>
      <w:r>
        <w:t xml:space="preserve"> </w:t>
      </w:r>
      <w:r>
        <w:t xml:space="preserve">(LAD PHARMA)</w:t>
      </w:r>
    </w:p>
    <w:p>
      <w:pPr>
        <w:pStyle w:val="Compact"/>
        <w:numPr>
          <w:ilvl w:val="1"/>
          <w:numId w:val="1033"/>
        </w:numPr>
      </w:pPr>
      <w:r>
        <w:t xml:space="preserve">Formes et Dosages : Sirop adulte 0,0005 (concentration en codéine base) ; flacon 125 mL</w:t>
      </w:r>
    </w:p>
    <w:p>
      <w:pPr>
        <w:pStyle w:val="Compact"/>
        <w:numPr>
          <w:ilvl w:val="1"/>
          <w:numId w:val="1033"/>
        </w:numPr>
      </w:pPr>
      <w:r>
        <w:t xml:space="preserve">Statut : Actif — Liste II</w:t>
      </w:r>
    </w:p>
    <w:p>
      <w:pPr>
        <w:pStyle w:val="Compact"/>
        <w:numPr>
          <w:ilvl w:val="0"/>
          <w:numId w:val="1031"/>
        </w:numPr>
      </w:pPr>
      <w:r>
        <w:rPr>
          <w:b/>
          <w:bCs/>
        </w:rPr>
        <w:t xml:space="preserve">NEO-CODION ENFANT</w:t>
      </w:r>
      <w:r>
        <w:t xml:space="preserve"> </w:t>
      </w:r>
      <w:r>
        <w:t xml:space="preserve">(BOUCHARA-RECORDATI)</w:t>
      </w:r>
    </w:p>
    <w:p>
      <w:pPr>
        <w:pStyle w:val="Compact"/>
        <w:numPr>
          <w:ilvl w:val="1"/>
          <w:numId w:val="1034"/>
        </w:numPr>
      </w:pPr>
      <w:r>
        <w:t xml:space="preserve">Formes et Dosages : Sirop 3,285 mg/61 mg/5 mL (codéine + autre antitussif) ; flacon 125 mL</w:t>
      </w:r>
    </w:p>
    <w:p>
      <w:pPr>
        <w:pStyle w:val="Compact"/>
        <w:numPr>
          <w:ilvl w:val="1"/>
          <w:numId w:val="1034"/>
        </w:numPr>
      </w:pPr>
      <w:r>
        <w:t xml:space="preserve">Statut : Actif — Liste II</w:t>
      </w:r>
    </w:p>
    <w:p>
      <w:pPr>
        <w:pStyle w:val="Compact"/>
        <w:numPr>
          <w:ilvl w:val="0"/>
          <w:numId w:val="1031"/>
        </w:numPr>
      </w:pPr>
      <w:r>
        <w:rPr>
          <w:b/>
          <w:bCs/>
        </w:rPr>
        <w:t xml:space="preserve">NEO-CODION</w:t>
      </w:r>
      <w:r>
        <w:t xml:space="preserve"> </w:t>
      </w:r>
      <w:r>
        <w:t xml:space="preserve">(BOUCHARA-RECORDATI)</w:t>
      </w:r>
    </w:p>
    <w:p>
      <w:pPr>
        <w:pStyle w:val="Compact"/>
        <w:numPr>
          <w:ilvl w:val="1"/>
          <w:numId w:val="1035"/>
        </w:numPr>
      </w:pPr>
      <w:r>
        <w:t xml:space="preserve">Formes et Dosages : Comprimé 25 mg ; boîte de 20</w:t>
      </w:r>
    </w:p>
    <w:p>
      <w:pPr>
        <w:pStyle w:val="Compact"/>
        <w:numPr>
          <w:ilvl w:val="1"/>
          <w:numId w:val="1035"/>
        </w:numPr>
      </w:pPr>
      <w:r>
        <w:t xml:space="preserve">Statut : Actif — Liste (non précisée, mais de facto Liste II pour codéine ≤ 30 mg)</w:t>
      </w:r>
    </w:p>
    <w:p>
      <w:pPr>
        <w:pStyle w:val="Compact"/>
        <w:numPr>
          <w:ilvl w:val="0"/>
          <w:numId w:val="1031"/>
        </w:numPr>
      </w:pPr>
      <w:r>
        <w:rPr>
          <w:b/>
          <w:bCs/>
        </w:rPr>
        <w:t xml:space="preserve">POLERY ADULTE</w:t>
      </w:r>
      <w:r>
        <w:t xml:space="preserve"> </w:t>
      </w:r>
      <w:r>
        <w:t xml:space="preserve">(BIOGALENIC)</w:t>
      </w:r>
    </w:p>
    <w:p>
      <w:pPr>
        <w:pStyle w:val="Compact"/>
        <w:numPr>
          <w:ilvl w:val="1"/>
          <w:numId w:val="1036"/>
        </w:numPr>
      </w:pPr>
      <w:r>
        <w:t xml:space="preserve">Formes et Dosages : Sirop 11,8 mg/443 mg/15 mL (codéine + autre principe actif) ; flacon 200 mL</w:t>
      </w:r>
    </w:p>
    <w:p>
      <w:pPr>
        <w:pStyle w:val="Compact"/>
        <w:numPr>
          <w:ilvl w:val="1"/>
          <w:numId w:val="1036"/>
        </w:numPr>
      </w:pPr>
      <w:r>
        <w:t xml:space="preserve">Statut : Actif</w:t>
      </w:r>
    </w:p>
    <w:p>
      <w:pPr>
        <w:pStyle w:val="Compact"/>
        <w:numPr>
          <w:ilvl w:val="0"/>
          <w:numId w:val="1031"/>
        </w:numPr>
      </w:pPr>
      <w:r>
        <w:rPr>
          <w:b/>
          <w:bCs/>
        </w:rPr>
        <w:t xml:space="preserve">NOVAKOD</w:t>
      </w:r>
      <w:r>
        <w:t xml:space="preserve"> </w:t>
      </w:r>
      <w:r>
        <w:t xml:space="preserve">(NOVA ARGENTIA)</w:t>
      </w:r>
    </w:p>
    <w:p>
      <w:pPr>
        <w:pStyle w:val="Compact"/>
        <w:numPr>
          <w:ilvl w:val="1"/>
          <w:numId w:val="1037"/>
        </w:numPr>
      </w:pPr>
      <w:r>
        <w:t xml:space="preserve">Formes et Dosages : Comprimé 10 mg ; boîte de 20</w:t>
      </w:r>
    </w:p>
    <w:p>
      <w:pPr>
        <w:pStyle w:val="Compact"/>
        <w:numPr>
          <w:ilvl w:val="1"/>
          <w:numId w:val="1037"/>
        </w:numPr>
      </w:pPr>
      <w:r>
        <w:t xml:space="preserve">Statut : Non Renouvelable — Liste I</w:t>
      </w:r>
    </w:p>
    <w:p>
      <w:pPr>
        <w:pStyle w:val="Compact"/>
        <w:numPr>
          <w:ilvl w:val="0"/>
          <w:numId w:val="1031"/>
        </w:numPr>
      </w:pPr>
      <w:r>
        <w:rPr>
          <w:b/>
          <w:bCs/>
        </w:rPr>
        <w:t xml:space="preserve">CODEINE BIOTIC LP</w:t>
      </w:r>
      <w:r>
        <w:t xml:space="preserve"> </w:t>
      </w:r>
      <w:r>
        <w:t xml:space="preserve">(GROUPE SAIDAL)</w:t>
      </w:r>
    </w:p>
    <w:p>
      <w:pPr>
        <w:pStyle w:val="Compact"/>
        <w:numPr>
          <w:ilvl w:val="1"/>
          <w:numId w:val="1038"/>
        </w:numPr>
      </w:pPr>
      <w:r>
        <w:t xml:space="preserve">Formes et Dosages : Pellets LP en gélules 28,5 mg ; boîte de 20</w:t>
      </w:r>
    </w:p>
    <w:p>
      <w:pPr>
        <w:pStyle w:val="Compact"/>
        <w:numPr>
          <w:ilvl w:val="1"/>
          <w:numId w:val="1038"/>
        </w:numPr>
      </w:pPr>
      <w:r>
        <w:t xml:space="preserve">Statut : Non Renouvelable</w:t>
      </w:r>
    </w:p>
    <w:p>
      <w:pPr>
        <w:pStyle w:val="Compact"/>
        <w:numPr>
          <w:ilvl w:val="0"/>
          <w:numId w:val="1031"/>
        </w:numPr>
      </w:pPr>
      <w:r>
        <w:rPr>
          <w:b/>
          <w:bCs/>
        </w:rPr>
        <w:t xml:space="preserve">PECTORAL OBERLIN ADULTE</w:t>
      </w:r>
      <w:r>
        <w:t xml:space="preserve"> </w:t>
      </w:r>
      <w:r>
        <w:t xml:space="preserve">(OBERLIN)</w:t>
      </w:r>
    </w:p>
    <w:p>
      <w:pPr>
        <w:pStyle w:val="Compact"/>
        <w:numPr>
          <w:ilvl w:val="1"/>
          <w:numId w:val="1039"/>
        </w:numPr>
      </w:pPr>
      <w:r>
        <w:t xml:space="preserve">Formes et Dosages : Sirop adulte ; flacon 125 mL</w:t>
      </w:r>
    </w:p>
    <w:p>
      <w:pPr>
        <w:pStyle w:val="Compact"/>
        <w:numPr>
          <w:ilvl w:val="1"/>
          <w:numId w:val="1039"/>
        </w:numPr>
      </w:pPr>
      <w:r>
        <w:t xml:space="preserve">Statut : Retiré (R) — Liste II</w:t>
      </w:r>
    </w:p>
    <w:p>
      <w:pPr>
        <w:pStyle w:val="Compact"/>
        <w:numPr>
          <w:ilvl w:val="0"/>
          <w:numId w:val="1031"/>
        </w:numPr>
      </w:pPr>
      <w:r>
        <w:rPr>
          <w:b/>
          <w:bCs/>
        </w:rPr>
        <w:t xml:space="preserve">PECTORAL OBERLIN ENFANTS</w:t>
      </w:r>
      <w:r>
        <w:t xml:space="preserve"> </w:t>
      </w:r>
      <w:r>
        <w:t xml:space="preserve">(OBERLIN)</w:t>
      </w:r>
    </w:p>
    <w:p>
      <w:pPr>
        <w:pStyle w:val="Compact"/>
        <w:numPr>
          <w:ilvl w:val="1"/>
          <w:numId w:val="1040"/>
        </w:numPr>
      </w:pPr>
      <w:r>
        <w:t xml:space="preserve">Formes et Dosages : Sirop enfant ; flacon 150 mL</w:t>
      </w:r>
    </w:p>
    <w:p>
      <w:pPr>
        <w:pStyle w:val="Compact"/>
        <w:numPr>
          <w:ilvl w:val="1"/>
          <w:numId w:val="1040"/>
        </w:numPr>
      </w:pPr>
      <w:r>
        <w:t xml:space="preserve">Statut : Retiré (R) — Liste II</w:t>
      </w:r>
    </w:p>
    <w:p>
      <w:pPr>
        <w:pStyle w:val="Compact"/>
        <w:numPr>
          <w:ilvl w:val="0"/>
          <w:numId w:val="1031"/>
        </w:numPr>
      </w:pPr>
      <w:r>
        <w:rPr>
          <w:b/>
          <w:bCs/>
        </w:rPr>
        <w:t xml:space="preserve">SULFOLYPTOL</w:t>
      </w:r>
      <w:r>
        <w:t xml:space="preserve"> </w:t>
      </w:r>
      <w:r>
        <w:t xml:space="preserve">(SAIDAL)</w:t>
      </w:r>
    </w:p>
    <w:p>
      <w:pPr>
        <w:pStyle w:val="Compact"/>
        <w:numPr>
          <w:ilvl w:val="1"/>
          <w:numId w:val="1041"/>
        </w:numPr>
      </w:pPr>
      <w:r>
        <w:t xml:space="preserve">Formes et Dosages : Sirop adulte 0,05 g/100 g ; flacon 125 mL</w:t>
      </w:r>
    </w:p>
    <w:p>
      <w:pPr>
        <w:pStyle w:val="Compact"/>
        <w:numPr>
          <w:ilvl w:val="1"/>
          <w:numId w:val="1041"/>
        </w:numPr>
      </w:pPr>
      <w:r>
        <w:t xml:space="preserve">Statut : Retiré (R) — Liste II</w:t>
      </w:r>
    </w:p>
    <w:p>
      <w:pPr>
        <w:pStyle w:val="FirstParagraph"/>
      </w:pPr>
      <w:r>
        <w:rPr>
          <w:b/>
          <w:bCs/>
        </w:rPr>
        <w:t xml:space="preserve">Sous-classe et Mécanisme d’action :</w:t>
      </w:r>
      <w:r>
        <w:t xml:space="preserve"> </w:t>
      </w:r>
      <w:r>
        <w:t xml:space="preserve">- Sous-classe : Antalgique opioïde palier II (analgésique faible) ; antitussif central à faible dose.</w:t>
      </w:r>
      <w:r>
        <w:t xml:space="preserve"> </w:t>
      </w:r>
      <w:r>
        <w:t xml:space="preserve">- Mécanisme d’action : La codéine est une</w:t>
      </w:r>
      <w:r>
        <w:t xml:space="preserve"> </w:t>
      </w:r>
      <w:r>
        <w:rPr>
          <w:b/>
          <w:bCs/>
        </w:rPr>
        <w:t xml:space="preserve">prodrogue</w:t>
      </w:r>
      <w:r>
        <w:t xml:space="preserve">. Après absorption intestinale (biodisponibilité ~60 %), elle subit une O-déméthylation hépatique par le</w:t>
      </w:r>
      <w:r>
        <w:t xml:space="preserve"> </w:t>
      </w:r>
      <w:r>
        <w:rPr>
          <w:b/>
          <w:bCs/>
        </w:rPr>
        <w:t xml:space="preserve">CYP2D6</w:t>
      </w:r>
      <w:r>
        <w:t xml:space="preserve"> </w:t>
      </w:r>
      <w:r>
        <w:t xml:space="preserve">en morphine (≈ 5–15 % de la dose), qui seule se lie avec forte affinité au récepteur</w:t>
      </w:r>
      <w:r>
        <w:t xml:space="preserve"> </w:t>
      </w:r>
      <w:r>
        <w:rPr>
          <w:b/>
          <w:bCs/>
        </w:rPr>
        <w:t xml:space="preserve">μ (MOR)</w:t>
      </w:r>
      <w:r>
        <w:t xml:space="preserve"> </w:t>
      </w:r>
      <w:r>
        <w:t xml:space="preserve">— sous-type MOR-1D pour la toux, MOR-1 pour l’analgésie. La morphine activée déclenche : (1) inhibition de l’adénylate cyclase par couplage Gi/Go → baisse de l’AMPc ; (2) ouverture des canaux K+ rectifiants entrants (GIRK1/2 — Kir3.1/3.2) → hyperpolarisation neuronale ; (3) fermeture des canaux Ca2+ voltage-dépendants N et P/Q → inhibition de la libération présynaptique de substance P et de glutamate au niveau de la substance gélatineuse de Rolando (corne postérieure médullaire). La codéine elle-même (forme non métabolisée) conserve une faible affinité pour le μ (≈ 1/200 de la morphine) et un effet antitussif propre sur les récepteurs μ du tronc cérébral. Une autre voie métabolique mineure — N-déméthylation par CYP3A4 → norcodéine — est inactive. Environ 5–10 % de la dose est excrétée inchangée dans les urines.</w:t>
      </w:r>
    </w:p>
    <w:p>
      <w:pPr>
        <w:pStyle w:val="BodyText"/>
      </w:pPr>
      <w:r>
        <w:rPr>
          <w:b/>
          <w:bCs/>
        </w:rPr>
        <w:t xml:space="preserve">Profil Pharmacologique :</w:t>
      </w:r>
      <w:r>
        <w:t xml:space="preserve"> </w:t>
      </w:r>
      <w:r>
        <w:t xml:space="preserve">- Indications : Douleur modérée (EVA 4–7) en monothérapie ou en association avec paracétamol ou AINS ; toux sèche réfractaire (action antitussique centrale, en seconde intention après les antitussifs non opioïdes). Posologie usuelle : 30–60 mg toutes les 4–6 h, sans dépasser 240 mg/j (adulte).</w:t>
      </w:r>
      <w:r>
        <w:t xml:space="preserve"> </w:t>
      </w:r>
      <w:r>
        <w:t xml:space="preserve">- Contre-indications : (1)</w:t>
      </w:r>
      <w:r>
        <w:t xml:space="preserve"> </w:t>
      </w:r>
      <w:r>
        <w:rPr>
          <w:b/>
          <w:bCs/>
        </w:rPr>
        <w:t xml:space="preserve">3e trimestre de grossesse</w:t>
      </w:r>
      <w:r>
        <w:t xml:space="preserve"> </w:t>
      </w:r>
      <w:r>
        <w:t xml:space="preserve">(risque de dépression respiratoire fœtale et syndrome de sevrage néonatal) ; (2)</w:t>
      </w:r>
      <w:r>
        <w:t xml:space="preserve"> </w:t>
      </w:r>
      <w:r>
        <w:rPr>
          <w:b/>
          <w:bCs/>
        </w:rPr>
        <w:t xml:space="preserve">allaitement</w:t>
      </w:r>
      <w:r>
        <w:t xml:space="preserve"> </w:t>
      </w:r>
      <w:r>
        <w:t xml:space="preserve">(risque d’apnée du nourrisson chez les métaboliseuses ultra-rapides CYP2D6 transformant très vite la codéine en morphine — surproduction de morphine dans le lait) ; (3) insuffisance respiratoire décompensée ; (4) traumatisme crânien / HTIC (altération de la conscience, myosis gênant l’évaluation neurologique) ; (5) ileus paralytique ; (6) insuffisance hépatocellulaire sévère (défaut d’activation en morphine) ; (7) enfant &lt; 12 ans pour l’indication antalgique ; (8) enfant &lt; 18 ans en post-amygdalectomie (risque accru d’apnée fatale, mise en garde FDA/EMA 2013) ; (9) métaboliseurs ultra-rapides CYP2D6 connus.</w:t>
      </w:r>
      <w:r>
        <w:t xml:space="preserve"> </w:t>
      </w:r>
      <w:r>
        <w:t xml:space="preserve">- Effets Indésirables : (1) Constipation (fréquence ~30 %, due à l’activation des récepteurs μ entériques ralentissant le péristaltisme — effet dose-dépendant) ; (2) Nausées et vomissements (~15–20 %, stimulation de la chemoreceptor trigger zone au niveau de l’area postrema) ; (3) Sédation, somnolence (~10–15 %) ; (4) Vertiges, confusion (sujet âgé) ; (5) Prurit, rash (~5 %) ; (6) Dépression respiratoire (rare aux doses usuelles, mais fatale chez l’enfant ou le métaboliseur ultra-rapide) ; (7) Rétention urinaire (sphincter vésical — α-agonisme indirect) ; (8) Myosis (parasympathomimétique) ; (9) Dépendance physique et tolérance en usage prolongé ; (10) Syndrome de sevrage à l’arrêt brutal (anxiété, larmoiement, rhinorrhée, sueurs, frissons, myalgies, diarrhée, dilatation pupillaire).</w:t>
      </w:r>
    </w:p>
    <w:p>
      <w:pPr>
        <w:pStyle w:val="BodyText"/>
      </w:pPr>
      <w:r>
        <w:rPr>
          <w:b/>
          <w:bCs/>
        </w:rPr>
        <w:t xml:space="preserve">Prévention et Gestion des Effets Indésirables :</w:t>
      </w:r>
      <w:r>
        <w:t xml:space="preserve"> </w:t>
      </w:r>
      <w:r>
        <w:t xml:space="preserve">- Mesures Préventives : (a) Laxatif osmotique (macrogol 10 g/j) ou stimulateur (bisacodyl 5–10 mg le soir) systématique dès la prescription de codéine &gt; 3 jours ; (b) Antiémétique (dompéridone 10 mg TID) si nausées ; (c) Surveillance de la fréquence respiratoire et de la SpO2 chez le sujet âgé ou insuffisant respiratoire ; (d) Éviter l’alcool et les benzodiazépines ; (e) Préférer une dose initiale réduite chez le sujet âgé (&gt; 75 ans), l’insuffisant rénal et l’insuffisant hépatique.</w:t>
      </w:r>
      <w:r>
        <w:t xml:space="preserve"> </w:t>
      </w:r>
      <w:r>
        <w:t xml:space="preserve">- Conduite à Tenir : En cas de dépression respiratoire (FR &lt; 10/min, SpO2 &lt; 92 %, myosis serré, bradypnée), administrer de la</w:t>
      </w:r>
      <w:r>
        <w:t xml:space="preserve"> </w:t>
      </w:r>
      <w:r>
        <w:rPr>
          <w:b/>
          <w:bCs/>
        </w:rPr>
        <w:t xml:space="preserve">naloxone</w:t>
      </w:r>
      <w:r>
        <w:t xml:space="preserve"> </w:t>
      </w:r>
      <w:r>
        <w:t xml:space="preserve">0,1–0,4 mg IV (titration toutes les 2 min jusqu’à FR &gt; 12/min), répéter toutes les 1–2 h pendant 4–6 h (la naloxone a une demi-vie plus courte que la morphine issue de la codéine → risque de récurarisation). En cas de surdosage massif : perfusion continue de naloxone 0,4 mg/h. Arrêt progressif (décrement de 25 % tous les 2 jours) pour éviter le sevrage.</w:t>
      </w:r>
    </w:p>
    <w:p>
      <w:pPr>
        <w:pStyle w:val="BodyText"/>
      </w:pPr>
      <w:r>
        <w:rPr>
          <w:b/>
          <w:bCs/>
        </w:rPr>
        <w:t xml:space="preserve">Interactions Importantes :</w:t>
      </w:r>
      <w:r>
        <w:t xml:space="preserve"> </w:t>
      </w:r>
      <w:r>
        <w:t xml:space="preserve">- Codéine +</w:t>
      </w:r>
      <w:r>
        <w:t xml:space="preserve"> </w:t>
      </w:r>
      <w:r>
        <w:rPr>
          <w:b/>
          <w:bCs/>
        </w:rPr>
        <w:t xml:space="preserve">Inhibiteurs du CYP2D6</w:t>
      </w:r>
      <w:r>
        <w:t xml:space="preserve"> </w:t>
      </w:r>
      <w:r>
        <w:t xml:space="preserve">(paroxétine, fluoxétine, bupropion, cinacalcet, quinidine, amiodarone) :</w:t>
      </w:r>
      <w:r>
        <w:t xml:space="preserve"> </w:t>
      </w:r>
      <w:r>
        <w:rPr>
          <w:b/>
          <w:bCs/>
        </w:rPr>
        <w:t xml:space="preserve">baisse de l’activation en morphine → chute d’efficacité analgésique</w:t>
      </w:r>
      <w:r>
        <w:t xml:space="preserve"> </w:t>
      </w:r>
      <w:r>
        <w:t xml:space="preserve">(jusqu’à 60 % de réduction). Préférer un autre antalgique palier II (paracétamol + AINS).</w:t>
      </w:r>
      <w:r>
        <w:t xml:space="preserve"> </w:t>
      </w:r>
      <w:r>
        <w:t xml:space="preserve">- Codéine +</w:t>
      </w:r>
      <w:r>
        <w:t xml:space="preserve"> </w:t>
      </w:r>
      <w:r>
        <w:rPr>
          <w:b/>
          <w:bCs/>
        </w:rPr>
        <w:t xml:space="preserve">Alcool, benzodiazépines, autres dépresseurs centraux</w:t>
      </w:r>
      <w:r>
        <w:t xml:space="preserve"> </w:t>
      </w:r>
      <w:r>
        <w:t xml:space="preserve">: potentialisation de la dépression respiratoire — CI absolue ou vigilance extrême.</w:t>
      </w:r>
      <w:r>
        <w:t xml:space="preserve"> </w:t>
      </w:r>
      <w:r>
        <w:t xml:space="preserve">- Codéine +</w:t>
      </w:r>
      <w:r>
        <w:t xml:space="preserve"> </w:t>
      </w:r>
      <w:r>
        <w:rPr>
          <w:b/>
          <w:bCs/>
        </w:rPr>
        <w:t xml:space="preserve">IMAO</w:t>
      </w:r>
      <w:r>
        <w:t xml:space="preserve"> </w:t>
      </w:r>
      <w:r>
        <w:t xml:space="preserve">: risque de syndrome sérotoninergique et de poussée hypertensive (le tramadol partage ce risque, mais moins marqué pour la codéine). Respecter un délai de 14 jours entre IMAO et codéine.</w:t>
      </w:r>
      <w:r>
        <w:t xml:space="preserve"> </w:t>
      </w:r>
      <w:r>
        <w:t xml:space="preserve">- Codéine +</w:t>
      </w:r>
      <w:r>
        <w:t xml:space="preserve"> </w:t>
      </w:r>
      <w:r>
        <w:rPr>
          <w:b/>
          <w:bCs/>
        </w:rPr>
        <w:t xml:space="preserve">Métaboliseurs ultra-rapides CYP2D6</w:t>
      </w:r>
      <w:r>
        <w:t xml:space="preserve"> </w:t>
      </w:r>
      <w:r>
        <w:t xml:space="preserve">(UM, ~1–5 % de la population, plus fréquent en Afrique du Nord et au Moyen-Orient, ~29 % en Éthiopie) : transformation accrue en morphine → surdosage morphinique potentiellement létal.</w:t>
      </w:r>
      <w:r>
        <w:t xml:space="preserve"> </w:t>
      </w:r>
      <w:r>
        <w:t xml:space="preserve">- Codéine + antidépresseurs tricycliques, antihistaminiques H1 sédatifs, antipsychotiques : majoration de la sédation, hypotension orthostatique, rétention urinaire.</w:t>
      </w:r>
      <w:r>
        <w:t xml:space="preserve"> </w:t>
      </w:r>
      <w:r>
        <w:t xml:space="preserve">- Codéine + warfarine/AVK : rare mais décrit — augmentation de l’INR (mécanisme mal élucidé, surveillance INR).</w:t>
      </w:r>
    </w:p>
    <w:p>
      <w:pPr>
        <w:pStyle w:val="BodyText"/>
      </w:pPr>
      <w:r>
        <w:rPr>
          <w:b/>
          <w:bCs/>
        </w:rPr>
        <w:t xml:space="preserve">Grossesse et Allaitement :</w:t>
      </w:r>
      <w:r>
        <w:t xml:space="preserve"> </w:t>
      </w:r>
      <w:r>
        <w:t xml:space="preserve">- Grossesse :</w:t>
      </w:r>
      <w:r>
        <w:t xml:space="preserve"> </w:t>
      </w:r>
      <w:r>
        <w:rPr>
          <w:b/>
          <w:bCs/>
        </w:rPr>
        <w:t xml:space="preserve">CI absolue au 3e trimestre</w:t>
      </w:r>
      <w:r>
        <w:t xml:space="preserve"> </w:t>
      </w:r>
      <w:r>
        <w:t xml:space="preserve">(risque de dépression respiratoire fœtale à l’accouchement, syndrome de sevrage néonatal). Aux 1er et 2e trimestres, usage ponctuel et brève durée (&lt; 7 jours) possible selon le CRAT, en 2e intention après paracétamol. Éviter l’usage chronique. Ne pas utiliser en post-césarienne si allaitement projeté.</w:t>
      </w:r>
      <w:r>
        <w:t xml:space="preserve"> </w:t>
      </w:r>
      <w:r>
        <w:t xml:space="preserve">- Allaitement :</w:t>
      </w:r>
      <w:r>
        <w:t xml:space="preserve"> </w:t>
      </w:r>
      <w:r>
        <w:rPr>
          <w:b/>
          <w:bCs/>
        </w:rPr>
        <w:t xml:space="preserve">CI absolue</w:t>
      </w:r>
      <w:r>
        <w:t xml:space="preserve"> </w:t>
      </w:r>
      <w:r>
        <w:t xml:space="preserve">(recommandation CRAT/EMA 2013) — risque d’apnée et de surdose morphinique chez le nourrisson allaité par une mère métaboliseuse ultra-rapide CYP2D6 (cas mortels rapportés). Préférer paracétamol ou ibuprofène pendant l’allaitement.</w:t>
      </w:r>
      <w:r>
        <w:t xml:space="preserve"> </w:t>
      </w:r>
      <w:r>
        <w:t xml:space="preserve">- Précisions : Dépistage du statut CYP2D6 avant prescription chez la femme enceinte ou allaitante — non réalisé en routine en Algérie. Information des patientes sur le risque.</w:t>
      </w:r>
    </w:p>
    <w:p>
      <w:pPr>
        <w:pStyle w:val="BodyText"/>
      </w:pPr>
      <w:r>
        <w:rPr>
          <w:b/>
          <w:bCs/>
        </w:rPr>
        <w:t xml:space="preserve">Posologie et Mode d’administration (Standard) :</w:t>
      </w:r>
      <w:r>
        <w:t xml:space="preserve"> </w:t>
      </w:r>
      <w:r>
        <w:t xml:space="preserve">- Adulte : 30–60 mg par prise toutes les 4–6 h, sans dépasser 240 mg/24 h. Pour la toux : 15–30 mg par prise, 3–4 fois/jour, max 120 mg/j.</w:t>
      </w:r>
      <w:r>
        <w:t xml:space="preserve"> </w:t>
      </w:r>
      <w:r>
        <w:t xml:space="preserve">- Enfant &gt; 12 ans : 0,5–1 mg/kg par prise toutes les 6 h (max 60 mg/prise, 240 mg/j). CI &lt; 12 ans pour l’analgésie.</w:t>
      </w:r>
      <w:r>
        <w:t xml:space="preserve"> </w:t>
      </w:r>
      <w:r>
        <w:t xml:space="preserve">- Sujet âgé : réduire la dose initiale de 25–50 % (démarrage à 15–30 mg/prise).</w:t>
      </w:r>
      <w:r>
        <w:t xml:space="preserve"> </w:t>
      </w:r>
      <w:r>
        <w:t xml:space="preserve">- Insuffisant rénal (DFG &lt; 30 mL/min) : espacer les prises toutes les 6–8 h, réduire dose à 50 %.</w:t>
      </w:r>
      <w:r>
        <w:t xml:space="preserve"> </w:t>
      </w:r>
      <w:r>
        <w:t xml:space="preserve">- Durée : Antalgie — 5–7 jours en douleur aiguë. Antitussif — max 5 jours. Au-delà : réévaluation médicale obligatoire.</w:t>
      </w:r>
      <w:r>
        <w:t xml:space="preserve"> </w:t>
      </w:r>
      <w:r>
        <w:t xml:space="preserve">- Moment de prise : pendant ou après repas pour limiter nausées. Prises vespérales pour toux nocturne.</w:t>
      </w:r>
    </w:p>
    <w:p>
      <w:pPr>
        <w:pStyle w:val="BodyText"/>
      </w:pPr>
      <w:r>
        <w:rPr>
          <w:b/>
          <w:bCs/>
        </w:rPr>
        <w:t xml:space="preserve">Arbitrage et Bénéfices des Formes Galéniques :</w:t>
      </w:r>
      <w:r>
        <w:t xml:space="preserve"> </w:t>
      </w:r>
      <w:r>
        <w:t xml:space="preserve">La codéine est disponible en Algérie sous deux formes principales : (1)</w:t>
      </w:r>
      <w:r>
        <w:t xml:space="preserve"> </w:t>
      </w:r>
      <w:r>
        <w:rPr>
          <w:b/>
          <w:bCs/>
        </w:rPr>
        <w:t xml:space="preserve">sirop antitussif</w:t>
      </w:r>
      <w:r>
        <w:t xml:space="preserve"> </w:t>
      </w:r>
      <w:r>
        <w:t xml:space="preserve">(NEO-CODION, TUSSICOD, POLERY, SULFOLYPTOL) — adapté à l’indication toux, notamment vespérale, dose facilement adaptable chez l’enfant mais risque de mésusage (surdosage volontaire, « purple drank » aux USA) ; (2)</w:t>
      </w:r>
      <w:r>
        <w:t xml:space="preserve"> </w:t>
      </w:r>
      <w:r>
        <w:rPr>
          <w:b/>
          <w:bCs/>
        </w:rPr>
        <w:t xml:space="preserve">comprimé</w:t>
      </w:r>
      <w:r>
        <w:t xml:space="preserve"> </w:t>
      </w:r>
      <w:r>
        <w:t xml:space="preserve">(NEO-CODION 25 mg, NOVAKOD 10 mg) — forme plus simple pour l’analgésie adulte. La forme LP (CODEINE BIOTIC LP 28,5 mg) n’est plus renouvelée. À l’officine, expliquer que la codéine seule est un analgésique d’appoint, mais que son association au paracétamol (codéine 25 mg + paracétamol 500 mg, dose-unitaire classique) est plus efficace (synergie) — cette association n’est pas traitée dans cette fiche (voir section associations palier II). Pour la toux, le sirop est à prendre espacé de toute activité nécessitant une vigilance (conduite).</w:t>
      </w:r>
    </w:p>
    <w:p>
      <w:pPr>
        <w:pStyle w:val="BodyText"/>
      </w:pPr>
      <w:r>
        <w:rPr>
          <w:b/>
          <w:bCs/>
        </w:rPr>
        <w:t xml:space="preserve">Instructions et Conseils au Patient :</w:t>
      </w:r>
      <w:r>
        <w:t xml:space="preserve"> </w:t>
      </w:r>
      <w:r>
        <w:t xml:space="preserve">- Communication au comptoir : « Ce médicament est un antitussif/analgésique opioïde. Il peut provoquer somnolence, constipation et nausées. Ne pas conduire les premières 48 h. Ne pas l’associer à l’alcool. Ne pas dépasser la dose prescrite. Tenir hors de portée des enfants — surdosage grave possible. Si vous êtes enceinte ou allaitez, n’en prenez pas sans avis médical. »</w:t>
      </w:r>
      <w:r>
        <w:t xml:space="preserve"> </w:t>
      </w:r>
      <w:r>
        <w:t xml:space="preserve">- Mode d’utilisation pratique : Mesurer le sirop avec la cuillère-mesure fournie (pas une cuillère à soupe de cuisine). Respecter l’horaire des prises (ne pas anticiper la prise suivante en cas d’oubli — attendre l’horaire suivant). En cas d’oubli &gt; 2 h, sauter la prise. Ne jamais écraser ou mâcher les comprimés LP (s’ils existent en Algérie). Stocker à température ambiante, à l’abri de la lumière, hors de portée des enfants.</w:t>
      </w:r>
    </w:p>
    <w:p>
      <w:pPr>
        <w:pStyle w:val="BodyText"/>
      </w:pPr>
      <w:r>
        <w:rPr>
          <w:b/>
          <w:bCs/>
        </w:rPr>
        <w:t xml:space="preserve">Notes, Règles d’Or &amp; Pièges au Comptoir :</w:t>
      </w:r>
      <w:r>
        <w:t xml:space="preserve"> </w:t>
      </w:r>
      <w:r>
        <w:t xml:space="preserve">-</w:t>
      </w:r>
      <w:r>
        <w:t xml:space="preserve"> </w:t>
      </w:r>
      <w:r>
        <w:rPr>
          <w:b/>
          <w:bCs/>
        </w:rPr>
        <w:t xml:space="preserve">Piège classique — Métaboliseurs ultra-rapides CYP2D6</w:t>
      </w:r>
      <w:r>
        <w:t xml:space="preserve"> </w:t>
      </w:r>
      <w:r>
        <w:t xml:space="preserve">: fréquence accrue en Afrique du Nord (~3–5 %) ; ces patients transforment la codéine en morphine très rapidement, avec risque d’intoxication morphinique grave (apnée, coma) à dose thérapeutique. Devant une patiente allaitante signalant une somnolence marquée ou un nourrisson léthargique, arrêt immédiat de la codéine, consultation urgente.</w:t>
      </w:r>
      <w:r>
        <w:t xml:space="preserve"> </w:t>
      </w:r>
      <w:r>
        <w:t xml:space="preserve">-</w:t>
      </w:r>
      <w:r>
        <w:t xml:space="preserve"> </w:t>
      </w:r>
      <w:r>
        <w:rPr>
          <w:b/>
          <w:bCs/>
        </w:rPr>
        <w:t xml:space="preserve">Piège enfant &lt; 12 ans</w:t>
      </w:r>
      <w:r>
        <w:t xml:space="preserve"> </w:t>
      </w:r>
      <w:r>
        <w:t xml:space="preserve">: prescription CI pour l’analgésie depuis 2013 (EMA) — risque d’apnée fatale. Pour la toux, CI également chez l’enfant de moins de 12 ans depuis 2015.</w:t>
      </w:r>
      <w:r>
        <w:t xml:space="preserve"> </w:t>
      </w:r>
      <w:r>
        <w:t xml:space="preserve">-</w:t>
      </w:r>
      <w:r>
        <w:t xml:space="preserve"> </w:t>
      </w:r>
      <w:r>
        <w:rPr>
          <w:b/>
          <w:bCs/>
        </w:rPr>
        <w:t xml:space="preserve">Piège post-amygdalectomie</w:t>
      </w:r>
      <w:r>
        <w:t xml:space="preserve"> </w:t>
      </w:r>
      <w:r>
        <w:t xml:space="preserve">: risque d’apnée fatale chez l’enfant porteur d’apnée obstructive du sommeil opérée — CI &lt; 18 ans dans ce contexte.</w:t>
      </w:r>
      <w:r>
        <w:t xml:space="preserve"> </w:t>
      </w:r>
      <w:r>
        <w:t xml:space="preserve">-</w:t>
      </w:r>
      <w:r>
        <w:t xml:space="preserve"> </w:t>
      </w:r>
      <w:r>
        <w:rPr>
          <w:b/>
          <w:bCs/>
        </w:rPr>
        <w:t xml:space="preserve">Règle de prise</w:t>
      </w:r>
      <w:r>
        <w:t xml:space="preserve"> </w:t>
      </w:r>
      <w:r>
        <w:t xml:space="preserve">: ne pas dépasser 240 mg/j, ne pas prolonger au-delà de 7 jours sans réévaluation.</w:t>
      </w:r>
      <w:r>
        <w:t xml:space="preserve"> </w:t>
      </w:r>
      <w:r>
        <w:t xml:space="preserve">-</w:t>
      </w:r>
      <w:r>
        <w:t xml:space="preserve"> </w:t>
      </w:r>
      <w:r>
        <w:rPr>
          <w:b/>
          <w:bCs/>
        </w:rPr>
        <w:t xml:space="preserve">Préparation et Conservation</w:t>
      </w:r>
      <w:r>
        <w:t xml:space="preserve"> </w:t>
      </w:r>
      <w:r>
        <w:t xml:space="preserve">: sirops — flacon bien refermé, conservation 6 mois après ouverture, à température &lt; 25 °C. Comprimés — boîte d’origine, à l’abri de l’humidité.</w:t>
      </w:r>
      <w:r>
        <w:t xml:space="preserve"> </w:t>
      </w:r>
      <w:r>
        <w:t xml:space="preserve">-</w:t>
      </w:r>
      <w:r>
        <w:t xml:space="preserve"> </w:t>
      </w:r>
      <w:r>
        <w:rPr>
          <w:b/>
          <w:bCs/>
        </w:rPr>
        <w:t xml:space="preserve">Piège du surdosage</w:t>
      </w:r>
      <w:r>
        <w:t xml:space="preserve"> </w:t>
      </w:r>
      <w:r>
        <w:t xml:space="preserve">: le surdosage volontaire ou accidentel à la codéine se manifeste par myosis serré, bradypnée &lt; 10/min, somnolence évoluant vers le coma. Antidote : naloxone IV. En raison de la conversion en morphine (demi-vie plus longue), récurarisation possible → surveillance prolongée 6–12 h.</w:t>
      </w:r>
      <w:r>
        <w:t xml:space="preserve"> </w:t>
      </w:r>
      <w:r>
        <w:t xml:space="preserve">-</w:t>
      </w:r>
      <w:r>
        <w:t xml:space="preserve"> </w:t>
      </w:r>
      <w:r>
        <w:rPr>
          <w:b/>
          <w:bCs/>
        </w:rPr>
        <w:t xml:space="preserve">Substitution / Mésusage</w:t>
      </w:r>
      <w:r>
        <w:t xml:space="preserve"> </w:t>
      </w:r>
      <w:r>
        <w:t xml:space="preserve">: bien que moins « attractive » que le tramadol pour le mésusage, la codéine peut faire l’objet de détournements (analgésiques en sirop, « lean »). Vigilance en cas de prescriptions multiples rapprochées, refus de dispensation en cas de doute.</w:t>
      </w:r>
    </w:p>
    <w:p>
      <w:r>
        <w:pict>
          <v:rect style="width:0;height:1.5pt" o:hralign="center" o:hrstd="t" o:hr="t"/>
        </w:pict>
      </w:r>
    </w:p>
    <w:bookmarkEnd w:id="105"/>
    <w:bookmarkStart w:id="106" w:name="dci-tramadol-seule"/>
    <w:p>
      <w:pPr>
        <w:pStyle w:val="Heading3"/>
      </w:pPr>
      <w:r>
        <w:t xml:space="preserve">2. DCI : Tramadol (Seule)</w:t>
      </w:r>
    </w:p>
    <w:p>
      <w:pPr>
        <w:pStyle w:val="FirstParagraph"/>
      </w:pPr>
      <w:r>
        <w:rPr>
          <w:b/>
          <w:bCs/>
        </w:rPr>
        <w:t xml:space="preserve">Liste des Catégories :</w:t>
      </w:r>
      <w:r>
        <w:t xml:space="preserve"> </w:t>
      </w:r>
      <w:r>
        <w:t xml:space="preserve">Antalgiques palier II - Opioïdes faibles ; Atypique (double mécanisme : agoniste μ faible + inhibiteur recapture sérotonine/noradrénaline).</w:t>
      </w:r>
    </w:p>
    <w:p>
      <w:pPr>
        <w:pStyle w:val="BodyText"/>
      </w:pPr>
      <w:r>
        <w:t xml:space="preserve">Le tramadol est un analgésique central de synthèse, dérivé cyclohexanol apparenté à la codéine. Sa particularité est d’avoir un</w:t>
      </w:r>
      <w:r>
        <w:t xml:space="preserve"> </w:t>
      </w:r>
      <w:r>
        <w:rPr>
          <w:b/>
          <w:bCs/>
        </w:rPr>
        <w:t xml:space="preserve">double mécanisme d’action</w:t>
      </w:r>
      <w:r>
        <w:t xml:space="preserve"> </w:t>
      </w:r>
      <w:r>
        <w:t xml:space="preserve">: (1) agoniste opioïde faible sur le récepteur μ (affinité 10 fois inférieure à la codéine, 6000 fois inférieure à la morphine) ; (2) inhibiteur de la recapture de la</w:t>
      </w:r>
      <w:r>
        <w:t xml:space="preserve"> </w:t>
      </w:r>
      <w:r>
        <w:rPr>
          <w:b/>
          <w:bCs/>
        </w:rPr>
        <w:t xml:space="preserve">noradrénaline</w:t>
      </w:r>
      <w:r>
        <w:t xml:space="preserve"> </w:t>
      </w:r>
      <w:r>
        <w:t xml:space="preserve">et de la</w:t>
      </w:r>
      <w:r>
        <w:t xml:space="preserve"> </w:t>
      </w:r>
      <w:r>
        <w:rPr>
          <w:b/>
          <w:bCs/>
        </w:rPr>
        <w:t xml:space="preserve">sérotonine</w:t>
      </w:r>
      <w:r>
        <w:t xml:space="preserve"> </w:t>
      </w:r>
      <w:r>
        <w:t xml:space="preserve">au niveau des voies descendantes inhibitrices de la douleur (effet monoaminergique central). Cette double action en fait un antalgique atypique, parfois qualifié d’« opioïde atypique ». Comme la codéine, le tramadol est une</w:t>
      </w:r>
      <w:r>
        <w:t xml:space="preserve"> </w:t>
      </w:r>
      <w:r>
        <w:rPr>
          <w:b/>
          <w:bCs/>
        </w:rPr>
        <w:t xml:space="preserve">prodrogue</w:t>
      </w:r>
      <w:r>
        <w:t xml:space="preserve"> </w:t>
      </w:r>
      <w:r>
        <w:t xml:space="preserve">: son métabolite O-désméthyltramadol (</w:t>
      </w:r>
      <w:r>
        <w:rPr>
          <w:b/>
          <w:bCs/>
        </w:rPr>
        <w:t xml:space="preserve">M1</w:t>
      </w:r>
      <w:r>
        <w:t xml:space="preserve">), généré par CYP2D6, est 200 fois plus affine pour le μ que la molécule mère et procure l’essentiel de l’effet opioïde. La durée d’action est de 4–6 h (forme immédiate) et 12 h (forme LP).</w:t>
      </w:r>
    </w:p>
    <w:p>
      <w:pPr>
        <w:pStyle w:val="BodyText"/>
      </w:pPr>
      <w:r>
        <w:rPr>
          <w:b/>
          <w:bCs/>
        </w:rPr>
        <w:t xml:space="preserve">Médicaments disponibles en Algérie (Marques, Laboratoires, Formes et Dosages) :</w:t>
      </w:r>
    </w:p>
    <w:p>
      <w:pPr>
        <w:pStyle w:val="BodyText"/>
      </w:pPr>
      <w:r>
        <w:rPr>
          <w:i/>
          <w:iCs/>
        </w:rPr>
        <w:t xml:space="preserve">Formes orales à libération immédiate (gélules 50 mg) :</w:t>
      </w:r>
      <w:r>
        <w:t xml:space="preserve"> </w:t>
      </w:r>
      <w:r>
        <w:t xml:space="preserve">-</w:t>
      </w:r>
      <w:r>
        <w:t xml:space="preserve"> </w:t>
      </w:r>
      <w:r>
        <w:rPr>
          <w:b/>
          <w:bCs/>
        </w:rPr>
        <w:t xml:space="preserve">DOLEX</w:t>
      </w:r>
      <w:r>
        <w:t xml:space="preserve"> </w:t>
      </w:r>
      <w:r>
        <w:t xml:space="preserve">(LABORATOIRES MERINAL) — Gélule 50 mg, B/30 — Actif — Liste I</w:t>
      </w:r>
      <w:r>
        <w:t xml:space="preserve"> </w:t>
      </w:r>
      <w:r>
        <w:t xml:space="preserve">-</w:t>
      </w:r>
      <w:r>
        <w:t xml:space="preserve"> </w:t>
      </w:r>
      <w:r>
        <w:rPr>
          <w:b/>
          <w:bCs/>
        </w:rPr>
        <w:t xml:space="preserve">SUPRAMADOL</w:t>
      </w:r>
      <w:r>
        <w:t xml:space="preserve"> </w:t>
      </w:r>
      <w:r>
        <w:t xml:space="preserve">(FRATER-RAZES FORME SECHE) — Gélule 50 mg, B/30 — Actif — Liste I</w:t>
      </w:r>
      <w:r>
        <w:t xml:space="preserve"> </w:t>
      </w:r>
      <w:r>
        <w:t xml:space="preserve">-</w:t>
      </w:r>
      <w:r>
        <w:t xml:space="preserve"> </w:t>
      </w:r>
      <w:r>
        <w:rPr>
          <w:b/>
          <w:bCs/>
        </w:rPr>
        <w:t xml:space="preserve">TRAMADIS</w:t>
      </w:r>
      <w:r>
        <w:t xml:space="preserve"> </w:t>
      </w:r>
      <w:r>
        <w:t xml:space="preserve">(INPHA-MEDIS) — Gélule 50 mg, B/10 — Actif — Liste I</w:t>
      </w:r>
      <w:r>
        <w:t xml:space="preserve"> </w:t>
      </w:r>
      <w:r>
        <w:t xml:space="preserve">-</w:t>
      </w:r>
      <w:r>
        <w:t xml:space="preserve"> </w:t>
      </w:r>
      <w:r>
        <w:rPr>
          <w:b/>
          <w:bCs/>
        </w:rPr>
        <w:t xml:space="preserve">TRAMADOL BEKER</w:t>
      </w:r>
      <w:r>
        <w:t xml:space="preserve"> </w:t>
      </w:r>
      <w:r>
        <w:t xml:space="preserve">(LABORATOIRES BEKER) — Gélule 50 mg, B/30 — Actif — Liste I</w:t>
      </w:r>
      <w:r>
        <w:t xml:space="preserve"> </w:t>
      </w:r>
      <w:r>
        <w:t xml:space="preserve">-</w:t>
      </w:r>
      <w:r>
        <w:t xml:space="preserve"> </w:t>
      </w:r>
      <w:r>
        <w:rPr>
          <w:b/>
          <w:bCs/>
        </w:rPr>
        <w:t xml:space="preserve">TRAMADOL LS</w:t>
      </w:r>
      <w:r>
        <w:t xml:space="preserve"> </w:t>
      </w:r>
      <w:r>
        <w:t xml:space="preserve">(LABORATOIRES SALEM) — Gélule 50 mg, B/30 — Actif — Liste I</w:t>
      </w:r>
      <w:r>
        <w:t xml:space="preserve"> </w:t>
      </w:r>
      <w:r>
        <w:t xml:space="preserve">-</w:t>
      </w:r>
      <w:r>
        <w:t xml:space="preserve"> </w:t>
      </w:r>
      <w:r>
        <w:rPr>
          <w:b/>
          <w:bCs/>
        </w:rPr>
        <w:t xml:space="preserve">TRAMADOL NOVAGENERICS</w:t>
      </w:r>
      <w:r>
        <w:t xml:space="preserve"> </w:t>
      </w:r>
      <w:r>
        <w:t xml:space="preserve">(NOVAPHARM TRADING) — Gélule 50 mg, B/30 — Actif — Liste I</w:t>
      </w:r>
      <w:r>
        <w:t xml:space="preserve"> </w:t>
      </w:r>
      <w:r>
        <w:t xml:space="preserve">-</w:t>
      </w:r>
      <w:r>
        <w:t xml:space="preserve"> </w:t>
      </w:r>
      <w:r>
        <w:rPr>
          <w:b/>
          <w:bCs/>
        </w:rPr>
        <w:t xml:space="preserve">TRAMAL</w:t>
      </w:r>
      <w:r>
        <w:t xml:space="preserve"> </w:t>
      </w:r>
      <w:r>
        <w:t xml:space="preserve">(NEOMEDIC) — Gélule 50 mg, B/30 — Actif — Liste I</w:t>
      </w:r>
      <w:r>
        <w:t xml:space="preserve"> </w:t>
      </w:r>
      <w:r>
        <w:t xml:space="preserve">-</w:t>
      </w:r>
      <w:r>
        <w:t xml:space="preserve"> </w:t>
      </w:r>
      <w:r>
        <w:rPr>
          <w:b/>
          <w:bCs/>
        </w:rPr>
        <w:t xml:space="preserve">TRAMEX</w:t>
      </w:r>
      <w:r>
        <w:t xml:space="preserve"> </w:t>
      </w:r>
      <w:r>
        <w:t xml:space="preserve">(KPMA BIOTIC) — Gélule 50 mg, B/30 — Actif — Liste I</w:t>
      </w:r>
      <w:r>
        <w:t xml:space="preserve"> </w:t>
      </w:r>
      <w:r>
        <w:t xml:space="preserve">-</w:t>
      </w:r>
      <w:r>
        <w:t xml:space="preserve"> </w:t>
      </w:r>
      <w:r>
        <w:rPr>
          <w:b/>
          <w:bCs/>
        </w:rPr>
        <w:t xml:space="preserve">DOLTRAM</w:t>
      </w:r>
      <w:r>
        <w:t xml:space="preserve"> </w:t>
      </w:r>
      <w:r>
        <w:t xml:space="preserve">(GROUPE SAIDAL) — Gélule 50 mg, B/30 — Actif — Liste I</w:t>
      </w:r>
      <w:r>
        <w:t xml:space="preserve"> </w:t>
      </w:r>
      <w:r>
        <w:t xml:space="preserve">-</w:t>
      </w:r>
      <w:r>
        <w:t xml:space="preserve"> </w:t>
      </w:r>
      <w:r>
        <w:rPr>
          <w:b/>
          <w:bCs/>
        </w:rPr>
        <w:t xml:space="preserve">ZODID</w:t>
      </w:r>
      <w:r>
        <w:t xml:space="preserve"> </w:t>
      </w:r>
      <w:r>
        <w:t xml:space="preserve">(BIOGALENIC) — Gélule 50 mg, B/30 — Actif — Liste I</w:t>
      </w:r>
      <w:r>
        <w:t xml:space="preserve"> </w:t>
      </w:r>
      <w:r>
        <w:t xml:space="preserve">-</w:t>
      </w:r>
      <w:r>
        <w:t xml:space="preserve"> </w:t>
      </w:r>
      <w:r>
        <w:rPr>
          <w:b/>
          <w:bCs/>
        </w:rPr>
        <w:t xml:space="preserve">DUOFEM</w:t>
      </w:r>
      <w:r>
        <w:t xml:space="preserve"> </w:t>
      </w:r>
      <w:r>
        <w:t xml:space="preserve">(PHARMALLIANCE) — Gélule 50 mg, B/30 — Non Renouvelable — Liste I</w:t>
      </w:r>
    </w:p>
    <w:p>
      <w:pPr>
        <w:pStyle w:val="BodyText"/>
      </w:pPr>
      <w:r>
        <w:rPr>
          <w:i/>
          <w:iCs/>
        </w:rPr>
        <w:t xml:space="preserve">Forme rectale :</w:t>
      </w:r>
      <w:r>
        <w:t xml:space="preserve"> </w:t>
      </w:r>
      <w:r>
        <w:t xml:space="preserve">-</w:t>
      </w:r>
      <w:r>
        <w:t xml:space="preserve"> </w:t>
      </w:r>
      <w:r>
        <w:rPr>
          <w:b/>
          <w:bCs/>
        </w:rPr>
        <w:t xml:space="preserve">TRAMADINE</w:t>
      </w:r>
      <w:r>
        <w:t xml:space="preserve"> </w:t>
      </w:r>
      <w:r>
        <w:t xml:space="preserve">(4A SANTE INDUSTRIE) — Suppositoire 100 mg, B/10 — Actif — Liste I</w:t>
      </w:r>
      <w:r>
        <w:t xml:space="preserve"> </w:t>
      </w:r>
      <w:r>
        <w:t xml:space="preserve">-</w:t>
      </w:r>
      <w:r>
        <w:t xml:space="preserve"> </w:t>
      </w:r>
      <w:r>
        <w:rPr>
          <w:b/>
          <w:bCs/>
        </w:rPr>
        <w:t xml:space="preserve">TRAMADOL LS</w:t>
      </w:r>
      <w:r>
        <w:t xml:space="preserve"> </w:t>
      </w:r>
      <w:r>
        <w:t xml:space="preserve">(LABORATOIRES SALEM) — Suppositoire 100 mg, B/10 — Actif — Liste I</w:t>
      </w:r>
    </w:p>
    <w:p>
      <w:pPr>
        <w:pStyle w:val="BodyText"/>
      </w:pPr>
      <w:r>
        <w:rPr>
          <w:i/>
          <w:iCs/>
        </w:rPr>
        <w:t xml:space="preserve">Formes à libération prolongée :</w:t>
      </w:r>
      <w:r>
        <w:t xml:space="preserve"> </w:t>
      </w:r>
      <w:r>
        <w:t xml:space="preserve">-</w:t>
      </w:r>
      <w:r>
        <w:t xml:space="preserve"> </w:t>
      </w:r>
      <w:r>
        <w:rPr>
          <w:b/>
          <w:bCs/>
        </w:rPr>
        <w:t xml:space="preserve">TRAMADOL BEKER LP</w:t>
      </w:r>
      <w:r>
        <w:t xml:space="preserve"> </w:t>
      </w:r>
      <w:r>
        <w:t xml:space="preserve">(LABORATOIRES BEKER) — Comprimé pelliculé LP 100 mg, B/30 — Actif — Liste I</w:t>
      </w:r>
      <w:r>
        <w:t xml:space="preserve"> </w:t>
      </w:r>
      <w:r>
        <w:t xml:space="preserve">-</w:t>
      </w:r>
      <w:r>
        <w:t xml:space="preserve"> </w:t>
      </w:r>
      <w:r>
        <w:rPr>
          <w:b/>
          <w:bCs/>
        </w:rPr>
        <w:t xml:space="preserve">TRAMCETA LP</w:t>
      </w:r>
      <w:r>
        <w:t xml:space="preserve"> </w:t>
      </w:r>
      <w:r>
        <w:t xml:space="preserve">(EL KENDI INDUSTRIE DU MEDICAMENT) — Comprimé pelliculé LP 300 mg, B/20 — Actif</w:t>
      </w:r>
      <w:r>
        <w:t xml:space="preserve"> </w:t>
      </w:r>
      <w:r>
        <w:t xml:space="preserve">-</w:t>
      </w:r>
      <w:r>
        <w:t xml:space="preserve"> </w:t>
      </w:r>
      <w:r>
        <w:rPr>
          <w:b/>
          <w:bCs/>
        </w:rPr>
        <w:t xml:space="preserve">DOLTRAM</w:t>
      </w:r>
      <w:r>
        <w:t xml:space="preserve"> </w:t>
      </w:r>
      <w:r>
        <w:t xml:space="preserve">(GROUPE SAIDAL) — Comprimé enrobé LP 100 mg, B/30 — Non Renouvelable — Liste I</w:t>
      </w:r>
      <w:r>
        <w:t xml:space="preserve"> </w:t>
      </w:r>
      <w:r>
        <w:t xml:space="preserve">-</w:t>
      </w:r>
      <w:r>
        <w:t xml:space="preserve"> </w:t>
      </w:r>
      <w:r>
        <w:rPr>
          <w:b/>
          <w:bCs/>
        </w:rPr>
        <w:t xml:space="preserve">DOLTRAM</w:t>
      </w:r>
      <w:r>
        <w:t xml:space="preserve"> </w:t>
      </w:r>
      <w:r>
        <w:t xml:space="preserve">(GROUPE SAIDAL) — Comprimé enrobé LP 150 mg, B/30 — Non Renouvelable — Liste I</w:t>
      </w:r>
      <w:r>
        <w:t xml:space="preserve"> </w:t>
      </w:r>
      <w:r>
        <w:t xml:space="preserve">-</w:t>
      </w:r>
      <w:r>
        <w:t xml:space="preserve"> </w:t>
      </w:r>
      <w:r>
        <w:rPr>
          <w:b/>
          <w:bCs/>
        </w:rPr>
        <w:t xml:space="preserve">DOLTRAM</w:t>
      </w:r>
      <w:r>
        <w:t xml:space="preserve"> </w:t>
      </w:r>
      <w:r>
        <w:t xml:space="preserve">(GROUPE SAIDAL) — Comprimé enrobé LP 200 mg, B/30 — Non Renouvelable — Liste I</w:t>
      </w:r>
    </w:p>
    <w:p>
      <w:pPr>
        <w:pStyle w:val="BodyText"/>
      </w:pPr>
      <w:r>
        <w:rPr>
          <w:i/>
          <w:iCs/>
        </w:rPr>
        <w:t xml:space="preserve">Forme injectable :</w:t>
      </w:r>
      <w:r>
        <w:t xml:space="preserve"> </w:t>
      </w:r>
      <w:r>
        <w:t xml:space="preserve">-</w:t>
      </w:r>
      <w:r>
        <w:t xml:space="preserve"> </w:t>
      </w:r>
      <w:r>
        <w:rPr>
          <w:b/>
          <w:bCs/>
        </w:rPr>
        <w:t xml:space="preserve">SUPRAMADOL</w:t>
      </w:r>
      <w:r>
        <w:t xml:space="preserve"> </w:t>
      </w:r>
      <w:r>
        <w:t xml:space="preserve">(LES LABORATOIRES FRATER RAZES) — Solution injectable IM/IV 50 mg/mL (100 mg/2 mL), B/5 et B/50 amp. 2 mL — Actif — Liste I</w:t>
      </w:r>
      <w:r>
        <w:t xml:space="preserve"> </w:t>
      </w:r>
      <w:r>
        <w:t xml:space="preserve">-</w:t>
      </w:r>
      <w:r>
        <w:t xml:space="preserve"> </w:t>
      </w:r>
      <w:r>
        <w:rPr>
          <w:b/>
          <w:bCs/>
        </w:rPr>
        <w:t xml:space="preserve">TRAMADIS</w:t>
      </w:r>
      <w:r>
        <w:t xml:space="preserve"> </w:t>
      </w:r>
      <w:r>
        <w:t xml:space="preserve">(INPHA-MEDIS) — Solution injectable IV / pour perfusion IV 50 mg/mL (100 mg/2 mL), B/5 amp. 2 mL — Actif — Liste I</w:t>
      </w:r>
      <w:r>
        <w:t xml:space="preserve"> </w:t>
      </w:r>
      <w:r>
        <w:t xml:space="preserve">-</w:t>
      </w:r>
      <w:r>
        <w:t xml:space="preserve"> </w:t>
      </w:r>
      <w:r>
        <w:rPr>
          <w:b/>
          <w:bCs/>
        </w:rPr>
        <w:t xml:space="preserve">TRAMGESIC</w:t>
      </w:r>
      <w:r>
        <w:t xml:space="preserve"> </w:t>
      </w:r>
      <w:r>
        <w:t xml:space="preserve">(CADILA HEALTHCARE LIMITED) — Solution injectable 50 mg/mL (100 mg/2 mL), B/5 amp. 2 mL — Non Renouvelable — Liste I</w:t>
      </w:r>
    </w:p>
    <w:p>
      <w:pPr>
        <w:pStyle w:val="BodyText"/>
      </w:pPr>
      <w:r>
        <w:rPr>
          <w:i/>
          <w:iCs/>
        </w:rPr>
        <w:t xml:space="preserve">Spécialités retirées (R) :</w:t>
      </w:r>
      <w:r>
        <w:t xml:space="preserve"> </w:t>
      </w:r>
      <w:r>
        <w:t xml:space="preserve">-</w:t>
      </w:r>
      <w:r>
        <w:t xml:space="preserve"> </w:t>
      </w:r>
      <w:r>
        <w:rPr>
          <w:b/>
          <w:bCs/>
        </w:rPr>
        <w:t xml:space="preserve">TRAMADOL-BIOGARAN</w:t>
      </w:r>
      <w:r>
        <w:t xml:space="preserve"> </w:t>
      </w:r>
      <w:r>
        <w:t xml:space="preserve">(BIOGARAN) — Gélule 50 mg, B/30 — Retiré (R) — Liste I</w:t>
      </w:r>
      <w:r>
        <w:t xml:space="preserve"> </w:t>
      </w:r>
      <w:r>
        <w:t xml:space="preserve">-</w:t>
      </w:r>
      <w:r>
        <w:t xml:space="preserve"> </w:t>
      </w:r>
      <w:r>
        <w:rPr>
          <w:b/>
          <w:bCs/>
        </w:rPr>
        <w:t xml:space="preserve">ALGIDEX</w:t>
      </w:r>
      <w:r>
        <w:t xml:space="preserve"> </w:t>
      </w:r>
      <w:r>
        <w:t xml:space="preserve">(LGPA) — Gélule 50 mg, B/30 — Retiré (R) — Liste I</w:t>
      </w:r>
      <w:r>
        <w:t xml:space="preserve"> </w:t>
      </w:r>
      <w:r>
        <w:t xml:space="preserve">-</w:t>
      </w:r>
      <w:r>
        <w:t xml:space="preserve"> </w:t>
      </w:r>
      <w:r>
        <w:rPr>
          <w:b/>
          <w:bCs/>
        </w:rPr>
        <w:t xml:space="preserve">TRAMGESIC</w:t>
      </w:r>
      <w:r>
        <w:t xml:space="preserve"> </w:t>
      </w:r>
      <w:r>
        <w:t xml:space="preserve">(CADILA HEALTH CARE LIMITED) — Gélule 50 mg, B/30 — Retiré (R) — Liste I</w:t>
      </w:r>
      <w:r>
        <w:t xml:space="preserve"> </w:t>
      </w:r>
      <w:r>
        <w:t xml:space="preserve">-</w:t>
      </w:r>
      <w:r>
        <w:t xml:space="preserve"> </w:t>
      </w:r>
      <w:r>
        <w:rPr>
          <w:b/>
          <w:bCs/>
        </w:rPr>
        <w:t xml:space="preserve">TREMADOL</w:t>
      </w:r>
      <w:r>
        <w:t xml:space="preserve"> </w:t>
      </w:r>
      <w:r>
        <w:t xml:space="preserve">(COOPER MAROC) — Comprimé 50 mg, B/20 — Retiré (R) — Liste I</w:t>
      </w:r>
      <w:r>
        <w:t xml:space="preserve"> </w:t>
      </w:r>
      <w:r>
        <w:t xml:space="preserve">-</w:t>
      </w:r>
      <w:r>
        <w:t xml:space="preserve"> </w:t>
      </w:r>
      <w:r>
        <w:rPr>
          <w:b/>
          <w:bCs/>
        </w:rPr>
        <w:t xml:space="preserve">TRAMADOL IBERAL</w:t>
      </w:r>
      <w:r>
        <w:t xml:space="preserve"> </w:t>
      </w:r>
      <w:r>
        <w:t xml:space="preserve">(IBERAL SPA) — Gélule 50 mg, B/30 — Retiré (R) — Liste I</w:t>
      </w:r>
      <w:r>
        <w:t xml:space="preserve"> </w:t>
      </w:r>
      <w:r>
        <w:t xml:space="preserve">-</w:t>
      </w:r>
      <w:r>
        <w:t xml:space="preserve"> </w:t>
      </w:r>
      <w:r>
        <w:rPr>
          <w:b/>
          <w:bCs/>
        </w:rPr>
        <w:t xml:space="preserve">TRAMADOL SANDOZ</w:t>
      </w:r>
      <w:r>
        <w:t xml:space="preserve"> </w:t>
      </w:r>
      <w:r>
        <w:t xml:space="preserve">(SANDOZ SPA) — Gélule 50 mg, B/30 — Retiré (R) — Liste I</w:t>
      </w:r>
    </w:p>
    <w:p>
      <w:pPr>
        <w:pStyle w:val="BodyText"/>
      </w:pPr>
      <w:r>
        <w:rPr>
          <w:b/>
          <w:bCs/>
        </w:rPr>
        <w:t xml:space="preserve">Sous-classe et Mécanisme d’action :</w:t>
      </w:r>
      <w:r>
        <w:t xml:space="preserve"> </w:t>
      </w:r>
      <w:r>
        <w:t xml:space="preserve">- Sous-classe : Antalgique opioïde palier II atypique (analgésique central à double mécanisme).</w:t>
      </w:r>
      <w:r>
        <w:t xml:space="preserve"> </w:t>
      </w:r>
      <w:r>
        <w:t xml:space="preserve">- Mécanisme d’action : Le tramadol est un mélange racémique de deux énantiomères (+) et (−), agissant en synergie. (1) Le</w:t>
      </w:r>
      <w:r>
        <w:t xml:space="preserve"> </w:t>
      </w:r>
      <w:r>
        <w:rPr>
          <w:b/>
          <w:bCs/>
        </w:rPr>
        <w:t xml:space="preserve">(+)-tramadol</w:t>
      </w:r>
      <w:r>
        <w:t xml:space="preserve"> </w:t>
      </w:r>
      <w:r>
        <w:t xml:space="preserve">est un inhibiteur faible de la recapture de la sérotonine ; (2) le</w:t>
      </w:r>
      <w:r>
        <w:t xml:space="preserve"> </w:t>
      </w:r>
      <w:r>
        <w:rPr>
          <w:b/>
          <w:bCs/>
        </w:rPr>
        <w:t xml:space="preserve">(−)-tramadol</w:t>
      </w:r>
      <w:r>
        <w:t xml:space="preserve"> </w:t>
      </w:r>
      <w:r>
        <w:t xml:space="preserve">est un inhibiteur plus puissant de la recapture de la noradrénaline ; (3) le</w:t>
      </w:r>
      <w:r>
        <w:t xml:space="preserve"> </w:t>
      </w:r>
      <w:r>
        <w:rPr>
          <w:b/>
          <w:bCs/>
        </w:rPr>
        <w:t xml:space="preserve">(+)-O-désméthyltramadol (M1)</w:t>
      </w:r>
      <w:r>
        <w:t xml:space="preserve"> </w:t>
      </w:r>
      <w:r>
        <w:t xml:space="preserve">(métabolite généré par CYP2D6, affinité 200x supérieure au tramadol parent) est un agoniste du récepteur μ. L’effet analgésique combine donc : activation du récepteur μ (voie opioïde classique — Gi/Go → baisse AMPc → ouverture K+ → hyperpolarisation) et potentialisation des voies descendantes inhibitrices monoaminergiques (sérotonine et noradrénaline bulbospinales sur les interneurones enképhalinergiques de la corne postérieure, libérant endomorphines dynorphines). Cette double action explique l’efficacité partielle du tramadol sur les douleurs neuropathiques (où la composante monoaminergique est décisive), contrairement aux autres opioïdes purs.</w:t>
      </w:r>
    </w:p>
    <w:p>
      <w:pPr>
        <w:pStyle w:val="BodyText"/>
      </w:pPr>
      <w:r>
        <w:rPr>
          <w:b/>
          <w:bCs/>
        </w:rPr>
        <w:t xml:space="preserve">Profil Pharmacologique :</w:t>
      </w:r>
      <w:r>
        <w:t xml:space="preserve"> </w:t>
      </w:r>
      <w:r>
        <w:t xml:space="preserve">- Indications : Douleur modérée à sévère (EVA 4–7), aiguë (postopératoire, traumatologique, colique néphrétique) ou chronique (cancéreuse, neuropathique en seconde ligne). Forme injectable IM/IV : douleur aiguë postopératoire immédiate, colique néphrétique. Forme LP : douleur chronique (cancer, lombosciatique chronique).</w:t>
      </w:r>
      <w:r>
        <w:t xml:space="preserve"> </w:t>
      </w:r>
      <w:r>
        <w:t xml:space="preserve">- Contre-indications : (1) Insuffisance respiratoire sévère non surveillée ; (2) Traumatisme crânien / HTIC ; (3) État de mal épileptique ou épilepsie non contrôlée (le tramadol abaisse le seuil épileptogène) ; (4) Ileus paralytique ; (5) 3e trimestre de grossesse (risque de syndrome de sevrage néonatal) ; (6) Allaitement ; (7) Enfant &lt; 3 ans (CI pour les gélules) ; (8) Insuffisance hépatique sévère (CI pour la forme LP) ; (9) Association aux IMAO (respecter délai de 14 jours) ; (10) Syndrome sérotoninergique latent.</w:t>
      </w:r>
      <w:r>
        <w:t xml:space="preserve"> </w:t>
      </w:r>
      <w:r>
        <w:t xml:space="preserve">- Effets Indésirables : (1) Nausées/vomissements (~25 % des patients, plus fréquents qu’avec la codéine, dose-dépendants) ; (2) Vertiges, somnolence (~17 %) ; (3) Constipation (~10 %, moins marquée que morphine) ; (4)</w:t>
      </w:r>
      <w:r>
        <w:t xml:space="preserve"> </w:t>
      </w:r>
      <w:r>
        <w:rPr>
          <w:b/>
          <w:bCs/>
        </w:rPr>
        <w:t xml:space="preserve">Sueurs, bouffées vasomotrices</w:t>
      </w:r>
      <w:r>
        <w:t xml:space="preserve"> </w:t>
      </w:r>
      <w:r>
        <w:t xml:space="preserve">(effet sérotoninergique) ; (5)</w:t>
      </w:r>
      <w:r>
        <w:t xml:space="preserve"> </w:t>
      </w:r>
      <w:r>
        <w:rPr>
          <w:b/>
          <w:bCs/>
        </w:rPr>
        <w:t xml:space="preserve">Convulsions</w:t>
      </w:r>
      <w:r>
        <w:t xml:space="preserve"> </w:t>
      </w:r>
      <w:r>
        <w:t xml:space="preserve">(rare, ~1 %, favorisées par dose élevée, association à antidépresseurs abaissant seuil épileptique, insuffisance rénale) ; (6)</w:t>
      </w:r>
      <w:r>
        <w:t xml:space="preserve"> </w:t>
      </w:r>
      <w:r>
        <w:rPr>
          <w:b/>
          <w:bCs/>
        </w:rPr>
        <w:t xml:space="preserve">Syndrome sérotoninergique</w:t>
      </w:r>
      <w:r>
        <w:t xml:space="preserve"> </w:t>
      </w:r>
      <w:r>
        <w:t xml:space="preserve">(hyperthermie, myoclonies, hyperréflexie, agitation, confusion) — particulièrement en association avec IRS, IMAO, triptans, lithium, tramadol IV ; (7) Hypoglycémie (rare mais décrite, surtout chez le sujet âgé ou diabétique) ; (8) Dépendance physique et psychologique (décrite, mésusage possible — réordonnancement en Liste I en France en 2017) ; (9) Confusion, hallucinations (sujet âgé) ; (10) Tolerance et sevrage à l’arrêt (anxiété, tremblements, sueurs, diarrhée, myalgies).</w:t>
      </w:r>
    </w:p>
    <w:p>
      <w:pPr>
        <w:pStyle w:val="BodyText"/>
      </w:pPr>
      <w:r>
        <w:rPr>
          <w:b/>
          <w:bCs/>
        </w:rPr>
        <w:t xml:space="preserve">Prévention et Gestion des Effets Indésirables :</w:t>
      </w:r>
      <w:r>
        <w:t xml:space="preserve"> </w:t>
      </w:r>
      <w:r>
        <w:t xml:space="preserve">- Mesures Préventives : (a) Débuter à dose faible (50 mg le soir puis 50 mg x 2/j à J2, puis 50 mg x 4/j à J3) pour limiter nausées initiales ; (b) Laxatif si usage &gt; 7 jours ; (c) Antiémétique (dompéridone, métoclopramide — éviter les antidopaminergiques si association à IRS) ; (d) Surveillance de la vigilance (conduite CI les premiers jours) ; (e) Hydratation et alimentation régulière (hypoglycémie) ; (f) Vérifier les associations médicamenteuses (cf. interactions).</w:t>
      </w:r>
      <w:r>
        <w:t xml:space="preserve"> </w:t>
      </w:r>
      <w:r>
        <w:t xml:space="preserve">- Conduite à Tenir : En cas de convulsion → arrêt immédiat du tramadol, traitement par benzodiazépine IV (diazépam 10 mg ou clonazépam 1 mg), surveillance EEG. En cas de syndrome sérotoninergique → arrêt du tramadol et de tout agent sérotoninergique, refroidissement externe, cyproheptadine (Periactine) 4 mg PO/sonde, benzodiazépines pour myoclonies, surveillance soins intensifs. En cas de dépression respiratoire → naloxone IV 0,1–0,4 mg titration, mais action partielle (le tramadol agit aussi par voie monoaminergique non antagonisée par naloxone). En cas d’hypoglycémie → resucrage, surveillance glycémique.</w:t>
      </w:r>
    </w:p>
    <w:p>
      <w:pPr>
        <w:pStyle w:val="BodyText"/>
      </w:pPr>
      <w:r>
        <w:rPr>
          <w:b/>
          <w:bCs/>
        </w:rPr>
        <w:t xml:space="preserve">Interactions Importantes :</w:t>
      </w:r>
      <w:r>
        <w:t xml:space="preserve"> </w:t>
      </w:r>
      <w:r>
        <w:t xml:space="preserve">- Tramadol +</w:t>
      </w:r>
      <w:r>
        <w:t xml:space="preserve"> </w:t>
      </w:r>
      <w:r>
        <w:rPr>
          <w:b/>
          <w:bCs/>
        </w:rPr>
        <w:t xml:space="preserve">IRS (paroxétine, fluoxétine, sertraline, citalopram, venlafaxine, duloxétine)</w:t>
      </w:r>
      <w:r>
        <w:t xml:space="preserve"> </w:t>
      </w:r>
      <w:r>
        <w:t xml:space="preserve">: (1) syndrome sérotoninergique (potentiel létal) ; (2) inhibition du CYP2D6 → baisse de l’activation en M1 → chute d’efficacité.</w:t>
      </w:r>
      <w:r>
        <w:t xml:space="preserve"> </w:t>
      </w:r>
      <w:r>
        <w:rPr>
          <w:b/>
          <w:bCs/>
        </w:rPr>
        <w:t xml:space="preserve">CI ou vigilance maximale</w:t>
      </w:r>
      <w:r>
        <w:t xml:space="preserve">.</w:t>
      </w:r>
      <w:r>
        <w:t xml:space="preserve"> </w:t>
      </w:r>
      <w:r>
        <w:t xml:space="preserve">- Tramadol +</w:t>
      </w:r>
      <w:r>
        <w:t xml:space="preserve"> </w:t>
      </w:r>
      <w:r>
        <w:rPr>
          <w:b/>
          <w:bCs/>
        </w:rPr>
        <w:t xml:space="preserve">IMAO (non sélectifs, ou réversibles type moclobémide)</w:t>
      </w:r>
      <w:r>
        <w:t xml:space="preserve"> </w:t>
      </w:r>
      <w:r>
        <w:t xml:space="preserve">:</w:t>
      </w:r>
      <w:r>
        <w:t xml:space="preserve"> </w:t>
      </w:r>
      <w:r>
        <w:rPr>
          <w:b/>
          <w:bCs/>
        </w:rPr>
        <w:t xml:space="preserve">CI absolue</w:t>
      </w:r>
      <w:r>
        <w:t xml:space="preserve"> </w:t>
      </w:r>
      <w:r>
        <w:t xml:space="preserve">— syndrome sérotoninergique grave. Respecter 14 jours d’arrêt IMAO avant introduction tramadol.</w:t>
      </w:r>
      <w:r>
        <w:t xml:space="preserve"> </w:t>
      </w:r>
      <w:r>
        <w:t xml:space="preserve">- Tramadol +</w:t>
      </w:r>
      <w:r>
        <w:t xml:space="preserve"> </w:t>
      </w:r>
      <w:r>
        <w:rPr>
          <w:b/>
          <w:bCs/>
        </w:rPr>
        <w:t xml:space="preserve">Carbamazépine, oxcarbazépine, phénytoïne</w:t>
      </w:r>
      <w:r>
        <w:t xml:space="preserve"> </w:t>
      </w:r>
      <w:r>
        <w:t xml:space="preserve">: (1) induction CYP3A4 → baisse du tramadol parent → baisse d’efficacité ; (2) convulsions additionnelles (carbamazépine abaisse seuil mais le tramadol l’abaisse aussi — antagonisme complexe). Éviter.</w:t>
      </w:r>
      <w:r>
        <w:t xml:space="preserve"> </w:t>
      </w:r>
      <w:r>
        <w:t xml:space="preserve">- Tramadol +</w:t>
      </w:r>
      <w:r>
        <w:t xml:space="preserve"> </w:t>
      </w:r>
      <w:r>
        <w:rPr>
          <w:b/>
          <w:bCs/>
        </w:rPr>
        <w:t xml:space="preserve">Tramadol/Codéine/Morphine</w:t>
      </w:r>
      <w:r>
        <w:t xml:space="preserve"> </w:t>
      </w:r>
      <w:r>
        <w:t xml:space="preserve">: additivité opioïde, risque de surdosage.</w:t>
      </w:r>
      <w:r>
        <w:t xml:space="preserve"> </w:t>
      </w:r>
      <w:r>
        <w:t xml:space="preserve">- Tramadol +</w:t>
      </w:r>
      <w:r>
        <w:t xml:space="preserve"> </w:t>
      </w:r>
      <w:r>
        <w:rPr>
          <w:b/>
          <w:bCs/>
        </w:rPr>
        <w:t xml:space="preserve">Triptans (sumatriptan, zolmitriptan)</w:t>
      </w:r>
      <w:r>
        <w:t xml:space="preserve"> </w:t>
      </w:r>
      <w:r>
        <w:t xml:space="preserve">: risque de syndrome sérotoninergique, vasoconstriction additive.</w:t>
      </w:r>
      <w:r>
        <w:t xml:space="preserve"> </w:t>
      </w:r>
      <w:r>
        <w:t xml:space="preserve">- Tramadol +</w:t>
      </w:r>
      <w:r>
        <w:t xml:space="preserve"> </w:t>
      </w:r>
      <w:r>
        <w:rPr>
          <w:b/>
          <w:bCs/>
        </w:rPr>
        <w:t xml:space="preserve">Ondansétron</w:t>
      </w:r>
      <w:r>
        <w:t xml:space="preserve"> </w:t>
      </w:r>
      <w:r>
        <w:t xml:space="preserve">(anti-5HT3) : antagonisme pharmacologique (baisse d’efficacité analgésique du tramadol).</w:t>
      </w:r>
      <w:r>
        <w:t xml:space="preserve"> </w:t>
      </w:r>
      <w:r>
        <w:t xml:space="preserve">- Tramadol +</w:t>
      </w:r>
      <w:r>
        <w:t xml:space="preserve"> </w:t>
      </w:r>
      <w:r>
        <w:rPr>
          <w:b/>
          <w:bCs/>
        </w:rPr>
        <w:t xml:space="preserve">Warfarine/AVK</w:t>
      </w:r>
      <w:r>
        <w:t xml:space="preserve"> </w:t>
      </w:r>
      <w:r>
        <w:t xml:space="preserve">: augmentation de l’INR, saignements décrits (mécanisme mal élucidé). Surveiller INR.</w:t>
      </w:r>
      <w:r>
        <w:t xml:space="preserve"> </w:t>
      </w:r>
      <w:r>
        <w:t xml:space="preserve">- Tramadol +</w:t>
      </w:r>
      <w:r>
        <w:t xml:space="preserve"> </w:t>
      </w:r>
      <w:r>
        <w:rPr>
          <w:b/>
          <w:bCs/>
        </w:rPr>
        <w:t xml:space="preserve">CYP2D6 inhibiteurs</w:t>
      </w:r>
      <w:r>
        <w:t xml:space="preserve"> </w:t>
      </w:r>
      <w:r>
        <w:t xml:space="preserve">(paroxétine, fluoxétine, quinidine, bupropion) : chute d’efficacité.</w:t>
      </w:r>
      <w:r>
        <w:t xml:space="preserve"> </w:t>
      </w:r>
      <w:r>
        <w:t xml:space="preserve">- Tramadol + alcool, benzodiazépines, autres opioïdes : dépression respiratoire additive.</w:t>
      </w:r>
    </w:p>
    <w:p>
      <w:pPr>
        <w:pStyle w:val="BodyText"/>
      </w:pPr>
      <w:r>
        <w:rPr>
          <w:b/>
          <w:bCs/>
        </w:rPr>
        <w:t xml:space="preserve">Grossesse et Allaitement :</w:t>
      </w:r>
      <w:r>
        <w:t xml:space="preserve"> </w:t>
      </w:r>
      <w:r>
        <w:t xml:space="preserve">- Grossesse :</w:t>
      </w:r>
      <w:r>
        <w:t xml:space="preserve"> </w:t>
      </w:r>
      <w:r>
        <w:rPr>
          <w:b/>
          <w:bCs/>
        </w:rPr>
        <w:t xml:space="preserve">CI au 3e trimestre</w:t>
      </w:r>
      <w:r>
        <w:t xml:space="preserve"> </w:t>
      </w:r>
      <w:r>
        <w:t xml:space="preserve">(risque de syndrome de sevrage néonatal — tremblements, hyperexcitabilité, vomissements, fièvre, diarrhée débutant 24–72 h après naissance). Aux 1er et 2e trimestres, usage ponctuel possible selon CRAT, en 2e intention, prescription courte. À éviter en début de grossesse par précaution (données animales suggérant tératogénicité neurologique à forte dose).</w:t>
      </w:r>
      <w:r>
        <w:t xml:space="preserve"> </w:t>
      </w:r>
      <w:r>
        <w:t xml:space="preserve">- Allaitement :</w:t>
      </w:r>
      <w:r>
        <w:t xml:space="preserve"> </w:t>
      </w:r>
      <w:r>
        <w:rPr>
          <w:b/>
          <w:bCs/>
        </w:rPr>
        <w:t xml:space="preserve">CI absolue</w:t>
      </w:r>
      <w:r>
        <w:t xml:space="preserve"> </w:t>
      </w:r>
      <w:r>
        <w:t xml:space="preserve">selon CRAT (transfert dans le lait maternel, métabolite M1 actif détecté, risque de dépression respiratoire et de syndrome sérotoninergique chez le nourrisson). Préférer paracétamol ou ibuprofène (compatibles).</w:t>
      </w:r>
      <w:r>
        <w:t xml:space="preserve"> </w:t>
      </w:r>
      <w:r>
        <w:t xml:space="preserve">- Précisions : Métaboliseuses ultra-rapides CYP2D6 — risque majoré de transformation en M1 et donc de passage de M1 dans le lait.</w:t>
      </w:r>
    </w:p>
    <w:p>
      <w:pPr>
        <w:pStyle w:val="BodyText"/>
      </w:pPr>
      <w:r>
        <w:rPr>
          <w:b/>
          <w:bCs/>
        </w:rPr>
        <w:t xml:space="preserve">Posologie et Mode d’administration (Standard) :</w:t>
      </w:r>
      <w:r>
        <w:t xml:space="preserve"> </w:t>
      </w:r>
      <w:r>
        <w:t xml:space="preserve">- Adulte (&lt; 75 ans) : gélule 50–100 mg toutes les 6 h, sans dépasser 400 mg/jour (palier II). LP : 100–200 mg x 2/jour (12 h), ou 300 mg LP x 1/jour (TRAMCETA LP 300 mg, à libération prolongée 24 h). Voie IM/IV : 50–100 mg toutes les 4–6 h, max 400 mg/j (injection IV lente sur 2–3 min pour limiter flush et nausées).</w:t>
      </w:r>
      <w:r>
        <w:t xml:space="preserve"> </w:t>
      </w:r>
      <w:r>
        <w:t xml:space="preserve">- Sujet âgé (&gt; 75 ans) : dose initiale réduite à 50 mg x 2/jour, augmentation progressive, max 300 mg/j.</w:t>
      </w:r>
      <w:r>
        <w:t xml:space="preserve"> </w:t>
      </w:r>
      <w:r>
        <w:t xml:space="preserve">- Enfant &gt; 3 ans : 1–2 mg/kg par prise, sans dépasser 8 mg/kg/j (max 400 mg/j).</w:t>
      </w:r>
      <w:r>
        <w:t xml:space="preserve"> </w:t>
      </w:r>
      <w:r>
        <w:t xml:space="preserve">- Insuffisant rénal (DFG &lt; 30 mL/min) : espacer les prises à 12 h, max 200 mg/j.</w:t>
      </w:r>
      <w:r>
        <w:t xml:space="preserve"> </w:t>
      </w:r>
      <w:r>
        <w:t xml:space="preserve">- Insuffisance hépatique modérée : max 150 mg/j en 2 prises ; CI pour les formes LP en cas d’insuffisance hépatique sévère.</w:t>
      </w:r>
      <w:r>
        <w:t xml:space="preserve"> </w:t>
      </w:r>
      <w:r>
        <w:t xml:space="preserve">- Durée : prescription courte 5–7 jours en douleur aiguë ; réévaluation systématique au-delà.</w:t>
      </w:r>
      <w:r>
        <w:t xml:space="preserve"> </w:t>
      </w:r>
      <w:r>
        <w:t xml:space="preserve">- Moment de prise : pendant repas pour limiter nausées, prise vespérale privilégiée pour la 1re dose (somnolence initiale fréquente).</w:t>
      </w:r>
    </w:p>
    <w:p>
      <w:pPr>
        <w:pStyle w:val="BodyText"/>
      </w:pPr>
      <w:r>
        <w:rPr>
          <w:b/>
          <w:bCs/>
        </w:rPr>
        <w:t xml:space="preserve">Arbitrage et Bénéfices des Formes Galéniques :</w:t>
      </w:r>
      <w:r>
        <w:t xml:space="preserve"> </w:t>
      </w:r>
      <w:r>
        <w:t xml:space="preserve">La diversité galénique du tramadol en Algérie est remarquable. (1)</w:t>
      </w:r>
      <w:r>
        <w:t xml:space="preserve"> </w:t>
      </w:r>
      <w:r>
        <w:rPr>
          <w:b/>
          <w:bCs/>
        </w:rPr>
        <w:t xml:space="preserve">Gélule 50 mg à libération immédiate</w:t>
      </w:r>
      <w:r>
        <w:t xml:space="preserve"> </w:t>
      </w:r>
      <w:r>
        <w:t xml:space="preserve">— forme de référence pour démarrage, titration et douleur aiguë ; souplesse d’adaptation posologique. (2)</w:t>
      </w:r>
      <w:r>
        <w:t xml:space="preserve"> </w:t>
      </w:r>
      <w:r>
        <w:rPr>
          <w:b/>
          <w:bCs/>
        </w:rPr>
        <w:t xml:space="preserve">Suppositoire 100 mg</w:t>
      </w:r>
      <w:r>
        <w:t xml:space="preserve"> </w:t>
      </w:r>
      <w:r>
        <w:t xml:space="preserve">— alternative en cas de vomissements, de trouble de déglutition ou de contre-indication temporaire à la voie orale (postopératoire immédiat). (3)</w:t>
      </w:r>
      <w:r>
        <w:t xml:space="preserve"> </w:t>
      </w:r>
      <w:r>
        <w:rPr>
          <w:b/>
          <w:bCs/>
        </w:rPr>
        <w:t xml:space="preserve">Forme LP 100–300 mg</w:t>
      </w:r>
      <w:r>
        <w:t xml:space="preserve"> </w:t>
      </w:r>
      <w:r>
        <w:t xml:space="preserve">— analgésie prolongée 12–24 h, meilleure observance, moins de pics et creux plasmatiques, indications chroniques (cancer, lombosciatique). TRAMCETA LP 300 mg (El Kendi) offre une formulation à 24 h unique en Algérie, particulièrement utile pour les douleurs chroniques stables. (4)</w:t>
      </w:r>
      <w:r>
        <w:t xml:space="preserve"> </w:t>
      </w:r>
      <w:r>
        <w:rPr>
          <w:b/>
          <w:bCs/>
        </w:rPr>
        <w:t xml:space="preserve">Forme injectable</w:t>
      </w:r>
      <w:r>
        <w:t xml:space="preserve"> </w:t>
      </w:r>
      <w:r>
        <w:t xml:space="preserve">— hospitalière, per- et postopératoire, colique néphrétique aiguë. La multiplicité des génériques (une dizaine de marques actives en gélules 50 mg) illustre la banalisation de cette molécule en Algérie — vigilance accrue sur les signes de mésusage et de dépendance (multiplication des ordonnances chez différents prescripteurs, demanding behaviors).</w:t>
      </w:r>
    </w:p>
    <w:p>
      <w:pPr>
        <w:pStyle w:val="BodyText"/>
      </w:pPr>
      <w:r>
        <w:rPr>
          <w:b/>
          <w:bCs/>
        </w:rPr>
        <w:t xml:space="preserve">Instructions et Conseils au Patient :</w:t>
      </w:r>
      <w:r>
        <w:t xml:space="preserve"> </w:t>
      </w:r>
      <w:r>
        <w:t xml:space="preserve">- Communication au comptoir : « Ce médicament est un antalgique opioïde atypique. Ne pas dépasser 8 gélules/jour (50 mg). Risque de convulsions à forte dose, de syndrome sérotoninergique si vous prenez aussi un antidépresseur (paroxétine, fluoxétine, sertraline, venlafaxine). Prévenir votre médecin si vous êtes sous antidépresseur. Ne pas conduire les premiers jours. Ne pas associer à l’alcool. Ne pas arrêter brutalement si usage prolongé (sevrage). Ne pas écraser les comprimés LP. »</w:t>
      </w:r>
      <w:r>
        <w:t xml:space="preserve"> </w:t>
      </w:r>
      <w:r>
        <w:t xml:space="preserve">- Mode d’utilisation pratique : Gélule à avaler entière avec un grand verre d’eau, pendant les repas. Suppositoire à insérer après émission rectale. Comprimé LP à prendre à heure fixe, matin et soir (12 h) ou soir seul (24 h). En cas d’oubli &lt; 2 h, prendre la dose ; sinon attendre l’horaire suivant (pas de double dose). Ne pas écraser ni mâcher les comprimés LP (risque de libération massive et surdosage). Stocker à température ambiante &lt; 25 °C, à l’abri de l’humidité.</w:t>
      </w:r>
    </w:p>
    <w:p>
      <w:pPr>
        <w:pStyle w:val="BodyText"/>
      </w:pPr>
      <w:r>
        <w:rPr>
          <w:b/>
          <w:bCs/>
        </w:rPr>
        <w:t xml:space="preserve">Notes, Règles d’Or &amp; Pièges au Comptoir :</w:t>
      </w:r>
      <w:r>
        <w:t xml:space="preserve"> </w:t>
      </w:r>
      <w:r>
        <w:t xml:space="preserve">-</w:t>
      </w:r>
      <w:r>
        <w:t xml:space="preserve"> </w:t>
      </w:r>
      <w:r>
        <w:rPr>
          <w:b/>
          <w:bCs/>
        </w:rPr>
        <w:t xml:space="preserve">Piège classique — Convulsions</w:t>
      </w:r>
      <w:r>
        <w:t xml:space="preserve"> </w:t>
      </w:r>
      <w:r>
        <w:t xml:space="preserve">: le tramadol abaisse le seuil épileptogène. À dose thérapeutique, le risque est faible (~0,8 %) mais augmente au-delà de 400 mg/j, en association à un antidépresseur tricyclique, à un IRS, à un neuroleptique, en insuffisance rénale ou chez le patient épileptique. En cas d’antécédent d’épilepsie, préférer un autre antalgique palier II.</w:t>
      </w:r>
      <w:r>
        <w:t xml:space="preserve"> </w:t>
      </w:r>
      <w:r>
        <w:t xml:space="preserve">-</w:t>
      </w:r>
      <w:r>
        <w:t xml:space="preserve"> </w:t>
      </w:r>
      <w:r>
        <w:rPr>
          <w:b/>
          <w:bCs/>
        </w:rPr>
        <w:t xml:space="preserve">Piège — Syndrome sérotoninergique</w:t>
      </w:r>
      <w:r>
        <w:t xml:space="preserve"> </w:t>
      </w:r>
      <w:r>
        <w:t xml:space="preserve">: risque mortel si association IRS/IMAO/triptans. Devant fièvre, myoclonies, hyperréflexie, agitation, confusion, diarrhée chez un patient sous tramadol + IRS → arrêt immédiat, urgences.</w:t>
      </w:r>
      <w:r>
        <w:t xml:space="preserve"> </w:t>
      </w:r>
      <w:r>
        <w:t xml:space="preserve">-</w:t>
      </w:r>
      <w:r>
        <w:t xml:space="preserve"> </w:t>
      </w:r>
      <w:r>
        <w:rPr>
          <w:b/>
          <w:bCs/>
        </w:rPr>
        <w:t xml:space="preserve">Piège — Métaboliseurs ultra-rapides CYP2D6</w:t>
      </w:r>
      <w:r>
        <w:t xml:space="preserve"> </w:t>
      </w:r>
      <w:r>
        <w:t xml:space="preserve">: jusqu’à 5 % de la population (plus en Afrique du Nord) → surproduction de M1 → surdosage opioïde possible à dose standard.</w:t>
      </w:r>
      <w:r>
        <w:t xml:space="preserve"> </w:t>
      </w:r>
      <w:r>
        <w:t xml:space="preserve">-</w:t>
      </w:r>
      <w:r>
        <w:t xml:space="preserve"> </w:t>
      </w:r>
      <w:r>
        <w:rPr>
          <w:b/>
          <w:bCs/>
        </w:rPr>
        <w:t xml:space="preserve">Piège — Métaboliseurs lents CYP2D6</w:t>
      </w:r>
      <w:r>
        <w:t xml:space="preserve"> </w:t>
      </w:r>
      <w:r>
        <w:t xml:space="preserve">: 5–10 % de la population → activation insuffisante en M1 → inefficacité analgésique ; ne pas augmenter la dose au-delà de 400 mg/j (risque convulsif) ; switcher vers un autre palier II.</w:t>
      </w:r>
      <w:r>
        <w:t xml:space="preserve"> </w:t>
      </w:r>
      <w:r>
        <w:t xml:space="preserve">-</w:t>
      </w:r>
      <w:r>
        <w:t xml:space="preserve"> </w:t>
      </w:r>
      <w:r>
        <w:rPr>
          <w:b/>
          <w:bCs/>
        </w:rPr>
        <w:t xml:space="preserve">Règle de prise</w:t>
      </w:r>
      <w:r>
        <w:t xml:space="preserve"> </w:t>
      </w:r>
      <w:r>
        <w:t xml:space="preserve">: max 400 mg/j (300 mg/j chez le sujet âgé), ne pas dépasser 7 jours sans réévaluation.</w:t>
      </w:r>
      <w:r>
        <w:t xml:space="preserve"> </w:t>
      </w:r>
      <w:r>
        <w:t xml:space="preserve">-</w:t>
      </w:r>
      <w:r>
        <w:t xml:space="preserve"> </w:t>
      </w:r>
      <w:r>
        <w:rPr>
          <w:b/>
          <w:bCs/>
        </w:rPr>
        <w:t xml:space="preserve">Préparation et Conservation</w:t>
      </w:r>
      <w:r>
        <w:t xml:space="preserve"> </w:t>
      </w:r>
      <w:r>
        <w:t xml:space="preserve">: gélules et comprimés à conserver à température &lt; 25 °C, à l’abri de l’humidité. Solution injectable : conservation &lt; 25 °C, ne pas congeler ; après dilution, stabilité 24 h.</w:t>
      </w:r>
      <w:r>
        <w:t xml:space="preserve"> </w:t>
      </w:r>
      <w:r>
        <w:t xml:space="preserve">-</w:t>
      </w:r>
      <w:r>
        <w:t xml:space="preserve"> </w:t>
      </w:r>
      <w:r>
        <w:rPr>
          <w:b/>
          <w:bCs/>
        </w:rPr>
        <w:t xml:space="preserve">Piège du surdosage</w:t>
      </w:r>
      <w:r>
        <w:t xml:space="preserve"> </w:t>
      </w:r>
      <w:r>
        <w:t xml:space="preserve">: la naloxone antagonise partiellement le tramadol (le M1 est antagonisé, mais pas l’effet monoaminergique). Surveillance prolongée 6–12 h, fonction de la demi-vie d’élimination (5–6 h).</w:t>
      </w:r>
      <w:r>
        <w:t xml:space="preserve"> </w:t>
      </w:r>
      <w:r>
        <w:t xml:space="preserve">-</w:t>
      </w:r>
      <w:r>
        <w:t xml:space="preserve"> </w:t>
      </w:r>
      <w:r>
        <w:rPr>
          <w:b/>
          <w:bCs/>
        </w:rPr>
        <w:t xml:space="preserve">Substitution / Mésusage</w:t>
      </w:r>
      <w:r>
        <w:t xml:space="preserve"> </w:t>
      </w:r>
      <w:r>
        <w:t xml:space="preserve">: depuis 2017 en France (réordonnancement Liste I), le tramadol fait l’objet de détournements. En Algérie, le tramadol reste en Liste I mais sa disponibilité large et son faible coût en font une molécule à risque de pharmacodépendance, particulièrement chez le sujet jeune. Vigilance à l’officine : prescriptions rapprochées, demanding behaviors, multiples prescripteurs, dose cumulée &gt; 400 mg/j.</w:t>
      </w:r>
      <w:r>
        <w:t xml:space="preserve"> </w:t>
      </w:r>
      <w:r>
        <w:t xml:space="preserve">-</w:t>
      </w:r>
      <w:r>
        <w:t xml:space="preserve"> </w:t>
      </w:r>
      <w:r>
        <w:rPr>
          <w:b/>
          <w:bCs/>
        </w:rPr>
        <w:t xml:space="preserve">Piège — Hypoglycémie</w:t>
      </w:r>
      <w:r>
        <w:t xml:space="preserve"> </w:t>
      </w:r>
      <w:r>
        <w:t xml:space="preserve">: cas décrits surtout chez le diabétique âgé insuffisant rénal. Surveillance glycémique si association.</w:t>
      </w:r>
    </w:p>
    <w:p>
      <w:r>
        <w:pict>
          <v:rect style="width:0;height:1.5pt" o:hralign="center" o:hrstd="t" o:hr="t"/>
        </w:pict>
      </w:r>
    </w:p>
    <w:bookmarkEnd w:id="106"/>
    <w:bookmarkEnd w:id="107"/>
    <w:bookmarkStart w:id="114" w:name="X46200051be332ae91794490ea33ad755b960eba"/>
    <w:p>
      <w:pPr>
        <w:pStyle w:val="Heading2"/>
      </w:pPr>
      <w:r>
        <w:t xml:space="preserve">Sous-classe : Antalgiques palier III — Opioïdes forts</w:t>
      </w:r>
    </w:p>
    <w:p>
      <w:pPr>
        <w:pStyle w:val="FirstParagraph"/>
      </w:pPr>
      <w:r>
        <w:t xml:space="preserve">Les opioïdes forts du palier III de l’OMS sont destinés au traitement des</w:t>
      </w:r>
      <w:r>
        <w:t xml:space="preserve"> </w:t>
      </w:r>
      <w:r>
        <w:rPr>
          <w:b/>
          <w:bCs/>
        </w:rPr>
        <w:t xml:space="preserve">douleurs sévères</w:t>
      </w:r>
      <w:r>
        <w:t xml:space="preserve"> </w:t>
      </w:r>
      <w:r>
        <w:t xml:space="preserve">(EVA ≥ 7) ou résistantes aux paliers I et II. Ils représentent le traitement de référence de la douleur cancéreuse, de la douleur postopératoire majeure, de la douleur des soins intensifs (ventilation mécanique) et de certaines douleurs chroniques non cancéreuses réfractaires (lombosciatique chronique, neuropathies périphériques — sous surveillance spécialisée). À la différence des paliers I et II, il n’existe pas de plafond d’efficacité pour la majorité d’entre eux (titration jusqu’à obtention de l’effet ou jusqu’à la survenue d’effets indésirables limitants — typiquement sédation excessive ou dépression respiratoire).</w:t>
      </w:r>
    </w:p>
    <w:p>
      <w:pPr>
        <w:pStyle w:val="BodyText"/>
      </w:pPr>
      <w:r>
        <w:rPr>
          <w:b/>
          <w:bCs/>
        </w:rPr>
        <w:t xml:space="preserve">Six molécules sont disponibles en Algérie</w:t>
      </w:r>
      <w:r>
        <w:t xml:space="preserve"> </w:t>
      </w:r>
      <w:r>
        <w:t xml:space="preserve">dans cette sous-classe :</w:t>
      </w:r>
      <w:r>
        <w:t xml:space="preserve"> </w:t>
      </w:r>
      <w:r>
        <w:t xml:space="preserve">-</w:t>
      </w:r>
      <w:r>
        <w:t xml:space="preserve"> </w:t>
      </w:r>
      <w:r>
        <w:rPr>
          <w:b/>
          <w:bCs/>
        </w:rPr>
        <w:t xml:space="preserve">Morphine</w:t>
      </w:r>
      <w:r>
        <w:t xml:space="preserve"> </w:t>
      </w:r>
      <w:r>
        <w:t xml:space="preserve">— opioïde de référence, gold standard OMS, agoniste μ pur, forme orale LP et LI.</w:t>
      </w:r>
      <w:r>
        <w:t xml:space="preserve"> </w:t>
      </w:r>
      <w:r>
        <w:t xml:space="preserve">-</w:t>
      </w:r>
      <w:r>
        <w:t xml:space="preserve"> </w:t>
      </w:r>
      <w:r>
        <w:rPr>
          <w:b/>
          <w:bCs/>
        </w:rPr>
        <w:t xml:space="preserve">Fentanyl</w:t>
      </w:r>
      <w:r>
        <w:t xml:space="preserve"> </w:t>
      </w:r>
      <w:r>
        <w:t xml:space="preserve">— anilidopipéridine très lipophile, anesthésique IV et analgésique patch transdermique 72 h, spray nasal.</w:t>
      </w:r>
      <w:r>
        <w:t xml:space="preserve"> </w:t>
      </w:r>
      <w:r>
        <w:t xml:space="preserve">-</w:t>
      </w:r>
      <w:r>
        <w:t xml:space="preserve"> </w:t>
      </w:r>
      <w:r>
        <w:rPr>
          <w:b/>
          <w:bCs/>
        </w:rPr>
        <w:t xml:space="preserve">Oxycodone</w:t>
      </w:r>
      <w:r>
        <w:t xml:space="preserve"> </w:t>
      </w:r>
      <w:r>
        <w:t xml:space="preserve">— opioïde semi-synthétique (thébaïne), agoniste μ pur, prodrogue partielle (CYP2D6/CYP3A4). Toutes les spécialités OXYNORM retirées en Algérie.</w:t>
      </w:r>
      <w:r>
        <w:t xml:space="preserve"> </w:t>
      </w:r>
      <w:r>
        <w:t xml:space="preserve">-</w:t>
      </w:r>
      <w:r>
        <w:t xml:space="preserve"> </w:t>
      </w:r>
      <w:r>
        <w:rPr>
          <w:b/>
          <w:bCs/>
        </w:rPr>
        <w:t xml:space="preserve">Sufentanil</w:t>
      </w:r>
      <w:r>
        <w:t xml:space="preserve"> </w:t>
      </w:r>
      <w:r>
        <w:t xml:space="preserve">— anilidopipéridine, 5–10x plus puissant que fentanyl, anesthésie IV.</w:t>
      </w:r>
      <w:r>
        <w:t xml:space="preserve"> </w:t>
      </w:r>
      <w:r>
        <w:t xml:space="preserve">-</w:t>
      </w:r>
      <w:r>
        <w:t xml:space="preserve"> </w:t>
      </w:r>
      <w:r>
        <w:rPr>
          <w:b/>
          <w:bCs/>
        </w:rPr>
        <w:t xml:space="preserve">Alfentanil</w:t>
      </w:r>
      <w:r>
        <w:t xml:space="preserve"> </w:t>
      </w:r>
      <w:r>
        <w:t xml:space="preserve">— anilidopipéridine, onset rapide (1–2 min), courte durée (10–15 min), anesthésie IV.</w:t>
      </w:r>
      <w:r>
        <w:t xml:space="preserve"> </w:t>
      </w:r>
      <w:r>
        <w:t xml:space="preserve">-</w:t>
      </w:r>
      <w:r>
        <w:t xml:space="preserve"> </w:t>
      </w:r>
      <w:r>
        <w:rPr>
          <w:b/>
          <w:bCs/>
        </w:rPr>
        <w:t xml:space="preserve">Remifentanil</w:t>
      </w:r>
      <w:r>
        <w:t xml:space="preserve"> </w:t>
      </w:r>
      <w:r>
        <w:t xml:space="preserve">— anilidopipéridine, métabolisme par estérases plasmatiques (demi-vie 3–4 min indépendante de la durée de perfusion), anesthésie IV ajustable.</w:t>
      </w:r>
    </w:p>
    <w:p>
      <w:pPr>
        <w:pStyle w:val="BodyText"/>
      </w:pPr>
      <w:r>
        <w:rPr>
          <w:b/>
          <w:bCs/>
        </w:rPr>
        <w:t xml:space="preserve">Caractéristiques communes de classe :</w:t>
      </w:r>
      <w:r>
        <w:t xml:space="preserve"> </w:t>
      </w:r>
      <w:r>
        <w:t xml:space="preserve">- Toutes agissent principalement sur le récepteur</w:t>
      </w:r>
      <w:r>
        <w:t xml:space="preserve"> </w:t>
      </w:r>
      <w:r>
        <w:rPr>
          <w:b/>
          <w:bCs/>
        </w:rPr>
        <w:t xml:space="preserve">μ (MOR)</w:t>
      </w:r>
      <w:r>
        <w:t xml:space="preserve"> </w:t>
      </w:r>
      <w:r>
        <w:t xml:space="preserve">— sauf la buprénorphine (agoniste partiel, voir fiche suivante). Le κ (KOR) et le δ (DOR) participent modérément à l’analgésie spinale, à la sédation et à la dysphorie.</w:t>
      </w:r>
      <w:r>
        <w:t xml:space="preserve"> </w:t>
      </w:r>
      <w:r>
        <w:t xml:space="preserve">- Tous entraînent une</w:t>
      </w:r>
      <w:r>
        <w:t xml:space="preserve"> </w:t>
      </w:r>
      <w:r>
        <w:rPr>
          <w:b/>
          <w:bCs/>
        </w:rPr>
        <w:t xml:space="preserve">dépression respiratoire dose-dépendante</w:t>
      </w:r>
      <w:r>
        <w:t xml:space="preserve"> </w:t>
      </w:r>
      <w:r>
        <w:t xml:space="preserve">par action sur les noyaux du pneumotaxique (pont) — médiée par μ2b. C’est l’effet indésirable le plus redoutable, cause majeure de décès par surdosage.</w:t>
      </w:r>
      <w:r>
        <w:t xml:space="preserve"> </w:t>
      </w:r>
      <w:r>
        <w:t xml:space="preserve">- Tous provoquent une</w:t>
      </w:r>
      <w:r>
        <w:t xml:space="preserve"> </w:t>
      </w:r>
      <w:r>
        <w:rPr>
          <w:b/>
          <w:bCs/>
        </w:rPr>
        <w:t xml:space="preserve">constipation</w:t>
      </w:r>
      <w:r>
        <w:t xml:space="preserve"> </w:t>
      </w:r>
      <w:r>
        <w:t xml:space="preserve">quasi constante (action sur μ entériques) — nécessité de laxatif systématique.</w:t>
      </w:r>
      <w:r>
        <w:t xml:space="preserve"> </w:t>
      </w:r>
      <w:r>
        <w:t xml:space="preserve">- Tous provoquent une</w:t>
      </w:r>
      <w:r>
        <w:t xml:space="preserve"> </w:t>
      </w:r>
      <w:r>
        <w:rPr>
          <w:b/>
          <w:bCs/>
        </w:rPr>
        <w:t xml:space="preserve">dépendance physique</w:t>
      </w:r>
      <w:r>
        <w:t xml:space="preserve"> </w:t>
      </w:r>
      <w:r>
        <w:t xml:space="preserve">et une</w:t>
      </w:r>
      <w:r>
        <w:t xml:space="preserve"> </w:t>
      </w:r>
      <w:r>
        <w:rPr>
          <w:b/>
          <w:bCs/>
        </w:rPr>
        <w:t xml:space="preserve">tolérance</w:t>
      </w:r>
      <w:r>
        <w:t xml:space="preserve"> </w:t>
      </w:r>
      <w:r>
        <w:t xml:space="preserve">en usage prolongé — réévaluation régulière, rotation opioïde si nécessaire.</w:t>
      </w:r>
      <w:r>
        <w:t xml:space="preserve"> </w:t>
      </w:r>
      <w:r>
        <w:t xml:space="preserve">- Tous passent la barrière placentaire (risque de dépression respiratoire néonatale) et dans le lait maternel.</w:t>
      </w:r>
      <w:r>
        <w:t xml:space="preserve"> </w:t>
      </w:r>
      <w:r>
        <w:t xml:space="preserve">- Tous sont antagonisés par la</w:t>
      </w:r>
      <w:r>
        <w:t xml:space="preserve"> </w:t>
      </w:r>
      <w:r>
        <w:rPr>
          <w:b/>
          <w:bCs/>
        </w:rPr>
        <w:t xml:space="preserve">naloxone</w:t>
      </w:r>
      <w:r>
        <w:t xml:space="preserve"> </w:t>
      </w:r>
      <w:r>
        <w:t xml:space="preserve">(antagoniste μ pur, demi-vie 30–90 min, à répéter en cas de surdosage par opioïde à longue demi-vie).</w:t>
      </w:r>
      <w:r>
        <w:t xml:space="preserve"> </w:t>
      </w:r>
      <w:r>
        <w:t xml:space="preserve">- Réglementation :</w:t>
      </w:r>
      <w:r>
        <w:t xml:space="preserve"> </w:t>
      </w:r>
      <w:r>
        <w:rPr>
          <w:b/>
          <w:bCs/>
        </w:rPr>
        <w:t xml:space="preserve">Stupéfiants</w:t>
      </w:r>
      <w:r>
        <w:t xml:space="preserve"> </w:t>
      </w:r>
      <w:r>
        <w:t xml:space="preserve">(tableau B) pour la majorité — ordonnance sécurisée, durée 28 jours, conservation 3 ans.</w:t>
      </w:r>
    </w:p>
    <w:p>
      <w:pPr>
        <w:pStyle w:val="BodyText"/>
      </w:pPr>
      <w:r>
        <w:t xml:space="preserve">La morphine reste le gold standard de l’OMS pour la douleur cancéreuse. Le fentanyl occupe une place particulière : anesthésie IV en anesthésiologie (hypnose + analgésie), analgésie prolongée par patch transdermique (Durogesic, malheureusement non renouvelé en Algérie à ce jour), spray nasal pour douleurs paroxystiques du cancer (PECFENT). Les sufentanil, alfentanil et remifentanil sont essentiellement des</w:t>
      </w:r>
      <w:r>
        <w:t xml:space="preserve"> </w:t>
      </w:r>
      <w:r>
        <w:rPr>
          <w:b/>
          <w:bCs/>
        </w:rPr>
        <w:t xml:space="preserve">adjuvants anesthésiques</w:t>
      </w:r>
      <w:r>
        <w:t xml:space="preserve"> </w:t>
      </w:r>
      <w:r>
        <w:t xml:space="preserve">réservés au bloc opératoire et aux soins intensifs.</w:t>
      </w:r>
    </w:p>
    <w:p>
      <w:r>
        <w:pict>
          <v:rect style="width:0;height:1.5pt" o:hralign="center" o:hrstd="t" o:hr="t"/>
        </w:pict>
      </w:r>
    </w:p>
    <w:bookmarkStart w:id="108" w:name="dci-morphine-seule"/>
    <w:p>
      <w:pPr>
        <w:pStyle w:val="Heading3"/>
      </w:pPr>
      <w:r>
        <w:t xml:space="preserve">3. DCI : Morphine (Seule)</w:t>
      </w:r>
    </w:p>
    <w:p>
      <w:pPr>
        <w:pStyle w:val="FirstParagraph"/>
      </w:pPr>
      <w:r>
        <w:rPr>
          <w:b/>
          <w:bCs/>
        </w:rPr>
        <w:t xml:space="preserve">Liste des Catégories :</w:t>
      </w:r>
      <w:r>
        <w:t xml:space="preserve"> </w:t>
      </w:r>
      <w:r>
        <w:t xml:space="preserve">Antalgiques palier III - Opioïdes forts ; Stupéfiant ; Opioïde de référence OMS (gold standard douleur cancéreuse).</w:t>
      </w:r>
    </w:p>
    <w:p>
      <w:pPr>
        <w:pStyle w:val="BodyText"/>
      </w:pPr>
      <w:r>
        <w:t xml:space="preserve">La morphine est l’alcaloïde phénanthrénique principal du pavot à opium (</w:t>
      </w:r>
      <w:r>
        <w:rPr>
          <w:i/>
          <w:iCs/>
        </w:rPr>
        <w:t xml:space="preserve">Papaver somniferum</w:t>
      </w:r>
      <w:r>
        <w:t xml:space="preserve">). Décrite chimiquement en 1805 par Sertürner, elle est le prototype de tous les opioïdes et la molécule de référence du palier III OMS depuis 1986. Sa pharmacocinétique est dominée par un métabolisme hépatique par les</w:t>
      </w:r>
      <w:r>
        <w:t xml:space="preserve"> </w:t>
      </w:r>
      <w:r>
        <w:rPr>
          <w:b/>
          <w:bCs/>
        </w:rPr>
        <w:t xml:space="preserve">UGT (UDP-glucuronosyltransférases)</w:t>
      </w:r>
      <w:r>
        <w:t xml:space="preserve">, en particulier l’</w:t>
      </w:r>
      <w:r>
        <w:rPr>
          <w:b/>
          <w:bCs/>
        </w:rPr>
        <w:t xml:space="preserve">UGT2B7</w:t>
      </w:r>
      <w:r>
        <w:t xml:space="preserve">, qui produit deux métabolites principaux : la</w:t>
      </w:r>
      <w:r>
        <w:t xml:space="preserve"> </w:t>
      </w:r>
      <w:r>
        <w:rPr>
          <w:b/>
          <w:bCs/>
        </w:rPr>
        <w:t xml:space="preserve">morphine-3-glucuronide (M3G)</w:t>
      </w:r>
      <w:r>
        <w:t xml:space="preserve">, inactive sur le μ mais potentiellement</w:t>
      </w:r>
      <w:r>
        <w:t xml:space="preserve"> </w:t>
      </w:r>
      <w:r>
        <w:rPr>
          <w:b/>
          <w:bCs/>
        </w:rPr>
        <w:t xml:space="preserve">neurotoxique</w:t>
      </w:r>
      <w:r>
        <w:t xml:space="preserve"> </w:t>
      </w:r>
      <w:r>
        <w:t xml:space="preserve">(myoclonies, agitation, hyperalgésie en accumulation — insuffisance rénale, sujet âgé, traitement prolongé) et la</w:t>
      </w:r>
      <w:r>
        <w:t xml:space="preserve"> </w:t>
      </w:r>
      <w:r>
        <w:rPr>
          <w:b/>
          <w:bCs/>
        </w:rPr>
        <w:t xml:space="preserve">morphine-6-glucuronide (M6G)</w:t>
      </w:r>
      <w:r>
        <w:t xml:space="preserve">,</w:t>
      </w:r>
      <w:r>
        <w:t xml:space="preserve"> </w:t>
      </w:r>
      <w:r>
        <w:rPr>
          <w:b/>
          <w:bCs/>
        </w:rPr>
        <w:t xml:space="preserve">10 à 20 fois plus puissante</w:t>
      </w:r>
      <w:r>
        <w:t xml:space="preserve"> </w:t>
      </w:r>
      <w:r>
        <w:t xml:space="preserve">que la morphine parent sur le récepteur μ, mais de moindre liposolubilité (passage BBB lent), à l’origine d’une analgésie prolongée et d’une dépression respiratoire retardée (accumulation en IR). Cette particularité métabolique impose une vigilance accrue chez l’insuffisant rénal (DFG &lt; 30 mL/min : risque d’accumulation de M6G, préférer fentanyl).</w:t>
      </w:r>
    </w:p>
    <w:p>
      <w:pPr>
        <w:pStyle w:val="BodyText"/>
      </w:pPr>
      <w:r>
        <w:rPr>
          <w:b/>
          <w:bCs/>
        </w:rPr>
        <w:t xml:space="preserve">Médicaments disponibles en Algérie (Marques, Laboratoires, Formes et Dosages) :</w:t>
      </w:r>
    </w:p>
    <w:p>
      <w:pPr>
        <w:pStyle w:val="Compact"/>
        <w:numPr>
          <w:ilvl w:val="0"/>
          <w:numId w:val="1042"/>
        </w:numPr>
      </w:pPr>
      <w:r>
        <w:rPr>
          <w:b/>
          <w:bCs/>
        </w:rPr>
        <w:t xml:space="preserve">SKENAN LP</w:t>
      </w:r>
      <w:r>
        <w:t xml:space="preserve"> </w:t>
      </w:r>
      <w:r>
        <w:t xml:space="preserve">(BRISTOL MYERS SQUIBB PHARMA EEIG / ETHYPHARM)</w:t>
      </w:r>
    </w:p>
    <w:p>
      <w:pPr>
        <w:pStyle w:val="Compact"/>
        <w:numPr>
          <w:ilvl w:val="1"/>
          <w:numId w:val="1043"/>
        </w:numPr>
      </w:pPr>
      <w:r>
        <w:t xml:space="preserve">Formes et Dosages : Microgranules en gélule à libération prolongée — 10 mg, 30 mg, 60 mg, 100 mg — Boîte de 14</w:t>
      </w:r>
    </w:p>
    <w:p>
      <w:pPr>
        <w:pStyle w:val="Compact"/>
        <w:numPr>
          <w:ilvl w:val="1"/>
          <w:numId w:val="1043"/>
        </w:numPr>
      </w:pPr>
      <w:r>
        <w:t xml:space="preserve">Statut : Actif — Stupéfiant</w:t>
      </w:r>
    </w:p>
    <w:p>
      <w:pPr>
        <w:pStyle w:val="Compact"/>
        <w:numPr>
          <w:ilvl w:val="0"/>
          <w:numId w:val="1042"/>
        </w:numPr>
      </w:pPr>
      <w:r>
        <w:rPr>
          <w:b/>
          <w:bCs/>
        </w:rPr>
        <w:t xml:space="preserve">ACTISKENAN</w:t>
      </w:r>
      <w:r>
        <w:t xml:space="preserve"> </w:t>
      </w:r>
      <w:r>
        <w:t xml:space="preserve">(ETHYPHARM)</w:t>
      </w:r>
    </w:p>
    <w:p>
      <w:pPr>
        <w:pStyle w:val="Compact"/>
        <w:numPr>
          <w:ilvl w:val="1"/>
          <w:numId w:val="1044"/>
        </w:numPr>
      </w:pPr>
      <w:r>
        <w:t xml:space="preserve">Formes et Dosages : Microgranules à libération immédiate en gélule — 10 mg/gélule — Boîte de 14</w:t>
      </w:r>
    </w:p>
    <w:p>
      <w:pPr>
        <w:pStyle w:val="Compact"/>
        <w:numPr>
          <w:ilvl w:val="1"/>
          <w:numId w:val="1044"/>
        </w:numPr>
      </w:pPr>
      <w:r>
        <w:t xml:space="preserve">Statut : Actif — Stupéfiant</w:t>
      </w:r>
    </w:p>
    <w:p>
      <w:pPr>
        <w:pStyle w:val="FirstParagraph"/>
      </w:pPr>
      <w:r>
        <w:rPr>
          <w:i/>
          <w:iCs/>
        </w:rPr>
        <w:t xml:space="preserve">Note : Pas de forme injectable de morphine disponible dans la nomenclature algérienne récente (à vérifier en officine hospitalière). Formes historiques de chlorhydrate de morphine injectable (10 mg/mL) possiblement disponibles via circuit hospitalier mais non répertoriées dans le fichier de nomenclature officielle traité.</w:t>
      </w:r>
    </w:p>
    <w:p>
      <w:pPr>
        <w:pStyle w:val="BodyText"/>
      </w:pPr>
      <w:r>
        <w:rPr>
          <w:b/>
          <w:bCs/>
        </w:rPr>
        <w:t xml:space="preserve">Sous-classe et Mécanisme d’action :</w:t>
      </w:r>
      <w:r>
        <w:t xml:space="preserve"> </w:t>
      </w:r>
      <w:r>
        <w:t xml:space="preserve">- Sous-classe : Antalgique opioïde palier III, agoniste pur du récepteur μ (MOR), opioïde naturel de référence.</w:t>
      </w:r>
      <w:r>
        <w:t xml:space="preserve"> </w:t>
      </w:r>
      <w:r>
        <w:t xml:space="preserve">- Mécanisme d’action : La morphine est un agoniste pur sans effet plafond sur le</w:t>
      </w:r>
      <w:r>
        <w:t xml:space="preserve"> </w:t>
      </w:r>
      <w:r>
        <w:rPr>
          <w:b/>
          <w:bCs/>
        </w:rPr>
        <w:t xml:space="preserve">récepteur μ (OPRM1)</w:t>
      </w:r>
      <w:r>
        <w:t xml:space="preserve">. La liaison morphine–MOR déclenche un couplage à la protéine</w:t>
      </w:r>
      <w:r>
        <w:t xml:space="preserve"> </w:t>
      </w:r>
      <w:r>
        <w:rPr>
          <w:b/>
          <w:bCs/>
        </w:rPr>
        <w:t xml:space="preserve">Gi/Go</w:t>
      </w:r>
      <w:r>
        <w:t xml:space="preserve"> </w:t>
      </w:r>
      <w:r>
        <w:t xml:space="preserve">entraînant trois effets complémentaires : (1) inhibition de l’adénylate cyclase → baisse de l’AMPc intracellulaire → désactivation de la PKA → déphosphorylation des canaux sodiques voltage-dépendants ; (2)</w:t>
      </w:r>
      <w:r>
        <w:t xml:space="preserve"> </w:t>
      </w:r>
      <w:r>
        <w:rPr>
          <w:b/>
          <w:bCs/>
        </w:rPr>
        <w:t xml:space="preserve">ouverture des canaux potassiques GIRK (Kir3.x)</w:t>
      </w:r>
      <w:r>
        <w:t xml:space="preserve"> </w:t>
      </w:r>
      <w:r>
        <w:t xml:space="preserve">→ sortie de K+ → hyperpolarisation neuronale → inhibition de l’excitabilité ; (3)</w:t>
      </w:r>
      <w:r>
        <w:t xml:space="preserve"> </w:t>
      </w:r>
      <w:r>
        <w:rPr>
          <w:b/>
          <w:bCs/>
        </w:rPr>
        <w:t xml:space="preserve">fermeture des canaux calciques N et P/Q</w:t>
      </w:r>
      <w:r>
        <w:t xml:space="preserve"> </w:t>
      </w:r>
      <w:r>
        <w:t xml:space="preserve">voltage-dépendants → inhibition de la libération présynaptique de neurotransmetteurs excitateurs (glutamate, substance P, CGRP). La morphine agit à trois niveaux : (a)</w:t>
      </w:r>
      <w:r>
        <w:t xml:space="preserve"> </w:t>
      </w:r>
      <w:r>
        <w:rPr>
          <w:b/>
          <w:bCs/>
        </w:rPr>
        <w:t xml:space="preserve">spinal</w:t>
      </w:r>
      <w:r>
        <w:t xml:space="preserve"> </w:t>
      </w:r>
      <w:r>
        <w:t xml:space="preserve">— corne postérieure de la moelle, substance gélatineuse, sur les fibres nociceptives C et Aδ ; (b)</w:t>
      </w:r>
      <w:r>
        <w:t xml:space="preserve"> </w:t>
      </w:r>
      <w:r>
        <w:rPr>
          <w:b/>
          <w:bCs/>
        </w:rPr>
        <w:t xml:space="preserve">supraspinal</w:t>
      </w:r>
      <w:r>
        <w:t xml:space="preserve"> </w:t>
      </w:r>
      <w:r>
        <w:t xml:space="preserve">— substance grise périaqueducale (PAG), noyau raphé magnus, locus coeruleus, activation des voies descendantes inhibitrices ; (c)</w:t>
      </w:r>
      <w:r>
        <w:t xml:space="preserve"> </w:t>
      </w:r>
      <w:r>
        <w:rPr>
          <w:b/>
          <w:bCs/>
        </w:rPr>
        <w:t xml:space="preserve">périphérique</w:t>
      </w:r>
      <w:r>
        <w:t xml:space="preserve"> </w:t>
      </w:r>
      <w:r>
        <w:t xml:space="preserve">— récepteurs μ sur terminaisons nerveuses sensitives (inflammation). La composante émotionnelle-affective de la douleur est atténuée par action sur le système limbique (amygdale, cortex cingulaire antérieur). Affinité pour le κ (KOR) faible, pour le δ (DOR) négligeable.</w:t>
      </w:r>
    </w:p>
    <w:p>
      <w:pPr>
        <w:pStyle w:val="BodyText"/>
      </w:pPr>
      <w:r>
        <w:rPr>
          <w:b/>
          <w:bCs/>
        </w:rPr>
        <w:t xml:space="preserve">Profil Pharmacologique :</w:t>
      </w:r>
      <w:r>
        <w:t xml:space="preserve"> </w:t>
      </w:r>
      <w:r>
        <w:t xml:space="preserve">- Indications : (1)</w:t>
      </w:r>
      <w:r>
        <w:t xml:space="preserve"> </w:t>
      </w:r>
      <w:r>
        <w:rPr>
          <w:b/>
          <w:bCs/>
        </w:rPr>
        <w:t xml:space="preserve">Douleur cancéreuse</w:t>
      </w:r>
      <w:r>
        <w:t xml:space="preserve"> </w:t>
      </w:r>
      <w:r>
        <w:t xml:space="preserve">modérée à sévère — gold standard OMS, palier III, titration puis entretien ; (2) Douleur postopératoire majeure (PCA — analgésie contrôlée par le patient) ; (3) Douleur chronique non cancéreuse réfractaire sous surveillance spécialisée (lombosciatique chronique, neuropathies) ; (4) Douleur de la phase terminale ; (5) Œdème aigu du poumon cardiogénique (usage historique IV — aujourd’hui remplacé par fentanyl en cas d’insuffisance respiratoire associée, morphine réservée à l’OAP anxieux avec congestion).</w:t>
      </w:r>
      <w:r>
        <w:t xml:space="preserve"> </w:t>
      </w:r>
      <w:r>
        <w:t xml:space="preserve">- Contre-indications : (1)</w:t>
      </w:r>
      <w:r>
        <w:t xml:space="preserve"> </w:t>
      </w:r>
      <w:r>
        <w:rPr>
          <w:b/>
          <w:bCs/>
        </w:rPr>
        <w:t xml:space="preserve">Insuffisance respiratoire sévère non équilibrée</w:t>
      </w:r>
      <w:r>
        <w:t xml:space="preserve"> </w:t>
      </w:r>
      <w:r>
        <w:t xml:space="preserve">(FR &lt; 12/min, PaCO2 &gt; 50 mmHg) ; (2) Traumatisme crânien / HTIC (myosis gênant l’évaluation neurologique, hypoventilation → hypercapnie → vasodilatation cérébrale → aggravation HTIC) ; (3) Ileus paralytique ou occlusion intestinale non levée ; (4)</w:t>
      </w:r>
      <w:r>
        <w:t xml:space="preserve"> </w:t>
      </w:r>
      <w:r>
        <w:rPr>
          <w:b/>
          <w:bCs/>
        </w:rPr>
        <w:t xml:space="preserve">Insuffisance rénale sévère (DFG &lt; 30 mL/min)</w:t>
      </w:r>
      <w:r>
        <w:t xml:space="preserve"> </w:t>
      </w:r>
      <w:r>
        <w:t xml:space="preserve">— accumulation de M6G (dépression respiratoire prolongée) et M3G (neurotoxicité) — préférer fentanyl ; (5) Hypersensibilité à la morphine ou aux excipients ; (6)</w:t>
      </w:r>
      <w:r>
        <w:t xml:space="preserve"> </w:t>
      </w:r>
      <w:r>
        <w:rPr>
          <w:b/>
          <w:bCs/>
        </w:rPr>
        <w:t xml:space="preserve">Allaitement</w:t>
      </w:r>
      <w:r>
        <w:t xml:space="preserve"> </w:t>
      </w:r>
      <w:r>
        <w:t xml:space="preserve">(voir plus bas) ; (7) Phéochromocytome non traité (libération d’histamine → poussée hypertensive) ; (8) Enfant &lt; 6 mois (sensibilité accrue) ; (9) Asthme sévère non contrôlé (libération d’histamine bronchoconstrictive).</w:t>
      </w:r>
      <w:r>
        <w:t xml:space="preserve"> </w:t>
      </w:r>
      <w:r>
        <w:t xml:space="preserve">- Effets Indésirables : (1)</w:t>
      </w:r>
      <w:r>
        <w:t xml:space="preserve"> </w:t>
      </w:r>
      <w:r>
        <w:rPr>
          <w:b/>
          <w:bCs/>
        </w:rPr>
        <w:t xml:space="preserve">Constipation quasi constante</w:t>
      </w:r>
      <w:r>
        <w:t xml:space="preserve"> </w:t>
      </w:r>
      <w:r>
        <w:t xml:space="preserve">(~95 %, effet μ entérique — ralentissement péristaltisme, augmentation du tonus sphinctérien) — ne cède pas avec la tolérance, nécessite laxatif systématique ; (2)</w:t>
      </w:r>
      <w:r>
        <w:t xml:space="preserve"> </w:t>
      </w:r>
      <w:r>
        <w:rPr>
          <w:b/>
          <w:bCs/>
        </w:rPr>
        <w:t xml:space="preserve">Nausées et vomissements</w:t>
      </w:r>
      <w:r>
        <w:t xml:space="preserve"> </w:t>
      </w:r>
      <w:r>
        <w:t xml:space="preserve">(~30–40 % en début de traitement — stimulation area postrema — diminuent en 7–10 jours avec tolérance) ; (3)</w:t>
      </w:r>
      <w:r>
        <w:t xml:space="preserve"> </w:t>
      </w:r>
      <w:r>
        <w:rPr>
          <w:b/>
          <w:bCs/>
        </w:rPr>
        <w:t xml:space="preserve">Sédation, somnolence</w:t>
      </w:r>
      <w:r>
        <w:t xml:space="preserve"> </w:t>
      </w:r>
      <w:r>
        <w:t xml:space="preserve">(fréquente en début de traitement) ; (4)</w:t>
      </w:r>
      <w:r>
        <w:t xml:space="preserve"> </w:t>
      </w:r>
      <w:r>
        <w:rPr>
          <w:b/>
          <w:bCs/>
        </w:rPr>
        <w:t xml:space="preserve">Dépression respiratoire dose-dépendante</w:t>
      </w:r>
      <w:r>
        <w:t xml:space="preserve"> </w:t>
      </w:r>
      <w:r>
        <w:t xml:space="preserve">(effet μ2b sur noyaux pontiques — bradypnée, apnée, cyanose) — effet indésirable limitant et cause de décès par surdosage ; (5)</w:t>
      </w:r>
      <w:r>
        <w:t xml:space="preserve"> </w:t>
      </w:r>
      <w:r>
        <w:rPr>
          <w:b/>
          <w:bCs/>
        </w:rPr>
        <w:t xml:space="preserve">Prurit</w:t>
      </w:r>
      <w:r>
        <w:t xml:space="preserve"> </w:t>
      </w:r>
      <w:r>
        <w:t xml:space="preserve">(~10 %, surtout péridural/IV — libération d’histamine) ; (6)</w:t>
      </w:r>
      <w:r>
        <w:t xml:space="preserve"> </w:t>
      </w:r>
      <w:r>
        <w:rPr>
          <w:b/>
          <w:bCs/>
        </w:rPr>
        <w:t xml:space="preserve">Rétention urinaire</w:t>
      </w:r>
      <w:r>
        <w:t xml:space="preserve"> </w:t>
      </w:r>
      <w:r>
        <w:t xml:space="preserve">(sphincter vésical — effet μ) ; (7) Myosis serré (parasympathique) ; (8)</w:t>
      </w:r>
      <w:r>
        <w:t xml:space="preserve"> </w:t>
      </w:r>
      <w:r>
        <w:rPr>
          <w:b/>
          <w:bCs/>
        </w:rPr>
        <w:t xml:space="preserve">Hypotension orthostatique</w:t>
      </w:r>
      <w:r>
        <w:t xml:space="preserve"> </w:t>
      </w:r>
      <w:r>
        <w:t xml:space="preserve">(libération d’histamine, vasodilatation) ; (9)</w:t>
      </w:r>
      <w:r>
        <w:t xml:space="preserve"> </w:t>
      </w:r>
      <w:r>
        <w:rPr>
          <w:b/>
          <w:bCs/>
        </w:rPr>
        <w:t xml:space="preserve">Confusion, hallucinations</w:t>
      </w:r>
      <w:r>
        <w:t xml:space="preserve"> </w:t>
      </w:r>
      <w:r>
        <w:t xml:space="preserve">(sujet âgé, dose élevée) ; (10) Bouffées de chaleur, urticaire ; (11) Bradycardie ; (12) Endocrinien au long cours (hypogonadisme, baisse de testostérone, aménorrhée) ; (13)</w:t>
      </w:r>
      <w:r>
        <w:t xml:space="preserve"> </w:t>
      </w:r>
      <w:r>
        <w:rPr>
          <w:b/>
          <w:bCs/>
        </w:rPr>
        <w:t xml:space="preserve">Immunosuppression</w:t>
      </w:r>
      <w:r>
        <w:t xml:space="preserve"> </w:t>
      </w:r>
      <w:r>
        <w:t xml:space="preserve">(long cours) ; (14) Tolérance (nécessité d’augmenter les doses) et</w:t>
      </w:r>
      <w:r>
        <w:t xml:space="preserve"> </w:t>
      </w:r>
      <w:r>
        <w:rPr>
          <w:b/>
          <w:bCs/>
        </w:rPr>
        <w:t xml:space="preserve">dépendance physique</w:t>
      </w:r>
      <w:r>
        <w:t xml:space="preserve"> </w:t>
      </w:r>
      <w:r>
        <w:t xml:space="preserve">(syndrome de sevrage à l’arrêt brutal) ; (15) Hyperalgésie paradoxale (en usage prolongé à forte dose — mécanisme NMDA/glutamate).</w:t>
      </w:r>
    </w:p>
    <w:p>
      <w:pPr>
        <w:pStyle w:val="BodyText"/>
      </w:pPr>
      <w:r>
        <w:rPr>
          <w:b/>
          <w:bCs/>
        </w:rPr>
        <w:t xml:space="preserve">Prévention et Gestion des Effets Indésirables :</w:t>
      </w:r>
      <w:r>
        <w:t xml:space="preserve"> </w:t>
      </w:r>
      <w:r>
        <w:t xml:space="preserve">- Mesures Préventives : (a)</w:t>
      </w:r>
      <w:r>
        <w:t xml:space="preserve"> </w:t>
      </w:r>
      <w:r>
        <w:rPr>
          <w:b/>
          <w:bCs/>
        </w:rPr>
        <w:t xml:space="preserve">Laxatif systématique dès l’initiation</w:t>
      </w:r>
      <w:r>
        <w:t xml:space="preserve"> </w:t>
      </w:r>
      <w:r>
        <w:t xml:space="preserve">— macrogol 10 g/j + bisacodyl 5–10 mg le soir, ou lactulose 10–20 mL/j — à poursuivre pendant toute la durée du traitement ; (b)</w:t>
      </w:r>
      <w:r>
        <w:t xml:space="preserve"> </w:t>
      </w:r>
      <w:r>
        <w:rPr>
          <w:b/>
          <w:bCs/>
        </w:rPr>
        <w:t xml:space="preserve">Antiémétique</w:t>
      </w:r>
      <w:r>
        <w:t xml:space="preserve"> </w:t>
      </w:r>
      <w:r>
        <w:t xml:space="preserve">en début de traitement (dompéridone 10 mg TID pendant 7 jours, à arrêter dès que possible) ; (c)</w:t>
      </w:r>
      <w:r>
        <w:t xml:space="preserve"> </w:t>
      </w:r>
      <w:r>
        <w:rPr>
          <w:b/>
          <w:bCs/>
        </w:rPr>
        <w:t xml:space="preserve">Surveillance clinique</w:t>
      </w:r>
      <w:r>
        <w:t xml:space="preserve"> </w:t>
      </w:r>
      <w:r>
        <w:t xml:space="preserve">: FR, SpO2, état de conscience, nausées, transit, miction, prurit ; (d)</w:t>
      </w:r>
      <w:r>
        <w:t xml:space="preserve"> </w:t>
      </w:r>
      <w:r>
        <w:rPr>
          <w:b/>
          <w:bCs/>
        </w:rPr>
        <w:t xml:space="preserve">Titration initiale</w:t>
      </w:r>
      <w:r>
        <w:t xml:space="preserve"> </w:t>
      </w:r>
      <w:r>
        <w:t xml:space="preserve">: commencer par faible dose (5–10 mg SKENAN LP ou 10 mg ACTISKENAN), augmenter progressivement selon réponse et EI ; (e)</w:t>
      </w:r>
      <w:r>
        <w:t xml:space="preserve"> </w:t>
      </w:r>
      <w:r>
        <w:rPr>
          <w:b/>
          <w:bCs/>
        </w:rPr>
        <w:t xml:space="preserve">Adapter à l’insuffisance rénale</w:t>
      </w:r>
      <w:r>
        <w:t xml:space="preserve"> </w:t>
      </w:r>
      <w:r>
        <w:t xml:space="preserve">(DFG &lt; 30 : réduire dose 50 %, espacer prises, envisager fentanyl) ; (f) Adapter à l’âge (&gt; 75 ans : dose initiale réduite 25–50 %) ; (g) Vérifier les interactions médicamenteuses ; (h) Informer le patient du risque de sédation initiale (ne pas conduire les 1res semaines).</w:t>
      </w:r>
      <w:r>
        <w:t xml:space="preserve"> </w:t>
      </w:r>
      <w:r>
        <w:t xml:space="preserve">- Conduite à Tenir : En cas de</w:t>
      </w:r>
      <w:r>
        <w:t xml:space="preserve"> </w:t>
      </w:r>
      <w:r>
        <w:rPr>
          <w:b/>
          <w:bCs/>
        </w:rPr>
        <w:t xml:space="preserve">dépression respiratoire</w:t>
      </w:r>
      <w:r>
        <w:t xml:space="preserve"> </w:t>
      </w:r>
      <w:r>
        <w:t xml:space="preserve">(FR &lt; 10/min, SpO2 &lt; 92 %, somnolence excessive, myosis serré, bradypnée) → arrêt de la morphine, oxygénothérapie,</w:t>
      </w:r>
      <w:r>
        <w:t xml:space="preserve"> </w:t>
      </w:r>
      <w:r>
        <w:rPr>
          <w:b/>
          <w:bCs/>
        </w:rPr>
        <w:t xml:space="preserve">naloxone IV 0,1–0,4 mg</w:t>
      </w:r>
      <w:r>
        <w:t xml:space="preserve"> </w:t>
      </w:r>
      <w:r>
        <w:t xml:space="preserve">(titration toutes les 2 min jusqu’à FR &gt; 12/min et SpO2 &gt; 94 %), répéter toutes les 1–2 h pendant 4–12 h selon la demi-vie de la forme (LP : surveillance prolongée 12 h minimum, M6G accumulation IR → surveillance 24 h). En cas d’</w:t>
      </w:r>
      <w:r>
        <w:rPr>
          <w:b/>
          <w:bCs/>
        </w:rPr>
        <w:t xml:space="preserve">accumulation de M3G</w:t>
      </w:r>
      <w:r>
        <w:t xml:space="preserve"> </w:t>
      </w:r>
      <w:r>
        <w:t xml:space="preserve">(myoclonies, agitation, hyperalgésie, confusion) → rotation opioïde (switch vers fentanyl, méthadone ou oxycodone — équianalgésie prudente selon table de conversion). En cas de</w:t>
      </w:r>
      <w:r>
        <w:t xml:space="preserve"> </w:t>
      </w:r>
      <w:r>
        <w:rPr>
          <w:b/>
          <w:bCs/>
        </w:rPr>
        <w:t xml:space="preserve">nausées persistantes</w:t>
      </w:r>
      <w:r>
        <w:t xml:space="preserve"> </w:t>
      </w:r>
      <w:r>
        <w:t xml:space="preserve">&gt; 7 jours → rotation opioïde. En cas de</w:t>
      </w:r>
      <w:r>
        <w:t xml:space="preserve"> </w:t>
      </w:r>
      <w:r>
        <w:rPr>
          <w:b/>
          <w:bCs/>
        </w:rPr>
        <w:t xml:space="preserve">rétention urinaire</w:t>
      </w:r>
      <w:r>
        <w:t xml:space="preserve"> </w:t>
      </w:r>
      <w:r>
        <w:t xml:space="preserve">→ sondage transitoire, ou tâtera alpha-bloquant.</w:t>
      </w:r>
    </w:p>
    <w:p>
      <w:pPr>
        <w:pStyle w:val="BodyText"/>
      </w:pPr>
      <w:r>
        <w:rPr>
          <w:b/>
          <w:bCs/>
        </w:rPr>
        <w:t xml:space="preserve">Interactions Importantes :</w:t>
      </w:r>
      <w:r>
        <w:t xml:space="preserve"> </w:t>
      </w:r>
      <w:r>
        <w:t xml:space="preserve">- Morphine +</w:t>
      </w:r>
      <w:r>
        <w:t xml:space="preserve"> </w:t>
      </w:r>
      <w:r>
        <w:rPr>
          <w:b/>
          <w:bCs/>
        </w:rPr>
        <w:t xml:space="preserve">Alcool, benzodiazépines, autres opioïdes, antihistaminiques sédatifs, barbituriques, neuroleptiques</w:t>
      </w:r>
      <w:r>
        <w:t xml:space="preserve"> </w:t>
      </w:r>
      <w:r>
        <w:t xml:space="preserve">: potentialisation majeure de la dépression respiratoire — CI ou surveillance stricte.</w:t>
      </w:r>
      <w:r>
        <w:t xml:space="preserve"> </w:t>
      </w:r>
      <w:r>
        <w:t xml:space="preserve">- Morphine +</w:t>
      </w:r>
      <w:r>
        <w:t xml:space="preserve"> </w:t>
      </w:r>
      <w:r>
        <w:rPr>
          <w:b/>
          <w:bCs/>
        </w:rPr>
        <w:t xml:space="preserve">IMAO non sélectifs</w:t>
      </w:r>
      <w:r>
        <w:t xml:space="preserve"> </w:t>
      </w:r>
      <w:r>
        <w:t xml:space="preserve">: potentialisation opioïde (exceptionnel mais grave) — délai 14 jours.</w:t>
      </w:r>
      <w:r>
        <w:t xml:space="preserve"> </w:t>
      </w:r>
      <w:r>
        <w:t xml:space="preserve">- Morphine +</w:t>
      </w:r>
      <w:r>
        <w:t xml:space="preserve"> </w:t>
      </w:r>
      <w:r>
        <w:rPr>
          <w:b/>
          <w:bCs/>
        </w:rPr>
        <w:t xml:space="preserve">CYP3A4 inhibiteurs</w:t>
      </w:r>
      <w:r>
        <w:t xml:space="preserve"> </w:t>
      </w:r>
      <w:r>
        <w:t xml:space="preserve">(kétoconazole, itraconazole, voriconazole, ritonavir, clarithromycine, grapefruit) : effet limité sur la morphine (métabolisme UGT principalement, peu de CYP), mais marqué sur les autres opioïdes (fentanyl, oxycodone). Pour la morphine : surveillance clinique.</w:t>
      </w:r>
      <w:r>
        <w:t xml:space="preserve"> </w:t>
      </w:r>
      <w:r>
        <w:t xml:space="preserve">- Morphine +</w:t>
      </w:r>
      <w:r>
        <w:t xml:space="preserve"> </w:t>
      </w:r>
      <w:r>
        <w:rPr>
          <w:b/>
          <w:bCs/>
        </w:rPr>
        <w:t xml:space="preserve">UGT inducteurs</w:t>
      </w:r>
      <w:r>
        <w:t xml:space="preserve"> </w:t>
      </w:r>
      <w:r>
        <w:t xml:space="preserve">(rifampicine, phénytoïne, carbamazépine) : accélération du métabolisme → baisse d’efficacité.</w:t>
      </w:r>
      <w:r>
        <w:t xml:space="preserve"> </w:t>
      </w:r>
      <w:r>
        <w:t xml:space="preserve">- Morphine +</w:t>
      </w:r>
      <w:r>
        <w:t xml:space="preserve"> </w:t>
      </w:r>
      <w:r>
        <w:rPr>
          <w:b/>
          <w:bCs/>
        </w:rPr>
        <w:t xml:space="preserve">Anticoagulants oraux</w:t>
      </w:r>
      <w:r>
        <w:t xml:space="preserve"> </w:t>
      </w:r>
      <w:r>
        <w:t xml:space="preserve">: cas isolés d’augmentation INR (mécanisme inconnu). Surveillance.</w:t>
      </w:r>
      <w:r>
        <w:t xml:space="preserve"> </w:t>
      </w:r>
      <w:r>
        <w:t xml:space="preserve">- Morphine + métoclopramide : antagonisme sur la vidange gastrique (à surveiller).</w:t>
      </w:r>
      <w:r>
        <w:t xml:space="preserve"> </w:t>
      </w:r>
      <w:r>
        <w:t xml:space="preserve">- Morphine + autres dépresseurs du SNC : sommeil profond, bradypnée.</w:t>
      </w:r>
    </w:p>
    <w:p>
      <w:pPr>
        <w:pStyle w:val="BodyText"/>
      </w:pPr>
      <w:r>
        <w:rPr>
          <w:b/>
          <w:bCs/>
        </w:rPr>
        <w:t xml:space="preserve">Grossesse et Allaitement :</w:t>
      </w:r>
      <w:r>
        <w:t xml:space="preserve"> </w:t>
      </w:r>
      <w:r>
        <w:t xml:space="preserve">- Grossesse : selon le CRAT, la morphine est</w:t>
      </w:r>
      <w:r>
        <w:t xml:space="preserve"> </w:t>
      </w:r>
      <w:r>
        <w:rPr>
          <w:b/>
          <w:bCs/>
        </w:rPr>
        <w:t xml:space="preserve">compatible à dose ponctuelle</w:t>
      </w:r>
      <w:r>
        <w:t xml:space="preserve"> </w:t>
      </w:r>
      <w:r>
        <w:t xml:space="preserve">(urgence, acte) pendant toute la grossesse. À éviter en usage chronique au 3e trimestre (risque de dépression respiratoire fœtale à l’accouchement, syndrome de sevrage néonatal — traitement 10–15 jours en néonatologie). Au 1er et 2e trimestres, usage court possible si nécessaire (paracétamol insuffisant). En post-césarienne chez mère allaitante : dose unique IM 10 mg compatible avec reprise de l’allaitement 4 h après.</w:t>
      </w:r>
      <w:r>
        <w:t xml:space="preserve"> </w:t>
      </w:r>
      <w:r>
        <w:t xml:space="preserve">- Allaitement :</w:t>
      </w:r>
      <w:r>
        <w:t xml:space="preserve"> </w:t>
      </w:r>
      <w:r>
        <w:rPr>
          <w:b/>
          <w:bCs/>
        </w:rPr>
        <w:t xml:space="preserve">compatible à dose ponctuelle</w:t>
      </w:r>
      <w:r>
        <w:t xml:space="preserve"> </w:t>
      </w:r>
      <w:r>
        <w:t xml:space="preserve">(CRAT) — par exemple dose unique pour acte aigu. CI en usage chronique (&gt; 7 jours, dose &gt; 30 mg/4 h) — accumulation dans le lait, sédation et dépression respiratoire chez le nourrisson. En cas d’allaitement projeté, préférer paracétamol.</w:t>
      </w:r>
      <w:r>
        <w:t xml:space="preserve"> </w:t>
      </w:r>
      <w:r>
        <w:t xml:space="preserve">- Précisions : La morphine passe la barrière placentaire. À l’accouchement, surveiller la fréquence respiratoire du nouveau-né (score d’Apgar), naloxone 0,1 mg/kg IM/IV si nécessaire.</w:t>
      </w:r>
    </w:p>
    <w:p>
      <w:pPr>
        <w:pStyle w:val="BodyText"/>
      </w:pPr>
      <w:r>
        <w:rPr>
          <w:b/>
          <w:bCs/>
        </w:rPr>
        <w:t xml:space="preserve">Posologie et Mode d’administration (Standard) :</w:t>
      </w:r>
      <w:r>
        <w:t xml:space="preserve"> </w:t>
      </w:r>
      <w:r>
        <w:t xml:space="preserve">- Adulte : (1) Titration : ACTISKENAN 10 mg per os toutes les 4 h pendant 24 h, évaluer la consommation totale ; (2) Entretien : SKENAN LP à dose équivalente répartie en 2 prises (12 h intervalle) — typiquement 30–60 mg x 2/jour en cancer, jusqu’à 200–300 mg x 2/j dans les douleurs cancéreuses avancées. Doses intermédiaires (10–20 mg) toutes les 4 h pour accès douloureux paroxystiques.</w:t>
      </w:r>
      <w:r>
        <w:t xml:space="preserve"> </w:t>
      </w:r>
      <w:r>
        <w:t xml:space="preserve">- Sujet âgé (&gt; 75 ans) : dose initiale réduite à 50 %, titration prudente, surveillance rénale et hépatique.</w:t>
      </w:r>
      <w:r>
        <w:t xml:space="preserve"> </w:t>
      </w:r>
      <w:r>
        <w:t xml:space="preserve">- Enfant &gt; 6 mois : 0,1–0,2 mg/kg par prise, sans dépasser 0,4 mg/kg/jour.</w:t>
      </w:r>
      <w:r>
        <w:t xml:space="preserve"> </w:t>
      </w:r>
      <w:r>
        <w:t xml:space="preserve">- Insuffisant rénal (DFG &lt; 30 mL/min) : dose réduite à 25–50 %, espacement à 8–12 h, surveillance M6G — ou switch vers fentanyl.</w:t>
      </w:r>
      <w:r>
        <w:t xml:space="preserve"> </w:t>
      </w:r>
      <w:r>
        <w:t xml:space="preserve">- Insuffisant hépatique : dose réduite, surveillance.</w:t>
      </w:r>
      <w:r>
        <w:t xml:space="preserve"> </w:t>
      </w:r>
      <w:r>
        <w:t xml:space="preserve">- Durée : En cancer, traitement prolongé jusqu’à la fin de vie. En douleur aiguë postopératoire : 3–7 jours.</w:t>
      </w:r>
      <w:r>
        <w:t xml:space="preserve"> </w:t>
      </w:r>
      <w:r>
        <w:t xml:space="preserve">- Moment de prise : Forme LP à heure fixe (matin et soir à 12 h d’intervalle). Forme LI en cas de douleur paroxystique — espacement minimum 4 h.</w:t>
      </w:r>
    </w:p>
    <w:p>
      <w:pPr>
        <w:pStyle w:val="BodyText"/>
      </w:pPr>
      <w:r>
        <w:rPr>
          <w:b/>
          <w:bCs/>
        </w:rPr>
        <w:t xml:space="preserve">Arbitrage et Bénéfices des Formes Galéniques :</w:t>
      </w:r>
      <w:r>
        <w:t xml:space="preserve"> </w:t>
      </w:r>
      <w:r>
        <w:t xml:space="preserve">En Algérie, deux formes galéniques dominent :</w:t>
      </w:r>
      <w:r>
        <w:t xml:space="preserve"> </w:t>
      </w:r>
      <w:r>
        <w:t xml:space="preserve">-</w:t>
      </w:r>
      <w:r>
        <w:t xml:space="preserve"> </w:t>
      </w:r>
      <w:r>
        <w:rPr>
          <w:b/>
          <w:bCs/>
        </w:rPr>
        <w:t xml:space="preserve">ACTISKENAN 10 mg (microgranules à libération immédiate)</w:t>
      </w:r>
      <w:r>
        <w:t xml:space="preserve"> </w:t>
      </w:r>
      <w:r>
        <w:t xml:space="preserve">— gélule de microgranules (technologie Ethypharm de microencapsulation en sphères de sucre enrobés de principe actif + excipients à libération immédiate). Avantages : (1) début d’action rapide (~20 min) — adaptation titration, accès douloureux paroxystiques ; (2) ouverture de la gélule possible — microgranules à disperser dans un aliment semi-liquide pour sujet ayant des troubles de déglutition (sujet âgé, neurodégénératif) ; (3) dose unitaire précise. Inconvénients : prise toutes les 4 h en entretien — observance difficile la nuit.</w:t>
      </w:r>
      <w:r>
        <w:t xml:space="preserve"> </w:t>
      </w:r>
      <w:r>
        <w:t xml:space="preserve">-</w:t>
      </w:r>
      <w:r>
        <w:t xml:space="preserve"> </w:t>
      </w:r>
      <w:r>
        <w:rPr>
          <w:b/>
          <w:bCs/>
        </w:rPr>
        <w:t xml:space="preserve">SKENAN LP 10/30/60/100 mg (microgranules à libération prolongée)</w:t>
      </w:r>
      <w:r>
        <w:t xml:space="preserve"> </w:t>
      </w:r>
      <w:r>
        <w:t xml:space="preserve">— même technologie Ethypharm de microgranules (sphères enrobés d’un polymère à libération prolongée type éthylcellulose). Avantages : (1) prise biquotidienne à 12 h d’intervalle — observance optimale ; (2) pic plasmatique lissé — moins d’EI dose-dépendants (somnolence, nausées) ; (3) ouverture de la gélule et dispersion possible (sans broyer — ne pas écraser ni mâcher les microgranules) — sonde gastrique, troubles de déglutition. Inconvénients : (1) délai d’action 1–2 h — pas pour douleur aiguë paroxystique ; (2) augmentation posologique progressive ; (3) forme uniquement orale — pas de patch ni injectable en nomenclature algérienne récente. Combiner ACTISKENAN (titration + accès douloureux) et SKENAN LP (entretien) est la stratégie classique de l’OMS pour la douleur cancéreuse.</w:t>
      </w:r>
    </w:p>
    <w:p>
      <w:pPr>
        <w:pStyle w:val="BodyText"/>
      </w:pPr>
      <w:r>
        <w:t xml:space="preserve">À l’officine, insister sur l’observance horaire stricte (toutes les 12 h pour SKENAN LP), sur la nécessité d’un laxatif systématique, sur la communication au médecin en cas d’EI persistants (rotation opioïde possible vers fentanyl patch).</w:t>
      </w:r>
    </w:p>
    <w:p>
      <w:pPr>
        <w:pStyle w:val="BodyText"/>
      </w:pPr>
      <w:r>
        <w:rPr>
          <w:b/>
          <w:bCs/>
        </w:rPr>
        <w:t xml:space="preserve">Instructions et Conseils au Patient :</w:t>
      </w:r>
      <w:r>
        <w:t xml:space="preserve"> </w:t>
      </w:r>
      <w:r>
        <w:t xml:space="preserve">- Communication au comptoir : « Ce médicament est un opioïde fort (morphine) prescrit pour une douleur sévère. Il faut le prendre à heure fixe (matin et soir à 12 h d’intervalle pour la forme LP), même si vous n’avez pas mal à ce moment — pour éviter que la douleur ne revienne. Il est normal d’avoir un peu de somnolence les premiers jours. Si vous avez des nausées, prenez l’antiémétique prescrit. Prenez impérativement un laxatif (la morphine constipe presque toujours). Ne pas conduire les premiers jours. Ne pas associer à l’alcool. Ne pas arrêter brutalement (risque de sevrage). Si vous avez du mal à respirer (respiration lente, somnolence excessive), contactez immédiatement le SAMU. Pour la douleur cancéreuse, ce médicament peut être augmenté progressivement par votre médecin. »</w:t>
      </w:r>
      <w:r>
        <w:t xml:space="preserve"> </w:t>
      </w:r>
      <w:r>
        <w:t xml:space="preserve">- Mode d’utilisation pratique : Gélule LP à avaler entière avec un verre d’eau, à heure fixe (matin et soir à 12 h d’intervalle). En cas d’oubli &gt; 2 h, contacter le médecin (ne pas doubler la dose). Pour les microgranules : la gélule peut être ouverte et les microgranules dispersés dans une cuillère de compote ou de yaourt —</w:t>
      </w:r>
      <w:r>
        <w:t xml:space="preserve"> </w:t>
      </w:r>
      <w:r>
        <w:rPr>
          <w:b/>
          <w:bCs/>
        </w:rPr>
        <w:t xml:space="preserve">ne jamais écraser ni mâcher les microgranules</w:t>
      </w:r>
      <w:r>
        <w:t xml:space="preserve"> </w:t>
      </w:r>
      <w:r>
        <w:t xml:space="preserve">(risque de libération massive et surdosage). En cas de vomissement dans l’heure suivant la prise, ne pas reprendre la dose (risque de surdosage) — contacter le médecin. Stocker à température ambiante &lt; 25 °C, à l’abri de l’humidité, hors de portée des enfants. Conservation 3 ans en pharmacie pour stupéfiants (registre).</w:t>
      </w:r>
    </w:p>
    <w:p>
      <w:pPr>
        <w:pStyle w:val="BodyText"/>
      </w:pPr>
      <w:r>
        <w:rPr>
          <w:b/>
          <w:bCs/>
        </w:rPr>
        <w:t xml:space="preserve">Notes, Règles d’Or &amp; Pièges au Comptoir :</w:t>
      </w:r>
      <w:r>
        <w:t xml:space="preserve"> </w:t>
      </w:r>
      <w:r>
        <w:t xml:space="preserve">-</w:t>
      </w:r>
      <w:r>
        <w:t xml:space="preserve"> </w:t>
      </w:r>
      <w:r>
        <w:rPr>
          <w:b/>
          <w:bCs/>
        </w:rPr>
        <w:t xml:space="preserve">Piège classique — Accumulation de M6G en IR</w:t>
      </w:r>
      <w:r>
        <w:t xml:space="preserve"> </w:t>
      </w:r>
      <w:r>
        <w:t xml:space="preserve">: la M6G a une demi-vie d’élimination de 12–24 h (vs 2–4 h pour la morphine parent). En insuffisance rénale (DFG &lt; 30 mL/min), M6G et M3G s’accumulent → dépression respiratoire prolongée (plusieurs jours), myoclonies, agitation. En IR,</w:t>
      </w:r>
      <w:r>
        <w:t xml:space="preserve"> </w:t>
      </w:r>
      <w:r>
        <w:rPr>
          <w:b/>
          <w:bCs/>
        </w:rPr>
        <w:t xml:space="preserve">préférer le fentanyl</w:t>
      </w:r>
      <w:r>
        <w:t xml:space="preserve"> </w:t>
      </w:r>
      <w:r>
        <w:t xml:space="preserve">(métabolisme CYP3A4 en norfentanyl inactif, pas de métabolite actif).</w:t>
      </w:r>
      <w:r>
        <w:t xml:space="preserve"> </w:t>
      </w:r>
      <w:r>
        <w:t xml:space="preserve">-</w:t>
      </w:r>
      <w:r>
        <w:t xml:space="preserve"> </w:t>
      </w:r>
      <w:r>
        <w:rPr>
          <w:b/>
          <w:bCs/>
        </w:rPr>
        <w:t xml:space="preserve">Piège — Rotation opioïde</w:t>
      </w:r>
      <w:r>
        <w:t xml:space="preserve"> </w:t>
      </w:r>
      <w:r>
        <w:t xml:space="preserve">: lorsqu’on passe de morphine à fentanyl, oxycodone ou méthadone, la rotation opioïde nécessite une</w:t>
      </w:r>
      <w:r>
        <w:t xml:space="preserve"> </w:t>
      </w:r>
      <w:r>
        <w:rPr>
          <w:b/>
          <w:bCs/>
        </w:rPr>
        <w:t xml:space="preserve">réduction de 25–50 % de la dose équianalgésique</w:t>
      </w:r>
      <w:r>
        <w:t xml:space="preserve"> </w:t>
      </w:r>
      <w:r>
        <w:t xml:space="preserve">(cross-tolérance incomplète). Table de conversion : morphine orale 60 mg/j ↔ fentanyl patch 25 µg/h ↔ oxycodone orale 40 mg/j ↔ méthadone variable (10:1 à 4:1 selon dose).</w:t>
      </w:r>
      <w:r>
        <w:t xml:space="preserve"> </w:t>
      </w:r>
      <w:r>
        <w:t xml:space="preserve">-</w:t>
      </w:r>
      <w:r>
        <w:t xml:space="preserve"> </w:t>
      </w:r>
      <w:r>
        <w:rPr>
          <w:b/>
          <w:bCs/>
        </w:rPr>
        <w:t xml:space="preserve">Piège — Douleur paroxystique</w:t>
      </w:r>
      <w:r>
        <w:t xml:space="preserve"> </w:t>
      </w:r>
      <w:r>
        <w:t xml:space="preserve">: ne pas augmenter la dose LP pour gérer des accès paroxystiques — ajouter une dose d’ACTISKENAN 10 mg en intercure (en respectant un intervalle minimum 2 h depuis la dernière prise).</w:t>
      </w:r>
      <w:r>
        <w:t xml:space="preserve"> </w:t>
      </w:r>
      <w:r>
        <w:t xml:space="preserve">-</w:t>
      </w:r>
      <w:r>
        <w:t xml:space="preserve"> </w:t>
      </w:r>
      <w:r>
        <w:rPr>
          <w:b/>
          <w:bCs/>
        </w:rPr>
        <w:t xml:space="preserve">Règle de prise</w:t>
      </w:r>
      <w:r>
        <w:t xml:space="preserve"> </w:t>
      </w:r>
      <w:r>
        <w:t xml:space="preserve">: SKENAN LP à heure fixe matin et soir (12 h), jamais en prise unique supérieure à la dose prescrite. ACTISKENAN en intercure pour accès paroxystique.</w:t>
      </w:r>
      <w:r>
        <w:t xml:space="preserve"> </w:t>
      </w:r>
      <w:r>
        <w:t xml:space="preserve">-</w:t>
      </w:r>
      <w:r>
        <w:t xml:space="preserve"> </w:t>
      </w:r>
      <w:r>
        <w:rPr>
          <w:b/>
          <w:bCs/>
        </w:rPr>
        <w:t xml:space="preserve">Préparation et Conservation</w:t>
      </w:r>
      <w:r>
        <w:t xml:space="preserve"> </w:t>
      </w:r>
      <w:r>
        <w:t xml:space="preserve">: à l’officine, conservation en armoire sécurisée pour stupéfiants, registre des entrées/sorties (bon de commande, ordonnance sécurisée carbone). Stockage à température &lt; 25 °C, à l’abri de l’humidité.</w:t>
      </w:r>
      <w:r>
        <w:t xml:space="preserve"> </w:t>
      </w:r>
      <w:r>
        <w:t xml:space="preserve">-</w:t>
      </w:r>
      <w:r>
        <w:t xml:space="preserve"> </w:t>
      </w:r>
      <w:r>
        <w:rPr>
          <w:b/>
          <w:bCs/>
        </w:rPr>
        <w:t xml:space="preserve">Piège du surdosage</w:t>
      </w:r>
      <w:r>
        <w:t xml:space="preserve"> </w:t>
      </w:r>
      <w:r>
        <w:t xml:space="preserve">: la naloxone (Narcan) antagonise la morphine. Dose initiale 0,1–0,4 mg IV, à répéter toutes les 1–2 h (la naloxone a une demi-vie courte 30–90 min vs la morphine et M6G prolongées en IR — surveillance 6–12 h minimum, voire 24 h pour forme LP). En cas de surdosage par forme LP, perfusion continue de naloxone 0,4–0,8 mg/h. Attention : la naloxone administrée à dose trop élevée peut déclencher un syndrome de sevrage aigu (douleur rebond, agitation, tachycardie, hypertension).</w:t>
      </w:r>
      <w:r>
        <w:t xml:space="preserve"> </w:t>
      </w:r>
      <w:r>
        <w:t xml:space="preserve">-</w:t>
      </w:r>
      <w:r>
        <w:t xml:space="preserve"> </w:t>
      </w:r>
      <w:r>
        <w:rPr>
          <w:b/>
          <w:bCs/>
        </w:rPr>
        <w:t xml:space="preserve">Piège — Hyperalgésie paradoxale</w:t>
      </w:r>
      <w:r>
        <w:t xml:space="preserve"> </w:t>
      </w:r>
      <w:r>
        <w:t xml:space="preserve">: en usage prolongé à forte dose, la morphine peut induire une hyperalgésie (sensibilité accrue à la douleur, améliorée par rotation vers méthadone qui bloque le NMDA). Mécanisme : activation NMDA-glutamate.</w:t>
      </w:r>
      <w:r>
        <w:t xml:space="preserve"> </w:t>
      </w:r>
      <w:r>
        <w:t xml:space="preserve">-</w:t>
      </w:r>
      <w:r>
        <w:t xml:space="preserve"> </w:t>
      </w:r>
      <w:r>
        <w:rPr>
          <w:b/>
          <w:bCs/>
        </w:rPr>
        <w:t xml:space="preserve">Substitution</w:t>
      </w:r>
      <w:r>
        <w:t xml:space="preserve"> </w:t>
      </w:r>
      <w:r>
        <w:t xml:space="preserve">: la morphine est un opioïde fort — pas utilisée en substitution aux opioïdes (place à la méthadone ou buprénorphine). Mésusage rare en Algérie (prescription hospitalière ou cancer).</w:t>
      </w:r>
    </w:p>
    <w:p>
      <w:r>
        <w:pict>
          <v:rect style="width:0;height:1.5pt" o:hralign="center" o:hrstd="t" o:hr="t"/>
        </w:pict>
      </w:r>
    </w:p>
    <w:bookmarkEnd w:id="108"/>
    <w:bookmarkStart w:id="109" w:name="dci-fentanyl-seule"/>
    <w:p>
      <w:pPr>
        <w:pStyle w:val="Heading3"/>
      </w:pPr>
      <w:r>
        <w:t xml:space="preserve">4. DCI : Fentanyl (Seule)</w:t>
      </w:r>
    </w:p>
    <w:p>
      <w:pPr>
        <w:pStyle w:val="FirstParagraph"/>
      </w:pPr>
      <w:r>
        <w:rPr>
          <w:b/>
          <w:bCs/>
        </w:rPr>
        <w:t xml:space="preserve">Liste des Catégories :</w:t>
      </w:r>
      <w:r>
        <w:t xml:space="preserve"> </w:t>
      </w:r>
      <w:r>
        <w:t xml:space="preserve">Antalgiques palier III - Opioïdes forts ; Anesthésique général IV (adjuvant) ; Analgésique transdermique (patch 72 h) ; Analgésique transmuqueux nasal (douleurs paroxystiques cancer).</w:t>
      </w:r>
    </w:p>
    <w:p>
      <w:pPr>
        <w:pStyle w:val="BodyText"/>
      </w:pPr>
      <w:r>
        <w:t xml:space="preserve">Le fentanyl est une</w:t>
      </w:r>
      <w:r>
        <w:t xml:space="preserve"> </w:t>
      </w:r>
      <w:r>
        <w:rPr>
          <w:b/>
          <w:bCs/>
        </w:rPr>
        <w:t xml:space="preserve">anilidopipéridine</w:t>
      </w:r>
      <w:r>
        <w:t xml:space="preserve"> </w:t>
      </w:r>
      <w:r>
        <w:t xml:space="preserve">de synthèse (structure dérivée de la péthidine mais 100 fois plus puissante), décrite par Paul Janssen en 1960. C’est un opioïde</w:t>
      </w:r>
      <w:r>
        <w:t xml:space="preserve"> </w:t>
      </w:r>
      <w:r>
        <w:rPr>
          <w:b/>
          <w:bCs/>
        </w:rPr>
        <w:t xml:space="preserve">très lipophile</w:t>
      </w:r>
      <w:r>
        <w:t xml:space="preserve"> </w:t>
      </w:r>
      <w:r>
        <w:t xml:space="preserve">(logP = 4,1), ce qui lui confère un</w:t>
      </w:r>
      <w:r>
        <w:t xml:space="preserve"> </w:t>
      </w:r>
      <w:r>
        <w:rPr>
          <w:b/>
          <w:bCs/>
        </w:rPr>
        <w:t xml:space="preserve">délai d’action rapide</w:t>
      </w:r>
      <w:r>
        <w:t xml:space="preserve"> </w:t>
      </w:r>
      <w:r>
        <w:t xml:space="preserve">(1–2 min en IV) par passage BBB immédiat, mais aussi une</w:t>
      </w:r>
      <w:r>
        <w:t xml:space="preserve"> </w:t>
      </w:r>
      <w:r>
        <w:rPr>
          <w:b/>
          <w:bCs/>
        </w:rPr>
        <w:t xml:space="preserve">brève durée d’action</w:t>
      </w:r>
      <w:r>
        <w:t xml:space="preserve"> </w:t>
      </w:r>
      <w:r>
        <w:t xml:space="preserve">après dose unique (redistribution vers les tissus adipeux et musculaires). Métabolisé par le</w:t>
      </w:r>
      <w:r>
        <w:t xml:space="preserve"> </w:t>
      </w:r>
      <w:r>
        <w:rPr>
          <w:b/>
          <w:bCs/>
        </w:rPr>
        <w:t xml:space="preserve">CYP3A4</w:t>
      </w:r>
      <w:r>
        <w:t xml:space="preserve"> </w:t>
      </w:r>
      <w:r>
        <w:t xml:space="preserve">hépatique et intestinal en</w:t>
      </w:r>
      <w:r>
        <w:t xml:space="preserve"> </w:t>
      </w:r>
      <w:r>
        <w:rPr>
          <w:b/>
          <w:bCs/>
        </w:rPr>
        <w:t xml:space="preserve">norfentanyl inactif</w:t>
      </w:r>
      <w:r>
        <w:t xml:space="preserve"> </w:t>
      </w:r>
      <w:r>
        <w:t xml:space="preserve">(pas de métabolite actif — intérêt majeur en IR, contrairement à la morphine). Sa puissance analgésique est 100 fois celle de la morphine (100 µg fentanyl IV ≈ 10 mg morphine IV). Trois usages distincts en Algérie : (1)</w:t>
      </w:r>
      <w:r>
        <w:t xml:space="preserve"> </w:t>
      </w:r>
      <w:r>
        <w:rPr>
          <w:b/>
          <w:bCs/>
        </w:rPr>
        <w:t xml:space="preserve">anesthésie IV</w:t>
      </w:r>
      <w:r>
        <w:t xml:space="preserve"> </w:t>
      </w:r>
      <w:r>
        <w:t xml:space="preserve">et analgésie péri-opératoire, soins intensifs (FENTAGIC, FENTANYL JANSSEN, FENTANYL PIRAMAL) ; (2)</w:t>
      </w:r>
      <w:r>
        <w:t xml:space="preserve"> </w:t>
      </w:r>
      <w:r>
        <w:rPr>
          <w:b/>
          <w:bCs/>
        </w:rPr>
        <w:t xml:space="preserve">spray nasal</w:t>
      </w:r>
      <w:r>
        <w:t xml:space="preserve"> </w:t>
      </w:r>
      <w:r>
        <w:t xml:space="preserve">pour douleurs paroxystiques cancéreuses (PECFENT) ; (3)</w:t>
      </w:r>
      <w:r>
        <w:t xml:space="preserve"> </w:t>
      </w:r>
      <w:r>
        <w:rPr>
          <w:b/>
          <w:bCs/>
        </w:rPr>
        <w:t xml:space="preserve">patch transdermique 72 h</w:t>
      </w:r>
      <w:r>
        <w:t xml:space="preserve"> </w:t>
      </w:r>
      <w:r>
        <w:t xml:space="preserve">(DUROGESIC — non renouvelé en Algérie à la date de la nomenclature).</w:t>
      </w:r>
    </w:p>
    <w:p>
      <w:pPr>
        <w:pStyle w:val="BodyText"/>
      </w:pPr>
      <w:r>
        <w:rPr>
          <w:b/>
          <w:bCs/>
        </w:rPr>
        <w:t xml:space="preserve">Médicaments disponibles en Algérie (Marques, Laboratoires, Formes et Dosages) :</w:t>
      </w:r>
    </w:p>
    <w:p>
      <w:pPr>
        <w:pStyle w:val="BodyText"/>
      </w:pPr>
      <w:r>
        <w:rPr>
          <w:i/>
          <w:iCs/>
        </w:rPr>
        <w:t xml:space="preserve">Formes injectables pour anesthésie / réanimation :</w:t>
      </w:r>
      <w:r>
        <w:t xml:space="preserve"> </w:t>
      </w:r>
      <w:r>
        <w:t xml:space="preserve">-</w:t>
      </w:r>
      <w:r>
        <w:t xml:space="preserve"> </w:t>
      </w:r>
      <w:r>
        <w:rPr>
          <w:b/>
          <w:bCs/>
        </w:rPr>
        <w:t xml:space="preserve">FENTAGIC</w:t>
      </w:r>
      <w:r>
        <w:t xml:space="preserve"> </w:t>
      </w:r>
      <w:r>
        <w:t xml:space="preserve">(LES LABORATOIRES FRATER RAZES)</w:t>
      </w:r>
      <w:r>
        <w:t xml:space="preserve"> </w:t>
      </w:r>
      <w:r>
        <w:t xml:space="preserve">- Solution injectable 100 µg/2 mL (0,05 mg/mL) — B/5 amp. 2 mL — Stupéfiant — Actif</w:t>
      </w:r>
      <w:r>
        <w:t xml:space="preserve"> </w:t>
      </w:r>
      <w:r>
        <w:t xml:space="preserve">- Solution injectable IV ou péridurale 500 µg/10 mL (0,05 mg/mL) — B/10 amp. 10 mL — Stupéfiant — Actif</w:t>
      </w:r>
      <w:r>
        <w:t xml:space="preserve"> </w:t>
      </w:r>
      <w:r>
        <w:t xml:space="preserve">-</w:t>
      </w:r>
      <w:r>
        <w:t xml:space="preserve"> </w:t>
      </w:r>
      <w:r>
        <w:rPr>
          <w:b/>
          <w:bCs/>
        </w:rPr>
        <w:t xml:space="preserve">FENTANYL JANSSEN</w:t>
      </w:r>
      <w:r>
        <w:t xml:space="preserve"> </w:t>
      </w:r>
      <w:r>
        <w:t xml:space="preserve">(JANSSEN CILAG)</w:t>
      </w:r>
      <w:r>
        <w:t xml:space="preserve"> </w:t>
      </w:r>
      <w:r>
        <w:t xml:space="preserve">- Solution injectable 100 µg/2 mL (0,05 mg/mL) — B/5 — Stupéfiant — Actif</w:t>
      </w:r>
      <w:r>
        <w:t xml:space="preserve"> </w:t>
      </w:r>
      <w:r>
        <w:t xml:space="preserve">- Solution injectable 500 µg/10 mL (0,05 mg/mL) — B/10 amp. 10 mL — Stupéfiant — Actif</w:t>
      </w:r>
      <w:r>
        <w:t xml:space="preserve"> </w:t>
      </w:r>
      <w:r>
        <w:t xml:space="preserve">-</w:t>
      </w:r>
      <w:r>
        <w:t xml:space="preserve"> </w:t>
      </w:r>
      <w:r>
        <w:rPr>
          <w:b/>
          <w:bCs/>
        </w:rPr>
        <w:t xml:space="preserve">FENTANYL PIRAMAL</w:t>
      </w:r>
      <w:r>
        <w:t xml:space="preserve"> </w:t>
      </w:r>
      <w:r>
        <w:t xml:space="preserve">(PIRAMAL CRITICAL CARE B.V)</w:t>
      </w:r>
      <w:r>
        <w:t xml:space="preserve"> </w:t>
      </w:r>
      <w:r>
        <w:t xml:space="preserve">- Solution injectable 100 µg/2 mL (0,05 mg/mL) — B/10 amp. 2 mL — Liste I — Actif</w:t>
      </w:r>
      <w:r>
        <w:t xml:space="preserve"> </w:t>
      </w:r>
      <w:r>
        <w:t xml:space="preserve">- Solution injectable 500 µg/10 mL (0,05 mg/mL) — B/5 amp. 10 mL — Stupéfiant — Actif</w:t>
      </w:r>
    </w:p>
    <w:p>
      <w:pPr>
        <w:pStyle w:val="BodyText"/>
      </w:pPr>
      <w:r>
        <w:rPr>
          <w:i/>
          <w:iCs/>
        </w:rPr>
        <w:t xml:space="preserve">Forme nasale (douleurs paroxystiques cancer) :</w:t>
      </w:r>
      <w:r>
        <w:t xml:space="preserve"> </w:t>
      </w:r>
      <w:r>
        <w:t xml:space="preserve">-</w:t>
      </w:r>
      <w:r>
        <w:t xml:space="preserve"> </w:t>
      </w:r>
      <w:r>
        <w:rPr>
          <w:b/>
          <w:bCs/>
        </w:rPr>
        <w:t xml:space="preserve">PECFENT</w:t>
      </w:r>
      <w:r>
        <w:t xml:space="preserve"> </w:t>
      </w:r>
      <w:r>
        <w:t xml:space="preserve">(KYOWA KIRIN HOLDINGS B.V)</w:t>
      </w:r>
      <w:r>
        <w:t xml:space="preserve"> </w:t>
      </w:r>
      <w:r>
        <w:t xml:space="preserve">- Solution pour pulvérisation nasale 100 µg/pulvérisation — Flacon de 8 pulvérisations — Liste I — Actif</w:t>
      </w:r>
      <w:r>
        <w:t xml:space="preserve"> </w:t>
      </w:r>
      <w:r>
        <w:t xml:space="preserve">- Solution pour pulvérisation nasale 400 µg/pulvérisation — Flacon de 8 pulvérisations — Liste I — Actif</w:t>
      </w:r>
    </w:p>
    <w:p>
      <w:pPr>
        <w:pStyle w:val="BodyText"/>
      </w:pPr>
      <w:r>
        <w:rPr>
          <w:i/>
          <w:iCs/>
        </w:rPr>
        <w:t xml:space="preserve">Forme transdermique :</w:t>
      </w:r>
      <w:r>
        <w:t xml:space="preserve"> </w:t>
      </w:r>
      <w:r>
        <w:t xml:space="preserve">-</w:t>
      </w:r>
      <w:r>
        <w:t xml:space="preserve"> </w:t>
      </w:r>
      <w:r>
        <w:rPr>
          <w:b/>
          <w:bCs/>
        </w:rPr>
        <w:t xml:space="preserve">DUROGESIC 12 µg/h</w:t>
      </w:r>
      <w:r>
        <w:t xml:space="preserve"> </w:t>
      </w:r>
      <w:r>
        <w:t xml:space="preserve">(JANSSEN CILAG S.A.) — Dispositif transdermique — B/5 — Non Renouvelable</w:t>
      </w:r>
      <w:r>
        <w:t xml:space="preserve"> </w:t>
      </w:r>
      <w:r>
        <w:t xml:space="preserve">-</w:t>
      </w:r>
      <w:r>
        <w:t xml:space="preserve"> </w:t>
      </w:r>
      <w:r>
        <w:rPr>
          <w:b/>
          <w:bCs/>
        </w:rPr>
        <w:t xml:space="preserve">DUROGESIC 25 µg/h</w:t>
      </w:r>
      <w:r>
        <w:t xml:space="preserve"> </w:t>
      </w:r>
      <w:r>
        <w:t xml:space="preserve">(JANSSEN CILAG S.A.) — Dispositif transdermique — B/5 — Non Renouvelable</w:t>
      </w:r>
      <w:r>
        <w:t xml:space="preserve"> </w:t>
      </w:r>
      <w:r>
        <w:t xml:space="preserve">-</w:t>
      </w:r>
      <w:r>
        <w:t xml:space="preserve"> </w:t>
      </w:r>
      <w:r>
        <w:rPr>
          <w:b/>
          <w:bCs/>
        </w:rPr>
        <w:t xml:space="preserve">DUROGESIC 50 µg/h</w:t>
      </w:r>
      <w:r>
        <w:t xml:space="preserve"> </w:t>
      </w:r>
      <w:r>
        <w:t xml:space="preserve">(JANSSEN CILAG S.A.) — Dispositif transdermique — B/5 — Non Renouvelable</w:t>
      </w:r>
      <w:r>
        <w:t xml:space="preserve"> </w:t>
      </w:r>
      <w:r>
        <w:t xml:space="preserve">-</w:t>
      </w:r>
      <w:r>
        <w:t xml:space="preserve"> </w:t>
      </w:r>
      <w:r>
        <w:rPr>
          <w:b/>
          <w:bCs/>
        </w:rPr>
        <w:t xml:space="preserve">DUROGESIC 75 µg/h</w:t>
      </w:r>
      <w:r>
        <w:t xml:space="preserve"> </w:t>
      </w:r>
      <w:r>
        <w:t xml:space="preserve">(JANSSEN CILAG S.A.) — Dispositif transdermique — B/5 — Non Renouvelable</w:t>
      </w:r>
      <w:r>
        <w:t xml:space="preserve"> </w:t>
      </w:r>
      <w:r>
        <w:t xml:space="preserve">-</w:t>
      </w:r>
      <w:r>
        <w:t xml:space="preserve"> </w:t>
      </w:r>
      <w:r>
        <w:rPr>
          <w:b/>
          <w:bCs/>
        </w:rPr>
        <w:t xml:space="preserve">DUROGESIC 100 µg/h</w:t>
      </w:r>
      <w:r>
        <w:t xml:space="preserve"> </w:t>
      </w:r>
      <w:r>
        <w:t xml:space="preserve">(JANSSEN CILAG S.A.) — Dispositif transdermique — B/5 — Non Renouvelable</w:t>
      </w:r>
    </w:p>
    <w:p>
      <w:pPr>
        <w:pStyle w:val="BodyText"/>
      </w:pPr>
      <w:r>
        <w:rPr>
          <w:b/>
          <w:bCs/>
        </w:rPr>
        <w:t xml:space="preserve">Sous-classe et Mécanisme d’action :</w:t>
      </w:r>
      <w:r>
        <w:t xml:space="preserve"> </w:t>
      </w:r>
      <w:r>
        <w:t xml:space="preserve">- Sous-classe : Antalgique opioïde palier III, agoniste pur μ, opioïde de synthèse (anilidopipéridine), anesthésique adjuvant IV, analgésique transdermique (patch 72 h), analgésique transmuqueux nasal.</w:t>
      </w:r>
      <w:r>
        <w:t xml:space="preserve"> </w:t>
      </w:r>
      <w:r>
        <w:t xml:space="preserve">- Mécanisme d’action : Le fentanyl est un agoniste pur très lipophile du</w:t>
      </w:r>
      <w:r>
        <w:t xml:space="preserve"> </w:t>
      </w:r>
      <w:r>
        <w:rPr>
          <w:b/>
          <w:bCs/>
        </w:rPr>
        <w:t xml:space="preserve">récepteur μ (MOR)</w:t>
      </w:r>
      <w:r>
        <w:t xml:space="preserve">, avec une affinité 100 fois supérieure à celle de la morphine. Sa liposolubilité élevée (logP 4,1) permet un passage BBB quasi immédiat (1–2 min après IV), atteignant les sites d’action (PAG, corne postérieure, cortex). Couplage Gi/Go → baisse AMPc → ouverture GIRK → hyperpolarisation → inhibition libération substance P/glutamate. La durée d’action après bolus IV est courte (30 min) par</w:t>
      </w:r>
      <w:r>
        <w:t xml:space="preserve"> </w:t>
      </w:r>
      <w:r>
        <w:rPr>
          <w:b/>
          <w:bCs/>
        </w:rPr>
        <w:t xml:space="preserve">redistribution vers les tissus adipeux et musculaires</w:t>
      </w:r>
      <w:r>
        <w:t xml:space="preserve"> </w:t>
      </w:r>
      <w:r>
        <w:t xml:space="preserve">(modèle tricompartimental — compartiment central plasmatique, compartiment périphérique rapidement équilibrant, compartiment profond lent). En perfusion continue prolongée, le compartiment profond se sature → extension de la durée d’action (context-sensitive half-time augmente). Après patch transdermique, libération continue contrôlée par la peau (absorption transdermique stable 72 h — dépôt cutané formant un réservoir, délai d’action 12–24 h après pose, demi-vie apparente prolongée à l’ablation 16–22 h). Après spray nasal, absorption transmuqueuse rapide (concentration pic 12–21 min, biodisponibilité ~50 %).</w:t>
      </w:r>
    </w:p>
    <w:p>
      <w:pPr>
        <w:pStyle w:val="BodyText"/>
      </w:pPr>
      <w:r>
        <w:rPr>
          <w:b/>
          <w:bCs/>
        </w:rPr>
        <w:t xml:space="preserve">Profil Pharmacologique :</w:t>
      </w:r>
      <w:r>
        <w:t xml:space="preserve"> </w:t>
      </w:r>
      <w:r>
        <w:t xml:space="preserve">- Indications : (1)</w:t>
      </w:r>
      <w:r>
        <w:t xml:space="preserve"> </w:t>
      </w:r>
      <w:r>
        <w:rPr>
          <w:b/>
          <w:bCs/>
        </w:rPr>
        <w:t xml:space="preserve">Anesthésie IV</w:t>
      </w:r>
      <w:r>
        <w:t xml:space="preserve"> </w:t>
      </w:r>
      <w:r>
        <w:t xml:space="preserve">(induction + entretien) en association à un hypnotique (propofol, étomidate, midazolam) — analgésie péri-opératoire (chirurgie lourde, cardiaque, neurochirurgie) ; (2)</w:t>
      </w:r>
      <w:r>
        <w:t xml:space="preserve"> </w:t>
      </w:r>
      <w:r>
        <w:rPr>
          <w:b/>
          <w:bCs/>
        </w:rPr>
        <w:t xml:space="preserve">Sédation analgésie en réanimation</w:t>
      </w:r>
      <w:r>
        <w:t xml:space="preserve"> </w:t>
      </w:r>
      <w:r>
        <w:t xml:space="preserve">(ventilation mécanique, gestes douloureux) ; (3)</w:t>
      </w:r>
      <w:r>
        <w:t xml:space="preserve"> </w:t>
      </w:r>
      <w:r>
        <w:rPr>
          <w:b/>
          <w:bCs/>
        </w:rPr>
        <w:t xml:space="preserve">Analgésie obstétricale</w:t>
      </w:r>
      <w:r>
        <w:t xml:space="preserve"> </w:t>
      </w:r>
      <w:r>
        <w:t xml:space="preserve">(péridurale, rachianesthésie — posologie adaptée) ; (4)</w:t>
      </w:r>
      <w:r>
        <w:t xml:space="preserve"> </w:t>
      </w:r>
      <w:r>
        <w:rPr>
          <w:b/>
          <w:bCs/>
        </w:rPr>
        <w:t xml:space="preserve">Analgésie prolongée</w:t>
      </w:r>
      <w:r>
        <w:t xml:space="preserve"> </w:t>
      </w:r>
      <w:r>
        <w:t xml:space="preserve">par patch transdermique (douleur cancéreuse chronique stable, opioïde-sensible, après titration par morphine orale — patch non pour initiation) ; (5)</w:t>
      </w:r>
      <w:r>
        <w:t xml:space="preserve"> </w:t>
      </w:r>
      <w:r>
        <w:rPr>
          <w:b/>
          <w:bCs/>
        </w:rPr>
        <w:t xml:space="preserve">Douleurs paroxystiques cancéreuses</w:t>
      </w:r>
      <w:r>
        <w:t xml:space="preserve"> </w:t>
      </w:r>
      <w:r>
        <w:t xml:space="preserve">(accès douloureux aigus malgré fond opioïde) — spray nasal PECFENT (dose unique 100–400 µg par accès, max 4 accès/jour).</w:t>
      </w:r>
      <w:r>
        <w:t xml:space="preserve"> </w:t>
      </w:r>
      <w:r>
        <w:t xml:space="preserve">- Contre-indications : (1)</w:t>
      </w:r>
      <w:r>
        <w:t xml:space="preserve"> </w:t>
      </w:r>
      <w:r>
        <w:rPr>
          <w:b/>
          <w:bCs/>
        </w:rPr>
        <w:t xml:space="preserve">Insuffisance respiratoire sévère non surveillée</w:t>
      </w:r>
      <w:r>
        <w:t xml:space="preserve"> </w:t>
      </w:r>
      <w:r>
        <w:t xml:space="preserve">(dépression respiratoire μ2b) ; (2) Traumatisme crânien / HTIC ; (3) Ileus paralytique ; (4)</w:t>
      </w:r>
      <w:r>
        <w:t xml:space="preserve"> </w:t>
      </w:r>
      <w:r>
        <w:rPr>
          <w:b/>
          <w:bCs/>
        </w:rPr>
        <w:t xml:space="preserve">Allaitement</w:t>
      </w:r>
      <w:r>
        <w:t xml:space="preserve"> </w:t>
      </w:r>
      <w:r>
        <w:t xml:space="preserve">(en usage chronique — patch) ; (5)</w:t>
      </w:r>
      <w:r>
        <w:t xml:space="preserve"> </w:t>
      </w:r>
      <w:r>
        <w:rPr>
          <w:b/>
          <w:bCs/>
        </w:rPr>
        <w:t xml:space="preserve">Hypersensibilité au fentanyl</w:t>
      </w:r>
      <w:r>
        <w:t xml:space="preserve"> </w:t>
      </w:r>
      <w:r>
        <w:t xml:space="preserve">ou à l’adhésif du patch ; (6)</w:t>
      </w:r>
      <w:r>
        <w:t xml:space="preserve"> </w:t>
      </w:r>
      <w:r>
        <w:rPr>
          <w:b/>
          <w:bCs/>
        </w:rPr>
        <w:t xml:space="preserve">Patch transdermique</w:t>
      </w:r>
      <w:r>
        <w:t xml:space="preserve"> </w:t>
      </w:r>
      <w:r>
        <w:t xml:space="preserve">: initiation chez patient naïf d’opioïdes (CI absolue — surdosage potentiel), fièvre &gt; 38,5 °C (libération accélérée), exposition à une source de chaleur externe (couverture chauffante, sauna, bain chaud — libération massive), application sur peau lésée ou irradiée ; (7)</w:t>
      </w:r>
      <w:r>
        <w:t xml:space="preserve"> </w:t>
      </w:r>
      <w:r>
        <w:rPr>
          <w:b/>
          <w:bCs/>
        </w:rPr>
        <w:t xml:space="preserve">PECFENT spray nasal</w:t>
      </w:r>
      <w:r>
        <w:t xml:space="preserve"> </w:t>
      </w:r>
      <w:r>
        <w:t xml:space="preserve">: rhinite allergique active (modification de l’absorption), patient naïf d’opioïdes ; (8) Myasthénie (dépression respiratoire) ; (9) Association aux IMAO (14 jours d’intervalle).</w:t>
      </w:r>
      <w:r>
        <w:t xml:space="preserve"> </w:t>
      </w:r>
      <w:r>
        <w:t xml:space="preserve">- Effets Indésirables : (1)</w:t>
      </w:r>
      <w:r>
        <w:t xml:space="preserve"> </w:t>
      </w:r>
      <w:r>
        <w:rPr>
          <w:b/>
          <w:bCs/>
        </w:rPr>
        <w:t xml:space="preserve">Dépression respiratoire</w:t>
      </w:r>
      <w:r>
        <w:t xml:space="preserve"> </w:t>
      </w:r>
      <w:r>
        <w:t xml:space="preserve">dose-dépendante (μ2b — bradypnée, apnée, arrêt respiratoire) — effet limitant ; (2)</w:t>
      </w:r>
      <w:r>
        <w:t xml:space="preserve"> </w:t>
      </w:r>
      <w:r>
        <w:rPr>
          <w:b/>
          <w:bCs/>
        </w:rPr>
        <w:t xml:space="preserve">Bradycardie</w:t>
      </w:r>
      <w:r>
        <w:t xml:space="preserve"> </w:t>
      </w:r>
      <w:r>
        <w:t xml:space="preserve">sinusale (action vagale) ; (3)</w:t>
      </w:r>
      <w:r>
        <w:t xml:space="preserve"> </w:t>
      </w:r>
      <w:r>
        <w:rPr>
          <w:b/>
          <w:bCs/>
        </w:rPr>
        <w:t xml:space="preserve">Rigidité thoracique</w:t>
      </w:r>
      <w:r>
        <w:t xml:space="preserve"> </w:t>
      </w:r>
      <w:r>
        <w:t xml:space="preserve">(à forte dose IV, surtout injection rapide — nécessite curare pour ventilation) ; (4) Myosis serré ; (5) Nausées, vomissements ; (6) Constipation (moindre qu’avec morphine en usage court IV) ; (7) Sédation, somnolence ; (8) Prurit, rash (libération histamine, moindre qu’avec morphine) ; (9) Rétention urinaire ; (10)</w:t>
      </w:r>
      <w:r>
        <w:t xml:space="preserve"> </w:t>
      </w:r>
      <w:r>
        <w:rPr>
          <w:b/>
          <w:bCs/>
        </w:rPr>
        <w:t xml:space="preserve">Hypotension</w:t>
      </w:r>
      <w:r>
        <w:t xml:space="preserve"> </w:t>
      </w:r>
      <w:r>
        <w:t xml:space="preserve">(libération histamine, vasodilatation — moindre qu’avec morphine) ; (11) Dépendance physique et tolérance ; (12) Pour le patch transdermique : érythème local, prurit au site d’application, décollement ; (13) Syndrome sérotoninergique (rare, en association IRS) ; (14) Hyperalgésie à long terme (mécanisme NMDA) ; (15) Hypocortisolisme en usage prolongé patch.</w:t>
      </w:r>
    </w:p>
    <w:p>
      <w:pPr>
        <w:pStyle w:val="BodyText"/>
      </w:pPr>
      <w:r>
        <w:rPr>
          <w:b/>
          <w:bCs/>
        </w:rPr>
        <w:t xml:space="preserve">Prévention et Gestion des Effets Indésirables :</w:t>
      </w:r>
      <w:r>
        <w:t xml:space="preserve"> </w:t>
      </w:r>
      <w:r>
        <w:t xml:space="preserve">- Mesures Préventives : (a) Surveillance FR, SpO2, ECG, pression artérielle en IV (réanimation, bloc opératoire) ; (b) Laxatif si patch prolongé &gt; 7 jours ; (c) Antiémétique si nécessaire ; (d) Pour le patch : éducation du patient (cf. conseils) — éviter sources de chaleur, surveillance température corporelle, alternance des sites d’application ; (e) Pour le spray nasal : éducation à la dose unique par accès (1 pulvérisation = 100 ou 400 µg selon dosage), rinçage nasal si rhinite ; (f) Pour l’anesthésie IV : avoir à disposition naloxone, intubation prête ; (g) Vérifier les interactions (CYP3A4).</w:t>
      </w:r>
      <w:r>
        <w:t xml:space="preserve"> </w:t>
      </w:r>
      <w:r>
        <w:t xml:space="preserve">- Conduite à Tenir : En cas de</w:t>
      </w:r>
      <w:r>
        <w:t xml:space="preserve"> </w:t>
      </w:r>
      <w:r>
        <w:rPr>
          <w:b/>
          <w:bCs/>
        </w:rPr>
        <w:t xml:space="preserve">dépression respiratoire</w:t>
      </w:r>
      <w:r>
        <w:t xml:space="preserve"> </w:t>
      </w:r>
      <w:r>
        <w:t xml:space="preserve">→ naloxone IV 0,1–0,4 mg titration, répéter toutes les 1–2 h (la naloxone a une demi-vie plus courte que le fentanyl après perfusion prolongée). Pour le patch :</w:t>
      </w:r>
      <w:r>
        <w:t xml:space="preserve"> </w:t>
      </w:r>
      <w:r>
        <w:rPr>
          <w:b/>
          <w:bCs/>
        </w:rPr>
        <w:t xml:space="preserve">retirer immédiatement le patch</w:t>
      </w:r>
      <w:r>
        <w:t xml:space="preserve">, surveillance prolongée 12–24 h (dépôt cutané résiduel continue à libérer). Pour le spray nasal : surveillance 1–2 h. En cas de</w:t>
      </w:r>
      <w:r>
        <w:t xml:space="preserve"> </w:t>
      </w:r>
      <w:r>
        <w:rPr>
          <w:b/>
          <w:bCs/>
        </w:rPr>
        <w:t xml:space="preserve">rigidité thoracique</w:t>
      </w:r>
      <w:r>
        <w:t xml:space="preserve"> </w:t>
      </w:r>
      <w:r>
        <w:t xml:space="preserve">post-induction → curare (succinylcholine 1 mg/kg ou rocuronium 0,6–1 mg/kg) + ventilation mécanique + naloxone 0,1–0,4 mg IV. En cas de</w:t>
      </w:r>
      <w:r>
        <w:t xml:space="preserve"> </w:t>
      </w:r>
      <w:r>
        <w:rPr>
          <w:b/>
          <w:bCs/>
        </w:rPr>
        <w:t xml:space="preserve">bradycardie</w:t>
      </w:r>
      <w:r>
        <w:t xml:space="preserve"> </w:t>
      </w:r>
      <w:r>
        <w:t xml:space="preserve">symptomatique → atropine 0,5–1 mg IV. En cas d’</w:t>
      </w:r>
      <w:r>
        <w:rPr>
          <w:b/>
          <w:bCs/>
        </w:rPr>
        <w:t xml:space="preserve">érythème local du patch</w:t>
      </w:r>
      <w:r>
        <w:t xml:space="preserve"> </w:t>
      </w:r>
      <w:r>
        <w:t xml:space="preserve">→ rotation du site, antihistaminique local.</w:t>
      </w:r>
    </w:p>
    <w:p>
      <w:pPr>
        <w:pStyle w:val="BodyText"/>
      </w:pPr>
      <w:r>
        <w:rPr>
          <w:b/>
          <w:bCs/>
        </w:rPr>
        <w:t xml:space="preserve">Interactions Importantes :</w:t>
      </w:r>
      <w:r>
        <w:t xml:space="preserve"> </w:t>
      </w:r>
      <w:r>
        <w:t xml:space="preserve">- Fentanyl +</w:t>
      </w:r>
      <w:r>
        <w:t xml:space="preserve"> </w:t>
      </w:r>
      <w:r>
        <w:rPr>
          <w:b/>
          <w:bCs/>
        </w:rPr>
        <w:t xml:space="preserve">Inhibiteurs puissants du CYP3A4</w:t>
      </w:r>
      <w:r>
        <w:t xml:space="preserve"> </w:t>
      </w:r>
      <w:r>
        <w:t xml:space="preserve">(kétoconazole, itraconazole, voriconazole, posaconazole, ritonavir, lopinavir, atazanavir, clarithromycine, érythromycine, télithromycine, diltiazem, vérapamil, aprepitant, grapefruit) :</w:t>
      </w:r>
      <w:r>
        <w:t xml:space="preserve"> </w:t>
      </w:r>
      <w:r>
        <w:rPr>
          <w:b/>
          <w:bCs/>
        </w:rPr>
        <w:t xml:space="preserve">augmentation importante des concentrations de fentanyl → dépression respiratoire prolongée, sédation profonde</w:t>
      </w:r>
      <w:r>
        <w:t xml:space="preserve"> </w:t>
      </w:r>
      <w:r>
        <w:t xml:space="preserve">— surveillance étroite, réduire dose fentanyl de 50–75 %, envisager alternative. Cas particulier des antirétroviraux inhibiteurs de protéase boostés par ritonavir : risquent de multiplier l’AUC du fentanyl par 5–10.</w:t>
      </w:r>
      <w:r>
        <w:t xml:space="preserve"> </w:t>
      </w:r>
      <w:r>
        <w:t xml:space="preserve">- Fentanyl +</w:t>
      </w:r>
      <w:r>
        <w:t xml:space="preserve"> </w:t>
      </w:r>
      <w:r>
        <w:rPr>
          <w:b/>
          <w:bCs/>
        </w:rPr>
        <w:t xml:space="preserve">Inducteurs du CYP3A4</w:t>
      </w:r>
      <w:r>
        <w:t xml:space="preserve"> </w:t>
      </w:r>
      <w:r>
        <w:t xml:space="preserve">(rifampicine, carbamazépine, phénytoïne, phénobarbital, millepertuis) : baisse d’efficacité du fentanyl — augmenter la dose ou changer d’opioïde.</w:t>
      </w:r>
      <w:r>
        <w:t xml:space="preserve"> </w:t>
      </w:r>
      <w:r>
        <w:t xml:space="preserve">- Fentanyl +</w:t>
      </w:r>
      <w:r>
        <w:t xml:space="preserve"> </w:t>
      </w:r>
      <w:r>
        <w:rPr>
          <w:b/>
          <w:bCs/>
        </w:rPr>
        <w:t xml:space="preserve">IMAO</w:t>
      </w:r>
      <w:r>
        <w:t xml:space="preserve"> </w:t>
      </w:r>
      <w:r>
        <w:t xml:space="preserve">: potentiel syndrome sérotoninergique — délai 14 jours.</w:t>
      </w:r>
      <w:r>
        <w:t xml:space="preserve"> </w:t>
      </w:r>
      <w:r>
        <w:t xml:space="preserve">- Fentanyl + alcool, benzodiazépines, autres opioïdes : dépression respiratoire additive, létale — vigilance majeure (aux US, l’association fentanyl + benzodiazépine + alcool cause des décès par surdosage accidentel).</w:t>
      </w:r>
      <w:r>
        <w:t xml:space="preserve"> </w:t>
      </w:r>
      <w:r>
        <w:t xml:space="preserve">- Fentanyl +IRS/triptans : syndrome sérotoninergique (rare mais possible).</w:t>
      </w:r>
      <w:r>
        <w:t xml:space="preserve"> </w:t>
      </w:r>
      <w:r>
        <w:t xml:space="preserve">- Fentanyl + autres anesthésiques/hypnotiques IV (propofol, étomidate, midazolam) : effet synergique (avantageux en anesthésie balanced, mais surveillance cardio-respiratoire).</w:t>
      </w:r>
      <w:r>
        <w:t xml:space="preserve"> </w:t>
      </w:r>
      <w:r>
        <w:t xml:space="preserve">- Fentanyl patch + chaleur externe (couverture chauffante, sauna, bain chaud &gt; 40 °C, fièvre &gt; 38,5 °C) :</w:t>
      </w:r>
      <w:r>
        <w:t xml:space="preserve"> </w:t>
      </w:r>
      <w:r>
        <w:rPr>
          <w:b/>
          <w:bCs/>
        </w:rPr>
        <w:t xml:space="preserve">libération massive et surdosage</w:t>
      </w:r>
      <w:r>
        <w:t xml:space="preserve"> </w:t>
      </w:r>
      <w:r>
        <w:t xml:space="preserve">— CI absolue, retirer le patch.</w:t>
      </w:r>
    </w:p>
    <w:p>
      <w:pPr>
        <w:pStyle w:val="BodyText"/>
      </w:pPr>
      <w:r>
        <w:rPr>
          <w:b/>
          <w:bCs/>
        </w:rPr>
        <w:t xml:space="preserve">Grossesse et Allaitement :</w:t>
      </w:r>
      <w:r>
        <w:t xml:space="preserve"> </w:t>
      </w:r>
      <w:r>
        <w:t xml:space="preserve">- Grossesse : selon CRAT, le fentanyl est</w:t>
      </w:r>
      <w:r>
        <w:t xml:space="preserve"> </w:t>
      </w:r>
      <w:r>
        <w:rPr>
          <w:b/>
          <w:bCs/>
        </w:rPr>
        <w:t xml:space="preserve">compatible à dose ponctuelle</w:t>
      </w:r>
      <w:r>
        <w:t xml:space="preserve"> </w:t>
      </w:r>
      <w:r>
        <w:t xml:space="preserve">pendant toute la grossesse (anesthésie césarienne, actes urgents). En obstétrique, le fentanyl est l’opioïde de référence pour la péridurale et la rachianesthésie (faible passage transplacentaire, métabolisme fœtal rapide). En usage chronique par patch (cancer pendant grossesse — exceptionnel) : risque de syndrome de sevrage néonatal.</w:t>
      </w:r>
      <w:r>
        <w:t xml:space="preserve"> </w:t>
      </w:r>
      <w:r>
        <w:t xml:space="preserve">- Allaitement :</w:t>
      </w:r>
      <w:r>
        <w:t xml:space="preserve"> </w:t>
      </w:r>
      <w:r>
        <w:rPr>
          <w:b/>
          <w:bCs/>
        </w:rPr>
        <w:t xml:space="preserve">compatible à dose ponctuelle</w:t>
      </w:r>
      <w:r>
        <w:t xml:space="preserve"> </w:t>
      </w:r>
      <w:r>
        <w:t xml:space="preserve">(CRAT) — par exemple dose unique en anesthésie pour acte aigu, reprise de l’allaitement 4–6 h après. En usage chronique par patch : CI absolue (accumulation dans le lait, dépression respiratoire du nourrisson).</w:t>
      </w:r>
      <w:r>
        <w:t xml:space="preserve"> </w:t>
      </w:r>
      <w:r>
        <w:t xml:space="preserve">- Précisions : Le fentanyl passe peu la barrière placentaire en dose unique IV (métabolisme fœtal rapide). En cas d’accouchement sous péridurale fentanyl, surveillance du score d’Apgar (rare dépression respiratoire néonatale — naloxone 0,1 mg/kg IM/IV si nécessaire).</w:t>
      </w:r>
    </w:p>
    <w:p>
      <w:pPr>
        <w:pStyle w:val="BodyText"/>
      </w:pPr>
      <w:r>
        <w:rPr>
          <w:b/>
          <w:bCs/>
        </w:rPr>
        <w:t xml:space="preserve">Posologie et Mode d’administration (Standard) :</w:t>
      </w:r>
      <w:r>
        <w:t xml:space="preserve"> </w:t>
      </w:r>
      <w:r>
        <w:t xml:space="preserve">- Anesthésie IV (adulte) : (1) Induction : 1–3 µg/kg IV (chirurgie courante) à 5–8 µg/kg IV (chirurgie cardiaque, neurochirurgie), en association à hypnotique ; (2) Entretien : bolus de 0,5–1 µg/kg toutes les 20–30 min, ou perfusion continue 0,05–0,1 µg/kg/min, ou perfusion à débit ciblé (AIVOC) concentration cible 1,5–3 ng/mL.</w:t>
      </w:r>
      <w:r>
        <w:t xml:space="preserve"> </w:t>
      </w:r>
      <w:r>
        <w:t xml:space="preserve">- Réanimation (sédation ventilation mécanique) : perfusion continue 0,7–1,5 µg/kg/h, ajustement selon besoin analgésique.</w:t>
      </w:r>
      <w:r>
        <w:t xml:space="preserve"> </w:t>
      </w:r>
      <w:r>
        <w:t xml:space="preserve">- Péridurale : 25–100 µg en bolus, ou perfusion 25–50 µg/h en association à anesthésique local.</w:t>
      </w:r>
      <w:r>
        <w:t xml:space="preserve"> </w:t>
      </w:r>
      <w:r>
        <w:t xml:space="preserve">- Patch transdermique (adulte) : (1) Patient déjà sous opioïde — calcul de la dose équianalgésique morphine orale/24 h : patch 25 µg/h ↔ 60–134 mg morphine orale/24 h ; patch 50 µg/h ↔ 135–224 mg/24 h ; patch 75 µg/h ↔ 225–314 mg/24 h ; patch 100 µg/h ↔ 315–404 mg/24 h ; patch 12 µg/h ↔ 30–44 mg/24 h (pour ouverture de palier III chez patients à faible dose). (2) Renouvellement toutes les 72 h (3 patches pour 9 jours, ou alternance 2 sites). (3) Délai d’action initial 12–24 h (prescrire morphine LI en relais les 12 premières heures).</w:t>
      </w:r>
      <w:r>
        <w:t xml:space="preserve"> </w:t>
      </w:r>
      <w:r>
        <w:t xml:space="preserve">- Spray nasal PECFENT (adulte) : 100 µg (1 pulvérisation de la forme 100 µg) par accès douloureux paroxystique, à renouveler si soulagement insuffisant après 30 min (max 4 accès/jour, max 8 pulvérisations/flacon).</w:t>
      </w:r>
      <w:r>
        <w:t xml:space="preserve"> </w:t>
      </w:r>
      <w:r>
        <w:t xml:space="preserve">- Sujet âgé : dose réduite de 50 %.</w:t>
      </w:r>
      <w:r>
        <w:t xml:space="preserve"> </w:t>
      </w:r>
      <w:r>
        <w:t xml:space="preserve">- Enfant &gt; 2 ans (anesthésie) : 1–3 µg/kg IV induction, 1–2 µg/kg/h perfusion.</w:t>
      </w:r>
      <w:r>
        <w:t xml:space="preserve"> </w:t>
      </w:r>
      <w:r>
        <w:t xml:space="preserve">- Insuffisant rénal : pas d’adaptation (métabolisme CYP3A4 en métabolite inactif) — molécule de choix en IR.</w:t>
      </w:r>
      <w:r>
        <w:t xml:space="preserve"> </w:t>
      </w:r>
      <w:r>
        <w:t xml:space="preserve">- Insuffisant hépatique : réduire dose de 50 %, surveillance.</w:t>
      </w:r>
    </w:p>
    <w:p>
      <w:pPr>
        <w:pStyle w:val="BodyText"/>
      </w:pPr>
      <w:r>
        <w:rPr>
          <w:b/>
          <w:bCs/>
        </w:rPr>
        <w:t xml:space="preserve">Arbitrage et Bénéfices des Formes Galéniques :</w:t>
      </w:r>
      <w:r>
        <w:t xml:space="preserve"> </w:t>
      </w:r>
      <w:r>
        <w:t xml:space="preserve">Trois formes distinctes, correspondant à trois usages :</w:t>
      </w:r>
      <w:r>
        <w:t xml:space="preserve"> </w:t>
      </w:r>
      <w:r>
        <w:t xml:space="preserve">-</w:t>
      </w:r>
      <w:r>
        <w:t xml:space="preserve"> </w:t>
      </w:r>
      <w:r>
        <w:rPr>
          <w:b/>
          <w:bCs/>
        </w:rPr>
        <w:t xml:space="preserve">Solution injectable 50 µg/mL</w:t>
      </w:r>
      <w:r>
        <w:t xml:space="preserve"> </w:t>
      </w:r>
      <w:r>
        <w:t xml:space="preserve">(FENTAGIC, FENTANYL JANSSEN, FENTANYL PIRAMAL) — usage hospitalier (bloc opératoire, réanimation, obstétrique). Disponibilité en ampoules de 2 mL (100 µg) pour bolus et de 10 mL (500 µg) pour perfusion. Concentration uniforme 50 µg/mL permettant dilution en seringue électrique. Choix entre les marques : FENTANYL JANSSEN (historique, marque princeps), FENTAGIC (Frater Razes — bon marché), FENTANYL PIRAMAL (Piramal Critical Care — référentiel international pour anesthésie).</w:t>
      </w:r>
      <w:r>
        <w:t xml:space="preserve"> </w:t>
      </w:r>
      <w:r>
        <w:t xml:space="preserve">-</w:t>
      </w:r>
      <w:r>
        <w:t xml:space="preserve"> </w:t>
      </w:r>
      <w:r>
        <w:rPr>
          <w:b/>
          <w:bCs/>
        </w:rPr>
        <w:t xml:space="preserve">Spray nasal PECFENT</w:t>
      </w:r>
      <w:r>
        <w:t xml:space="preserve"> </w:t>
      </w:r>
      <w:r>
        <w:t xml:space="preserve">(Kyowa Kirin) — innovation thérapeutique majeure pour les douleurs paroxystiques cancéreuses (accès douloureux aigus malgré fond opioïde stable). Deux dosages disponibles : 100 µg/pulvérisation (initiation, titration) et 400 µg/pulvérisation (patient stabilisé à dose plus élevée). Absorption transmuqueuse rapide ( Tmax 12–21 min), délai d’action 5–10 min. Préférable aux formes orales transmuqueuses (OTFC) qui ont une biodisponibilité plus variable. Patient doit être déjà sous opioïde (CI chez naïf).</w:t>
      </w:r>
      <w:r>
        <w:t xml:space="preserve"> </w:t>
      </w:r>
      <w:r>
        <w:t xml:space="preserve">-</w:t>
      </w:r>
      <w:r>
        <w:t xml:space="preserve"> </w:t>
      </w:r>
      <w:r>
        <w:rPr>
          <w:b/>
          <w:bCs/>
        </w:rPr>
        <w:t xml:space="preserve">Patch transdermique DUROGESIC</w:t>
      </w:r>
      <w:r>
        <w:t xml:space="preserve"> </w:t>
      </w:r>
      <w:r>
        <w:t xml:space="preserve">(Janssen Cilag) — malheureusement non renouvelé en Algérie à la date de la nomenclature, mais reste disponible via circuits parallèles (importation exceptionnelle). Avantages : (1) analgésie prolongée 72 h, observance optimale ; (2) pas de pic plasmatique — moins d’EI ; (3) pas de passage hépatique premier (métabolisme CYP3A4 systémique) ; (4) indiqué en IR (pas de métabolite actif). Inconvénients : (1) délai d’action 12–24 h, pas pour initiation ni pour douleur aiguë ; (2) syndrome de sevrage à l’arrêt (demi-vie apparente prolongée 16–22 h — surveillance 24 h) ; (3) libération massive par chaleur externe ; (4) coût élevé.</w:t>
      </w:r>
    </w:p>
    <w:p>
      <w:pPr>
        <w:pStyle w:val="BodyText"/>
      </w:pPr>
      <w:r>
        <w:t xml:space="preserve">À l’officine, insister sur l’éducation du patient pour le patch (cf. conseils), sur l’observance des délais d’action et de sevrage, sur la nécessité d’un médecin référent.</w:t>
      </w:r>
    </w:p>
    <w:p>
      <w:pPr>
        <w:pStyle w:val="BodyText"/>
      </w:pPr>
      <w:r>
        <w:rPr>
          <w:b/>
          <w:bCs/>
        </w:rPr>
        <w:t xml:space="preserve">Instructions et Conseils au Patient :</w:t>
      </w:r>
      <w:r>
        <w:t xml:space="preserve"> </w:t>
      </w:r>
      <w:r>
        <w:t xml:space="preserve">- Communication au comptoir : « Ce médicament est un opioïde fort (fentanyl) prescrit pour [préciser l’usage : anesthésie, patch pour douleur chronique, spray pour accès douloureux]. Pour le patch : à poser sur peau saine, sans poil, sur le haut du bras, le torse ou le dos. Changer toutes les 72 h (3 jours). Alterner les sites d’application. Ne pas exposer à la chaleur (pas de bain chaud, sauna, couverture chauffante, fièvre &gt; 38,5 °C — risque de libération massive et surdosage). Conserver à température ambiante. Ne pas conduire les premiers jours. Ne pas associer à l’alcool ni aux somnifères. Si somnolence excessive ou respiration lente, retirer le patch et contacter le SAMU immédiatement. Pour le spray nasal : 1 pulvérisation par accès douloureux (ne pas dépasser 4 accès/jour, ni 8 pulvérisations par flacon). Attendre 30 min pour évaluer le soulagement avant de renouveler. »</w:t>
      </w:r>
      <w:r>
        <w:t xml:space="preserve"> </w:t>
      </w:r>
      <w:r>
        <w:t xml:space="preserve">- Mode d’utilisation pratique (patch) : (1) Choisir un site sain, sans lésion, sans poil, sur le haut du bras, la partie supérieure du torse ou la partie supérieure du dos ; (2) Si besoin, couper les poils (pas de rasoir, ciseaux uniquement) ; (3) Laver à l’eau, sécher complètement (pas de savon, pas d’alcool, pas de lotion) ; (4) Ouvrir l’emballage, retirer le film protecteur, appliquer fermement en appuyant 30 s ; (5) Noter la date et l’heure d’application sur le patch ; (6) Laisser en place 72 h ; (7) Retirer délicatement, plier le patch sur lui-même (côté adhésif vers l’intérieur), jeter dans un lieu sûr (hors de portée des enfants — dépôt résiduel) ; (8) Appliquer un nouveau patch sur un site différent (rotation). En cas d’oubli : appliquer dès que possible, ajuster le rythme. En cas de décollement : ne pas recoller avec du ruban, appliquer un nouveau patch. Ne jamais découper le patch (libération massive). Ne jamais exposer à une source de chaleur externe. Mode d’utilisation pratique (spray nasal) : (1) Première utilisation : amorcer la pompe (5 pulvérisations dans l’air jusqu’à obtention d’un brouillard fin) ; (2) Pencher légèrement la tête en avant, insérer l’embout dans une narine, pointer vers le pont du nez (pas vers la cloison) ; (3) Pulvériser une fois en inspirant doucement ; (4) Renouveler dans l’autre narine si nécessaire après 30 min (titration) ; (5) Ne pas dépasser la dose prescrite par accès.</w:t>
      </w:r>
    </w:p>
    <w:p>
      <w:pPr>
        <w:pStyle w:val="BodyText"/>
      </w:pPr>
      <w:r>
        <w:rPr>
          <w:b/>
          <w:bCs/>
        </w:rPr>
        <w:t xml:space="preserve">Notes, Règles d’Or &amp; Pièges au Comptoir :</w:t>
      </w:r>
      <w:r>
        <w:t xml:space="preserve"> </w:t>
      </w:r>
      <w:r>
        <w:t xml:space="preserve">-</w:t>
      </w:r>
      <w:r>
        <w:t xml:space="preserve"> </w:t>
      </w:r>
      <w:r>
        <w:rPr>
          <w:b/>
          <w:bCs/>
        </w:rPr>
        <w:t xml:space="preserve">Piège classique — Initiation par patch chez patient naïf d’opioïdes</w:t>
      </w:r>
      <w:r>
        <w:t xml:space="preserve"> </w:t>
      </w:r>
      <w:r>
        <w:t xml:space="preserve">: la CI est absolue. Le patch ne doit être initié qu’après titration par morphine orale pendant ≥ 3 jours, dose équivalente stable. Initiation par patch chez naïf → surdosage potentiellement létal.</w:t>
      </w:r>
      <w:r>
        <w:t xml:space="preserve"> </w:t>
      </w:r>
      <w:r>
        <w:t xml:space="preserve">-</w:t>
      </w:r>
      <w:r>
        <w:t xml:space="preserve"> </w:t>
      </w:r>
      <w:r>
        <w:rPr>
          <w:b/>
          <w:bCs/>
        </w:rPr>
        <w:t xml:space="preserve">Piège — Chaleur externe</w:t>
      </w:r>
      <w:r>
        <w:t xml:space="preserve"> </w:t>
      </w:r>
      <w:r>
        <w:t xml:space="preserve">: une couverture chauffante, un bain chaud &gt; 40 °C, un sauna ou une fièvre &gt; 38,5 °C triple la libération de fentanyl → surdosage. Éducation absolue du patient. Si fièvre, contacter le médecin (switch vers forme orale).</w:t>
      </w:r>
      <w:r>
        <w:t xml:space="preserve"> </w:t>
      </w:r>
      <w:r>
        <w:t xml:space="preserve">-</w:t>
      </w:r>
      <w:r>
        <w:t xml:space="preserve"> </w:t>
      </w:r>
      <w:r>
        <w:rPr>
          <w:b/>
          <w:bCs/>
        </w:rPr>
        <w:t xml:space="preserve">Piège — Surveillance à l’arrêt du patch</w:t>
      </w:r>
      <w:r>
        <w:t xml:space="preserve"> </w:t>
      </w:r>
      <w:r>
        <w:t xml:space="preserve">: après retrait, le dépôt cutané continue à libérer du fentanyl pendant 12–24 h. Surveillance de la dépression respiratoire prolongée. À l’arrêt définitif (rotation), relais par morphine orale à dose réduite de 50 % le 1er jour (cross-tolérance incomplète).</w:t>
      </w:r>
      <w:r>
        <w:t xml:space="preserve"> </w:t>
      </w:r>
      <w:r>
        <w:t xml:space="preserve">-</w:t>
      </w:r>
      <w:r>
        <w:t xml:space="preserve"> </w:t>
      </w:r>
      <w:r>
        <w:rPr>
          <w:b/>
          <w:bCs/>
        </w:rPr>
        <w:t xml:space="preserve">Piège — Accumulation en perfusion prolongée</w:t>
      </w:r>
      <w:r>
        <w:t xml:space="preserve"> </w:t>
      </w:r>
      <w:r>
        <w:t xml:space="preserve">: en perfusion continue &gt; 4 h (réanimation, chirurgie longue), la context-sensitive half-time augmente significativement (jusqu’à 1–2 h) → surveillance prolongée en post-opératoire (SSPI), anticipation de la dépression respiratoire résiduelle.</w:t>
      </w:r>
      <w:r>
        <w:t xml:space="preserve"> </w:t>
      </w:r>
      <w:r>
        <w:t xml:space="preserve">-</w:t>
      </w:r>
      <w:r>
        <w:t xml:space="preserve"> </w:t>
      </w:r>
      <w:r>
        <w:rPr>
          <w:b/>
          <w:bCs/>
        </w:rPr>
        <w:t xml:space="preserve">Piège — Interactions CYP3A4</w:t>
      </w:r>
      <w:r>
        <w:t xml:space="preserve"> </w:t>
      </w:r>
      <w:r>
        <w:t xml:space="preserve">: chez un patient sous ritonavir/lopinavir (VIH) ou voriconazole, le fentanyl peut s’accumuler massivement. Surveillance étroite, réduire dose 50–75 %.</w:t>
      </w:r>
      <w:r>
        <w:t xml:space="preserve"> </w:t>
      </w:r>
      <w:r>
        <w:t xml:space="preserve">-</w:t>
      </w:r>
      <w:r>
        <w:t xml:space="preserve"> </w:t>
      </w:r>
      <w:r>
        <w:rPr>
          <w:b/>
          <w:bCs/>
        </w:rPr>
        <w:t xml:space="preserve">Règle de prise</w:t>
      </w:r>
      <w:r>
        <w:t xml:space="preserve"> </w:t>
      </w:r>
      <w:r>
        <w:t xml:space="preserve">: patch toutes les 72 h à heure fixe, rotation des sites. Spray nasal : 1 pulvérisation par accès, max 4 accès/jour.</w:t>
      </w:r>
      <w:r>
        <w:t xml:space="preserve"> </w:t>
      </w:r>
      <w:r>
        <w:t xml:space="preserve">-</w:t>
      </w:r>
      <w:r>
        <w:t xml:space="preserve"> </w:t>
      </w:r>
      <w:r>
        <w:rPr>
          <w:b/>
          <w:bCs/>
        </w:rPr>
        <w:t xml:space="preserve">Préparation et Conservation</w:t>
      </w:r>
      <w:r>
        <w:t xml:space="preserve"> </w:t>
      </w:r>
      <w:r>
        <w:t xml:space="preserve">: solution injectable en armoire à stupéfiants, registre des entrées/sorties. Stockage &lt; 25 °C, à l’abri de la lumière. Patch : conservation en emballage d’origine, sécurité enfants. Spray nasal : conservation &lt; 25 °C, ne pas congeler, flacon à usage unique (jeter après 5 jours de la 1re utilisation ou après épuisement des doses).</w:t>
      </w:r>
      <w:r>
        <w:t xml:space="preserve"> </w:t>
      </w:r>
      <w:r>
        <w:t xml:space="preserve">-</w:t>
      </w:r>
      <w:r>
        <w:t xml:space="preserve"> </w:t>
      </w:r>
      <w:r>
        <w:rPr>
          <w:b/>
          <w:bCs/>
        </w:rPr>
        <w:t xml:space="preserve">Piège du surdosage</w:t>
      </w:r>
      <w:r>
        <w:t xml:space="preserve"> </w:t>
      </w:r>
      <w:r>
        <w:t xml:space="preserve">: naloxone IV 0,1–0,4 mg titration. Pour le patch : retirer immédiatement, surveillance 24 h. Pour la perfusion prolongée : naloxone en perfusion continue 0,4–0,8 mg/h, surveillance 6–12 h.</w:t>
      </w:r>
      <w:r>
        <w:t xml:space="preserve"> </w:t>
      </w:r>
      <w:r>
        <w:t xml:space="preserve">-</w:t>
      </w:r>
      <w:r>
        <w:t xml:space="preserve"> </w:t>
      </w:r>
      <w:r>
        <w:rPr>
          <w:b/>
          <w:bCs/>
        </w:rPr>
        <w:t xml:space="preserve">Substitution</w:t>
      </w:r>
      <w:r>
        <w:t xml:space="preserve"> </w:t>
      </w:r>
      <w:r>
        <w:t xml:space="preserve">: le fentanyl est un opioïde fort — dérivés de synthèse très puissants (carfentanil, 10 000 x morphine) utilisés comme armes chimiques ou dans le mésusage nord-américain. En Algérie, le fentanyl injectable est strictement hospitalier — pas de mésusage en officine possible. Le patch (DUROGESIC) peut faire l’objet de détournements (extraction, injection — risque létal).</w:t>
      </w:r>
    </w:p>
    <w:p>
      <w:r>
        <w:pict>
          <v:rect style="width:0;height:1.5pt" o:hralign="center" o:hrstd="t" o:hr="t"/>
        </w:pict>
      </w:r>
    </w:p>
    <w:bookmarkEnd w:id="109"/>
    <w:bookmarkStart w:id="110" w:name="dci-oxycodone-seule"/>
    <w:p>
      <w:pPr>
        <w:pStyle w:val="Heading3"/>
      </w:pPr>
      <w:r>
        <w:t xml:space="preserve">5. DCI : Oxycodone (Seule)</w:t>
      </w:r>
    </w:p>
    <w:p>
      <w:pPr>
        <w:pStyle w:val="FirstParagraph"/>
      </w:pPr>
      <w:r>
        <w:rPr>
          <w:b/>
          <w:bCs/>
        </w:rPr>
        <w:t xml:space="preserve">Liste des Catégories :</w:t>
      </w:r>
      <w:r>
        <w:t xml:space="preserve"> </w:t>
      </w:r>
      <w:r>
        <w:t xml:space="preserve">Antalgiques palier III - Opioïdes forts ; Opioïde semi-synthétique (thébaïne) ; Prodrogue partielle (CYP2D6/CYP3A4).</w:t>
      </w:r>
    </w:p>
    <w:p>
      <w:pPr>
        <w:pStyle w:val="BodyText"/>
      </w:pPr>
      <w:r>
        <w:t xml:space="preserve">L’oxycodone est un opioïde semi-synthétique dérivé de la</w:t>
      </w:r>
      <w:r>
        <w:t xml:space="preserve"> </w:t>
      </w:r>
      <w:r>
        <w:rPr>
          <w:b/>
          <w:bCs/>
        </w:rPr>
        <w:t xml:space="preserve">thébaïne</w:t>
      </w:r>
      <w:r>
        <w:t xml:space="preserve"> </w:t>
      </w:r>
      <w:r>
        <w:t xml:space="preserve">(alcaloïde mineur du pavot). Introduite en clinique en 1917, elle est structurellement proche de la codéine (méthyl-oxycodone) mais 2 fois plus puissante que la morphine par voie orale. Sa particularité pharmacologique est d’être à la fois une</w:t>
      </w:r>
      <w:r>
        <w:t xml:space="preserve"> </w:t>
      </w:r>
      <w:r>
        <w:rPr>
          <w:b/>
          <w:bCs/>
        </w:rPr>
        <w:t xml:space="preserve">prodrogue partielle</w:t>
      </w:r>
      <w:r>
        <w:t xml:space="preserve"> </w:t>
      </w:r>
      <w:r>
        <w:t xml:space="preserve">(métabolisme CYP2D6 → oxymorphone, 14 fois plus affine pour le μ) et une</w:t>
      </w:r>
      <w:r>
        <w:t xml:space="preserve"> </w:t>
      </w:r>
      <w:r>
        <w:rPr>
          <w:b/>
          <w:bCs/>
        </w:rPr>
        <w:t xml:space="preserve">molécule active</w:t>
      </w:r>
      <w:r>
        <w:t xml:space="preserve"> </w:t>
      </w:r>
      <w:r>
        <w:t xml:space="preserve">propre (agoniste μ direct, sans besoin de conversion). Le métabolisme par CYP3A4 produit la noroxycodone, inactive. Cette double voie métabolique rend l’oxycodone sensible aux polymorphismes CYP2D6 (métaboliseurs ultra-rapides : surdosage ; métaboliseurs lents : sous-dosage) et aux interactions CYP3A4. Disponibilité en Algérie : les seules spécialités répertoriées (OXYNORM gélules 5/10/20 mg et solution injectable 10 mg/mL — Napp Pharmaceuticals) sont</w:t>
      </w:r>
      <w:r>
        <w:t xml:space="preserve"> </w:t>
      </w:r>
      <w:r>
        <w:rPr>
          <w:b/>
          <w:bCs/>
        </w:rPr>
        <w:t xml:space="preserve">toutes retirées du marché</w:t>
      </w:r>
      <w:r>
        <w:t xml:space="preserve"> </w:t>
      </w:r>
      <w:r>
        <w:t xml:space="preserve">algérien à la date de la nomenclature (statut RETRAIT). L’oxycodone est donc citée pour mémoire et pour l’enseignement — les patients algériens y ayant accès ne le font que par importation exceptionnelle ou circuits parallèles.</w:t>
      </w:r>
    </w:p>
    <w:p>
      <w:pPr>
        <w:pStyle w:val="BodyText"/>
      </w:pPr>
      <w:r>
        <w:rPr>
          <w:b/>
          <w:bCs/>
        </w:rPr>
        <w:t xml:space="preserve">Médicaments disponibles en Algérie (Marques, Laboratoires, Formes et Dosages) :</w:t>
      </w:r>
    </w:p>
    <w:p>
      <w:pPr>
        <w:pStyle w:val="Compact"/>
        <w:numPr>
          <w:ilvl w:val="0"/>
          <w:numId w:val="1045"/>
        </w:numPr>
      </w:pPr>
      <w:r>
        <w:rPr>
          <w:b/>
          <w:bCs/>
        </w:rPr>
        <w:t xml:space="preserve">OXYNORM</w:t>
      </w:r>
      <w:r>
        <w:t xml:space="preserve"> </w:t>
      </w:r>
      <w:r>
        <w:t xml:space="preserve">(NAPP PHARMACEUTICALS LIMITED) — Toutes formes retirées</w:t>
      </w:r>
    </w:p>
    <w:p>
      <w:pPr>
        <w:pStyle w:val="Compact"/>
        <w:numPr>
          <w:ilvl w:val="1"/>
          <w:numId w:val="1046"/>
        </w:numPr>
      </w:pPr>
      <w:r>
        <w:t xml:space="preserve">Gélule 5 mg — B/56 — Liste I — Retiré (R)</w:t>
      </w:r>
    </w:p>
    <w:p>
      <w:pPr>
        <w:pStyle w:val="Compact"/>
        <w:numPr>
          <w:ilvl w:val="1"/>
          <w:numId w:val="1046"/>
        </w:numPr>
      </w:pPr>
      <w:r>
        <w:t xml:space="preserve">Gélule 10 mg — B/56 — Liste I — Retiré (R)</w:t>
      </w:r>
    </w:p>
    <w:p>
      <w:pPr>
        <w:pStyle w:val="Compact"/>
        <w:numPr>
          <w:ilvl w:val="1"/>
          <w:numId w:val="1046"/>
        </w:numPr>
      </w:pPr>
      <w:r>
        <w:t xml:space="preserve">Gélule 20 mg — B/56 — Liste I — Retiré (R)</w:t>
      </w:r>
    </w:p>
    <w:p>
      <w:pPr>
        <w:pStyle w:val="Compact"/>
        <w:numPr>
          <w:ilvl w:val="1"/>
          <w:numId w:val="1046"/>
        </w:numPr>
      </w:pPr>
      <w:r>
        <w:t xml:space="preserve">Solution injectable / perfusion IV / SC 10 mg/mL (20 mg/2 mL) — B/5 amp. 1 mL et B/5 amp. 2 mL — Liste I — Retiré (R)</w:t>
      </w:r>
    </w:p>
    <w:p>
      <w:pPr>
        <w:pStyle w:val="FirstParagraph"/>
      </w:pPr>
      <w:r>
        <w:rPr>
          <w:i/>
          <w:iCs/>
        </w:rPr>
        <w:t xml:space="preserve">Note : Les formes LP (OxyContin) ne figurent pas dans la nomenclature algérienne — non commercialisées.</w:t>
      </w:r>
    </w:p>
    <w:p>
      <w:pPr>
        <w:pStyle w:val="BodyText"/>
      </w:pPr>
      <w:r>
        <w:rPr>
          <w:b/>
          <w:bCs/>
        </w:rPr>
        <w:t xml:space="preserve">Sous-classe et Mécanisme d’action :</w:t>
      </w:r>
      <w:r>
        <w:t xml:space="preserve"> </w:t>
      </w:r>
      <w:r>
        <w:t xml:space="preserve">- Sous-classe : Antalgique opioïde palier III, agoniste pur μ, opioïde semi-synthétique (thébaïne), prodrogue partielle.</w:t>
      </w:r>
      <w:r>
        <w:t xml:space="preserve"> </w:t>
      </w:r>
      <w:r>
        <w:t xml:space="preserve">- Mécanisme d’action : L’oxycodone est un agoniste pur du</w:t>
      </w:r>
      <w:r>
        <w:t xml:space="preserve"> </w:t>
      </w:r>
      <w:r>
        <w:rPr>
          <w:b/>
          <w:bCs/>
        </w:rPr>
        <w:t xml:space="preserve">récepteur μ (MOR)</w:t>
      </w:r>
      <w:r>
        <w:t xml:space="preserve">, avec une affinité modérée propre (10 fois inférieure à la morphine) mais une puissante activité analgésique après activation métabolique. Le métabolisme hépatique implique deux voies : (1)</w:t>
      </w:r>
      <w:r>
        <w:t xml:space="preserve"> </w:t>
      </w:r>
      <w:r>
        <w:rPr>
          <w:b/>
          <w:bCs/>
        </w:rPr>
        <w:t xml:space="preserve">O-déméthylation par CYP2D6</w:t>
      </w:r>
      <w:r>
        <w:t xml:space="preserve"> </w:t>
      </w:r>
      <w:r>
        <w:t xml:space="preserve">→</w:t>
      </w:r>
      <w:r>
        <w:t xml:space="preserve"> </w:t>
      </w:r>
      <w:r>
        <w:rPr>
          <w:b/>
          <w:bCs/>
        </w:rPr>
        <w:t xml:space="preserve">oxymorphone</w:t>
      </w:r>
      <w:r>
        <w:t xml:space="preserve"> </w:t>
      </w:r>
      <w:r>
        <w:t xml:space="preserve">(métabolite actif, 14 fois plus affine pour le μ que la molécule mère) — cette voie représente ~10 % de la clearance mais contribue significativement à l’analgésie ; (2)</w:t>
      </w:r>
      <w:r>
        <w:t xml:space="preserve"> </w:t>
      </w:r>
      <w:r>
        <w:rPr>
          <w:b/>
          <w:bCs/>
        </w:rPr>
        <w:t xml:space="preserve">N-déméthylation par CYP3A4</w:t>
      </w:r>
      <w:r>
        <w:t xml:space="preserve"> </w:t>
      </w:r>
      <w:r>
        <w:t xml:space="preserve">→</w:t>
      </w:r>
      <w:r>
        <w:t xml:space="preserve"> </w:t>
      </w:r>
      <w:r>
        <w:rPr>
          <w:b/>
          <w:bCs/>
        </w:rPr>
        <w:t xml:space="preserve">noroxycodone</w:t>
      </w:r>
      <w:r>
        <w:t xml:space="preserve"> </w:t>
      </w:r>
      <w:r>
        <w:t xml:space="preserve">(métabolite inactif). Le polymorphisme CYP2D6 influence l’efficacité : métaboliseurs ultra-rapides → surproduction d’oxymorphone → surdosage possible ; métaboliseurs lents → activation insuffisante → baisse d’efficacité. Le couplage Gi/Go → baisse AMPc → ouverture GIRK → hyperpolarisation → inhibition libération substance P/glutamate. Action spinale, supraspinale et périphérique.</w:t>
      </w:r>
    </w:p>
    <w:p>
      <w:pPr>
        <w:pStyle w:val="BodyText"/>
      </w:pPr>
      <w:r>
        <w:rPr>
          <w:b/>
          <w:bCs/>
        </w:rPr>
        <w:t xml:space="preserve">Profil Pharmacologique :</w:t>
      </w:r>
      <w:r>
        <w:t xml:space="preserve"> </w:t>
      </w:r>
      <w:r>
        <w:t xml:space="preserve">- Indications : (1) Douleur cancéreuse modérée à sévère (alternative à la morphine, en cas d’intolérance ou rotation) ; (2) Douleur postopératoire (forme injectable) ; (3) Douleur chronique non cancéreuse sous surveillance spécialisée. En Algérie,</w:t>
      </w:r>
      <w:r>
        <w:t xml:space="preserve"> </w:t>
      </w:r>
      <w:r>
        <w:rPr>
          <w:b/>
          <w:bCs/>
        </w:rPr>
        <w:t xml:space="preserve">non disponible en nomenclature active</w:t>
      </w:r>
      <w:r>
        <w:t xml:space="preserve"> </w:t>
      </w:r>
      <w:r>
        <w:t xml:space="preserve">(retrait de tous les OXYNORM) — à signaler à l’étudiant pour mémoire et reconnaissance de l’International Nonproprietary Name (INN).</w:t>
      </w:r>
      <w:r>
        <w:t xml:space="preserve"> </w:t>
      </w:r>
      <w:r>
        <w:t xml:space="preserve">- Contre-indications : (1) Insuffisance respiratoire sévère ; (2) Traumatisme crânien / HTIC ; (3) Ileus paralytique ; (4) Hypersensibilité ; (5) Allaitement (usage chronique) ; (6) Enfant &lt; 12 ans ; (7) Enfant &lt; 18 ans post-amygdalectomie ; (8) Insuffisance hépatique sévère (formes LP) ; (9) Association aux IMAO (14 jours d’intervalle).</w:t>
      </w:r>
      <w:r>
        <w:t xml:space="preserve"> </w:t>
      </w:r>
      <w:r>
        <w:t xml:space="preserve">- Effets Indésirables : Profil similaire à la morphine — (1) Constipation quasi constante ; (2) Nausées/vomissements ; (3) Sédation, somnolence (parfois moindre qu’avec morphine) ; (4) Dépression respiratoire dose-dépendante ; (5) Prurit (moins marqué que morphine — moins de libération d’histamine) ; (6) Rétention urinaire ; (7) Myosis ; (8) Hypotension orthostatique (moins que morphine) ; (9) Confusion (sujet âgé) ; (10) Dépendance physique, tolérance ; (11) Hyperalgésie à long terme. L’oxycodone est réputée provoquer moins d’hallucinations et de nausées que la morphine — d’où son intérêt en rotation.</w:t>
      </w:r>
    </w:p>
    <w:p>
      <w:pPr>
        <w:pStyle w:val="BodyText"/>
      </w:pPr>
      <w:r>
        <w:rPr>
          <w:b/>
          <w:bCs/>
        </w:rPr>
        <w:t xml:space="preserve">Prévention et Gestion des Effets Indésirables :</w:t>
      </w:r>
      <w:r>
        <w:t xml:space="preserve"> </w:t>
      </w:r>
      <w:r>
        <w:t xml:space="preserve">- Mesures Préventives : (a) Laxatif systématique (macrogol + bisacodyl) ; (b) Antiémétique en début (dompéridone) ; (c) Surveillance FR, SpO2 ; (d) Adaptation à l’IR (clairance oxycodone réduite, métabolite noroxycodone s’accumule — diminution dose 50 % si DFG &lt; 30) ; (e) Adaptation à l’insuffisance hépatique (dose réduite 25–50 %) ; (f) Sujet âgé : dose initiale réduite 25–50 %.</w:t>
      </w:r>
      <w:r>
        <w:t xml:space="preserve"> </w:t>
      </w:r>
      <w:r>
        <w:t xml:space="preserve">- Conduite à Tenir : En cas de dépression respiratoire → naloxone IV 0,1–0,4 mg titration, surveillance 6–12 h (demi-vie oxycodone 3–4 h, oxymorphone 8–10 h en IR). Rotation vers fentanyl si accumulation.</w:t>
      </w:r>
    </w:p>
    <w:p>
      <w:pPr>
        <w:pStyle w:val="BodyText"/>
      </w:pPr>
      <w:r>
        <w:rPr>
          <w:b/>
          <w:bCs/>
        </w:rPr>
        <w:t xml:space="preserve">Interactions Importantes :</w:t>
      </w:r>
      <w:r>
        <w:t xml:space="preserve"> </w:t>
      </w:r>
      <w:r>
        <w:t xml:space="preserve">- Oxycodone +</w:t>
      </w:r>
      <w:r>
        <w:t xml:space="preserve"> </w:t>
      </w:r>
      <w:r>
        <w:rPr>
          <w:b/>
          <w:bCs/>
        </w:rPr>
        <w:t xml:space="preserve">Inhibiteurs du CYP2D6</w:t>
      </w:r>
      <w:r>
        <w:t xml:space="preserve"> </w:t>
      </w:r>
      <w:r>
        <w:t xml:space="preserve">(paroxétine, fluoxétine, quinidine, bupropion) : baisse de l’activation en oxymorphone → baisse d’efficacité (mais activité propre résiduelle).</w:t>
      </w:r>
      <w:r>
        <w:t xml:space="preserve"> </w:t>
      </w:r>
      <w:r>
        <w:t xml:space="preserve">- Oxycodone +</w:t>
      </w:r>
      <w:r>
        <w:t xml:space="preserve"> </w:t>
      </w:r>
      <w:r>
        <w:rPr>
          <w:b/>
          <w:bCs/>
        </w:rPr>
        <w:t xml:space="preserve">Inhibiteurs du CYP3A4</w:t>
      </w:r>
      <w:r>
        <w:t xml:space="preserve"> </w:t>
      </w:r>
      <w:r>
        <w:t xml:space="preserve">(kétoconazole, voriconazole, ritonavir, clarithromycine, diltiazem, vérapamil, grapefruit) :</w:t>
      </w:r>
      <w:r>
        <w:t xml:space="preserve"> </w:t>
      </w:r>
      <w:r>
        <w:rPr>
          <w:b/>
          <w:bCs/>
        </w:rPr>
        <w:t xml:space="preserve">augmentation des concentrations d’oxycodone</w:t>
      </w:r>
      <w:r>
        <w:t xml:space="preserve"> </w:t>
      </w:r>
      <w:r>
        <w:t xml:space="preserve">(jusqu’à x3–5) → surdosage — réduire dose 25–75 %.</w:t>
      </w:r>
      <w:r>
        <w:t xml:space="preserve"> </w:t>
      </w:r>
      <w:r>
        <w:t xml:space="preserve">- Oxycodone +</w:t>
      </w:r>
      <w:r>
        <w:t xml:space="preserve"> </w:t>
      </w:r>
      <w:r>
        <w:rPr>
          <w:b/>
          <w:bCs/>
        </w:rPr>
        <w:t xml:space="preserve">Inducteurs du CYP3A4</w:t>
      </w:r>
      <w:r>
        <w:t xml:space="preserve"> </w:t>
      </w:r>
      <w:r>
        <w:t xml:space="preserve">(rifampicine, carbamazépine, phénytoïne, millepertuis) : baisse d’efficacité — augmenter dose ou changer d’opioïde.</w:t>
      </w:r>
      <w:r>
        <w:t xml:space="preserve"> </w:t>
      </w:r>
      <w:r>
        <w:t xml:space="preserve">- Oxycodone + IMAO : syndrome sérotoninergique, hypertension — délai 14 jours.</w:t>
      </w:r>
      <w:r>
        <w:t xml:space="preserve"> </w:t>
      </w:r>
      <w:r>
        <w:t xml:space="preserve">- Oxycodone + alcool, benzodiazépines, autres opioïdes : dépression respiratoire additive.</w:t>
      </w:r>
      <w:r>
        <w:t xml:space="preserve"> </w:t>
      </w:r>
      <w:r>
        <w:t xml:space="preserve">- Oxycodone + IRS : syndrome sérotoninergique (rare).</w:t>
      </w:r>
    </w:p>
    <w:p>
      <w:pPr>
        <w:pStyle w:val="BodyText"/>
      </w:pPr>
      <w:r>
        <w:rPr>
          <w:b/>
          <w:bCs/>
        </w:rPr>
        <w:t xml:space="preserve">Grossesse et Allaitement :</w:t>
      </w:r>
      <w:r>
        <w:t xml:space="preserve"> </w:t>
      </w:r>
      <w:r>
        <w:t xml:space="preserve">- Grossesse : selon CRAT, compatible à dose ponctuelle, à éviter au 3e trimestre (dépression respiratoire fœtale, syndrome de sevrage néonatal). Préférer morphine qui a plus de recul.</w:t>
      </w:r>
      <w:r>
        <w:t xml:space="preserve"> </w:t>
      </w:r>
      <w:r>
        <w:t xml:space="preserve">- Allaitement : CI en usage chronique. Compatible à dose unique ponctuelle (reprise 4–6 h après).</w:t>
      </w:r>
      <w:r>
        <w:t xml:space="preserve"> </w:t>
      </w:r>
      <w:r>
        <w:t xml:space="preserve">- Précisions : L’oxymorphone (métabolite actif) passe dans le lait — accumulation possible chez le nourrisson.</w:t>
      </w:r>
    </w:p>
    <w:p>
      <w:pPr>
        <w:pStyle w:val="BodyText"/>
      </w:pPr>
      <w:r>
        <w:rPr>
          <w:b/>
          <w:bCs/>
        </w:rPr>
        <w:t xml:space="preserve">Posologie et Mode d’administration (Standard) :</w:t>
      </w:r>
      <w:r>
        <w:t xml:space="preserve"> </w:t>
      </w:r>
      <w:r>
        <w:t xml:space="preserve">- Adulte : (1) Forme LI : 5–10 mg toutes les 4–6 h (titration initiale) ; (2) Forme LP : 10–40 mg x 2/jour (12 h) ; (3) Injectable : 1–10 mg IV/SC toutes les 4–6 h. Dose maximale usuelle 80–120 mg/jour en cancer, pouvant dépasser 200 mg/jour.</w:t>
      </w:r>
      <w:r>
        <w:t xml:space="preserve"> </w:t>
      </w:r>
      <w:r>
        <w:t xml:space="preserve">- Sujet âgé : dose initiale réduite 25–50 %.</w:t>
      </w:r>
      <w:r>
        <w:t xml:space="preserve"> </w:t>
      </w:r>
      <w:r>
        <w:t xml:space="preserve">- Enfant &gt; 12 ans : 0,1–0,2 mg/kg par prise, max 10 mg/prise.</w:t>
      </w:r>
      <w:r>
        <w:t xml:space="preserve"> </w:t>
      </w:r>
      <w:r>
        <w:t xml:space="preserve">- Insuffisant rénal (DFG &lt; 30) : dose réduite 50 %, espacement à 6–8 h.</w:t>
      </w:r>
      <w:r>
        <w:t xml:space="preserve"> </w:t>
      </w:r>
      <w:r>
        <w:t xml:space="preserve">- Insuffisant hépatique : dose réduite 25–50 %, surveillance.</w:t>
      </w:r>
      <w:r>
        <w:t xml:space="preserve"> </w:t>
      </w:r>
      <w:r>
        <w:t xml:space="preserve">- Durée : En cancer — traitement prolongé jusqu’à fin de vie. En douleur aiguë : 3–7 jours.</w:t>
      </w:r>
      <w:r>
        <w:t xml:space="preserve"> </w:t>
      </w:r>
      <w:r>
        <w:t xml:space="preserve">- Moment de prise : Forme LP à heure fixe (12 h d’intervalle). Forme LI en cas de douleur paroxystique.</w:t>
      </w:r>
    </w:p>
    <w:p>
      <w:pPr>
        <w:pStyle w:val="BodyText"/>
      </w:pPr>
      <w:r>
        <w:rPr>
          <w:b/>
          <w:bCs/>
        </w:rPr>
        <w:t xml:space="preserve">Arbitrage et Bénéfices des Formes Galéniques :</w:t>
      </w:r>
      <w:r>
        <w:t xml:space="preserve"> </w:t>
      </w:r>
      <w:r>
        <w:t xml:space="preserve">Avec le retrait de toutes les spécialités OXYNORM en Algérie, l’oxycodone n’est plus accessible en officine algérienne. À signaler pour l’enseignement : (1) Les formes LI (gélules 5/10/20 mg) et injectable (10 mg/mL) étaient disponibles chez Napp Pharmaceuticals (Royaume-Uni) ; (2) Les formes LP (OxyContin comprimés LP 10/20/40/80 mg) n’ont jamais été commercialisées en Algérie ; (3) En cas de besoin d’oxycodone (rotation depuis morphine, intolérance), importation exceptionnelle via ATU (autorisation temporaire d’utilisation) du ministère de la Santé algérien. À l’officine, à signaler que l’oxycodone est fréquemment détournée (mésusage nord-américain, épidémie d’opioïdes) — vigilance même si non disponible en Algérie.</w:t>
      </w:r>
    </w:p>
    <w:p>
      <w:pPr>
        <w:pStyle w:val="BodyText"/>
      </w:pPr>
      <w:r>
        <w:rPr>
          <w:b/>
          <w:bCs/>
        </w:rPr>
        <w:t xml:space="preserve">Instructions et Conseils au Patient :</w:t>
      </w:r>
      <w:r>
        <w:t xml:space="preserve"> </w:t>
      </w:r>
      <w:r>
        <w:t xml:space="preserve">- Communication au comptoir : « Ce médicament (oxycodone) n’est plus disponible en Algérie. Si vous en avez besoin, votre médecin doit faire une demande d’importation exceptionnelle auprès du ministère. En attendant, votre médecin peut vous proposer une alternative (morphine orale, fentanyl patch). »</w:t>
      </w:r>
      <w:r>
        <w:t xml:space="preserve"> </w:t>
      </w:r>
      <w:r>
        <w:t xml:space="preserve">- Mode d’utilisation pratique : Sur le plan théorique (à titre pédagogique) : gélules LI à avaler entières, à 4–6 h d’intervalle. Forme LP à 12 h d’intervalle. Ne jamais écraser ni mâcher les comprimés LP (surdosage par libération massive).</w:t>
      </w:r>
    </w:p>
    <w:p>
      <w:pPr>
        <w:pStyle w:val="BodyText"/>
      </w:pPr>
      <w:r>
        <w:rPr>
          <w:b/>
          <w:bCs/>
        </w:rPr>
        <w:t xml:space="preserve">Notes, Règles d’Or &amp; Pièges au Comptoir :</w:t>
      </w:r>
      <w:r>
        <w:t xml:space="preserve"> </w:t>
      </w:r>
      <w:r>
        <w:t xml:space="preserve">-</w:t>
      </w:r>
      <w:r>
        <w:t xml:space="preserve"> </w:t>
      </w:r>
      <w:r>
        <w:rPr>
          <w:b/>
          <w:bCs/>
        </w:rPr>
        <w:t xml:space="preserve">Piège classique — Prodrogue partielle CYP2D6</w:t>
      </w:r>
      <w:r>
        <w:t xml:space="preserve"> </w:t>
      </w:r>
      <w:r>
        <w:t xml:space="preserve">: le polymorphisme influence l’efficacité (métaboliseurs ultra-rapides → surdosage ; lents → inefficacité). En l’absence de génotypage en routine en Algérie, surveiller cliniquement.</w:t>
      </w:r>
      <w:r>
        <w:t xml:space="preserve"> </w:t>
      </w:r>
      <w:r>
        <w:t xml:space="preserve">-</w:t>
      </w:r>
      <w:r>
        <w:t xml:space="preserve"> </w:t>
      </w:r>
      <w:r>
        <w:rPr>
          <w:b/>
          <w:bCs/>
        </w:rPr>
        <w:t xml:space="preserve">Piège — Rotation opioïde</w:t>
      </w:r>
      <w:r>
        <w:t xml:space="preserve"> </w:t>
      </w:r>
      <w:r>
        <w:t xml:space="preserve">: équianalgésie orale morphine:oxycodone ~ 1,5:1 (60 mg morphine orale ↔ 40 mg oxycodone orale), avec réduction de 25–50 % pour cross-tolérance incomplète.</w:t>
      </w:r>
      <w:r>
        <w:t xml:space="preserve"> </w:t>
      </w:r>
      <w:r>
        <w:t xml:space="preserve">-</w:t>
      </w:r>
      <w:r>
        <w:t xml:space="preserve"> </w:t>
      </w:r>
      <w:r>
        <w:rPr>
          <w:b/>
          <w:bCs/>
        </w:rPr>
        <w:t xml:space="preserve">Piège — Accumulation en IR</w:t>
      </w:r>
      <w:r>
        <w:t xml:space="preserve"> </w:t>
      </w:r>
      <w:r>
        <w:t xml:space="preserve">: l’oxycodone s’accumule en IR modérée à sévère (clairance réduite), de même que la noroxycodone. Réduire dose de 50 % si DFG &lt; 30 mL/min.</w:t>
      </w:r>
      <w:r>
        <w:t xml:space="preserve"> </w:t>
      </w:r>
      <w:r>
        <w:t xml:space="preserve">-</w:t>
      </w:r>
      <w:r>
        <w:t xml:space="preserve"> </w:t>
      </w:r>
      <w:r>
        <w:rPr>
          <w:b/>
          <w:bCs/>
        </w:rPr>
        <w:t xml:space="preserve">Règle de prise</w:t>
      </w:r>
      <w:r>
        <w:t xml:space="preserve"> </w:t>
      </w:r>
      <w:r>
        <w:t xml:space="preserve">: LI à 4–6 h, LP à 12 h. Pas d’écrasement.</w:t>
      </w:r>
      <w:r>
        <w:t xml:space="preserve"> </w:t>
      </w:r>
      <w:r>
        <w:t xml:space="preserve">-</w:t>
      </w:r>
      <w:r>
        <w:t xml:space="preserve"> </w:t>
      </w:r>
      <w:r>
        <w:rPr>
          <w:b/>
          <w:bCs/>
        </w:rPr>
        <w:t xml:space="preserve">Préparation et Conservation</w:t>
      </w:r>
      <w:r>
        <w:t xml:space="preserve"> </w:t>
      </w:r>
      <w:r>
        <w:t xml:space="preserve">: stupéfiant, registre. Conservation &lt; 25 °C, à l’abri de l’humidité.</w:t>
      </w:r>
      <w:r>
        <w:t xml:space="preserve"> </w:t>
      </w:r>
      <w:r>
        <w:t xml:space="preserve">-</w:t>
      </w:r>
      <w:r>
        <w:t xml:space="preserve"> </w:t>
      </w:r>
      <w:r>
        <w:rPr>
          <w:b/>
          <w:bCs/>
        </w:rPr>
        <w:t xml:space="preserve">Piège du surdosage</w:t>
      </w:r>
      <w:r>
        <w:t xml:space="preserve"> </w:t>
      </w:r>
      <w:r>
        <w:t xml:space="preserve">: naloxone IV 0,1–0,4 mg titration, surveillance 6–12 h.</w:t>
      </w:r>
      <w:r>
        <w:t xml:space="preserve"> </w:t>
      </w:r>
      <w:r>
        <w:t xml:space="preserve">-</w:t>
      </w:r>
      <w:r>
        <w:t xml:space="preserve"> </w:t>
      </w:r>
      <w:r>
        <w:rPr>
          <w:b/>
          <w:bCs/>
        </w:rPr>
        <w:t xml:space="preserve">Substitution / Mésusage</w:t>
      </w:r>
      <w:r>
        <w:t xml:space="preserve"> </w:t>
      </w:r>
      <w:r>
        <w:t xml:space="preserve">: l’oxycodone est l’un des opioïdes les plus détournés en Amérique du Nord (épidémie des opioïdes depuis les années 2000, plusieurs centaines de milliers de décès). En Algérie, son absence de disponibilité protège structurellement, mais la vigilance reste de mise en cas d’apparition de circuits parallèles.</w:t>
      </w:r>
    </w:p>
    <w:p>
      <w:r>
        <w:pict>
          <v:rect style="width:0;height:1.5pt" o:hralign="center" o:hrstd="t" o:hr="t"/>
        </w:pict>
      </w:r>
    </w:p>
    <w:bookmarkEnd w:id="110"/>
    <w:bookmarkStart w:id="111" w:name="dci-sufentanil-seule"/>
    <w:p>
      <w:pPr>
        <w:pStyle w:val="Heading3"/>
      </w:pPr>
      <w:r>
        <w:t xml:space="preserve">6. DCI : Sufentanil (Seule)</w:t>
      </w:r>
    </w:p>
    <w:p>
      <w:pPr>
        <w:pStyle w:val="FirstParagraph"/>
      </w:pPr>
      <w:r>
        <w:rPr>
          <w:b/>
          <w:bCs/>
        </w:rPr>
        <w:t xml:space="preserve">Liste des Catégories :</w:t>
      </w:r>
      <w:r>
        <w:t xml:space="preserve"> </w:t>
      </w:r>
      <w:r>
        <w:t xml:space="preserve">Antalgiques palier III - Opioïdes forts ; Anesthésique général IV (adjuvant) ; Opioïde de synthèse (anilidopipéridine) ; Stupéfiant.</w:t>
      </w:r>
    </w:p>
    <w:p>
      <w:pPr>
        <w:pStyle w:val="BodyText"/>
      </w:pPr>
      <w:r>
        <w:t xml:space="preserve">Le sufentanil est une anilidopipéridine de synthèse, dérivé thiamyl du fentanyl, décrit par Janssen en 1974. C’est l’un des opioïdes les plus puissants utilisés en clinique —</w:t>
      </w:r>
      <w:r>
        <w:t xml:space="preserve"> </w:t>
      </w:r>
      <w:r>
        <w:rPr>
          <w:b/>
          <w:bCs/>
        </w:rPr>
        <w:t xml:space="preserve">5 à 10 fois plus puissant que le fentanyl</w:t>
      </w:r>
      <w:r>
        <w:t xml:space="preserve"> </w:t>
      </w:r>
      <w:r>
        <w:t xml:space="preserve">(donc ~500–1000 fois plus puissant que la morphine). Sa particularité pharmacocinétique tient à sa</w:t>
      </w:r>
      <w:r>
        <w:t xml:space="preserve"> </w:t>
      </w:r>
      <w:r>
        <w:rPr>
          <w:b/>
          <w:bCs/>
        </w:rPr>
        <w:t xml:space="preserve">très forte liposolubilité</w:t>
      </w:r>
      <w:r>
        <w:t xml:space="preserve"> </w:t>
      </w:r>
      <w:r>
        <w:t xml:space="preserve">(logP ~4,5, supérieure à celle du fentanyl), qui détermine un passage BBB très rapide, un onset court (1–3 min après IV) et une redistribution tissulaire massive. Son</w:t>
      </w:r>
      <w:r>
        <w:t xml:space="preserve"> </w:t>
      </w:r>
      <w:r>
        <w:rPr>
          <w:b/>
          <w:bCs/>
        </w:rPr>
        <w:t xml:space="preserve">context-sensitive half-time</w:t>
      </w:r>
      <w:r>
        <w:t xml:space="preserve"> </w:t>
      </w:r>
      <w:r>
        <w:t xml:space="preserve">demeure court même après perfusion prolongée (≤ 4 h), en raison de la redistribution rapide vers les tissus périphériques et d’un volume de distribution important. Métabolisme par le</w:t>
      </w:r>
      <w:r>
        <w:t xml:space="preserve"> </w:t>
      </w:r>
      <w:r>
        <w:rPr>
          <w:b/>
          <w:bCs/>
        </w:rPr>
        <w:t xml:space="preserve">CYP3A4</w:t>
      </w:r>
      <w:r>
        <w:t xml:space="preserve"> </w:t>
      </w:r>
      <w:r>
        <w:t xml:space="preserve">hépatique et intestinal en asufentanil et désmethylsufentanil (inactifs). Indications essentiellement anesthésiques (chirurgie lourde, cardiaque, neurochirurgie) et analgésie péridurale en obstétrique (faible dose).</w:t>
      </w:r>
    </w:p>
    <w:p>
      <w:pPr>
        <w:pStyle w:val="BodyText"/>
      </w:pPr>
      <w:r>
        <w:rPr>
          <w:b/>
          <w:bCs/>
        </w:rPr>
        <w:t xml:space="preserve">Médicaments disponibles en Algérie (Marques, Laboratoires, Formes et Dosages) :</w:t>
      </w:r>
    </w:p>
    <w:p>
      <w:pPr>
        <w:pStyle w:val="Compact"/>
        <w:numPr>
          <w:ilvl w:val="0"/>
          <w:numId w:val="1047"/>
        </w:numPr>
      </w:pPr>
      <w:r>
        <w:rPr>
          <w:b/>
          <w:bCs/>
        </w:rPr>
        <w:t xml:space="preserve">SUFENTA</w:t>
      </w:r>
      <w:r>
        <w:t xml:space="preserve"> </w:t>
      </w:r>
      <w:r>
        <w:t xml:space="preserve">(JANSSEN CILAG)</w:t>
      </w:r>
    </w:p>
    <w:p>
      <w:pPr>
        <w:pStyle w:val="Compact"/>
        <w:numPr>
          <w:ilvl w:val="1"/>
          <w:numId w:val="1048"/>
        </w:numPr>
      </w:pPr>
      <w:r>
        <w:t xml:space="preserve">Solution injectable IV ou péridurale 250 µg/5 mL (50 µg/mL) — Boîte de 10 ampoules de 5 mL — Stupéfiant — Actif</w:t>
      </w:r>
    </w:p>
    <w:p>
      <w:pPr>
        <w:pStyle w:val="Compact"/>
        <w:numPr>
          <w:ilvl w:val="1"/>
          <w:numId w:val="1048"/>
        </w:numPr>
      </w:pPr>
      <w:r>
        <w:t xml:space="preserve">Solution injectable IV ou péridurale 5 µg/mL — B/10 ampoules de 2 mL et B/5 ampoules de 10 mL — Stupéfiant — Actif</w:t>
      </w:r>
    </w:p>
    <w:p>
      <w:pPr>
        <w:pStyle w:val="Compact"/>
        <w:numPr>
          <w:ilvl w:val="0"/>
          <w:numId w:val="1047"/>
        </w:numPr>
      </w:pPr>
      <w:r>
        <w:rPr>
          <w:b/>
          <w:bCs/>
        </w:rPr>
        <w:t xml:space="preserve">SUFENTA FORTE</w:t>
      </w:r>
      <w:r>
        <w:t xml:space="preserve"> </w:t>
      </w:r>
      <w:r>
        <w:t xml:space="preserve">(PIRMAL CRITICAL CARE B.V)</w:t>
      </w:r>
    </w:p>
    <w:p>
      <w:pPr>
        <w:pStyle w:val="Compact"/>
        <w:numPr>
          <w:ilvl w:val="1"/>
          <w:numId w:val="1049"/>
        </w:numPr>
      </w:pPr>
      <w:r>
        <w:t xml:space="preserve">Solution injectable IV ou péridurale 250 µg/5 mL (50 µg/mL) — Boîte de 5 ampoules de 5 mL — Stupéfiant — Actif</w:t>
      </w:r>
    </w:p>
    <w:p>
      <w:pPr>
        <w:pStyle w:val="Compact"/>
        <w:numPr>
          <w:ilvl w:val="0"/>
          <w:numId w:val="1047"/>
        </w:numPr>
      </w:pPr>
      <w:r>
        <w:rPr>
          <w:b/>
          <w:bCs/>
        </w:rPr>
        <w:t xml:space="preserve">SUFENTAGIC</w:t>
      </w:r>
      <w:r>
        <w:t xml:space="preserve"> </w:t>
      </w:r>
      <w:r>
        <w:t xml:space="preserve">(LES LABORATOIRES FRATER RAZES)</w:t>
      </w:r>
    </w:p>
    <w:p>
      <w:pPr>
        <w:pStyle w:val="Compact"/>
        <w:numPr>
          <w:ilvl w:val="1"/>
          <w:numId w:val="1050"/>
        </w:numPr>
      </w:pPr>
      <w:r>
        <w:t xml:space="preserve">Solution injectable IV ou péridurale 250 µg/5 mL (50 µg/mL) — Boîte de 10 ampoules de 5 mL — Stupéfiant — Actif</w:t>
      </w:r>
    </w:p>
    <w:p>
      <w:pPr>
        <w:pStyle w:val="Compact"/>
        <w:numPr>
          <w:ilvl w:val="1"/>
          <w:numId w:val="1050"/>
        </w:numPr>
      </w:pPr>
      <w:r>
        <w:t xml:space="preserve">Solution injectable IV ou péridurale 5 µg/mL — Boîte de 5 ampoules de 2 mL / Boîte de 10 ampoules de 10 mL — Stupéfiant — Actif</w:t>
      </w:r>
    </w:p>
    <w:p>
      <w:pPr>
        <w:pStyle w:val="Compact"/>
        <w:numPr>
          <w:ilvl w:val="0"/>
          <w:numId w:val="1047"/>
        </w:numPr>
      </w:pPr>
      <w:r>
        <w:rPr>
          <w:b/>
          <w:bCs/>
        </w:rPr>
        <w:t xml:space="preserve">SUFENTA</w:t>
      </w:r>
      <w:r>
        <w:t xml:space="preserve"> </w:t>
      </w:r>
      <w:r>
        <w:t xml:space="preserve">(JANSSEN CILAG)</w:t>
      </w:r>
    </w:p>
    <w:p>
      <w:pPr>
        <w:pStyle w:val="Compact"/>
        <w:numPr>
          <w:ilvl w:val="1"/>
          <w:numId w:val="1051"/>
        </w:numPr>
      </w:pPr>
      <w:r>
        <w:t xml:space="preserve">Solution injectable IV ou péridurale 50 µg/mL — B/5 ampoules de 1 mL — Stupéfiant —</w:t>
      </w:r>
      <w:r>
        <w:t xml:space="preserve"> </w:t>
      </w:r>
      <w:r>
        <w:rPr>
          <w:b/>
          <w:bCs/>
        </w:rPr>
        <w:t xml:space="preserve">Retiré (R)</w:t>
      </w:r>
    </w:p>
    <w:p>
      <w:pPr>
        <w:pStyle w:val="FirstParagraph"/>
      </w:pPr>
      <w:r>
        <w:rPr>
          <w:b/>
          <w:bCs/>
        </w:rPr>
        <w:t xml:space="preserve">Sous-classe et Mécanisme d’action :</w:t>
      </w:r>
      <w:r>
        <w:t xml:space="preserve"> </w:t>
      </w:r>
      <w:r>
        <w:t xml:space="preserve">- Sous-classe : Antalgique opioïde palier III, agoniste pur μ, opioïde de synthèse (anilidopipéridine), anesthésique adjuvant IV.</w:t>
      </w:r>
      <w:r>
        <w:t xml:space="preserve"> </w:t>
      </w:r>
      <w:r>
        <w:t xml:space="preserve">- Mécanisme d’action : Le sufentanil est un agoniste pur du récepteur</w:t>
      </w:r>
      <w:r>
        <w:t xml:space="preserve"> </w:t>
      </w:r>
      <w:r>
        <w:rPr>
          <w:b/>
          <w:bCs/>
        </w:rPr>
        <w:t xml:space="preserve">μ (MOR)</w:t>
      </w:r>
      <w:r>
        <w:t xml:space="preserve">, avec une affinité 5–10 fois supérieure à celle du fentanyl. Sa très forte liposolubilité (logP 4,5) permet un passage BBB quasi immédiat après IV (1–3 min) et une redistribution rapide vers les tissus adipeux, déterminant une durée d’action courte après bolus unique (~20–30 min) mais prolongée après perfusion continue (context-sensitive half-time reste &lt; 40 min même après 4 h de perfusion, ce qui distingue le sufentanil du fentanyl dont la CSHT s’allonge au-delà de 2 h après 4 h). Couplage Gi/Go → baisse AMPc → ouverture GIRK → hyperpolarisation → inhibition libération substance P/glutamate. Action spinale, supraspinale et périphérique. Le sufentanil libère moins d’histamine que la morphine → moins d’hypotension et de prurit.</w:t>
      </w:r>
    </w:p>
    <w:p>
      <w:pPr>
        <w:pStyle w:val="BodyText"/>
      </w:pPr>
      <w:r>
        <w:rPr>
          <w:b/>
          <w:bCs/>
        </w:rPr>
        <w:t xml:space="preserve">Profil Pharmacologique :</w:t>
      </w:r>
      <w:r>
        <w:t xml:space="preserve"> </w:t>
      </w:r>
      <w:r>
        <w:t xml:space="preserve">- Indications : (1)</w:t>
      </w:r>
      <w:r>
        <w:t xml:space="preserve"> </w:t>
      </w:r>
      <w:r>
        <w:rPr>
          <w:b/>
          <w:bCs/>
        </w:rPr>
        <w:t xml:space="preserve">Anesthésie IV</w:t>
      </w:r>
      <w:r>
        <w:t xml:space="preserve"> </w:t>
      </w:r>
      <w:r>
        <w:t xml:space="preserve">en chirurgie lourde (cardiaque avec circulation extra-corporelle, neurochirurgie, transplantation, chirurgie abdominale majeure) — induction + entretien, en association à un hypnotique (propofol, étomidate) ; (2)</w:t>
      </w:r>
      <w:r>
        <w:t xml:space="preserve"> </w:t>
      </w:r>
      <w:r>
        <w:rPr>
          <w:b/>
          <w:bCs/>
        </w:rPr>
        <w:t xml:space="preserve">Analgésie postopératoire</w:t>
      </w:r>
      <w:r>
        <w:t xml:space="preserve"> </w:t>
      </w:r>
      <w:r>
        <w:t xml:space="preserve">prolongée par perfusion continue en SSPI ; (3)</w:t>
      </w:r>
      <w:r>
        <w:t xml:space="preserve"> </w:t>
      </w:r>
      <w:r>
        <w:rPr>
          <w:b/>
          <w:bCs/>
        </w:rPr>
        <w:t xml:space="preserve">Analgésie obstétricale</w:t>
      </w:r>
      <w:r>
        <w:t xml:space="preserve"> </w:t>
      </w:r>
      <w:r>
        <w:t xml:space="preserve">par péridurale (faibles doses, en association à anesthésiques locaux) ; (4)</w:t>
      </w:r>
      <w:r>
        <w:t xml:space="preserve"> </w:t>
      </w:r>
      <w:r>
        <w:rPr>
          <w:b/>
          <w:bCs/>
        </w:rPr>
        <w:t xml:space="preserve">Sédation-analgésie en réanimation</w:t>
      </w:r>
      <w:r>
        <w:t xml:space="preserve"> </w:t>
      </w:r>
      <w:r>
        <w:t xml:space="preserve">(ventilation mécanique prolongée — sufentanil préféré au fentanyl pour son CSHT stable).</w:t>
      </w:r>
      <w:r>
        <w:t xml:space="preserve"> </w:t>
      </w:r>
      <w:r>
        <w:t xml:space="preserve">- Contre-indications : (1) Insuffisance respiratoire sévère (hors ventilation contrôlée) ; (2) Traumatisme crânien / HTIC ; (3) Hypersensibilité ; (4) Myasthénie (dépression respiratoire) ; (5) Enfant &lt; 2 ans pour perfusion continue ; (6) Allaitement ; (7) Association aux IMAO (14 jours d’intervalle) ; (8) Phéochromocytome non traité.</w:t>
      </w:r>
      <w:r>
        <w:t xml:space="preserve"> </w:t>
      </w:r>
      <w:r>
        <w:t xml:space="preserve">- Effets Indésirables : Profil similaire au fentanyl — (1) Dépression respiratoire dose-dépendante ; (2) Rigidité thoracique (à forte dose IV rapide) ; (3) Bradycardie sinusale ; (4) Myosis serré ; (5) Nausées, vomissements (postopératoire) ; (6) Constipation (en usage prolongé réanimation) ; (7) Sédation prolongée ; (8) Prurit (surtout péridural) ; (9) Rétention urinaire ; (10) Hypotension (libération histamine moindre que morphine) ; (11) Dépendance physique (réanimation prolongée) ; (12) Hyperalgésie à long terme. Particularité : la puissance considérable du sufentanil impose une administration strictement contrôlée (seringue électrique, dilution précise) et une surveillance monitorée (scope, SpO2, capnographie).</w:t>
      </w:r>
    </w:p>
    <w:p>
      <w:pPr>
        <w:pStyle w:val="BodyText"/>
      </w:pPr>
      <w:r>
        <w:rPr>
          <w:b/>
          <w:bCs/>
        </w:rPr>
        <w:t xml:space="preserve">Prévention et Gestion des Effets Indésirables :</w:t>
      </w:r>
      <w:r>
        <w:t xml:space="preserve"> </w:t>
      </w:r>
      <w:r>
        <w:t xml:space="preserve">- Mesures Préventives : (a) Monitorage complet en per-anesthésie (ECG, SpO2, capnographie, PA invasive si besoin) ; (b) Prémédication atropine si bradycardie attendue ; (c) Antiesthétiques préventifs pour rigidité thoracique (curare prêt) ; (d) Laxatif si perfusion prolongée en réanimation &gt; 7 jours ; (e) Antiémétique postopératoire (ondansétron 4 mg) ; (f) Vérification systématique des interactions CYP3A4 ; (g) Surveillance SSPI prolongée (4–6 h) en postopératoire pour chirurgie longue.</w:t>
      </w:r>
      <w:r>
        <w:t xml:space="preserve"> </w:t>
      </w:r>
      <w:r>
        <w:t xml:space="preserve">- Conduite à Tenir : En cas de</w:t>
      </w:r>
      <w:r>
        <w:t xml:space="preserve"> </w:t>
      </w:r>
      <w:r>
        <w:rPr>
          <w:b/>
          <w:bCs/>
        </w:rPr>
        <w:t xml:space="preserve">dépression respiratoire</w:t>
      </w:r>
      <w:r>
        <w:t xml:space="preserve"> </w:t>
      </w:r>
      <w:r>
        <w:t xml:space="preserve">→ naloxone IV 0,1–0,4 mg titration, surveillance 4–6 h (CSHT court du sufentanil mais accumulation possible en perfusion &gt; 8 h). En cas de</w:t>
      </w:r>
      <w:r>
        <w:t xml:space="preserve"> </w:t>
      </w:r>
      <w:r>
        <w:rPr>
          <w:b/>
          <w:bCs/>
        </w:rPr>
        <w:t xml:space="preserve">rigidité thoracique</w:t>
      </w:r>
      <w:r>
        <w:t xml:space="preserve"> </w:t>
      </w:r>
      <w:r>
        <w:t xml:space="preserve">→ curare d’action rapide (succinylcholine 1 mg/kg ou rocuronium) + ventilation mécanique + naloxone IV 0,1–0,4 mg. En cas de</w:t>
      </w:r>
      <w:r>
        <w:t xml:space="preserve"> </w:t>
      </w:r>
      <w:r>
        <w:rPr>
          <w:b/>
          <w:bCs/>
        </w:rPr>
        <w:t xml:space="preserve">bradycardie</w:t>
      </w:r>
      <w:r>
        <w:t xml:space="preserve"> </w:t>
      </w:r>
      <w:r>
        <w:t xml:space="preserve">symptomatique → atropine 0,5–1 mg IV. En cas d’</w:t>
      </w:r>
      <w:r>
        <w:rPr>
          <w:b/>
          <w:bCs/>
        </w:rPr>
        <w:t xml:space="preserve">hypotension</w:t>
      </w:r>
      <w:r>
        <w:t xml:space="preserve"> </w:t>
      </w:r>
      <w:r>
        <w:t xml:space="preserve">→ remplissage vasculaire, vasopresseur (éphédrine 5–10 mg IV ou noradrénaline 0,05–0,5 µg/kg/min).</w:t>
      </w:r>
    </w:p>
    <w:p>
      <w:pPr>
        <w:pStyle w:val="BodyText"/>
      </w:pPr>
      <w:r>
        <w:rPr>
          <w:b/>
          <w:bCs/>
        </w:rPr>
        <w:t xml:space="preserve">Interactions Importantes :</w:t>
      </w:r>
      <w:r>
        <w:t xml:space="preserve"> </w:t>
      </w:r>
      <w:r>
        <w:t xml:space="preserve">- Sufentanil +</w:t>
      </w:r>
      <w:r>
        <w:t xml:space="preserve"> </w:t>
      </w:r>
      <w:r>
        <w:rPr>
          <w:b/>
          <w:bCs/>
        </w:rPr>
        <w:t xml:space="preserve">Inhibiteurs puissants du CYP3A4</w:t>
      </w:r>
      <w:r>
        <w:t xml:space="preserve"> </w:t>
      </w:r>
      <w:r>
        <w:t xml:space="preserve">(kétoconazole, itraconazole, voriconazole, ritonavir, clarithromycine, érythromycine, diltiazem, vérapamil, grapefruit) : augmentation des concentrations de sufentanil → dépression respiratoire prolongée — réduire dose 50–75 %.</w:t>
      </w:r>
      <w:r>
        <w:t xml:space="preserve"> </w:t>
      </w:r>
      <w:r>
        <w:t xml:space="preserve">- Sufentanil +</w:t>
      </w:r>
      <w:r>
        <w:t xml:space="preserve"> </w:t>
      </w:r>
      <w:r>
        <w:rPr>
          <w:b/>
          <w:bCs/>
        </w:rPr>
        <w:t xml:space="preserve">Inducteurs du CYP3A4</w:t>
      </w:r>
      <w:r>
        <w:t xml:space="preserve"> </w:t>
      </w:r>
      <w:r>
        <w:t xml:space="preserve">(rifampicine, carbamazépine, phénytoïne, millepertuis) : baisse d’efficacité — surveiller, ajuster.</w:t>
      </w:r>
      <w:r>
        <w:t xml:space="preserve"> </w:t>
      </w:r>
      <w:r>
        <w:t xml:space="preserve">- Sufentanil +</w:t>
      </w:r>
      <w:r>
        <w:t xml:space="preserve"> </w:t>
      </w:r>
      <w:r>
        <w:rPr>
          <w:b/>
          <w:bCs/>
        </w:rPr>
        <w:t xml:space="preserve">IMAO</w:t>
      </w:r>
      <w:r>
        <w:t xml:space="preserve"> </w:t>
      </w:r>
      <w:r>
        <w:t xml:space="preserve">: syndrome sérotoninergique, hypertension — délai 14 jours.</w:t>
      </w:r>
      <w:r>
        <w:t xml:space="preserve"> </w:t>
      </w:r>
      <w:r>
        <w:t xml:space="preserve">- Sufentanil + alcool, benzodiazépines, autres opioïdes, anesthésiques halogénés : dépression respiratoire additive, hypotension — synergie bénéfique en anesthésie mais surveillance.</w:t>
      </w:r>
      <w:r>
        <w:t xml:space="preserve"> </w:t>
      </w:r>
      <w:r>
        <w:t xml:space="preserve">- Sufentanil + autres dépresseurs cardiovasculaires (bêtabloquants, inhibiteurs calciques, diurétiques) : hypotension.</w:t>
      </w:r>
      <w:r>
        <w:t xml:space="preserve"> </w:t>
      </w:r>
      <w:r>
        <w:t xml:space="preserve">- Sufentanil + IRS/triptans : syndrome sérotoninergique (rare).</w:t>
      </w:r>
    </w:p>
    <w:p>
      <w:pPr>
        <w:pStyle w:val="BodyText"/>
      </w:pPr>
      <w:r>
        <w:rPr>
          <w:b/>
          <w:bCs/>
        </w:rPr>
        <w:t xml:space="preserve">Grossesse et Allaitement :</w:t>
      </w:r>
      <w:r>
        <w:t xml:space="preserve"> </w:t>
      </w:r>
      <w:r>
        <w:t xml:space="preserve">- Grossesse : selon CRAT, compatible à dose ponctuelle pendant toute la grossesse (anesthésie césarienne, actes urgents). En obstétrique, le sufentanil est l’opioïde de référence pour la rachianesthésie et la péridurale obstétricale (dose 2,5–10 µg en rachi, 10–30 µg en péridurale). Faible passage transplacentaire, métabolisme fœtal rapide. CI en usage chronique au 3e trimestre.</w:t>
      </w:r>
      <w:r>
        <w:t xml:space="preserve"> </w:t>
      </w:r>
      <w:r>
        <w:t xml:space="preserve">- Allaitement : compatible à dose ponctuelle (anesthésie pour acte, reprise allaitement 4–6 h après). CI en usage chronique.</w:t>
      </w:r>
      <w:r>
        <w:t xml:space="preserve"> </w:t>
      </w:r>
      <w:r>
        <w:t xml:space="preserve">- Précisions : Le sufentanil est très utilisé en analgésie péridurale et rachianesthésie pour césarienne (efficacité rapide, peu de passage systémique, surveillance mère-enfant).</w:t>
      </w:r>
    </w:p>
    <w:p>
      <w:pPr>
        <w:pStyle w:val="BodyText"/>
      </w:pPr>
      <w:r>
        <w:rPr>
          <w:b/>
          <w:bCs/>
        </w:rPr>
        <w:t xml:space="preserve">Posologie et Mode d’administration (Standard) :</w:t>
      </w:r>
      <w:r>
        <w:t xml:space="preserve"> </w:t>
      </w:r>
      <w:r>
        <w:t xml:space="preserve">- Anesthésie IV (adulte) : (1) Induction : 0,2–1 µg/kg IV (chirurgie courante) à 1–5 µg/kg IV (chirurgie cardiaque, neurochirurgie) en association à hypnotique ; (2) Entretien : bolus 0,2–0,5 µg/kg toutes les 20–30 min, ou perfusion continue 0,5–1 µg/kg/h, ou AIVOC concentration cible 0,2–0,5 ng/mL (chirurgie courante) à 1–2 ng/mL (chirurgie cardiaque).</w:t>
      </w:r>
      <w:r>
        <w:t xml:space="preserve"> </w:t>
      </w:r>
      <w:r>
        <w:t xml:space="preserve">- Réanimation (sédation ventilation mécanique) : perfusion continue 0,2–0,7 µg/kg/h, ajustement selon besoin analgésique.</w:t>
      </w:r>
      <w:r>
        <w:t xml:space="preserve"> </w:t>
      </w:r>
      <w:r>
        <w:t xml:space="preserve">- Rachianesthésie obstétricale : 2,5–7,5 µg (en association à anesthésique local hyperbare).</w:t>
      </w:r>
      <w:r>
        <w:t xml:space="preserve"> </w:t>
      </w:r>
      <w:r>
        <w:t xml:space="preserve">- Péridurale obstétricale : 10–30 µg en bolus, ou perfusion 5–10 µg/h en association à anesthésique local (bupivacaïne, ropivacaïne).</w:t>
      </w:r>
      <w:r>
        <w:t xml:space="preserve"> </w:t>
      </w:r>
      <w:r>
        <w:t xml:space="preserve">- Sujet âgé : dose réduite 25–50 %.</w:t>
      </w:r>
      <w:r>
        <w:t xml:space="preserve"> </w:t>
      </w:r>
      <w:r>
        <w:t xml:space="preserve">- Enfant &gt; 2 ans : 0,2–0,5 µg/kg IV induction, perfusion 0,05–0,1 µg/kg/h.</w:t>
      </w:r>
      <w:r>
        <w:t xml:space="preserve"> </w:t>
      </w:r>
      <w:r>
        <w:t xml:space="preserve">- Insuffisant rénal : pas d’adaptation stricte (métabolisme CYP3A4 en métabolites inactifs).</w:t>
      </w:r>
      <w:r>
        <w:t xml:space="preserve"> </w:t>
      </w:r>
      <w:r>
        <w:t xml:space="preserve">- Insuffisant hépatique : réduire dose 25–50 %, surveillance.</w:t>
      </w:r>
    </w:p>
    <w:p>
      <w:pPr>
        <w:pStyle w:val="BodyText"/>
      </w:pPr>
      <w:r>
        <w:rPr>
          <w:b/>
          <w:bCs/>
        </w:rPr>
        <w:t xml:space="preserve">Arbitrage et Bénéfices des Formes Galéniques :</w:t>
      </w:r>
      <w:r>
        <w:t xml:space="preserve"> </w:t>
      </w:r>
      <w:r>
        <w:t xml:space="preserve">Le sufentanil est disponible en Algérie en trois concentrations/formes injectables :</w:t>
      </w:r>
      <w:r>
        <w:t xml:space="preserve"> </w:t>
      </w:r>
      <w:r>
        <w:t xml:space="preserve">-</w:t>
      </w:r>
      <w:r>
        <w:t xml:space="preserve"> </w:t>
      </w:r>
      <w:r>
        <w:rPr>
          <w:b/>
          <w:bCs/>
        </w:rPr>
        <w:t xml:space="preserve">SUFENTA 250 µg/5 mL (50 µg/mL)</w:t>
      </w:r>
      <w:r>
        <w:t xml:space="preserve"> </w:t>
      </w:r>
      <w:r>
        <w:t xml:space="preserve">— forme forte pour perfusion continue, anesthésie prolongée, chirurgie lourde. Disponible chez Janssen Cilag (princeps), Piramal Critical Care (SUFENTA FORTE), Frater Razes (SUFENTAGIC). Concentration adaptée à la seringue électrique et au dilueur.</w:t>
      </w:r>
      <w:r>
        <w:t xml:space="preserve"> </w:t>
      </w:r>
      <w:r>
        <w:t xml:space="preserve">-</w:t>
      </w:r>
      <w:r>
        <w:t xml:space="preserve"> </w:t>
      </w:r>
      <w:r>
        <w:rPr>
          <w:b/>
          <w:bCs/>
        </w:rPr>
        <w:t xml:space="preserve">SUFENTA 5 µg/mL</w:t>
      </w:r>
      <w:r>
        <w:t xml:space="preserve"> </w:t>
      </w:r>
      <w:r>
        <w:t xml:space="preserve">— forme diluée pour péridurale et rachianesthésie (administration faible dose), ou pour bolus en péridurale obstétricale. Disponible en ampoules de 2 mL (10 µg) et de 10 mL (50 µg).</w:t>
      </w:r>
      <w:r>
        <w:t xml:space="preserve"> </w:t>
      </w:r>
      <w:r>
        <w:t xml:space="preserve">-</w:t>
      </w:r>
      <w:r>
        <w:t xml:space="preserve"> </w:t>
      </w:r>
      <w:r>
        <w:rPr>
          <w:b/>
          <w:bCs/>
        </w:rPr>
        <w:t xml:space="preserve">SUFENTA 50 µg/mL en ampoule de 1 mL</w:t>
      </w:r>
      <w:r>
        <w:t xml:space="preserve"> </w:t>
      </w:r>
      <w:r>
        <w:t xml:space="preserve">— retirée du marché algérien.</w:t>
      </w:r>
    </w:p>
    <w:p>
      <w:pPr>
        <w:pStyle w:val="BodyText"/>
      </w:pPr>
      <w:r>
        <w:t xml:space="preserve">À l’officine (circuit hospitalier), le sufentanil n’est délivré qu’aux services d’anesthésie-réanimation et aux maternités. Pas de délivrance de ville. Le pharmacien d’officine peut néanmoins être interrogé sur les dosages en cas de transfert de dossier.</w:t>
      </w:r>
    </w:p>
    <w:p>
      <w:pPr>
        <w:pStyle w:val="BodyText"/>
      </w:pPr>
      <w:r>
        <w:rPr>
          <w:b/>
          <w:bCs/>
        </w:rPr>
        <w:t xml:space="preserve">Instructions et Conseils au Patient :</w:t>
      </w:r>
      <w:r>
        <w:t xml:space="preserve"> </w:t>
      </w:r>
      <w:r>
        <w:t xml:space="preserve">- Communication au comptoir : « Ce médicament (sufentanil) est un anesthésique puissant utilisé uniquement à l’hôpital (bloc opératoire, réanimation, maternité). Il ne sera pas délivré en pharmacie de ville. Si vous avez des questions sur votre anesthésie, parlez-en à votre anesthésiste. »</w:t>
      </w:r>
      <w:r>
        <w:t xml:space="preserve"> </w:t>
      </w:r>
      <w:r>
        <w:t xml:space="preserve">- Mode d’utilisation pratique : Usage strictement hospitalier. Dilution en seringue électrique selon protocole d’anesthésie. Vérification de la concentration avant administration (risque d’erreur de dosage — décimale — effets catastrophiques).</w:t>
      </w:r>
    </w:p>
    <w:p>
      <w:pPr>
        <w:pStyle w:val="BodyText"/>
      </w:pPr>
      <w:r>
        <w:rPr>
          <w:b/>
          <w:bCs/>
        </w:rPr>
        <w:t xml:space="preserve">Notes, Règles d’Or &amp; Pièges au Comptoir :</w:t>
      </w:r>
      <w:r>
        <w:t xml:space="preserve"> </w:t>
      </w:r>
      <w:r>
        <w:t xml:space="preserve">-</w:t>
      </w:r>
      <w:r>
        <w:t xml:space="preserve"> </w:t>
      </w:r>
      <w:r>
        <w:rPr>
          <w:b/>
          <w:bCs/>
        </w:rPr>
        <w:t xml:space="preserve">Piège classique — Erreur de dosage décimale</w:t>
      </w:r>
      <w:r>
        <w:t xml:space="preserve"> </w:t>
      </w:r>
      <w:r>
        <w:t xml:space="preserve">: la concentration 5 µg/mL vs 50 µg/mL diffère d’un facteur 10. Une erreur d’ampoule en péridurale peut conduire à un surdosage massif (50 µg/mL en péridurale → dépression respiratoire immédiate). Vérification systématique de l’étiquetage.</w:t>
      </w:r>
      <w:r>
        <w:t xml:space="preserve"> </w:t>
      </w:r>
      <w:r>
        <w:t xml:space="preserve">-</w:t>
      </w:r>
      <w:r>
        <w:t xml:space="preserve"> </w:t>
      </w:r>
      <w:r>
        <w:rPr>
          <w:b/>
          <w:bCs/>
        </w:rPr>
        <w:t xml:space="preserve">Piège — Accumulation en perfusion prolongée</w:t>
      </w:r>
      <w:r>
        <w:t xml:space="preserve"> </w:t>
      </w:r>
      <w:r>
        <w:t xml:space="preserve">: bien que le CSHT du sufentanil reste court même après 4 h, une perfusion &gt; 12 h en réanimation peut conduire à une accumulation tissulaire → surveillance prolongée à l’arrêt (6–12 h).</w:t>
      </w:r>
      <w:r>
        <w:t xml:space="preserve"> </w:t>
      </w:r>
      <w:r>
        <w:t xml:space="preserve">-</w:t>
      </w:r>
      <w:r>
        <w:t xml:space="preserve"> </w:t>
      </w:r>
      <w:r>
        <w:rPr>
          <w:b/>
          <w:bCs/>
        </w:rPr>
        <w:t xml:space="preserve">Piège — Rigidité thoracique</w:t>
      </w:r>
      <w:r>
        <w:t xml:space="preserve"> </w:t>
      </w:r>
      <w:r>
        <w:t xml:space="preserve">: à forte dose IV (induction cardiaque 5 µg/kg), injection rapide → rigidité des muscles thoraciques empêchant la ventilation → curare immédiat + naloxone.</w:t>
      </w:r>
      <w:r>
        <w:t xml:space="preserve"> </w:t>
      </w:r>
      <w:r>
        <w:t xml:space="preserve">-</w:t>
      </w:r>
      <w:r>
        <w:t xml:space="preserve"> </w:t>
      </w:r>
      <w:r>
        <w:rPr>
          <w:b/>
          <w:bCs/>
        </w:rPr>
        <w:t xml:space="preserve">Piège — Interactions CYP3A4</w:t>
      </w:r>
      <w:r>
        <w:t xml:space="preserve"> </w:t>
      </w:r>
      <w:r>
        <w:t xml:space="preserve">: chez un patient sous ritonavir/lopinavir (VIH), voriconazole, clarithromycine, kétoconazole → accumulation massive du sufentanil. Surveillance étroite, réduire dose 50–75 %.</w:t>
      </w:r>
      <w:r>
        <w:t xml:space="preserve"> </w:t>
      </w:r>
      <w:r>
        <w:t xml:space="preserve">-</w:t>
      </w:r>
      <w:r>
        <w:t xml:space="preserve"> </w:t>
      </w:r>
      <w:r>
        <w:rPr>
          <w:b/>
          <w:bCs/>
        </w:rPr>
        <w:t xml:space="preserve">Règle de prise</w:t>
      </w:r>
      <w:r>
        <w:t xml:space="preserve"> </w:t>
      </w:r>
      <w:r>
        <w:t xml:space="preserve">: strictement hospitalier, seringue électrique, dilution précise.</w:t>
      </w:r>
      <w:r>
        <w:t xml:space="preserve"> </w:t>
      </w:r>
      <w:r>
        <w:t xml:space="preserve">-</w:t>
      </w:r>
      <w:r>
        <w:t xml:space="preserve"> </w:t>
      </w:r>
      <w:r>
        <w:rPr>
          <w:b/>
          <w:bCs/>
        </w:rPr>
        <w:t xml:space="preserve">Préparation et Conservation</w:t>
      </w:r>
      <w:r>
        <w:t xml:space="preserve"> </w:t>
      </w:r>
      <w:r>
        <w:t xml:space="preserve">: stupéfiant, registre des entrées/sorties. Stockage &lt; 25 °C, à l’abri de la lumière. Dilution : NaCl 0,9 % ou G5 %, stabilité 24 h.</w:t>
      </w:r>
      <w:r>
        <w:t xml:space="preserve"> </w:t>
      </w:r>
      <w:r>
        <w:t xml:space="preserve">-</w:t>
      </w:r>
      <w:r>
        <w:t xml:space="preserve"> </w:t>
      </w:r>
      <w:r>
        <w:rPr>
          <w:b/>
          <w:bCs/>
        </w:rPr>
        <w:t xml:space="preserve">Piège du surdosage</w:t>
      </w:r>
      <w:r>
        <w:t xml:space="preserve"> </w:t>
      </w:r>
      <w:r>
        <w:t xml:space="preserve">: naloxone IV 0,1–0,4 mg titration, surveillance 4–6 h.</w:t>
      </w:r>
      <w:r>
        <w:t xml:space="preserve"> </w:t>
      </w:r>
      <w:r>
        <w:t xml:space="preserve">-</w:t>
      </w:r>
      <w:r>
        <w:t xml:space="preserve"> </w:t>
      </w:r>
      <w:r>
        <w:rPr>
          <w:b/>
          <w:bCs/>
        </w:rPr>
        <w:t xml:space="preserve">Substitution</w:t>
      </w:r>
      <w:r>
        <w:t xml:space="preserve"> </w:t>
      </w:r>
      <w:r>
        <w:t xml:space="preserve">: pas de mésusage en officine (strictement hospitalier). Le sufentanil transdermique existe à l’international (Chronogesic) mais n’est pas commercialisé en Algérie.</w:t>
      </w:r>
    </w:p>
    <w:p>
      <w:r>
        <w:pict>
          <v:rect style="width:0;height:1.5pt" o:hralign="center" o:hrstd="t" o:hr="t"/>
        </w:pict>
      </w:r>
    </w:p>
    <w:bookmarkEnd w:id="111"/>
    <w:bookmarkStart w:id="112" w:name="dci-alfentanil-seule"/>
    <w:p>
      <w:pPr>
        <w:pStyle w:val="Heading3"/>
      </w:pPr>
      <w:r>
        <w:t xml:space="preserve">7. DCI : Alfentanil (Seule)</w:t>
      </w:r>
    </w:p>
    <w:p>
      <w:pPr>
        <w:pStyle w:val="FirstParagraph"/>
      </w:pPr>
      <w:r>
        <w:rPr>
          <w:b/>
          <w:bCs/>
        </w:rPr>
        <w:t xml:space="preserve">Liste des Catégories :</w:t>
      </w:r>
      <w:r>
        <w:t xml:space="preserve"> </w:t>
      </w:r>
      <w:r>
        <w:t xml:space="preserve">Antalgiques palier III - Opioïdes forts ; Anesthésique général IV (adjuvant) ; Opioïde de synthèse (anilidopipéridine) ; Stupéfiant.</w:t>
      </w:r>
    </w:p>
    <w:p>
      <w:pPr>
        <w:pStyle w:val="BodyText"/>
      </w:pPr>
      <w:r>
        <w:t xml:space="preserve">L’alfentanil est une anilidopipéridine de synthèse, dérivé du fentanyl décrit par Janssen en 1976. Sa particularité pharmacocinétique tient à son</w:t>
      </w:r>
      <w:r>
        <w:t xml:space="preserve"> </w:t>
      </w:r>
      <w:r>
        <w:rPr>
          <w:b/>
          <w:bCs/>
        </w:rPr>
        <w:t xml:space="preserve">pKa faible (6,5)</w:t>
      </w:r>
      <w:r>
        <w:t xml:space="preserve"> </w:t>
      </w:r>
      <w:r>
        <w:t xml:space="preserve">comparé au fentanyl (8,4) — à pH physiologique (7,4), une fraction beaucoup plus importante de l’alfentanil se trouve sous forme</w:t>
      </w:r>
      <w:r>
        <w:t xml:space="preserve"> </w:t>
      </w:r>
      <w:r>
        <w:rPr>
          <w:b/>
          <w:bCs/>
        </w:rPr>
        <w:t xml:space="preserve">non ionisée (~90 %)</w:t>
      </w:r>
      <w:r>
        <w:t xml:space="preserve">, ce qui permet un passage BBB quasi immédiat (1–2 min après IV). Cette caractéristique détermine un</w:t>
      </w:r>
      <w:r>
        <w:t xml:space="preserve"> </w:t>
      </w:r>
      <w:r>
        <w:rPr>
          <w:b/>
          <w:bCs/>
        </w:rPr>
        <w:t xml:space="preserve">onset très court</w:t>
      </w:r>
      <w:r>
        <w:t xml:space="preserve"> </w:t>
      </w:r>
      <w:r>
        <w:t xml:space="preserve">(plus rapide que le fentanyl), mais aussi une</w:t>
      </w:r>
      <w:r>
        <w:t xml:space="preserve"> </w:t>
      </w:r>
      <w:r>
        <w:rPr>
          <w:b/>
          <w:bCs/>
        </w:rPr>
        <w:t xml:space="preserve">durée d’action brève</w:t>
      </w:r>
      <w:r>
        <w:t xml:space="preserve"> </w:t>
      </w:r>
      <w:r>
        <w:t xml:space="preserve">(10–15 min après bolus unique) en raison de la redistribution rapide. Puissance analgésique ~1/4 à 1/5 du fentanyl (donc ~20–25 fois plus puissant que la morphine). Métabolisme hépatique par le</w:t>
      </w:r>
      <w:r>
        <w:t xml:space="preserve"> </w:t>
      </w:r>
      <w:r>
        <w:rPr>
          <w:b/>
          <w:bCs/>
        </w:rPr>
        <w:t xml:space="preserve">CYP3A4</w:t>
      </w:r>
      <w:r>
        <w:t xml:space="preserve"> </w:t>
      </w:r>
      <w:r>
        <w:t xml:space="preserve">en métabolites inactifs. Indication principale : anesthésie IV courte durée (gestes brefs, ambulatoire), complément d’induction, intubation difficile.</w:t>
      </w:r>
    </w:p>
    <w:p>
      <w:pPr>
        <w:pStyle w:val="BodyText"/>
      </w:pPr>
      <w:r>
        <w:rPr>
          <w:b/>
          <w:bCs/>
        </w:rPr>
        <w:t xml:space="preserve">Médicaments disponibles en Algérie (Marques, Laboratoires, Formes et Dosages) :</w:t>
      </w:r>
    </w:p>
    <w:p>
      <w:pPr>
        <w:pStyle w:val="Compact"/>
        <w:numPr>
          <w:ilvl w:val="0"/>
          <w:numId w:val="1052"/>
        </w:numPr>
      </w:pPr>
      <w:r>
        <w:rPr>
          <w:b/>
          <w:bCs/>
        </w:rPr>
        <w:t xml:space="preserve">RAPIFEN</w:t>
      </w:r>
      <w:r>
        <w:t xml:space="preserve"> </w:t>
      </w:r>
      <w:r>
        <w:t xml:space="preserve">(PIRMAL CRITICAL CARE B.V)</w:t>
      </w:r>
    </w:p>
    <w:p>
      <w:pPr>
        <w:pStyle w:val="Compact"/>
        <w:numPr>
          <w:ilvl w:val="1"/>
          <w:numId w:val="1053"/>
        </w:numPr>
      </w:pPr>
      <w:r>
        <w:t xml:space="preserve">Solution injectable 5 mg (0,5 mg/mL) — Boîte de 10 ampoules de 2 mL — Stupéfiant — Actif</w:t>
      </w:r>
    </w:p>
    <w:p>
      <w:pPr>
        <w:pStyle w:val="Compact"/>
        <w:numPr>
          <w:ilvl w:val="1"/>
          <w:numId w:val="1053"/>
        </w:numPr>
      </w:pPr>
      <w:r>
        <w:t xml:space="preserve">Solution injectable 5 mg (0,5 mg/mL) — Boîte de 5 ampoules de 10 mL — Stupéfiant — Actif</w:t>
      </w:r>
    </w:p>
    <w:p>
      <w:pPr>
        <w:pStyle w:val="FirstParagraph"/>
      </w:pPr>
      <w:r>
        <w:rPr>
          <w:b/>
          <w:bCs/>
        </w:rPr>
        <w:t xml:space="preserve">Sous-classe et Mécanisme d’action :</w:t>
      </w:r>
      <w:r>
        <w:t xml:space="preserve"> </w:t>
      </w:r>
      <w:r>
        <w:t xml:space="preserve">- Sous-classe : Antalgique opioïde palier III, agoniste pur μ, opioïde de synthèse (anilidopipéridine), anesthésique adjuvant IV à onset très court.</w:t>
      </w:r>
      <w:r>
        <w:t xml:space="preserve"> </w:t>
      </w:r>
      <w:r>
        <w:t xml:space="preserve">- Mécanisme d’action : L’alfentanil est un agoniste pur du récepteur</w:t>
      </w:r>
      <w:r>
        <w:t xml:space="preserve"> </w:t>
      </w:r>
      <w:r>
        <w:rPr>
          <w:b/>
          <w:bCs/>
        </w:rPr>
        <w:t xml:space="preserve">μ (MOR)</w:t>
      </w:r>
      <w:r>
        <w:t xml:space="preserve">, avec une affinité ~4–5 fois inférieure à celle du fentanyl. Sa particularité est son</w:t>
      </w:r>
      <w:r>
        <w:t xml:space="preserve"> </w:t>
      </w:r>
      <w:r>
        <w:rPr>
          <w:b/>
          <w:bCs/>
        </w:rPr>
        <w:t xml:space="preserve">pKa bas (6,5)</w:t>
      </w:r>
      <w:r>
        <w:t xml:space="preserve"> </w:t>
      </w:r>
      <w:r>
        <w:t xml:space="preserve">qui détermine à pH physiologique 7,4 une fraction non ionisée de 89 % (vs 9 % pour le fentanyl pKa 8,4) → passage BBB quasi immédiat (1–2 min après IV, pic d’action 1 min). Couplage Gi/Go → baisse AMPc → ouverture GIRK → hyperpolarisation → inhibition libération substance P/glutamate. La courte durée d’action après bolus unique (~10–15 min) s’explique par la redistribution rapide vers les tissus périphériques (compartiment profond lent plus petit que celui du fentanyl, d’où moindre accumulation et CSHT stable même après perfusion prolongée — ~1 h après perfusion de 4 h, contre 2 h pour le fentanyl). Métabolisme CYP3A4 exclusivement (noralfentanil inactif). Libère moins d’histamine que la morphine → moins d’hypotension et de prurit.</w:t>
      </w:r>
    </w:p>
    <w:p>
      <w:pPr>
        <w:pStyle w:val="BodyText"/>
      </w:pPr>
      <w:r>
        <w:rPr>
          <w:b/>
          <w:bCs/>
        </w:rPr>
        <w:t xml:space="preserve">Profil Pharmacologique :</w:t>
      </w:r>
      <w:r>
        <w:t xml:space="preserve"> </w:t>
      </w:r>
      <w:r>
        <w:t xml:space="preserve">- Indications : (1)</w:t>
      </w:r>
      <w:r>
        <w:t xml:space="preserve"> </w:t>
      </w:r>
      <w:r>
        <w:rPr>
          <w:b/>
          <w:bCs/>
        </w:rPr>
        <w:t xml:space="preserve">Anesthésie IV</w:t>
      </w:r>
      <w:r>
        <w:t xml:space="preserve"> </w:t>
      </w:r>
      <w:r>
        <w:t xml:space="preserve">pour gestes courts (chirurgie ambulatoire, endoscopie, gestes instrumentaux) — induction + entretien, en association à un hypnotique ; (2)</w:t>
      </w:r>
      <w:r>
        <w:t xml:space="preserve"> </w:t>
      </w:r>
      <w:r>
        <w:rPr>
          <w:b/>
          <w:bCs/>
        </w:rPr>
        <w:t xml:space="preserve">Complément d’induction anesthésique</w:t>
      </w:r>
      <w:r>
        <w:t xml:space="preserve"> </w:t>
      </w:r>
      <w:r>
        <w:t xml:space="preserve">(intubation, laryngoscopie) — bolus 10–20 µg/kg avant laryngoscopie ; (3)</w:t>
      </w:r>
      <w:r>
        <w:t xml:space="preserve"> </w:t>
      </w:r>
      <w:r>
        <w:rPr>
          <w:b/>
          <w:bCs/>
        </w:rPr>
        <w:t xml:space="preserve">Analgésie péri-opératoire</w:t>
      </w:r>
      <w:r>
        <w:t xml:space="preserve"> </w:t>
      </w:r>
      <w:r>
        <w:t xml:space="preserve">courte (gestes douloureux brefs, pansements, nursing en réanimation) ; (4)</w:t>
      </w:r>
      <w:r>
        <w:t xml:space="preserve"> </w:t>
      </w:r>
      <w:r>
        <w:rPr>
          <w:b/>
          <w:bCs/>
        </w:rPr>
        <w:t xml:space="preserve">Sédation procédurale</w:t>
      </w:r>
      <w:r>
        <w:t xml:space="preserve"> </w:t>
      </w:r>
      <w:r>
        <w:t xml:space="preserve">(endoscopie digestive, bronchoscopie, cathétérisme cardiaque).</w:t>
      </w:r>
      <w:r>
        <w:t xml:space="preserve"> </w:t>
      </w:r>
      <w:r>
        <w:t xml:space="preserve">- Contre-indications : (1) Insuffisance respiratoire sévère (hors ventilation contrôlée) ; (2) Traumatisme crânien / HTIC ; (3) Hypersensibilité ; (4) Myasthénie ; (5) Allaitement ; (6) Association aux IMAO (14 jours d’intervalle) ; (7) Enfant &lt; 1 an.</w:t>
      </w:r>
      <w:r>
        <w:t xml:space="preserve"> </w:t>
      </w:r>
      <w:r>
        <w:t xml:space="preserve">- Effets Indésirables : (1) Dépression respiratoire dose-dépendante (brève après bolus unique, prolongée après perfusion continue) ; (2) Rigidité thoracique (surtout injection rapide dose élevée) ; (3) Bradycardie sinusale ; (4) Myosis serré ; (5) Nausées, vomissements postopératoires ; (6) Hypotension (libération histamine moindre que morphine) ; (7) Prurit (surtout péridural) ; (8) Rétention urinaire ; (9) Dépendance physique (réanimation prolongée).</w:t>
      </w:r>
    </w:p>
    <w:p>
      <w:pPr>
        <w:pStyle w:val="BodyText"/>
      </w:pPr>
      <w:r>
        <w:rPr>
          <w:b/>
          <w:bCs/>
        </w:rPr>
        <w:t xml:space="preserve">Prévention et Gestion des Effets Indésirables :</w:t>
      </w:r>
      <w:r>
        <w:t xml:space="preserve"> </w:t>
      </w:r>
      <w:r>
        <w:t xml:space="preserve">- Mesures Préventives : (a) Monitorage complet (ECG, SpO2, capnographie, PA) ; (b) Prémédication atropine si bradycardie attendue ; (c) Curare prêt pour rigidité thoracique ; (d) Antiémétique postopératoire (ondansétron) ; (e) Vérification interactions CYP3A4.</w:t>
      </w:r>
      <w:r>
        <w:t xml:space="preserve"> </w:t>
      </w:r>
      <w:r>
        <w:t xml:space="preserve">- Conduite à Tenir : En cas de dépression respiratoire → naloxone IV 0,1–0,4 mg titration (CSHT court de l’alfentanil → surveillance 2–4 h suffirait en théorie, mais prudence 4–6 h). En cas de rigidité thoracique → curare rapide + ventilation + naloxone. En cas de bradycardie symptomatique → atropine 0,5–1 mg IV.</w:t>
      </w:r>
    </w:p>
    <w:p>
      <w:pPr>
        <w:pStyle w:val="BodyText"/>
      </w:pPr>
      <w:r>
        <w:rPr>
          <w:b/>
          <w:bCs/>
        </w:rPr>
        <w:t xml:space="preserve">Interactions Importantes :</w:t>
      </w:r>
      <w:r>
        <w:t xml:space="preserve"> </w:t>
      </w:r>
      <w:r>
        <w:t xml:space="preserve">- Alfentanil +</w:t>
      </w:r>
      <w:r>
        <w:t xml:space="preserve"> </w:t>
      </w:r>
      <w:r>
        <w:rPr>
          <w:b/>
          <w:bCs/>
        </w:rPr>
        <w:t xml:space="preserve">Inhibiteurs puissants du CYP3A4</w:t>
      </w:r>
      <w:r>
        <w:t xml:space="preserve"> </w:t>
      </w:r>
      <w:r>
        <w:t xml:space="preserve">(kétoconazole, itraconazole, voriconazole, ritonavir, clarithromycine, érythromycine, diltiazem, vérapamil, grapefruit) :</w:t>
      </w:r>
      <w:r>
        <w:t xml:space="preserve"> </w:t>
      </w:r>
      <w:r>
        <w:rPr>
          <w:b/>
          <w:bCs/>
        </w:rPr>
        <w:t xml:space="preserve">augmentation massive</w:t>
      </w:r>
      <w:r>
        <w:t xml:space="preserve"> </w:t>
      </w:r>
      <w:r>
        <w:t xml:space="preserve">des concentrations (jusqu’à x10 pour ritonavir) → dépression respiratoire prolongée — réduire dose 50–90 %.</w:t>
      </w:r>
      <w:r>
        <w:t xml:space="preserve"> </w:t>
      </w:r>
      <w:r>
        <w:t xml:space="preserve">- Alfentanil +</w:t>
      </w:r>
      <w:r>
        <w:t xml:space="preserve"> </w:t>
      </w:r>
      <w:r>
        <w:rPr>
          <w:b/>
          <w:bCs/>
        </w:rPr>
        <w:t xml:space="preserve">Inducteurs du CYP3A4</w:t>
      </w:r>
      <w:r>
        <w:t xml:space="preserve"> </w:t>
      </w:r>
      <w:r>
        <w:t xml:space="preserve">(rifampicine, carbamazépine, phénytoïne, millepertuis) : baisse d’efficacité.</w:t>
      </w:r>
      <w:r>
        <w:t xml:space="preserve"> </w:t>
      </w:r>
      <w:r>
        <w:t xml:space="preserve">- Alfentanil + IMAO : syndrome sérotoninergique, hypertension — délai 14 jours.</w:t>
      </w:r>
      <w:r>
        <w:t xml:space="preserve"> </w:t>
      </w:r>
      <w:r>
        <w:t xml:space="preserve">- Alfentanil + alcool, benzodiazépines, autres opioïdes, anesthésiques halogénés : dépression respiratoire additive.</w:t>
      </w:r>
      <w:r>
        <w:t xml:space="preserve"> </w:t>
      </w:r>
      <w:r>
        <w:t xml:space="preserve">- Alfentanil + érythromycine (cas classique d’interaction rapportée) : apnées prolongées — CI ou réduire dose 75 %.</w:t>
      </w:r>
    </w:p>
    <w:p>
      <w:pPr>
        <w:pStyle w:val="BodyText"/>
      </w:pPr>
      <w:r>
        <w:rPr>
          <w:b/>
          <w:bCs/>
        </w:rPr>
        <w:t xml:space="preserve">Grossesse et Allaitement :</w:t>
      </w:r>
      <w:r>
        <w:t xml:space="preserve"> </w:t>
      </w:r>
      <w:r>
        <w:t xml:space="preserve">- Grossesse : compatible à dose ponctuelle selon CRAT (anesthésie césarienne, actes urgents). CI en usage chronique au 3e trimestre.</w:t>
      </w:r>
      <w:r>
        <w:t xml:space="preserve"> </w:t>
      </w:r>
      <w:r>
        <w:t xml:space="preserve">- Allaitement : compatible à dose ponctuelle (reprise 4–6 h après).</w:t>
      </w:r>
      <w:r>
        <w:t xml:space="preserve"> </w:t>
      </w:r>
      <w:r>
        <w:t xml:space="preserve">- Précisions : Le passage transplacentaire est modéré, métabolisme fœtal rapide.</w:t>
      </w:r>
    </w:p>
    <w:p>
      <w:pPr>
        <w:pStyle w:val="BodyText"/>
      </w:pPr>
      <w:r>
        <w:rPr>
          <w:b/>
          <w:bCs/>
        </w:rPr>
        <w:t xml:space="preserve">Posologie et Mode d’administration (Standard) :</w:t>
      </w:r>
      <w:r>
        <w:t xml:space="preserve"> </w:t>
      </w:r>
      <w:r>
        <w:t xml:space="preserve">- Anesthésie IV (adulte) : (1) Induction : 20–50 µg/kg IV (gestes courts) à 50–150 µg/kg IV (chirurgie plus lourde, perfusion continue) en association à hypnotique ; (2) Entretien : perfusion continue 0,5–3 µg/kg/min, ou bolus 10–20 µg/kg toutes les 10–15 min ; (3) Sédation procédurale : 5–20 µg/kg bolus, renouvelable.</w:t>
      </w:r>
      <w:r>
        <w:t xml:space="preserve"> </w:t>
      </w:r>
      <w:r>
        <w:t xml:space="preserve">- Réanimation : perfusion continue 0,25–0,5 µg/kg/min.</w:t>
      </w:r>
      <w:r>
        <w:t xml:space="preserve"> </w:t>
      </w:r>
      <w:r>
        <w:t xml:space="preserve">- Sujet âgé : dose réduite 25–50 %.</w:t>
      </w:r>
      <w:r>
        <w:t xml:space="preserve"> </w:t>
      </w:r>
      <w:r>
        <w:t xml:space="preserve">- Enfant &gt; 1 an : 10–50 µg/kg IV induction, perfusion 0,5–2 µg/kg/min.</w:t>
      </w:r>
      <w:r>
        <w:t xml:space="preserve"> </w:t>
      </w:r>
      <w:r>
        <w:t xml:space="preserve">- Insuffisant rénal : pas d’adaptation stricte.</w:t>
      </w:r>
      <w:r>
        <w:t xml:space="preserve"> </w:t>
      </w:r>
      <w:r>
        <w:t xml:space="preserve">- Insuffisant hépatique : réduire dose 25–50 %, surveillance (métabolisme CYP3A4 exclusif).</w:t>
      </w:r>
    </w:p>
    <w:p>
      <w:pPr>
        <w:pStyle w:val="BodyText"/>
      </w:pPr>
      <w:r>
        <w:rPr>
          <w:b/>
          <w:bCs/>
        </w:rPr>
        <w:t xml:space="preserve">Arbitrage et Bénéfices des Formes Galéniques :</w:t>
      </w:r>
      <w:r>
        <w:t xml:space="preserve"> </w:t>
      </w:r>
      <w:r>
        <w:t xml:space="preserve">Le RAPIFEN (Piramal Critical Care) est l’unique spécialité d’alfentanil disponible en Algérie, sous deux conditionnements :</w:t>
      </w:r>
      <w:r>
        <w:t xml:space="preserve"> </w:t>
      </w:r>
      <w:r>
        <w:t xml:space="preserve">-</w:t>
      </w:r>
      <w:r>
        <w:t xml:space="preserve"> </w:t>
      </w:r>
      <w:r>
        <w:rPr>
          <w:b/>
          <w:bCs/>
        </w:rPr>
        <w:t xml:space="preserve">5 mg/10 mL (0,5 mg/mL)</w:t>
      </w:r>
      <w:r>
        <w:t xml:space="preserve"> </w:t>
      </w:r>
      <w:r>
        <w:t xml:space="preserve">— ampoules de 2 mL pour bolus (induction, sédation procédurale).</w:t>
      </w:r>
      <w:r>
        <w:t xml:space="preserve"> </w:t>
      </w:r>
      <w:r>
        <w:t xml:space="preserve">-</w:t>
      </w:r>
      <w:r>
        <w:t xml:space="preserve"> </w:t>
      </w:r>
      <w:r>
        <w:rPr>
          <w:b/>
          <w:bCs/>
        </w:rPr>
        <w:t xml:space="preserve">5 mg/10 mL (0,5 mg/mL)</w:t>
      </w:r>
      <w:r>
        <w:t xml:space="preserve"> </w:t>
      </w:r>
      <w:r>
        <w:t xml:space="preserve">— ampoules de 10 mL pour perfusion continue (anesthésie prolongée, réanimation).</w:t>
      </w:r>
    </w:p>
    <w:p>
      <w:pPr>
        <w:pStyle w:val="BodyText"/>
      </w:pPr>
      <w:r>
        <w:t xml:space="preserve">Choix entre alfentanil, fentanyl et sufentanil en anesthésie :</w:t>
      </w:r>
      <w:r>
        <w:t xml:space="preserve"> </w:t>
      </w:r>
      <w:r>
        <w:t xml:space="preserve">-</w:t>
      </w:r>
      <w:r>
        <w:t xml:space="preserve"> </w:t>
      </w:r>
      <w:r>
        <w:rPr>
          <w:b/>
          <w:bCs/>
        </w:rPr>
        <w:t xml:space="preserve">Alfentanil</w:t>
      </w:r>
      <w:r>
        <w:t xml:space="preserve"> </w:t>
      </w:r>
      <w:r>
        <w:t xml:space="preserve">: onset 1–2 min, durée 10–15 min — idéal gestes courts, ambulatoire, complément d’induction, sédation procédurale.</w:t>
      </w:r>
      <w:r>
        <w:t xml:space="preserve"> </w:t>
      </w:r>
      <w:r>
        <w:t xml:space="preserve">-</w:t>
      </w:r>
      <w:r>
        <w:t xml:space="preserve"> </w:t>
      </w:r>
      <w:r>
        <w:rPr>
          <w:b/>
          <w:bCs/>
        </w:rPr>
        <w:t xml:space="preserve">Fentanyl</w:t>
      </w:r>
      <w:r>
        <w:t xml:space="preserve"> </w:t>
      </w:r>
      <w:r>
        <w:t xml:space="preserve">: onset 2–5 min, durée 30 min — chirurgie courante, induction.</w:t>
      </w:r>
      <w:r>
        <w:t xml:space="preserve"> </w:t>
      </w:r>
      <w:r>
        <w:t xml:space="preserve">-</w:t>
      </w:r>
      <w:r>
        <w:t xml:space="preserve"> </w:t>
      </w:r>
      <w:r>
        <w:rPr>
          <w:b/>
          <w:bCs/>
        </w:rPr>
        <w:t xml:space="preserve">Sufentanil</w:t>
      </w:r>
      <w:r>
        <w:t xml:space="preserve"> </w:t>
      </w:r>
      <w:r>
        <w:t xml:space="preserve">: onset 1–3 min, durée 20–30 min, CSHT court même après perfusion prolongée — chirurgie lourde, cardiaque, réanimation prolongée.</w:t>
      </w:r>
    </w:p>
    <w:p>
      <w:pPr>
        <w:pStyle w:val="BodyText"/>
      </w:pPr>
      <w:r>
        <w:t xml:space="preserve">À l’officine (circuit hospitalier), strictement hospitalier.</w:t>
      </w:r>
    </w:p>
    <w:p>
      <w:pPr>
        <w:pStyle w:val="BodyText"/>
      </w:pPr>
      <w:r>
        <w:rPr>
          <w:b/>
          <w:bCs/>
        </w:rPr>
        <w:t xml:space="preserve">Instructions et Conseils au Patient :</w:t>
      </w:r>
      <w:r>
        <w:t xml:space="preserve"> </w:t>
      </w:r>
      <w:r>
        <w:t xml:space="preserve">- Communication au comptoir : « Ce médicament (alfentanil) est un anesthésique puissant utilisé uniquement à l’hôpital (bloc opératoire, réanimation, endoscopie). Il ne sera pas délivré en pharmacie de ville. Si vous avez des questions sur votre anesthésie, parlez-en à votre anesthésiste. »</w:t>
      </w:r>
      <w:r>
        <w:t xml:space="preserve"> </w:t>
      </w:r>
      <w:r>
        <w:t xml:space="preserve">- Mode d’utilisation pratique : Usage strictement hospitalier. Dilution en seringue électrique selon protocole d’anesthésie.</w:t>
      </w:r>
    </w:p>
    <w:p>
      <w:pPr>
        <w:pStyle w:val="BodyText"/>
      </w:pPr>
      <w:r>
        <w:rPr>
          <w:b/>
          <w:bCs/>
        </w:rPr>
        <w:t xml:space="preserve">Notes, Règles d’Or &amp; Pièges au Comptoir :</w:t>
      </w:r>
      <w:r>
        <w:t xml:space="preserve"> </w:t>
      </w:r>
      <w:r>
        <w:t xml:space="preserve">-</w:t>
      </w:r>
      <w:r>
        <w:t xml:space="preserve"> </w:t>
      </w:r>
      <w:r>
        <w:rPr>
          <w:b/>
          <w:bCs/>
        </w:rPr>
        <w:t xml:space="preserve">Piège classique — Erreur de dosage</w:t>
      </w:r>
      <w:r>
        <w:t xml:space="preserve"> </w:t>
      </w:r>
      <w:r>
        <w:t xml:space="preserve">: la concentration 0,5 mg/mL est à confondre avec celle du fentanyl (0,05 mg/mL). Une ampoule de 10 mL de RAPIFEN contient 5 mg d’alfentanil, soit l’équivalent analgésique de ~100 mg de morphine IV (dose massive). Vérification systématique de l’étiquetage, protocole de double contrôle.</w:t>
      </w:r>
      <w:r>
        <w:t xml:space="preserve"> </w:t>
      </w:r>
      <w:r>
        <w:t xml:space="preserve">-</w:t>
      </w:r>
      <w:r>
        <w:t xml:space="preserve"> </w:t>
      </w:r>
      <w:r>
        <w:rPr>
          <w:b/>
          <w:bCs/>
        </w:rPr>
        <w:t xml:space="preserve">Piège — Rigidité thoracique</w:t>
      </w:r>
      <w:r>
        <w:t xml:space="preserve"> </w:t>
      </w:r>
      <w:r>
        <w:t xml:space="preserve">: à forte dose IV rapide (induction 50 µg/kg), rigidité des muscles thoraciques → ventilation impossible → curare immédiat.</w:t>
      </w:r>
      <w:r>
        <w:t xml:space="preserve"> </w:t>
      </w:r>
      <w:r>
        <w:t xml:space="preserve">-</w:t>
      </w:r>
      <w:r>
        <w:t xml:space="preserve"> </w:t>
      </w:r>
      <w:r>
        <w:rPr>
          <w:b/>
          <w:bCs/>
        </w:rPr>
        <w:t xml:space="preserve">Piège — Interaction érythromycine</w:t>
      </w:r>
      <w:r>
        <w:t xml:space="preserve"> </w:t>
      </w:r>
      <w:r>
        <w:t xml:space="preserve">: cas classique rapporté d’apnées prolongées chez un patient sous érythromycine recevant alfentanil (inhibition CYP3A4) — interrogatoire médicamenteux systématique.</w:t>
      </w:r>
      <w:r>
        <w:t xml:space="preserve"> </w:t>
      </w:r>
      <w:r>
        <w:t xml:space="preserve">-</w:t>
      </w:r>
      <w:r>
        <w:t xml:space="preserve"> </w:t>
      </w:r>
      <w:r>
        <w:rPr>
          <w:b/>
          <w:bCs/>
        </w:rPr>
        <w:t xml:space="preserve">Piège — Onset plus rapide que le fentanyl</w:t>
      </w:r>
      <w:r>
        <w:t xml:space="preserve"> </w:t>
      </w:r>
      <w:r>
        <w:t xml:space="preserve">: la vitesse d’action de l’alfentanil est un atout mais aussi un risque — apnée plus précoce, hypotension plus immédiate — surveillance accrue pendant 1–2 min après bolus.</w:t>
      </w:r>
      <w:r>
        <w:t xml:space="preserve"> </w:t>
      </w:r>
      <w:r>
        <w:t xml:space="preserve">-</w:t>
      </w:r>
      <w:r>
        <w:t xml:space="preserve"> </w:t>
      </w:r>
      <w:r>
        <w:rPr>
          <w:b/>
          <w:bCs/>
        </w:rPr>
        <w:t xml:space="preserve">Règle de prise</w:t>
      </w:r>
      <w:r>
        <w:t xml:space="preserve"> </w:t>
      </w:r>
      <w:r>
        <w:t xml:space="preserve">: strictement hospitalier, seringue électrique, dilution précise.</w:t>
      </w:r>
      <w:r>
        <w:t xml:space="preserve"> </w:t>
      </w:r>
      <w:r>
        <w:t xml:space="preserve">-</w:t>
      </w:r>
      <w:r>
        <w:t xml:space="preserve"> </w:t>
      </w:r>
      <w:r>
        <w:rPr>
          <w:b/>
          <w:bCs/>
        </w:rPr>
        <w:t xml:space="preserve">Préparation et Conservation</w:t>
      </w:r>
      <w:r>
        <w:t xml:space="preserve"> </w:t>
      </w:r>
      <w:r>
        <w:t xml:space="preserve">: stupéfiant, registre. Stockage &lt; 25 °C, à l’abri de la lumière. Dilution : NaCl 0,9 % ou G5 %, stabilité 24 h.</w:t>
      </w:r>
      <w:r>
        <w:t xml:space="preserve"> </w:t>
      </w:r>
      <w:r>
        <w:t xml:space="preserve">-</w:t>
      </w:r>
      <w:r>
        <w:t xml:space="preserve"> </w:t>
      </w:r>
      <w:r>
        <w:rPr>
          <w:b/>
          <w:bCs/>
        </w:rPr>
        <w:t xml:space="preserve">Piège du surdosage</w:t>
      </w:r>
      <w:r>
        <w:t xml:space="preserve"> </w:t>
      </w:r>
      <w:r>
        <w:t xml:space="preserve">: naloxone IV 0,1–0,4 mg titration, surveillance 4–6 h.</w:t>
      </w:r>
      <w:r>
        <w:t xml:space="preserve"> </w:t>
      </w:r>
      <w:r>
        <w:t xml:space="preserve">-</w:t>
      </w:r>
      <w:r>
        <w:t xml:space="preserve"> </w:t>
      </w:r>
      <w:r>
        <w:rPr>
          <w:b/>
          <w:bCs/>
        </w:rPr>
        <w:t xml:space="preserve">Substitution</w:t>
      </w:r>
      <w:r>
        <w:t xml:space="preserve"> </w:t>
      </w:r>
      <w:r>
        <w:t xml:space="preserve">: pas de mésusage en officine (strictement hospitalier).</w:t>
      </w:r>
    </w:p>
    <w:p>
      <w:r>
        <w:pict>
          <v:rect style="width:0;height:1.5pt" o:hralign="center" o:hrstd="t" o:hr="t"/>
        </w:pict>
      </w:r>
    </w:p>
    <w:bookmarkEnd w:id="112"/>
    <w:bookmarkStart w:id="113" w:name="dci-remifentanil-seule"/>
    <w:p>
      <w:pPr>
        <w:pStyle w:val="Heading3"/>
      </w:pPr>
      <w:r>
        <w:t xml:space="preserve">8. DCI : Remifentanil (Seule)</w:t>
      </w:r>
    </w:p>
    <w:p>
      <w:pPr>
        <w:pStyle w:val="FirstParagraph"/>
      </w:pPr>
      <w:r>
        <w:rPr>
          <w:b/>
          <w:bCs/>
        </w:rPr>
        <w:t xml:space="preserve">Liste des Catégories :</w:t>
      </w:r>
      <w:r>
        <w:t xml:space="preserve"> </w:t>
      </w:r>
      <w:r>
        <w:t xml:space="preserve">Antalgiques palier III - Opioïdes forts ; Anesthésique général IV (adjuvant) ; Opioïde de synthèse (anilidopipéridine ester) ; Stupéfiant.</w:t>
      </w:r>
    </w:p>
    <w:p>
      <w:pPr>
        <w:pStyle w:val="BodyText"/>
      </w:pPr>
      <w:r>
        <w:t xml:space="preserve">Le remifentanil est une anilidopipéridine de synthèse de 4e génération, ester métabolisé par les</w:t>
      </w:r>
      <w:r>
        <w:t xml:space="preserve"> </w:t>
      </w:r>
      <w:r>
        <w:rPr>
          <w:b/>
          <w:bCs/>
        </w:rPr>
        <w:t xml:space="preserve">estérases plasmatiques non spécifiques</w:t>
      </w:r>
      <w:r>
        <w:t xml:space="preserve"> </w:t>
      </w:r>
      <w:r>
        <w:t xml:space="preserve">(analogues à celles qui dégradent la succinylcholine et l’esmolol). Sa caractéristique cinétique unique est une</w:t>
      </w:r>
      <w:r>
        <w:t xml:space="preserve"> </w:t>
      </w:r>
      <w:r>
        <w:rPr>
          <w:b/>
          <w:bCs/>
        </w:rPr>
        <w:t xml:space="preserve">demi-vie d’élimination extrêmement courte (3–4 min)</w:t>
      </w:r>
      <w:r>
        <w:t xml:space="preserve"> </w:t>
      </w:r>
      <w:r>
        <w:t xml:space="preserve">indépendante de la durée de perfusion (context-sensitive half-time ≈ 3 min, ce qui le rend unique parmi les opioïdes). Cette propriété autorise une titration fine en temps réel, idéale pour l’anesthésie à débit ciblé (AIVOC). La puissance analgésique est similaire à celle du fentanyl (≈ 100 x morphine). Métabolisme en un acide carboxylique inactif (GI-90291) excrété dans les urines. Pas d’accumulation même en perfusion prolongée (réanimation, chirurgie longue). Indication : anesthésie IV en perfusion continue (induction + entretien), sédation en réanimation ventilée.</w:t>
      </w:r>
    </w:p>
    <w:p>
      <w:pPr>
        <w:pStyle w:val="BodyText"/>
      </w:pPr>
      <w:r>
        <w:rPr>
          <w:b/>
          <w:bCs/>
        </w:rPr>
        <w:t xml:space="preserve">Médicaments disponibles en Algérie (Marques, Laboratoires, Formes et Dosages) :</w:t>
      </w:r>
    </w:p>
    <w:p>
      <w:pPr>
        <w:pStyle w:val="Compact"/>
        <w:numPr>
          <w:ilvl w:val="0"/>
          <w:numId w:val="1054"/>
        </w:numPr>
      </w:pPr>
      <w:r>
        <w:rPr>
          <w:b/>
          <w:bCs/>
        </w:rPr>
        <w:t xml:space="preserve">REMIFENTANIL MYLAN</w:t>
      </w:r>
      <w:r>
        <w:t xml:space="preserve"> </w:t>
      </w:r>
      <w:r>
        <w:t xml:space="preserve">(MYLAN SAS)</w:t>
      </w:r>
    </w:p>
    <w:p>
      <w:pPr>
        <w:pStyle w:val="Compact"/>
        <w:numPr>
          <w:ilvl w:val="1"/>
          <w:numId w:val="1055"/>
        </w:numPr>
      </w:pPr>
      <w:r>
        <w:t xml:space="preserve">Poudre pour solution injectable ou pour perfusion IV 2 mg/flacon — Boîte de 10 flacons de 5 mL — Stupéfiant — Actif</w:t>
      </w:r>
    </w:p>
    <w:p>
      <w:pPr>
        <w:pStyle w:val="Compact"/>
        <w:numPr>
          <w:ilvl w:val="1"/>
          <w:numId w:val="1055"/>
        </w:numPr>
      </w:pPr>
      <w:r>
        <w:t xml:space="preserve">Poudre pour solution injectable ou pour perfusion IV 5 mg/flacon — Boîte de 10 flacons de 10 mL — Stupéfiant — Actif</w:t>
      </w:r>
    </w:p>
    <w:p>
      <w:pPr>
        <w:pStyle w:val="FirstParagraph"/>
      </w:pPr>
      <w:r>
        <w:rPr>
          <w:b/>
          <w:bCs/>
        </w:rPr>
        <w:t xml:space="preserve">Sous-classe et Mécanisme d’action :</w:t>
      </w:r>
      <w:r>
        <w:t xml:space="preserve"> </w:t>
      </w:r>
      <w:r>
        <w:t xml:space="preserve">- Sous-classe : Antalgique opioïde palier III, agoniste pur μ, opioïde de synthèse (anilidopipéridine ester), anesthésique adjuvant IV à demi-vie ultracourte.</w:t>
      </w:r>
      <w:r>
        <w:t xml:space="preserve"> </w:t>
      </w:r>
      <w:r>
        <w:t xml:space="preserve">- Mécanisme d’action : Le remifentanil est un agoniste pur du récepteur</w:t>
      </w:r>
      <w:r>
        <w:t xml:space="preserve"> </w:t>
      </w:r>
      <w:r>
        <w:rPr>
          <w:b/>
          <w:bCs/>
        </w:rPr>
        <w:t xml:space="preserve">μ (MOR)</w:t>
      </w:r>
      <w:r>
        <w:t xml:space="preserve">, avec une affinité similaire à celle du fentanyl. Couplage Gi/Go → baisse AMPc → ouverture GIRK → hyperpolarisation → inhibition libération substance P/glutamate. La spécificité du remifentanil réside dans son métabolisme : hydrolyse par les</w:t>
      </w:r>
      <w:r>
        <w:t xml:space="preserve"> </w:t>
      </w:r>
      <w:r>
        <w:rPr>
          <w:b/>
          <w:bCs/>
        </w:rPr>
        <w:t xml:space="preserve">estérases plasmatiques non spécifiques</w:t>
      </w:r>
      <w:r>
        <w:t xml:space="preserve"> </w:t>
      </w:r>
      <w:r>
        <w:t xml:space="preserve">(et non par CYP3A4, contrairement au fentanyl/sufentanil/alfentanil). Le métabolite principal (GI-90291, acide carboxylique) est ~4600 fois moins actif sur le μ que la molécule mère — donc inactif in vivo. La</w:t>
      </w:r>
      <w:r>
        <w:t xml:space="preserve"> </w:t>
      </w:r>
      <w:r>
        <w:rPr>
          <w:b/>
          <w:bCs/>
        </w:rPr>
        <w:t xml:space="preserve">demi-vie d’élimination terminale</w:t>
      </w:r>
      <w:r>
        <w:t xml:space="preserve"> </w:t>
      </w:r>
      <w:r>
        <w:t xml:space="preserve">est de 10–20 min, mais surtout le</w:t>
      </w:r>
      <w:r>
        <w:t xml:space="preserve"> </w:t>
      </w:r>
      <w:r>
        <w:rPr>
          <w:b/>
          <w:bCs/>
        </w:rPr>
        <w:t xml:space="preserve">context-sensitive half-time (CSHT)</w:t>
      </w:r>
      <w:r>
        <w:t xml:space="preserve"> </w:t>
      </w:r>
      <w:r>
        <w:t xml:space="preserve">est constant à 3–4 min, indépendamment de la durée de perfusion (vs fentanyl dont le CSHT s’allonge à &gt; 2 h après 4 h de perfusion). Cette propriété autorise une titration fine, une adaptation rapide, et un réveil prévisible à l’arrêt.</w:t>
      </w:r>
    </w:p>
    <w:p>
      <w:pPr>
        <w:pStyle w:val="BodyText"/>
      </w:pPr>
      <w:r>
        <w:rPr>
          <w:b/>
          <w:bCs/>
        </w:rPr>
        <w:t xml:space="preserve">Profil Pharmacologique :</w:t>
      </w:r>
      <w:r>
        <w:t xml:space="preserve"> </w:t>
      </w:r>
      <w:r>
        <w:t xml:space="preserve">- Indications : (1)</w:t>
      </w:r>
      <w:r>
        <w:t xml:space="preserve"> </w:t>
      </w:r>
      <w:r>
        <w:rPr>
          <w:b/>
          <w:bCs/>
        </w:rPr>
        <w:t xml:space="preserve">Anesthésie IV</w:t>
      </w:r>
      <w:r>
        <w:t xml:space="preserve"> </w:t>
      </w:r>
      <w:r>
        <w:t xml:space="preserve">en perfusion continue (induction + entretien) en association à un hypnotique (propofol, sévoflurane), en chirurgie courante ou lourde ; (2)</w:t>
      </w:r>
      <w:r>
        <w:t xml:space="preserve"> </w:t>
      </w:r>
      <w:r>
        <w:rPr>
          <w:b/>
          <w:bCs/>
        </w:rPr>
        <w:t xml:space="preserve">AIVOC</w:t>
      </w:r>
      <w:r>
        <w:t xml:space="preserve"> </w:t>
      </w:r>
      <w:r>
        <w:t xml:space="preserve">(anesthésie intra-veineuse à débit ciblé) — concentration cible 2–8 ng/mL ; (3)</w:t>
      </w:r>
      <w:r>
        <w:t xml:space="preserve"> </w:t>
      </w:r>
      <w:r>
        <w:rPr>
          <w:b/>
          <w:bCs/>
        </w:rPr>
        <w:t xml:space="preserve">Sédation-analgésie en réanimation</w:t>
      </w:r>
      <w:r>
        <w:t xml:space="preserve"> </w:t>
      </w:r>
      <w:r>
        <w:t xml:space="preserve">ventilée — particulier patient IR ou hépatique (métabolisme indépendant du foie et du rein) ; (4)</w:t>
      </w:r>
      <w:r>
        <w:t xml:space="preserve"> </w:t>
      </w:r>
      <w:r>
        <w:rPr>
          <w:b/>
          <w:bCs/>
        </w:rPr>
        <w:t xml:space="preserve">Analgésie obstétricale</w:t>
      </w:r>
      <w:r>
        <w:t xml:space="preserve"> </w:t>
      </w:r>
      <w:r>
        <w:t xml:space="preserve">pour césarienne en urgence (alternative à l’anesthésie loco-régionale) ; (5)</w:t>
      </w:r>
      <w:r>
        <w:t xml:space="preserve"> </w:t>
      </w:r>
      <w:r>
        <w:rPr>
          <w:b/>
          <w:bCs/>
        </w:rPr>
        <w:t xml:space="preserve">Chirurgie ambulatoire</w:t>
      </w:r>
      <w:r>
        <w:t xml:space="preserve"> </w:t>
      </w:r>
      <w:r>
        <w:t xml:space="preserve">— réveil rapide prévisible.</w:t>
      </w:r>
      <w:r>
        <w:t xml:space="preserve"> </w:t>
      </w:r>
      <w:r>
        <w:t xml:space="preserve">- Contre-indications : (1) Insuffisance respiratoire sévère (hors ventilation contrôlée) ; (2) Traumatisme crânien / HTIC (sauf ventilation contrôlée) ; (3) Hypersensibilité ; (4) Myasthénie ; (5) Allaitement ; (6) Association aux IMAO (14 jours d’intervalle) ; (7) Anesthésie seule sans hypnotique (risque de mémorisation explicite — pas d’effet hypnotique propre) ; (8) Péridurale ou rachianesthésie (CI absolue — formulation contenant du glycine neurotoxique en intrathécal).</w:t>
      </w:r>
      <w:r>
        <w:t xml:space="preserve"> </w:t>
      </w:r>
      <w:r>
        <w:t xml:space="preserve">- Effets Indésirables : (1)</w:t>
      </w:r>
      <w:r>
        <w:t xml:space="preserve"> </w:t>
      </w:r>
      <w:r>
        <w:rPr>
          <w:b/>
          <w:bCs/>
        </w:rPr>
        <w:t xml:space="preserve">Dépression respiratoire</w:t>
      </w:r>
      <w:r>
        <w:t xml:space="preserve"> </w:t>
      </w:r>
      <w:r>
        <w:t xml:space="preserve">dose-dépendante mais disparaissant à l’arrêt en 3–5 min ; (2)</w:t>
      </w:r>
      <w:r>
        <w:t xml:space="preserve"> </w:t>
      </w:r>
      <w:r>
        <w:rPr>
          <w:b/>
          <w:bCs/>
        </w:rPr>
        <w:t xml:space="preserve">Bradycardie</w:t>
      </w:r>
      <w:r>
        <w:t xml:space="preserve"> </w:t>
      </w:r>
      <w:r>
        <w:t xml:space="preserve">sinusale (parfois sévère, nécessitant atropine) ; (3)</w:t>
      </w:r>
      <w:r>
        <w:t xml:space="preserve"> </w:t>
      </w:r>
      <w:r>
        <w:rPr>
          <w:b/>
          <w:bCs/>
        </w:rPr>
        <w:t xml:space="preserve">Rigidité thoracique</w:t>
      </w:r>
      <w:r>
        <w:t xml:space="preserve"> </w:t>
      </w:r>
      <w:r>
        <w:t xml:space="preserve">(à forte dose IV rapide) ; (4) Myosis serré ; (5)</w:t>
      </w:r>
      <w:r>
        <w:t xml:space="preserve"> </w:t>
      </w:r>
      <w:r>
        <w:rPr>
          <w:b/>
          <w:bCs/>
        </w:rPr>
        <w:t xml:space="preserve">Hypotension</w:t>
      </w:r>
      <w:r>
        <w:t xml:space="preserve"> </w:t>
      </w:r>
      <w:r>
        <w:t xml:space="preserve">(plus marquée qu’avec le fentanyl, en particulier en induction à forte dose) ; (6) Nausées, vomissements postopératoires (~30–40 %, plus que fentanyl) ; (7) Prurit ; (8) Rétention urinaire ; (9)</w:t>
      </w:r>
      <w:r>
        <w:t xml:space="preserve"> </w:t>
      </w:r>
      <w:r>
        <w:rPr>
          <w:b/>
          <w:bCs/>
        </w:rPr>
        <w:t xml:space="preserve">Hyperalgésie aiguë à l’arrêt</w:t>
      </w:r>
      <w:r>
        <w:t xml:space="preserve"> </w:t>
      </w:r>
      <w:r>
        <w:t xml:space="preserve">(véritable syndrome de douleur rebond dans les 5–10 min après arrêt brutal — nécessité de relais par morphine longue durée avant arrêt) ; (10) Tolérance aiguë (développement rapide en 1–2 h de perfusion, nécessitant augmentation des doses).</w:t>
      </w:r>
    </w:p>
    <w:p>
      <w:pPr>
        <w:pStyle w:val="BodyText"/>
      </w:pPr>
      <w:r>
        <w:rPr>
          <w:b/>
          <w:bCs/>
        </w:rPr>
        <w:t xml:space="preserve">Prévention et Gestion des Effets Indésirables :</w:t>
      </w:r>
      <w:r>
        <w:t xml:space="preserve"> </w:t>
      </w:r>
      <w:r>
        <w:t xml:space="preserve">- Mesures Préventives : (a) Monitorage complet (ECG, SpO2, capnographie, PA invasive si besoin) ; (b) Prémédication atropine si bradycardie attendue ; (c) Curare prêt pour rigidité thoracique ; (d) Antiémétique prophylactique (ondansétron 4 mg) ; (e)</w:t>
      </w:r>
      <w:r>
        <w:t xml:space="preserve"> </w:t>
      </w:r>
      <w:r>
        <w:rPr>
          <w:b/>
          <w:bCs/>
        </w:rPr>
        <w:t xml:space="preserve">Relais antalgique obligatoire avant arrêt</w:t>
      </w:r>
      <w:r>
        <w:t xml:space="preserve"> </w:t>
      </w:r>
      <w:r>
        <w:t xml:space="preserve">— morphine titration 0,1 mg/kg IV 20 min avant arrêt du remifentanil, ou fentanyl bolus 1–2 µg/kg — pour éviter l’hyperalgésie rebond ; (f) Vérification interactions CYP3A4 (peu pertinentes mais surveillance).</w:t>
      </w:r>
      <w:r>
        <w:t xml:space="preserve"> </w:t>
      </w:r>
      <w:r>
        <w:t xml:space="preserve">- Conduite à Tenir : En cas de dépression respiratoire → arrêt de la perfusion, naloxone rarement nécessaire (CSHT 3 min → récupération spontanée en 5 min). En cas de bradycardie sévère → atropine 0,5–1 mg IV. En cas d’hypotension → remplissage, vasopresseur (éphédrine, noradrénaline). En cas de rigidité thoracique → curare + ventilation + naloxone 0,1–0,4 mg IV. En cas d’hyperalgésie rebond à l’arrêt → titration morphine, voire nalbuphine.</w:t>
      </w:r>
    </w:p>
    <w:p>
      <w:pPr>
        <w:pStyle w:val="BodyText"/>
      </w:pPr>
      <w:r>
        <w:rPr>
          <w:b/>
          <w:bCs/>
        </w:rPr>
        <w:t xml:space="preserve">Interactions Importantes :</w:t>
      </w:r>
      <w:r>
        <w:t xml:space="preserve"> </w:t>
      </w:r>
      <w:r>
        <w:t xml:space="preserve">- Remifentanil +</w:t>
      </w:r>
      <w:r>
        <w:t xml:space="preserve"> </w:t>
      </w:r>
      <w:r>
        <w:rPr>
          <w:b/>
          <w:bCs/>
        </w:rPr>
        <w:t xml:space="preserve">Anesthésiques halogénés</w:t>
      </w:r>
      <w:r>
        <w:t xml:space="preserve"> </w:t>
      </w:r>
      <w:r>
        <w:t xml:space="preserve">(sévoflurane, isoflurane, desflurane) : synergie bénéfique en anesthésie balanced, mais surveillance hémodynamique (hypotension, bradycardie).</w:t>
      </w:r>
      <w:r>
        <w:t xml:space="preserve"> </w:t>
      </w:r>
      <w:r>
        <w:t xml:space="preserve">- Remifentanil +</w:t>
      </w:r>
      <w:r>
        <w:t xml:space="preserve"> </w:t>
      </w:r>
      <w:r>
        <w:rPr>
          <w:b/>
          <w:bCs/>
        </w:rPr>
        <w:t xml:space="preserve">Propofol</w:t>
      </w:r>
      <w:r>
        <w:t xml:space="preserve"> </w:t>
      </w:r>
      <w:r>
        <w:t xml:space="preserve">: synergie — dosage adapté en AIVOC.</w:t>
      </w:r>
      <w:r>
        <w:t xml:space="preserve"> </w:t>
      </w:r>
      <w:r>
        <w:t xml:space="preserve">- Remifentanil +</w:t>
      </w:r>
      <w:r>
        <w:t xml:space="preserve"> </w:t>
      </w:r>
      <w:r>
        <w:rPr>
          <w:b/>
          <w:bCs/>
        </w:rPr>
        <w:t xml:space="preserve">Benzodiazépines</w:t>
      </w:r>
      <w:r>
        <w:t xml:space="preserve"> </w:t>
      </w:r>
      <w:r>
        <w:t xml:space="preserve">: potentialisation — surveillance ventilatoire.</w:t>
      </w:r>
      <w:r>
        <w:t xml:space="preserve"> </w:t>
      </w:r>
      <w:r>
        <w:t xml:space="preserve">- Remifentanil + alcool, autres opioïdes : dépression respiratoire additive.</w:t>
      </w:r>
      <w:r>
        <w:t xml:space="preserve"> </w:t>
      </w:r>
      <w:r>
        <w:t xml:space="preserve">- Remifentanil +</w:t>
      </w:r>
      <w:r>
        <w:t xml:space="preserve"> </w:t>
      </w:r>
      <w:r>
        <w:rPr>
          <w:b/>
          <w:bCs/>
        </w:rPr>
        <w:t xml:space="preserve">β-bloquants, inhibiteurs calciques (bradycardisants)</w:t>
      </w:r>
      <w:r>
        <w:t xml:space="preserve"> </w:t>
      </w:r>
      <w:r>
        <w:t xml:space="preserve">: bradycardie sévère, troubles de conduction — surveillance.</w:t>
      </w:r>
      <w:r>
        <w:t xml:space="preserve"> </w:t>
      </w:r>
      <w:r>
        <w:t xml:space="preserve">- Remifentanil + IMAO : risque théorique de syndrome sérotoninergique (le remifentanil n’est pas métabolisé par CYP, mais l’interaction est signalée par prudence).</w:t>
      </w:r>
      <w:r>
        <w:t xml:space="preserve"> </w:t>
      </w:r>
      <w:r>
        <w:t xml:space="preserve">- Remifentanil +</w:t>
      </w:r>
      <w:r>
        <w:t xml:space="preserve"> </w:t>
      </w:r>
      <w:r>
        <w:rPr>
          <w:b/>
          <w:bCs/>
        </w:rPr>
        <w:t xml:space="preserve">Autres bradycardisants</w:t>
      </w:r>
      <w:r>
        <w:t xml:space="preserve"> </w:t>
      </w:r>
      <w:r>
        <w:t xml:space="preserve">(suxaméthonium, néostigmine) : bradycardie additive.</w:t>
      </w:r>
    </w:p>
    <w:p>
      <w:pPr>
        <w:pStyle w:val="BodyText"/>
      </w:pPr>
      <w:r>
        <w:rPr>
          <w:b/>
          <w:bCs/>
        </w:rPr>
        <w:t xml:space="preserve">Grossesse et Allaitement :</w:t>
      </w:r>
      <w:r>
        <w:t xml:space="preserve"> </w:t>
      </w:r>
      <w:r>
        <w:t xml:space="preserve">- Grossesse : compatible à dose ponctuelle selon CRAT (anesthésie césarienne en urgence). Métabolisme indépendant du foie — sécurité fœtale bonne. CI en usage chronique au 3e trimestre.</w:t>
      </w:r>
      <w:r>
        <w:t xml:space="preserve"> </w:t>
      </w:r>
      <w:r>
        <w:t xml:space="preserve">- Allaitement : compatible à dose ponctuelle (reprise allaitement 4 h après).</w:t>
      </w:r>
      <w:r>
        <w:t xml:space="preserve"> </w:t>
      </w:r>
      <w:r>
        <w:t xml:space="preserve">- Précisions : Le remifentanil traverse la barrière placentaire mais est rapidement métabolisé par le fœtus (estérases fœtales présentes). Utilisé pour analgésie obstétricale en PCA (patient-controlled analgesia) — travail prolongé difficile.</w:t>
      </w:r>
    </w:p>
    <w:p>
      <w:pPr>
        <w:pStyle w:val="BodyText"/>
      </w:pPr>
      <w:r>
        <w:rPr>
          <w:b/>
          <w:bCs/>
        </w:rPr>
        <w:t xml:space="preserve">Posologie et Mode d’administration (Standard) :</w:t>
      </w:r>
      <w:r>
        <w:t xml:space="preserve"> </w:t>
      </w:r>
      <w:r>
        <w:t xml:space="preserve">- Anesthésie IV (adulte) : (1) Induction : 1–2 µg/kg IV en bolus lent (30–60 s), en association à hypnotique (propofol 2 mg/kg) ; (2) Entretien : perfusion continue 0,05–2 µg/kg/min, ou AIVOC concentration cible 2–8 ng/mL ; (3) Anesthésie balanced avec halogéné : 0,025–0,5 µg/kg/min.</w:t>
      </w:r>
      <w:r>
        <w:t xml:space="preserve"> </w:t>
      </w:r>
      <w:r>
        <w:t xml:space="preserve">- Réanimation (sédation ventilation mécanique) : perfusion continue 0,025–0,15 µg/kg/min, titration selon besoin analgésique.</w:t>
      </w:r>
      <w:r>
        <w:t xml:space="preserve"> </w:t>
      </w:r>
      <w:r>
        <w:t xml:space="preserve">- Sujet âgé : dose réduite 50 % (sensibilité accrue).</w:t>
      </w:r>
      <w:r>
        <w:t xml:space="preserve"> </w:t>
      </w:r>
      <w:r>
        <w:t xml:space="preserve">- Enfant &gt; 2 ans : posologie identique à l’adulte au kg.</w:t>
      </w:r>
      <w:r>
        <w:t xml:space="preserve"> </w:t>
      </w:r>
      <w:r>
        <w:t xml:space="preserve">- Insuffisant rénal : pas d’adaptation (métabolisme par estérases plasmatiques).</w:t>
      </w:r>
      <w:r>
        <w:t xml:space="preserve"> </w:t>
      </w:r>
      <w:r>
        <w:t xml:space="preserve">- Insuffisant hépatique : pas d’adaptation (métabolisme indépendant du foie).</w:t>
      </w:r>
      <w:r>
        <w:t xml:space="preserve"> </w:t>
      </w:r>
      <w:r>
        <w:t xml:space="preserve">- Obésité morbide : calcul à partir du poids idéal théorique (IBW) — pas du poids réel.</w:t>
      </w:r>
      <w:r>
        <w:t xml:space="preserve"> </w:t>
      </w:r>
      <w:r>
        <w:t xml:space="preserve">- Durée : pas de limitation stricte en perfusion continue (CSHT constant).</w:t>
      </w:r>
    </w:p>
    <w:p>
      <w:pPr>
        <w:pStyle w:val="BodyText"/>
      </w:pPr>
      <w:r>
        <w:rPr>
          <w:b/>
          <w:bCs/>
        </w:rPr>
        <w:t xml:space="preserve">Arbitrage et Bénéfices des Formes Galéniques :</w:t>
      </w:r>
      <w:r>
        <w:t xml:space="preserve"> </w:t>
      </w:r>
      <w:r>
        <w:t xml:space="preserve">Le REMIFENTANIL MYLAN (Mylan SAS) est l’unique spécialité disponible en Algérie, en poudre pour solution injectable ou perfusion IV — deux conditionnements :</w:t>
      </w:r>
      <w:r>
        <w:t xml:space="preserve"> </w:t>
      </w:r>
      <w:r>
        <w:t xml:space="preserve">-</w:t>
      </w:r>
      <w:r>
        <w:t xml:space="preserve"> </w:t>
      </w:r>
      <w:r>
        <w:rPr>
          <w:b/>
          <w:bCs/>
        </w:rPr>
        <w:t xml:space="preserve">2 mg/flacon (flacon de 5 mL)</w:t>
      </w:r>
      <w:r>
        <w:t xml:space="preserve"> </w:t>
      </w:r>
      <w:r>
        <w:t xml:space="preserve">— dilution pour perfusion continue patient léger / pédiatrique / concentrations faibles.</w:t>
      </w:r>
      <w:r>
        <w:t xml:space="preserve"> </w:t>
      </w:r>
      <w:r>
        <w:t xml:space="preserve">-</w:t>
      </w:r>
      <w:r>
        <w:t xml:space="preserve"> </w:t>
      </w:r>
      <w:r>
        <w:rPr>
          <w:b/>
          <w:bCs/>
        </w:rPr>
        <w:t xml:space="preserve">5 mg/flacon (flacon de 10 mL)</w:t>
      </w:r>
      <w:r>
        <w:t xml:space="preserve"> </w:t>
      </w:r>
      <w:r>
        <w:t xml:space="preserve">— dilution pour perfusion continue adulte standard.</w:t>
      </w:r>
    </w:p>
    <w:p>
      <w:pPr>
        <w:pStyle w:val="BodyText"/>
      </w:pPr>
      <w:r>
        <w:t xml:space="preserve">Le remifentanil se présente en poudre lyophilisée à reconstituer avec NaCl 0,9 % ou G5 % à concentration finale typique de 20–50 µg/mL (perfusion) ou 5 µg/mL (AIVOC). À ne pas administrer en bolus intrathécal (formulation glycine — neurotoxique pour la moelle).</w:t>
      </w:r>
    </w:p>
    <w:p>
      <w:pPr>
        <w:pStyle w:val="BodyText"/>
      </w:pPr>
      <w:r>
        <w:t xml:space="preserve">Place du remifentanil par rapport aux autres opioïdes anesthésiques :</w:t>
      </w:r>
      <w:r>
        <w:t xml:space="preserve"> </w:t>
      </w:r>
      <w:r>
        <w:t xml:space="preserve">-</w:t>
      </w:r>
      <w:r>
        <w:t xml:space="preserve"> </w:t>
      </w:r>
      <w:r>
        <w:rPr>
          <w:b/>
          <w:bCs/>
        </w:rPr>
        <w:t xml:space="preserve">Remifentanil</w:t>
      </w:r>
      <w:r>
        <w:t xml:space="preserve"> </w:t>
      </w:r>
      <w:r>
        <w:t xml:space="preserve">: CSHT 3 min constant — idéal chirurgie variable, AIVOC, sédation réanimation prolongée, patient IR/IH. Inconvénients : hyperalgésie rebond à l’arrêt, bradycardie, hypotension, pas d’effet hypnotique propre.</w:t>
      </w:r>
      <w:r>
        <w:t xml:space="preserve"> </w:t>
      </w:r>
      <w:r>
        <w:t xml:space="preserve">-</w:t>
      </w:r>
      <w:r>
        <w:t xml:space="preserve"> </w:t>
      </w:r>
      <w:r>
        <w:rPr>
          <w:b/>
          <w:bCs/>
        </w:rPr>
        <w:t xml:space="preserve">Sufentanil</w:t>
      </w:r>
      <w:r>
        <w:t xml:space="preserve"> </w:t>
      </w:r>
      <w:r>
        <w:t xml:space="preserve">: CSHT ~30 min après 4 h perfusion — chirurgie lourde, cardiaque.</w:t>
      </w:r>
      <w:r>
        <w:t xml:space="preserve"> </w:t>
      </w:r>
      <w:r>
        <w:t xml:space="preserve">-</w:t>
      </w:r>
      <w:r>
        <w:t xml:space="preserve"> </w:t>
      </w:r>
      <w:r>
        <w:rPr>
          <w:b/>
          <w:bCs/>
        </w:rPr>
        <w:t xml:space="preserve">Fentanyl</w:t>
      </w:r>
      <w:r>
        <w:t xml:space="preserve"> </w:t>
      </w:r>
      <w:r>
        <w:t xml:space="preserve">: CSHT ~2 h après 4 h perfusion — chirurgie courante, courte.</w:t>
      </w:r>
      <w:r>
        <w:t xml:space="preserve"> </w:t>
      </w:r>
      <w:r>
        <w:t xml:space="preserve">-</w:t>
      </w:r>
      <w:r>
        <w:t xml:space="preserve"> </w:t>
      </w:r>
      <w:r>
        <w:rPr>
          <w:b/>
          <w:bCs/>
        </w:rPr>
        <w:t xml:space="preserve">Alfentanil</w:t>
      </w:r>
      <w:r>
        <w:t xml:space="preserve"> </w:t>
      </w:r>
      <w:r>
        <w:t xml:space="preserve">: CSHT ~1 h après 4 h perfusion — gestes courts, sédation procédurale.</w:t>
      </w:r>
    </w:p>
    <w:p>
      <w:pPr>
        <w:pStyle w:val="BodyText"/>
      </w:pPr>
      <w:r>
        <w:t xml:space="preserve">À l’officine (circuit hospitalier), strictement hospitalier.</w:t>
      </w:r>
    </w:p>
    <w:p>
      <w:pPr>
        <w:pStyle w:val="BodyText"/>
      </w:pPr>
      <w:r>
        <w:rPr>
          <w:b/>
          <w:bCs/>
        </w:rPr>
        <w:t xml:space="preserve">Instructions et Conseils au Patient :</w:t>
      </w:r>
      <w:r>
        <w:t xml:space="preserve"> </w:t>
      </w:r>
      <w:r>
        <w:t xml:space="preserve">- Communication au comptoir : « Ce médicament (remifentanil) est un anesthésique ultracourt utilisé uniquement à l’hôpital (bloc opératoire, réanimation). Il ne sera pas délivré en pharmacie de ville. Si vous avez des questions sur votre anesthésie, parlez-en à votre anesthésiste. »</w:t>
      </w:r>
      <w:r>
        <w:t xml:space="preserve"> </w:t>
      </w:r>
      <w:r>
        <w:t xml:space="preserve">- Mode d’utilisation pratique : Usage strictement hospitalier. Reconstitution en seringue électrique selon protocole d’anesthésie. À ne jamais injecter en intrathécal (CI absolue — glycine neurotoxique).</w:t>
      </w:r>
    </w:p>
    <w:p>
      <w:pPr>
        <w:pStyle w:val="BodyText"/>
      </w:pPr>
      <w:r>
        <w:rPr>
          <w:b/>
          <w:bCs/>
        </w:rPr>
        <w:t xml:space="preserve">Notes, Règles d’Or &amp; Pièges au Comptoir :</w:t>
      </w:r>
      <w:r>
        <w:t xml:space="preserve"> </w:t>
      </w:r>
      <w:r>
        <w:t xml:space="preserve">-</w:t>
      </w:r>
      <w:r>
        <w:t xml:space="preserve"> </w:t>
      </w:r>
      <w:r>
        <w:rPr>
          <w:b/>
          <w:bCs/>
        </w:rPr>
        <w:t xml:space="preserve">Piège classique — Hyperalgésie rebond à l’arrêt</w:t>
      </w:r>
      <w:r>
        <w:t xml:space="preserve"> </w:t>
      </w:r>
      <w:r>
        <w:t xml:space="preserve">: le remifentanil, à l’arrêt brutal, déclenche en 5–10 min un syndrome douloureux intense (hyperalgésie) par désinhibition brutale des voies nociceptives. Nécessité absolue de relais antalgique avant arrêt (morphine titration 0,1 mg/kg IV 20 min avant arrêt ; ou fentanyl bolus 1–2 µg/kg).</w:t>
      </w:r>
      <w:r>
        <w:t xml:space="preserve"> </w:t>
      </w:r>
      <w:r>
        <w:t xml:space="preserve">-</w:t>
      </w:r>
      <w:r>
        <w:t xml:space="preserve"> </w:t>
      </w:r>
      <w:r>
        <w:rPr>
          <w:b/>
          <w:bCs/>
        </w:rPr>
        <w:t xml:space="preserve">Piège — Tolérance aiguë</w:t>
      </w:r>
      <w:r>
        <w:t xml:space="preserve"> </w:t>
      </w:r>
      <w:r>
        <w:t xml:space="preserve">: développement rapide (1–2 h) nécessitant augmentation des doses. Prévoir relais.</w:t>
      </w:r>
      <w:r>
        <w:t xml:space="preserve"> </w:t>
      </w:r>
      <w:r>
        <w:t xml:space="preserve">-</w:t>
      </w:r>
      <w:r>
        <w:t xml:space="preserve"> </w:t>
      </w:r>
      <w:r>
        <w:rPr>
          <w:b/>
          <w:bCs/>
        </w:rPr>
        <w:t xml:space="preserve">Piège — Pas d’effet hypnotique</w:t>
      </w:r>
      <w:r>
        <w:t xml:space="preserve"> </w:t>
      </w:r>
      <w:r>
        <w:t xml:space="preserve">: le remifentanil est un analgésique pur, sans effet hypnotique. L’utiliser seul provoque mémorisation explicite (patient conscient pendant chirurgie) — toujours associer à un hypnotique.</w:t>
      </w:r>
      <w:r>
        <w:t xml:space="preserve"> </w:t>
      </w:r>
      <w:r>
        <w:t xml:space="preserve">-</w:t>
      </w:r>
      <w:r>
        <w:t xml:space="preserve"> </w:t>
      </w:r>
      <w:r>
        <w:rPr>
          <w:b/>
          <w:bCs/>
        </w:rPr>
        <w:t xml:space="preserve">Piège — Bradycardie sévère</w:t>
      </w:r>
      <w:r>
        <w:t xml:space="preserve"> </w:t>
      </w:r>
      <w:r>
        <w:t xml:space="preserve">: plus marquée qu’avec les autres opioïdes, en particulier induction à forte dose. Atropine systématique en induction.</w:t>
      </w:r>
      <w:r>
        <w:t xml:space="preserve"> </w:t>
      </w:r>
      <w:r>
        <w:t xml:space="preserve">-</w:t>
      </w:r>
      <w:r>
        <w:t xml:space="preserve"> </w:t>
      </w:r>
      <w:r>
        <w:rPr>
          <w:b/>
          <w:bCs/>
        </w:rPr>
        <w:t xml:space="preserve">Piège — CI absolue intrathécale</w:t>
      </w:r>
      <w:r>
        <w:t xml:space="preserve"> </w:t>
      </w:r>
      <w:r>
        <w:t xml:space="preserve">: la formulation contient du glycine, neurotoxique pour la moelle — ne jamais injecter en rachianesthésie ou péridurale.</w:t>
      </w:r>
      <w:r>
        <w:t xml:space="preserve"> </w:t>
      </w:r>
      <w:r>
        <w:t xml:space="preserve">-</w:t>
      </w:r>
      <w:r>
        <w:t xml:space="preserve"> </w:t>
      </w:r>
      <w:r>
        <w:rPr>
          <w:b/>
          <w:bCs/>
        </w:rPr>
        <w:t xml:space="preserve">Piège — Poids chez l’obèse</w:t>
      </w:r>
      <w:r>
        <w:t xml:space="preserve"> </w:t>
      </w:r>
      <w:r>
        <w:t xml:space="preserve">: calcul à partir du poids idéal théorique, pas du poids réel (surdosage si calcul au poids réel chez obèse morbide).</w:t>
      </w:r>
      <w:r>
        <w:t xml:space="preserve"> </w:t>
      </w:r>
      <w:r>
        <w:t xml:space="preserve">-</w:t>
      </w:r>
      <w:r>
        <w:t xml:space="preserve"> </w:t>
      </w:r>
      <w:r>
        <w:rPr>
          <w:b/>
          <w:bCs/>
        </w:rPr>
        <w:t xml:space="preserve">Règle de prise</w:t>
      </w:r>
      <w:r>
        <w:t xml:space="preserve"> </w:t>
      </w:r>
      <w:r>
        <w:t xml:space="preserve">: strictement hospitalier, seringue électrique ou AIVOC, perfusion continue.</w:t>
      </w:r>
      <w:r>
        <w:t xml:space="preserve"> </w:t>
      </w:r>
      <w:r>
        <w:t xml:space="preserve">-</w:t>
      </w:r>
      <w:r>
        <w:t xml:space="preserve"> </w:t>
      </w:r>
      <w:r>
        <w:rPr>
          <w:b/>
          <w:bCs/>
        </w:rPr>
        <w:t xml:space="preserve">Préparation et Conservation</w:t>
      </w:r>
      <w:r>
        <w:t xml:space="preserve"> </w:t>
      </w:r>
      <w:r>
        <w:t xml:space="preserve">: stupéfiant, registre. Stockage poudre &lt; 25 °C. Reconstitution en perfusion : stabilité 24 h à concentration 20–50 µg/mL. Ne pas congeler.</w:t>
      </w:r>
      <w:r>
        <w:t xml:space="preserve"> </w:t>
      </w:r>
      <w:r>
        <w:t xml:space="preserve">-</w:t>
      </w:r>
      <w:r>
        <w:t xml:space="preserve"> </w:t>
      </w:r>
      <w:r>
        <w:rPr>
          <w:b/>
          <w:bCs/>
        </w:rPr>
        <w:t xml:space="preserve">Piège du surdosage</w:t>
      </w:r>
      <w:r>
        <w:t xml:space="preserve"> </w:t>
      </w:r>
      <w:r>
        <w:t xml:space="preserve">: arrêt immédiat de la perfusion (récupération spontanée en 3–5 min par CSHT), naloxone rarement nécessaire. Surveillance bradycardie et hypotension.</w:t>
      </w:r>
      <w:r>
        <w:t xml:space="preserve"> </w:t>
      </w:r>
      <w:r>
        <w:t xml:space="preserve">-</w:t>
      </w:r>
      <w:r>
        <w:t xml:space="preserve"> </w:t>
      </w:r>
      <w:r>
        <w:rPr>
          <w:b/>
          <w:bCs/>
        </w:rPr>
        <w:t xml:space="preserve">Substitution</w:t>
      </w:r>
      <w:r>
        <w:t xml:space="preserve"> </w:t>
      </w:r>
      <w:r>
        <w:t xml:space="preserve">: pas de mésusage en officine (strictement hospitalier). Le remifentanil a un potentiel de mésusage théorique (puissance, onset rapide) mais sa formulation poudre à reconstituer et son instabilité en solution limitent le détournement.</w:t>
      </w:r>
    </w:p>
    <w:p>
      <w:r>
        <w:pict>
          <v:rect style="width:0;height:1.5pt" o:hralign="center" o:hrstd="t" o:hr="t"/>
        </w:pict>
      </w:r>
    </w:p>
    <w:bookmarkEnd w:id="113"/>
    <w:bookmarkEnd w:id="114"/>
    <w:bookmarkStart w:id="116" w:name="X8281dd019d7782e4975b902940e2f0ac045b7af"/>
    <w:p>
      <w:pPr>
        <w:pStyle w:val="Heading2"/>
      </w:pPr>
      <w:r>
        <w:t xml:space="preserve">Sous-classe : Antalgiques palier III — Opioïdes agonistes partiels</w:t>
      </w:r>
    </w:p>
    <w:p>
      <w:pPr>
        <w:pStyle w:val="FirstParagraph"/>
      </w:pPr>
      <w:r>
        <w:t xml:space="preserve">Cette sous-classe regroupe les opioïdes qui agissent comme</w:t>
      </w:r>
      <w:r>
        <w:t xml:space="preserve"> </w:t>
      </w:r>
      <w:r>
        <w:rPr>
          <w:b/>
          <w:bCs/>
        </w:rPr>
        <w:t xml:space="preserve">agonistes partiels du récepteur μ (MOR)</w:t>
      </w:r>
      <w:r>
        <w:t xml:space="preserve">, c’est-à-dire qu’ils ont une</w:t>
      </w:r>
      <w:r>
        <w:t xml:space="preserve"> </w:t>
      </w:r>
      <w:r>
        <w:rPr>
          <w:b/>
          <w:bCs/>
        </w:rPr>
        <w:t xml:space="preserve">affinité élevée pour le μ</w:t>
      </w:r>
      <w:r>
        <w:t xml:space="preserve"> </w:t>
      </w:r>
      <w:r>
        <w:t xml:space="preserve">mais une</w:t>
      </w:r>
      <w:r>
        <w:t xml:space="preserve"> </w:t>
      </w:r>
      <w:r>
        <w:rPr>
          <w:b/>
          <w:bCs/>
        </w:rPr>
        <w:t xml:space="preserve">activité intrinsèque faible</w:t>
      </w:r>
      <w:r>
        <w:t xml:space="preserve"> </w:t>
      </w:r>
      <w:r>
        <w:t xml:space="preserve">(efficacité réduite par rapport à un agoniste plein comme la morphine). La conséquence pharmacologique majeure est l’existence d’un</w:t>
      </w:r>
      <w:r>
        <w:t xml:space="preserve"> </w:t>
      </w:r>
      <w:r>
        <w:rPr>
          <w:b/>
          <w:bCs/>
        </w:rPr>
        <w:t xml:space="preserve">effet plafond</w:t>
      </w:r>
      <w:r>
        <w:t xml:space="preserve"> </w:t>
      </w:r>
      <w:r>
        <w:t xml:space="preserve">pour l’analgésie (au-delà d’une dose seuil, l’augmentation des doses n’apporte pas d’efficacité supplémentaire) et, surtout, d’un</w:t>
      </w:r>
      <w:r>
        <w:t xml:space="preserve"> </w:t>
      </w:r>
      <w:r>
        <w:rPr>
          <w:b/>
          <w:bCs/>
        </w:rPr>
        <w:t xml:space="preserve">effet plafond pour la dépression respiratoire</w:t>
      </w:r>
      <w:r>
        <w:t xml:space="preserve"> </w:t>
      </w:r>
      <w:r>
        <w:t xml:space="preserve">— ce qui en fait théoriquement des molécules plus sûres vis-à-vis du surdosage (mais pas innocuité complète). Une autre caractéristique est la capacité de ces molécules à</w:t>
      </w:r>
      <w:r>
        <w:t xml:space="preserve"> </w:t>
      </w:r>
      <w:r>
        <w:rPr>
          <w:b/>
          <w:bCs/>
        </w:rPr>
        <w:t xml:space="preserve">antagoniser les opioïdes agonistes pleins</w:t>
      </w:r>
      <w:r>
        <w:t xml:space="preserve"> </w:t>
      </w:r>
      <w:r>
        <w:t xml:space="preserve">lorsqu’ils sont co-administrés — risque de déclenchement d’un syndrome de sevrage chez le patient dépendant.</w:t>
      </w:r>
    </w:p>
    <w:p>
      <w:pPr>
        <w:pStyle w:val="BodyText"/>
      </w:pPr>
      <w:r>
        <w:rPr>
          <w:b/>
          <w:bCs/>
        </w:rPr>
        <w:t xml:space="preserve">Une seule DCI en Algérie dans cette sous-classe :</w:t>
      </w:r>
      <w:r>
        <w:t xml:space="preserve"> </w:t>
      </w:r>
      <w:r>
        <w:t xml:space="preserve">-</w:t>
      </w:r>
      <w:r>
        <w:t xml:space="preserve"> </w:t>
      </w:r>
      <w:r>
        <w:rPr>
          <w:b/>
          <w:bCs/>
        </w:rPr>
        <w:t xml:space="preserve">Buprénorphine</w:t>
      </w:r>
      <w:r>
        <w:t xml:space="preserve"> </w:t>
      </w:r>
      <w:r>
        <w:t xml:space="preserve">— dérivé thébaïne semi-synthétique, agoniste partiel μ (activité intrinsèque ~50 % de la morphine) et antagoniste κ. Indications : analgésie palier III (forme injectable, sublinguale), substitution aux opioïdes (hors champ de ce fascicule — forme sublinguale à haute dose type Subutex). En Algérie, les formes disponibles sont essentiellement la forme injectable 0,3 mg/mL (BUPRENAL, TEMGEPHINE, TEMGINAL) et les formes historiques non renouvelées (TEMGESIC inj + sublingual 0,2 mg).</w:t>
      </w:r>
    </w:p>
    <w:p>
      <w:pPr>
        <w:pStyle w:val="BodyText"/>
      </w:pPr>
      <w:r>
        <w:t xml:space="preserve">La buprénorphine occupe une place à part dans la nomenclature : Liste I (et non Stupéfiant) pour les spécialités algériennes, contrairement à la classification française (Stupéfiant). Cette particularité réglementaire algérienne mérite d’être signalée à l’étudiant.</w:t>
      </w:r>
    </w:p>
    <w:p>
      <w:r>
        <w:pict>
          <v:rect style="width:0;height:1.5pt" o:hralign="center" o:hrstd="t" o:hr="t"/>
        </w:pict>
      </w:r>
    </w:p>
    <w:bookmarkStart w:id="115" w:name="dci-buprénorphine-seule"/>
    <w:p>
      <w:pPr>
        <w:pStyle w:val="Heading3"/>
      </w:pPr>
      <w:r>
        <w:t xml:space="preserve">9. DCI : Buprénorphine (Seule)</w:t>
      </w:r>
    </w:p>
    <w:p>
      <w:pPr>
        <w:pStyle w:val="FirstParagraph"/>
      </w:pPr>
      <w:r>
        <w:rPr>
          <w:b/>
          <w:bCs/>
        </w:rPr>
        <w:t xml:space="preserve">Liste des Catégories :</w:t>
      </w:r>
      <w:r>
        <w:t xml:space="preserve"> </w:t>
      </w:r>
      <w:r>
        <w:t xml:space="preserve">Antalgiques palier III - Opioïdes agonistes partiels ; Analgésique central ; Liste I en Algérie (contrairement à la morphine ou fentanyl qui sont Stupéfiants).</w:t>
      </w:r>
    </w:p>
    <w:p>
      <w:pPr>
        <w:pStyle w:val="BodyText"/>
      </w:pPr>
      <w:r>
        <w:t xml:space="preserve">La buprénorphine est un opioïde semi-synthétique dérivé de la</w:t>
      </w:r>
      <w:r>
        <w:t xml:space="preserve"> </w:t>
      </w:r>
      <w:r>
        <w:rPr>
          <w:b/>
          <w:bCs/>
        </w:rPr>
        <w:t xml:space="preserve">thébaïne</w:t>
      </w:r>
      <w:r>
        <w:t xml:space="preserve"> </w:t>
      </w:r>
      <w:r>
        <w:t xml:space="preserve">(alcaloïde mineur du pavot), décrit en 1969 par Reckitt &amp; Colman (UK). Son profil pharmacologique original repose sur trois propriétés : (1)</w:t>
      </w:r>
      <w:r>
        <w:t xml:space="preserve"> </w:t>
      </w:r>
      <w:r>
        <w:rPr>
          <w:b/>
          <w:bCs/>
        </w:rPr>
        <w:t xml:space="preserve">agoniste partiel du récepteur μ (MOR)</w:t>
      </w:r>
      <w:r>
        <w:t xml:space="preserve"> </w:t>
      </w:r>
      <w:r>
        <w:t xml:space="preserve">— affinité très élevée (Ki ~0,7 nM, supérieure à la morphine) mais activité intrinsèque faible (~30–50 % de l’effet maximum de la morphine) → effet plafond analgésique et plafond pour la dépression respiratoire ; (2)</w:t>
      </w:r>
      <w:r>
        <w:t xml:space="preserve"> </w:t>
      </w:r>
      <w:r>
        <w:rPr>
          <w:b/>
          <w:bCs/>
        </w:rPr>
        <w:t xml:space="preserve">antagoniste du récepteur κ (KOR)</w:t>
      </w:r>
      <w:r>
        <w:t xml:space="preserve"> </w:t>
      </w:r>
      <w:r>
        <w:t xml:space="preserve">— ce qui distingue la buprénorphine des agonistes pleins (réduction de la dysphorie, de la sédation et de la psychodysleptique) ; (3)</w:t>
      </w:r>
      <w:r>
        <w:t xml:space="preserve"> </w:t>
      </w:r>
      <w:r>
        <w:rPr>
          <w:b/>
          <w:bCs/>
        </w:rPr>
        <w:t xml:space="preserve">faible antagoniste du récepteur δ (DOR)</w:t>
      </w:r>
      <w:r>
        <w:t xml:space="preserve">. Sa</w:t>
      </w:r>
      <w:r>
        <w:t xml:space="preserve"> </w:t>
      </w:r>
      <w:r>
        <w:rPr>
          <w:b/>
          <w:bCs/>
        </w:rPr>
        <w:t xml:space="preserve">demi-vie d’élimination très longue</w:t>
      </w:r>
      <w:r>
        <w:t xml:space="preserve"> </w:t>
      </w:r>
      <w:r>
        <w:t xml:space="preserve">(24–42 h) et son</w:t>
      </w:r>
      <w:r>
        <w:t xml:space="preserve"> </w:t>
      </w:r>
      <w:r>
        <w:rPr>
          <w:b/>
          <w:bCs/>
        </w:rPr>
        <w:t xml:space="preserve">affinité élevée pour le μ</w:t>
      </w:r>
      <w:r>
        <w:t xml:space="preserve"> </w:t>
      </w:r>
      <w:r>
        <w:t xml:space="preserve">(supérieure à celle de la morphine et du fentanyl) expliquent sa capacité à</w:t>
      </w:r>
      <w:r>
        <w:t xml:space="preserve"> </w:t>
      </w:r>
      <w:r>
        <w:rPr>
          <w:b/>
          <w:bCs/>
        </w:rPr>
        <w:t xml:space="preserve">déplacer les autres opioïdes du μ</w:t>
      </w:r>
      <w:r>
        <w:t xml:space="preserve"> </w:t>
      </w:r>
      <w:r>
        <w:t xml:space="preserve">→ antagonisme des agonistes pleins → risque de syndrome de sevrage si co-administration. Métabolisme hépatique CYP3A4 en norbuprénorphine (active, mais contribution modeste à l’effet analgésique). Glucuronidation UGT1A1/UGT2B7 → buprénorphine-3-glucuronide. Élimination biliaire majoritaire (70 %) — sécurité relative en IR. Indications : analgésie palier III (forme injectable IM/IV/Sous-cutanée — voie médullaire péridurale possible), traitement de substitution aux opioïdes (hors champ de ce fascicule — forme sublinguale à haute dose).</w:t>
      </w:r>
    </w:p>
    <w:p>
      <w:pPr>
        <w:pStyle w:val="BodyText"/>
      </w:pPr>
      <w:r>
        <w:rPr>
          <w:b/>
          <w:bCs/>
        </w:rPr>
        <w:t xml:space="preserve">Médicaments disponibles en Algérie (Marques, Laboratoires, Formes et Dosages) :</w:t>
      </w:r>
    </w:p>
    <w:p>
      <w:pPr>
        <w:pStyle w:val="Compact"/>
        <w:numPr>
          <w:ilvl w:val="0"/>
          <w:numId w:val="1056"/>
        </w:numPr>
      </w:pPr>
      <w:r>
        <w:rPr>
          <w:b/>
          <w:bCs/>
        </w:rPr>
        <w:t xml:space="preserve">BUPRENAL</w:t>
      </w:r>
      <w:r>
        <w:t xml:space="preserve"> </w:t>
      </w:r>
      <w:r>
        <w:t xml:space="preserve">(GROUPE SAIDAL)</w:t>
      </w:r>
    </w:p>
    <w:p>
      <w:pPr>
        <w:pStyle w:val="Compact"/>
        <w:numPr>
          <w:ilvl w:val="1"/>
          <w:numId w:val="1057"/>
        </w:numPr>
      </w:pPr>
      <w:r>
        <w:t xml:space="preserve">Formes et Dosages : Solution injectable 0,3 mg/mL — B/5 et B/50 ampoules de capacité 2 mL contenant 1 mL de solution (donc 0,3 mg/ampoule)</w:t>
      </w:r>
    </w:p>
    <w:p>
      <w:pPr>
        <w:pStyle w:val="Compact"/>
        <w:numPr>
          <w:ilvl w:val="1"/>
          <w:numId w:val="1057"/>
        </w:numPr>
      </w:pPr>
      <w:r>
        <w:t xml:space="preserve">Statut : Actif — Liste I</w:t>
      </w:r>
    </w:p>
    <w:p>
      <w:pPr>
        <w:pStyle w:val="Compact"/>
        <w:numPr>
          <w:ilvl w:val="0"/>
          <w:numId w:val="1056"/>
        </w:numPr>
      </w:pPr>
      <w:r>
        <w:rPr>
          <w:b/>
          <w:bCs/>
        </w:rPr>
        <w:t xml:space="preserve">TEMGEPHINE</w:t>
      </w:r>
      <w:r>
        <w:t xml:space="preserve"> </w:t>
      </w:r>
      <w:r>
        <w:t xml:space="preserve">(GEOPHARM)</w:t>
      </w:r>
    </w:p>
    <w:p>
      <w:pPr>
        <w:pStyle w:val="Compact"/>
        <w:numPr>
          <w:ilvl w:val="1"/>
          <w:numId w:val="1058"/>
        </w:numPr>
      </w:pPr>
      <w:r>
        <w:t xml:space="preserve">Formes et Dosages : Solution injectable 0,3 mg/mL — B/5 ampoules de 1 mL et B/50 ampoules de 1 mL (0,3 mg/ampoule)</w:t>
      </w:r>
    </w:p>
    <w:p>
      <w:pPr>
        <w:pStyle w:val="Compact"/>
        <w:numPr>
          <w:ilvl w:val="1"/>
          <w:numId w:val="1058"/>
        </w:numPr>
      </w:pPr>
      <w:r>
        <w:t xml:space="preserve">Statut : Actif — Liste I</w:t>
      </w:r>
    </w:p>
    <w:p>
      <w:pPr>
        <w:pStyle w:val="Compact"/>
        <w:numPr>
          <w:ilvl w:val="0"/>
          <w:numId w:val="1056"/>
        </w:numPr>
      </w:pPr>
      <w:r>
        <w:rPr>
          <w:b/>
          <w:bCs/>
        </w:rPr>
        <w:t xml:space="preserve">TEMGINAL</w:t>
      </w:r>
      <w:r>
        <w:t xml:space="preserve"> </w:t>
      </w:r>
      <w:r>
        <w:t xml:space="preserve">(LES LABORATOIRES FRATER RAZES)</w:t>
      </w:r>
    </w:p>
    <w:p>
      <w:pPr>
        <w:pStyle w:val="Compact"/>
        <w:numPr>
          <w:ilvl w:val="1"/>
          <w:numId w:val="1059"/>
        </w:numPr>
      </w:pPr>
      <w:r>
        <w:t xml:space="preserve">Formes et Dosages : Solution injectable IM/IV ou S/C ou Voie Médullaire 0,3 mg/mL — B/5 ampoules de 1 mL et B/50 ampoules de 1 mL (0,3 mg/ampoule)</w:t>
      </w:r>
    </w:p>
    <w:p>
      <w:pPr>
        <w:pStyle w:val="Compact"/>
        <w:numPr>
          <w:ilvl w:val="1"/>
          <w:numId w:val="1059"/>
        </w:numPr>
      </w:pPr>
      <w:r>
        <w:t xml:space="preserve">Statut : Actif — Liste I</w:t>
      </w:r>
    </w:p>
    <w:p>
      <w:pPr>
        <w:pStyle w:val="Compact"/>
        <w:numPr>
          <w:ilvl w:val="0"/>
          <w:numId w:val="1056"/>
        </w:numPr>
      </w:pPr>
      <w:r>
        <w:rPr>
          <w:b/>
          <w:bCs/>
        </w:rPr>
        <w:t xml:space="preserve">TEMGESIC</w:t>
      </w:r>
      <w:r>
        <w:t xml:space="preserve"> </w:t>
      </w:r>
      <w:r>
        <w:t xml:space="preserve">(SCHERING PLOUGH) — Toutes formes non renouvelées</w:t>
      </w:r>
    </w:p>
    <w:p>
      <w:pPr>
        <w:pStyle w:val="Compact"/>
        <w:numPr>
          <w:ilvl w:val="1"/>
          <w:numId w:val="1060"/>
        </w:numPr>
      </w:pPr>
      <w:r>
        <w:t xml:space="preserve">Solution injectable 0,3 mg/mL — B/10 — Liste I — Non Renouvelable</w:t>
      </w:r>
    </w:p>
    <w:p>
      <w:pPr>
        <w:pStyle w:val="Compact"/>
        <w:numPr>
          <w:ilvl w:val="1"/>
          <w:numId w:val="1060"/>
        </w:numPr>
      </w:pPr>
      <w:r>
        <w:t xml:space="preserve">Comprimé sublingual 0,2 mg — B/20 — Liste I — Non Renouvelable</w:t>
      </w:r>
    </w:p>
    <w:p>
      <w:pPr>
        <w:pStyle w:val="FirstParagraph"/>
      </w:pPr>
      <w:r>
        <w:rPr>
          <w:b/>
          <w:bCs/>
        </w:rPr>
        <w:t xml:space="preserve">Sous-classe et Mécanisme d’action :</w:t>
      </w:r>
      <w:r>
        <w:t xml:space="preserve"> </w:t>
      </w:r>
      <w:r>
        <w:t xml:space="preserve">- Sous-classe : Antalgique opioïde palier III, agoniste partiel μ + antagoniste κ, opioïde semi-synthétique (thébaïne).</w:t>
      </w:r>
      <w:r>
        <w:t xml:space="preserve"> </w:t>
      </w:r>
      <w:r>
        <w:t xml:space="preserve">- Mécanisme d’action : La buprénorphine se lie au récepteur</w:t>
      </w:r>
      <w:r>
        <w:t xml:space="preserve"> </w:t>
      </w:r>
      <w:r>
        <w:rPr>
          <w:b/>
          <w:bCs/>
        </w:rPr>
        <w:t xml:space="preserve">μ (MOR)</w:t>
      </w:r>
      <w:r>
        <w:t xml:space="preserve"> </w:t>
      </w:r>
      <w:r>
        <w:t xml:space="preserve">avec une</w:t>
      </w:r>
      <w:r>
        <w:t xml:space="preserve"> </w:t>
      </w:r>
      <w:r>
        <w:rPr>
          <w:b/>
          <w:bCs/>
        </w:rPr>
        <w:t xml:space="preserve">affinité très élevée</w:t>
      </w:r>
      <w:r>
        <w:t xml:space="preserve"> </w:t>
      </w:r>
      <w:r>
        <w:t xml:space="preserve">(Ki ~0,7 nM, supérieure à celle de la morphine Ki ~10 nM et du fentanyl Ki ~7 nM) mais avec une</w:t>
      </w:r>
      <w:r>
        <w:t xml:space="preserve"> </w:t>
      </w:r>
      <w:r>
        <w:rPr>
          <w:b/>
          <w:bCs/>
        </w:rPr>
        <w:t xml:space="preserve">activité intrinsèque réduite</w:t>
      </w:r>
      <w:r>
        <w:t xml:space="preserve"> </w:t>
      </w:r>
      <w:r>
        <w:t xml:space="preserve">(~30–50 % de l’effet maximum de la morphine sur le μ). Couplage Gi/Go → baisse AMPc → ouverture GIRK → hyperpolarisation → inhibition libération substance P/glutamate. Cependant, l’efficacité maximale étant plafonnée, l’analgésie atteint un plateau à dose modérée (typiquement 0,3–0,6 mg IM). Sur le</w:t>
      </w:r>
      <w:r>
        <w:t xml:space="preserve"> </w:t>
      </w:r>
      <w:r>
        <w:rPr>
          <w:b/>
          <w:bCs/>
        </w:rPr>
        <w:t xml:space="preserve">récepteur κ (KOR)</w:t>
      </w:r>
      <w:r>
        <w:t xml:space="preserve">, la buprénorphine se comporte comme un</w:t>
      </w:r>
      <w:r>
        <w:t xml:space="preserve"> </w:t>
      </w:r>
      <w:r>
        <w:rPr>
          <w:b/>
          <w:bCs/>
        </w:rPr>
        <w:t xml:space="preserve">antagoniste compétitif</w:t>
      </w:r>
      <w:r>
        <w:t xml:space="preserve"> </w:t>
      </w:r>
      <w:r>
        <w:t xml:space="preserve">— ce qui explique son profil d’effets indésirables moins dysphoriant et moins sédatif que les agonistes pleins. Sur le</w:t>
      </w:r>
      <w:r>
        <w:t xml:space="preserve"> </w:t>
      </w:r>
      <w:r>
        <w:rPr>
          <w:b/>
          <w:bCs/>
        </w:rPr>
        <w:t xml:space="preserve">récepteur δ (DOR)</w:t>
      </w:r>
      <w:r>
        <w:t xml:space="preserve">, antagoniste faible. Cette combinaison « agoniste partiel μ + antagoniste κ » est appelée profil « agoniste-antagoniste » — la buprénorphine est parfois classée dans cette catégorie avec la pentazocine et la nalbuphine (antagonistes partiels κ/μ). La</w:t>
      </w:r>
      <w:r>
        <w:t xml:space="preserve"> </w:t>
      </w:r>
      <w:r>
        <w:rPr>
          <w:b/>
          <w:bCs/>
        </w:rPr>
        <w:t xml:space="preserve">demi-vie d’élimination</w:t>
      </w:r>
      <w:r>
        <w:t xml:space="preserve"> </w:t>
      </w:r>
      <w:r>
        <w:t xml:space="preserve">est très longue (24–42 h) en raison de la forte liaison aux protéines plasmatiques (96 %) et du retour lent depuis les compartiments tissulaires profonds. L’</w:t>
      </w:r>
      <w:r>
        <w:rPr>
          <w:b/>
          <w:bCs/>
        </w:rPr>
        <w:t xml:space="preserve">affinité élevée pour le μ</w:t>
      </w:r>
      <w:r>
        <w:t xml:space="preserve"> </w:t>
      </w:r>
      <w:r>
        <w:t xml:space="preserve">explique la capacité à déplacer les agonistes pleins (morphine, fentanyl) du récepteur — d’où le risque de syndrome de sevrage précipité en cas de co-administration chez patient dépendant.</w:t>
      </w:r>
    </w:p>
    <w:p>
      <w:pPr>
        <w:pStyle w:val="BodyText"/>
      </w:pPr>
      <w:r>
        <w:rPr>
          <w:b/>
          <w:bCs/>
        </w:rPr>
        <w:t xml:space="preserve">Profil Pharmacologique :</w:t>
      </w:r>
      <w:r>
        <w:t xml:space="preserve"> </w:t>
      </w:r>
      <w:r>
        <w:t xml:space="preserve">- Indications : (1)</w:t>
      </w:r>
      <w:r>
        <w:t xml:space="preserve"> </w:t>
      </w:r>
      <w:r>
        <w:rPr>
          <w:b/>
          <w:bCs/>
        </w:rPr>
        <w:t xml:space="preserve">Analgésie modérée à sévère</w:t>
      </w:r>
      <w:r>
        <w:t xml:space="preserve"> </w:t>
      </w:r>
      <w:r>
        <w:t xml:space="preserve">(palier III) — forme injectable IM/IV/SC, voie médullaire (péridurale) : douleur postopératoire, douleur cancéreuse, douleur aiguë rénale, douleur traumatique. Posologie usuelle : 0,3 mg IM/IV toutes les 6–8 h, max 1,2 mg/jour. (2)</w:t>
      </w:r>
      <w:r>
        <w:t xml:space="preserve"> </w:t>
      </w:r>
      <w:r>
        <w:rPr>
          <w:b/>
          <w:bCs/>
        </w:rPr>
        <w:t xml:space="preserve">Analgésie obstétricale</w:t>
      </w:r>
      <w:r>
        <w:t xml:space="preserve"> </w:t>
      </w:r>
      <w:r>
        <w:t xml:space="preserve">(péridurale ou IM) — alternative à la péthidine, peu de passage transplacentaire, surveillance du nouveau-né. (3)</w:t>
      </w:r>
      <w:r>
        <w:t xml:space="preserve"> </w:t>
      </w:r>
      <w:r>
        <w:rPr>
          <w:b/>
          <w:bCs/>
        </w:rPr>
        <w:t xml:space="preserve">Traitement de substitution aux opioïdes</w:t>
      </w:r>
      <w:r>
        <w:t xml:space="preserve"> </w:t>
      </w:r>
      <w:r>
        <w:t xml:space="preserve">(hors champ de ce fascicule) — forme sublinguale à haute dose (2–8 mg/j, type Subutex) — non disponible en Algérie dans la nomenclature traitée (TEMGESIC 0,2 mg sublingual non renouvelé).</w:t>
      </w:r>
      <w:r>
        <w:t xml:space="preserve"> </w:t>
      </w:r>
      <w:r>
        <w:t xml:space="preserve">- Contre-indications : (1) Insuffisance respiratoire sévère ; (2) Traumatisme crânien / HTIC ; (3) Ileus paralytique ; (4) Hypersensibilité ; (5) Allaitement ; (6) Enfant &lt; 6 mois ; (7)</w:t>
      </w:r>
      <w:r>
        <w:t xml:space="preserve"> </w:t>
      </w:r>
      <w:r>
        <w:rPr>
          <w:b/>
          <w:bCs/>
        </w:rPr>
        <w:t xml:space="preserve">Patient sous agoniste plein opioïde</w:t>
      </w:r>
      <w:r>
        <w:t xml:space="preserve"> </w:t>
      </w:r>
      <w:r>
        <w:t xml:space="preserve">(morphine, fentanyl, oxycodone) — risque de syndrome de sevrage précipité par déplacement de l’agoniste du μ ; (8) Alcoolisme aigu ; (9) Phéochromocytome non traité.</w:t>
      </w:r>
      <w:r>
        <w:t xml:space="preserve"> </w:t>
      </w:r>
      <w:r>
        <w:t xml:space="preserve">- Effets Indésirables : (1)</w:t>
      </w:r>
      <w:r>
        <w:t xml:space="preserve"> </w:t>
      </w:r>
      <w:r>
        <w:rPr>
          <w:b/>
          <w:bCs/>
        </w:rPr>
        <w:t xml:space="preserve">Dépression respiratoire plafonnée</w:t>
      </w:r>
      <w:r>
        <w:t xml:space="preserve"> </w:t>
      </w:r>
      <w:r>
        <w:t xml:space="preserve">(mais réelle — risque moindre qu’agonistes pleins mais pas nul, surtout en association à d’autres dépresseurs) ; (2)</w:t>
      </w:r>
      <w:r>
        <w:t xml:space="preserve"> </w:t>
      </w:r>
      <w:r>
        <w:rPr>
          <w:b/>
          <w:bCs/>
        </w:rPr>
        <w:t xml:space="preserve">Sédation, somnolence</w:t>
      </w:r>
      <w:r>
        <w:t xml:space="preserve"> </w:t>
      </w:r>
      <w:r>
        <w:t xml:space="preserve">(parfois plus longue durée en raison de la demi-vie longue) ; (3) Nausées, vomissements (~20 %) ; (4) Constipation (moins intense que morphine) ; (5)</w:t>
      </w:r>
      <w:r>
        <w:t xml:space="preserve"> </w:t>
      </w:r>
      <w:r>
        <w:rPr>
          <w:b/>
          <w:bCs/>
        </w:rPr>
        <w:t xml:space="preserve">Sueurs</w:t>
      </w:r>
      <w:r>
        <w:t xml:space="preserve"> </w:t>
      </w:r>
      <w:r>
        <w:t xml:space="preserve">(fréquentes, effet κ) ; (6) Vertiges, maux de tête ; (7)</w:t>
      </w:r>
      <w:r>
        <w:t xml:space="preserve"> </w:t>
      </w:r>
      <w:r>
        <w:rPr>
          <w:b/>
          <w:bCs/>
        </w:rPr>
        <w:t xml:space="preserve">Rétention urinaire</w:t>
      </w:r>
      <w:r>
        <w:t xml:space="preserve"> </w:t>
      </w:r>
      <w:r>
        <w:t xml:space="preserve">; (8) Myosis ; (9)</w:t>
      </w:r>
      <w:r>
        <w:t xml:space="preserve"> </w:t>
      </w:r>
      <w:r>
        <w:rPr>
          <w:b/>
          <w:bCs/>
        </w:rPr>
        <w:t xml:space="preserve">Dépendance physique</w:t>
      </w:r>
      <w:r>
        <w:t xml:space="preserve"> </w:t>
      </w:r>
      <w:r>
        <w:t xml:space="preserve">(réelle — la buprénorphine est elle-même addictive, d’où son usage en substitution contrôlée) ; (10) Syndrome de sevrage à l’arrêt (plus long que pour morphine — jusqu’à 2 semaines, en raison de la longue demi-vie) ; (11) Bouffées vasomotrices ; (12) Hallucinations, dysphorie (plus fréquentes que morphine, surtout en IV chez sujet naïf) ; (13) Allongement de l’intervalle QT à haute dose (substitution) ; (14) Hépatotoxicité (cytolyse rapportée à haute dose — substitution, surveillance transaminases).</w:t>
      </w:r>
    </w:p>
    <w:p>
      <w:pPr>
        <w:pStyle w:val="BodyText"/>
      </w:pPr>
      <w:r>
        <w:rPr>
          <w:b/>
          <w:bCs/>
        </w:rPr>
        <w:t xml:space="preserve">Prévention et Gestion des Effets Indésirables :</w:t>
      </w:r>
      <w:r>
        <w:t xml:space="preserve"> </w:t>
      </w:r>
      <w:r>
        <w:t xml:space="preserve">- Mesures Préventives : (a) Laxatif si usage &gt; 7 jours ; (b) Antiémétique si nécessaire ; (c) Surveillance FR, SpO2 — risque moindre que morphine mais réel en association ; (d) Surveillance du syndrome de sevrage en cas de rotation opioïde (passer d’agoniste plein à buprénorphine : attendre 6–12 h après dernière dose de morphine ou 12–24 h après fentanyl, et surveiller l’apparition de signes de sevrage) ; (e) Surveillance ECG à haute dose (substitution) ; (f) Surveillance transaminases (substitution prolongée) ; (g) Prévenir le patient de ne pas associer à d’autres opioïdes (antagonisme paradoxal).</w:t>
      </w:r>
      <w:r>
        <w:t xml:space="preserve"> </w:t>
      </w:r>
      <w:r>
        <w:t xml:space="preserve">- Conduite à Tenir : En cas de</w:t>
      </w:r>
      <w:r>
        <w:t xml:space="preserve"> </w:t>
      </w:r>
      <w:r>
        <w:rPr>
          <w:b/>
          <w:bCs/>
        </w:rPr>
        <w:t xml:space="preserve">dépression respiratoire</w:t>
      </w:r>
      <w:r>
        <w:t xml:space="preserve"> </w:t>
      </w:r>
      <w:r>
        <w:t xml:space="preserve">→ naloxone IV 0,4–2 mg (dose plus élevée que pour agonistes pleins en raison de la forte affinité de la buprénorphine pour le μ — compétition antagoniste difficile), surveillance 6–12 h (demi-vie longue). En cas de</w:t>
      </w:r>
      <w:r>
        <w:t xml:space="preserve"> </w:t>
      </w:r>
      <w:r>
        <w:rPr>
          <w:b/>
          <w:bCs/>
        </w:rPr>
        <w:t xml:space="preserve">syndrome de sevrage précipité</w:t>
      </w:r>
      <w:r>
        <w:t xml:space="preserve"> </w:t>
      </w:r>
      <w:r>
        <w:t xml:space="preserve">par administration de buprénorphine chez patient sous agoniste plein → benzodiazépines (diazépam 10 mg PO/IV), clonidine 0,1–0,3 mg, surveillance soins, augmentation progressive de buprénorphine jusqu’à stabilisation. En cas d’</w:t>
      </w:r>
      <w:r>
        <w:rPr>
          <w:b/>
          <w:bCs/>
        </w:rPr>
        <w:t xml:space="preserve">hépatotoxicité</w:t>
      </w:r>
      <w:r>
        <w:t xml:space="preserve"> </w:t>
      </w:r>
      <w:r>
        <w:t xml:space="preserve">(ALAT &gt; 3x LSN) → arrêt, bilan hépatique, switch de molécule.</w:t>
      </w:r>
    </w:p>
    <w:p>
      <w:pPr>
        <w:pStyle w:val="BodyText"/>
      </w:pPr>
      <w:r>
        <w:rPr>
          <w:b/>
          <w:bCs/>
        </w:rPr>
        <w:t xml:space="preserve">Interactions Importantes :</w:t>
      </w:r>
      <w:r>
        <w:t xml:space="preserve"> </w:t>
      </w:r>
      <w:r>
        <w:t xml:space="preserve">- Buprénorphine +</w:t>
      </w:r>
      <w:r>
        <w:t xml:space="preserve"> </w:t>
      </w:r>
      <w:r>
        <w:rPr>
          <w:b/>
          <w:bCs/>
        </w:rPr>
        <w:t xml:space="preserve">Agonistes pleins opioïdes</w:t>
      </w:r>
      <w:r>
        <w:t xml:space="preserve"> </w:t>
      </w:r>
      <w:r>
        <w:t xml:space="preserve">(morphine, fentanyl, oxycodone, codéine, tramadol) :</w:t>
      </w:r>
      <w:r>
        <w:t xml:space="preserve"> </w:t>
      </w:r>
      <w:r>
        <w:rPr>
          <w:b/>
          <w:bCs/>
        </w:rPr>
        <w:t xml:space="preserve">antagonisme compétitif</w:t>
      </w:r>
      <w:r>
        <w:t xml:space="preserve"> </w:t>
      </w:r>
      <w:r>
        <w:t xml:space="preserve">— la buprénorphine déplace l’agoniste du μ →</w:t>
      </w:r>
      <w:r>
        <w:t xml:space="preserve"> </w:t>
      </w:r>
      <w:r>
        <w:rPr>
          <w:b/>
          <w:bCs/>
        </w:rPr>
        <w:t xml:space="preserve">baisse d’efficacité analgésique</w:t>
      </w:r>
      <w:r>
        <w:t xml:space="preserve"> </w:t>
      </w:r>
      <w:r>
        <w:t xml:space="preserve">et</w:t>
      </w:r>
      <w:r>
        <w:t xml:space="preserve"> </w:t>
      </w:r>
      <w:r>
        <w:rPr>
          <w:b/>
          <w:bCs/>
        </w:rPr>
        <w:t xml:space="preserve">risque de syndrome de sevrage précipité</w:t>
      </w:r>
      <w:r>
        <w:t xml:space="preserve"> </w:t>
      </w:r>
      <w:r>
        <w:t xml:space="preserve">si patient déjà dépendant. Délai d’attente recommandé : 6–12 h après dernière dose de morphine courte durée, 12–24 h après fentanyl, 24–48 h après morphine LP, 7–10 jours après méthadone.</w:t>
      </w:r>
      <w:r>
        <w:t xml:space="preserve"> </w:t>
      </w:r>
      <w:r>
        <w:rPr>
          <w:b/>
          <w:bCs/>
        </w:rPr>
        <w:t xml:space="preserve">CI en pratique courante</w:t>
      </w:r>
      <w:r>
        <w:t xml:space="preserve"> </w:t>
      </w:r>
      <w:r>
        <w:t xml:space="preserve">chez patient traité par agoniste plein.</w:t>
      </w:r>
      <w:r>
        <w:t xml:space="preserve"> </w:t>
      </w:r>
      <w:r>
        <w:t xml:space="preserve">- Buprénorphine +</w:t>
      </w:r>
      <w:r>
        <w:t xml:space="preserve"> </w:t>
      </w:r>
      <w:r>
        <w:rPr>
          <w:b/>
          <w:bCs/>
        </w:rPr>
        <w:t xml:space="preserve">Inhibiteurs du CYP3A4</w:t>
      </w:r>
      <w:r>
        <w:t xml:space="preserve"> </w:t>
      </w:r>
      <w:r>
        <w:t xml:space="preserve">(kétoconazole, voriconazole, ritonavir, clarithromycine, diltiazem, vérapamil, grapefruit) : augmentation des concentrations de buprénorphine et de norbuprénorphine → sédation, dépression respiratoire prolongée — surveillance, réduire dose 25–50 %.</w:t>
      </w:r>
      <w:r>
        <w:t xml:space="preserve"> </w:t>
      </w:r>
      <w:r>
        <w:t xml:space="preserve">- Buprénorphine +</w:t>
      </w:r>
      <w:r>
        <w:t xml:space="preserve"> </w:t>
      </w:r>
      <w:r>
        <w:rPr>
          <w:b/>
          <w:bCs/>
        </w:rPr>
        <w:t xml:space="preserve">Inducteurs du CYP3A4</w:t>
      </w:r>
      <w:r>
        <w:t xml:space="preserve"> </w:t>
      </w:r>
      <w:r>
        <w:t xml:space="preserve">(rifampicine, carbamazépine, phénytoïne, millepertuis) : baisse d’efficacité — surveillance, ajustement.</w:t>
      </w:r>
      <w:r>
        <w:t xml:space="preserve"> </w:t>
      </w:r>
      <w:r>
        <w:t xml:space="preserve">- Buprénorphine + alcool, benzodiazépines, autres dépresseurs centraux :</w:t>
      </w:r>
      <w:r>
        <w:t xml:space="preserve"> </w:t>
      </w:r>
      <w:r>
        <w:rPr>
          <w:b/>
          <w:bCs/>
        </w:rPr>
        <w:t xml:space="preserve">dépression respiratoire additive</w:t>
      </w:r>
      <w:r>
        <w:t xml:space="preserve"> </w:t>
      </w:r>
      <w:r>
        <w:t xml:space="preserve">— risque létal (déaths rapportés en association avec benzodiazépines en contexte substitution, particulièrement par injection IV).</w:t>
      </w:r>
      <w:r>
        <w:t xml:space="preserve"> </w:t>
      </w:r>
      <w:r>
        <w:t xml:space="preserve">- Buprénorphine + IMAO : syndrome sérotoninergique, hypertension — délai 14 jours.</w:t>
      </w:r>
      <w:r>
        <w:t xml:space="preserve"> </w:t>
      </w:r>
      <w:r>
        <w:t xml:space="preserve">- Buprénorphine +</w:t>
      </w:r>
      <w:r>
        <w:t xml:space="preserve"> </w:t>
      </w:r>
      <w:r>
        <w:rPr>
          <w:b/>
          <w:bCs/>
        </w:rPr>
        <w:t xml:space="preserve">Allongement QT</w:t>
      </w:r>
      <w:r>
        <w:t xml:space="preserve"> </w:t>
      </w:r>
      <w:r>
        <w:t xml:space="preserve">(antiarythmiques classe Ia/III, macrolides, fluoroquinolones, IRS, antipsychotiques) : risque de torsades de pointe à haute dose (substitution). ECG de surveillance.</w:t>
      </w:r>
      <w:r>
        <w:t xml:space="preserve"> </w:t>
      </w:r>
      <w:r>
        <w:t xml:space="preserve">- Buprénorphine + antirétroviraux (PI boostés ritonavir, atazanavir/lopinavir) : interaction complexe — augmentation buprénorphine mais tolérance généralement bonne ; surveillance.</w:t>
      </w:r>
    </w:p>
    <w:p>
      <w:pPr>
        <w:pStyle w:val="BodyText"/>
      </w:pPr>
      <w:r>
        <w:rPr>
          <w:b/>
          <w:bCs/>
        </w:rPr>
        <w:t xml:space="preserve">Grossesse et Allaitement :</w:t>
      </w:r>
      <w:r>
        <w:t xml:space="preserve"> </w:t>
      </w:r>
      <w:r>
        <w:t xml:space="preserve">- Grossesse : selon CRAT, la buprénorphine en analgésie ponctuelle est compatible pendant toute la grossesse (alternative à la morphine en cas d’intolérance). En substitution aux opioïdes pendant la grossesse, la buprénorphine est une alternative à la méthadone (moins de syndrome de sevrage néonatal, mais surveillance néonatologie — syndrome de sevrage possible, durée parfois prolongée en raison de la longue demi-vie).</w:t>
      </w:r>
      <w:r>
        <w:t xml:space="preserve"> </w:t>
      </w:r>
      <w:r>
        <w:t xml:space="preserve">- Allaitement : CI en usage chronique (substitution — passage dans le lait). Compatible à dose unique ponctuelle (analgésie acte aigu).</w:t>
      </w:r>
      <w:r>
        <w:t xml:space="preserve"> </w:t>
      </w:r>
      <w:r>
        <w:t xml:space="preserve">- Précisions : La buprénorphine passe la barrière placentaire. Le syndrome de sevrage néonatal peut se manifester dans les 12–48 h après la naissance (trémulations, hyperexcitabilité, vomissements, fièvre, diarrhée) et nécessite une prise en charge néonatologique (morphine titration).</w:t>
      </w:r>
    </w:p>
    <w:p>
      <w:pPr>
        <w:pStyle w:val="BodyText"/>
      </w:pPr>
      <w:r>
        <w:rPr>
          <w:b/>
          <w:bCs/>
        </w:rPr>
        <w:t xml:space="preserve">Posologie et Mode d’administration (Standard) :</w:t>
      </w:r>
      <w:r>
        <w:t xml:space="preserve"> </w:t>
      </w:r>
      <w:r>
        <w:t xml:space="preserve">- Adulte : (1) IM/IV lente (sur 2 min) : 0,3 mg par injection, à renouveler toutes les 6–8 h, max 1,2 mg/jour (effet plafond). (2) Sous-cutanée : 0,3 mg toutes les 6–8 h. (3) Péridurale : 0,3 mg en bolus dans 10 mL NaCl 0,9 %, perfusion possible 0,05–0,1 mg/h. (4) Substitution (hors champ algérien pour les formes disponibles) : sublingual 2–8 mg/jour en 1 prise.</w:t>
      </w:r>
      <w:r>
        <w:t xml:space="preserve"> </w:t>
      </w:r>
      <w:r>
        <w:t xml:space="preserve">- Sujet âgé : dose initiale réduite à 0,15 mg, espacement 8–12 h.</w:t>
      </w:r>
      <w:r>
        <w:t xml:space="preserve"> </w:t>
      </w:r>
      <w:r>
        <w:t xml:space="preserve">- Enfant &gt; 6 mois : 2–6 µg/kg IM/SC toutes les 6–8 h.</w:t>
      </w:r>
      <w:r>
        <w:t xml:space="preserve"> </w:t>
      </w:r>
      <w:r>
        <w:t xml:space="preserve">- Insuffisant rénal : pas d’adaptation stricte (élimination majoritairement biliaire — sécurité relative, accumulation moindre que morphine).</w:t>
      </w:r>
      <w:r>
        <w:t xml:space="preserve"> </w:t>
      </w:r>
      <w:r>
        <w:t xml:space="preserve">- Insuffisant hépatique : réduire dose 50 %, surveillance transaminases.</w:t>
      </w:r>
      <w:r>
        <w:t xml:space="preserve"> </w:t>
      </w:r>
      <w:r>
        <w:t xml:space="preserve">- Durée : en analgésie aiguë — 3–7 jours ; en cancer — prolongée possible (mais effet plafond limitant).</w:t>
      </w:r>
      <w:r>
        <w:t xml:space="preserve"> </w:t>
      </w:r>
      <w:r>
        <w:t xml:space="preserve">- Moment de prise : à 6–8 h d’intervalle. Délai d’action IM ~15 min, pic 60 min, durée 6 h.</w:t>
      </w:r>
    </w:p>
    <w:p>
      <w:pPr>
        <w:pStyle w:val="BodyText"/>
      </w:pPr>
      <w:r>
        <w:rPr>
          <w:b/>
          <w:bCs/>
        </w:rPr>
        <w:t xml:space="preserve">Arbitrage et Bénéfices des Formes Galéniques :</w:t>
      </w:r>
      <w:r>
        <w:t xml:space="preserve"> </w:t>
      </w:r>
      <w:r>
        <w:t xml:space="preserve">La buprénorphine est disponible en Algérie en</w:t>
      </w:r>
      <w:r>
        <w:t xml:space="preserve"> </w:t>
      </w:r>
      <w:r>
        <w:rPr>
          <w:b/>
          <w:bCs/>
        </w:rPr>
        <w:t xml:space="preserve">forme injectable 0,3 mg/mL</w:t>
      </w:r>
      <w:r>
        <w:t xml:space="preserve"> </w:t>
      </w:r>
      <w:r>
        <w:t xml:space="preserve">(ampoule de 1 mL, 0,3 mg/ampoule), chez trois laboratoires (GROUPE SAIDAL, GEOPHARM, LES LABORATOIRES FRATER RAZES) — reflétant la disponibilité large d’un générique de la marque princeps TEMGESIC (Schering-Plough, non renouvelée). Les ampoules sont en boîtes de 5 (usage ponctuel) ou de 50 (usage hospitalier, protocoles de post-opératoire, substitution hospitalière).</w:t>
      </w:r>
      <w:r>
        <w:t xml:space="preserve"> </w:t>
      </w:r>
      <w:r>
        <w:t xml:space="preserve">- Forme</w:t>
      </w:r>
      <w:r>
        <w:t xml:space="preserve"> </w:t>
      </w:r>
      <w:r>
        <w:rPr>
          <w:b/>
          <w:bCs/>
        </w:rPr>
        <w:t xml:space="preserve">IM/IV/Sous-cutanée</w:t>
      </w:r>
      <w:r>
        <w:t xml:space="preserve"> </w:t>
      </w:r>
      <w:r>
        <w:t xml:space="preserve">— usage hospitalier et de ville (Liste I, ordonnance ordinaire). Analgésie postopératoire, douleur cancéreuse.</w:t>
      </w:r>
      <w:r>
        <w:t xml:space="preserve"> </w:t>
      </w:r>
      <w:r>
        <w:t xml:space="preserve">- Forme</w:t>
      </w:r>
      <w:r>
        <w:t xml:space="preserve"> </w:t>
      </w:r>
      <w:r>
        <w:rPr>
          <w:b/>
          <w:bCs/>
        </w:rPr>
        <w:t xml:space="preserve">voie médullaire (péridurale)</w:t>
      </w:r>
      <w:r>
        <w:t xml:space="preserve"> </w:t>
      </w:r>
      <w:r>
        <w:t xml:space="preserve">— strictement hospitalière (anesthésie-réanimation, maternité). Précisée sur l’étiquetage TEMGINAL (Frater Razes) « Voie Médullaire ».</w:t>
      </w:r>
      <w:r>
        <w:t xml:space="preserve"> </w:t>
      </w:r>
      <w:r>
        <w:t xml:space="preserve">- Forme</w:t>
      </w:r>
      <w:r>
        <w:t xml:space="preserve"> </w:t>
      </w:r>
      <w:r>
        <w:rPr>
          <w:b/>
          <w:bCs/>
        </w:rPr>
        <w:t xml:space="preserve">sublinguale 0,2 mg</w:t>
      </w:r>
      <w:r>
        <w:t xml:space="preserve"> </w:t>
      </w:r>
      <w:r>
        <w:t xml:space="preserve">(TEMGESIC) — non renouvelée en Algérie. Cette forme était utilisée en analgésie orale sublinguale et en substitution à faible dose. En Algérie, la substitution aux opioïdes n’est pas organisée en officine (pas de programme officiel type français), d’où l’absence de disponibilité des formes sublinguales à haute dose (Subutex 2–8 mg).</w:t>
      </w:r>
    </w:p>
    <w:p>
      <w:pPr>
        <w:pStyle w:val="BodyText"/>
      </w:pPr>
      <w:r>
        <w:t xml:space="preserve">À l’officine, la buprénorphine injectable 0,3 mg/mL est délivrée sur ordonnance Liste I (valable 6 mois). Vigilance accrue en cas de prescriptions multiples rapprochées — risque de mésusage (injection IV, détournement).</w:t>
      </w:r>
    </w:p>
    <w:p>
      <w:pPr>
        <w:pStyle w:val="BodyText"/>
      </w:pPr>
      <w:r>
        <w:rPr>
          <w:b/>
          <w:bCs/>
        </w:rPr>
        <w:t xml:space="preserve">Instructions et Conseils au Patient :</w:t>
      </w:r>
      <w:r>
        <w:t xml:space="preserve"> </w:t>
      </w:r>
      <w:r>
        <w:t xml:space="preserve">- Communication au comptoir : « Ce médicament (buprénorphine) est un antalgique opioïde. Il agit en partie comme la morphine mais avec un effet plafond (au-delà d’une certaine dose, augmenter n’apporte rien). Important : si vous prenez déjà un autre antalgique opioïde (morphine, fentanyl, codéine, tramadol), ne pas associer — risque de rendre l’autre médicament inefficace et de déclencher un syndrome de sevrage (transpirations, frissons, anxiété, douleurs). Prévenir votre médecin si vous êtes sous un autre opioïde. Ne pas associer à l’alcool ni aux somnifères. Peut provoquer sueurs, nausées, somnolence. Si vous avez du mal à respirer, contactez le SAMU. »</w:t>
      </w:r>
      <w:r>
        <w:t xml:space="preserve"> </w:t>
      </w:r>
      <w:r>
        <w:t xml:space="preserve">- Mode d’utilisation pratique : Injection IM profonde (quadrant supéro-externe fessier) ou IV lente (sur 2 min, sur voie veineuse périphérique franche) ou SC. En péridurale : strictement hospitalier par anesthésiste. Stockage à température &lt; 25 °C, à l’abri de la lumière. Conservation 3 ans.</w:t>
      </w:r>
    </w:p>
    <w:p>
      <w:pPr>
        <w:pStyle w:val="BodyText"/>
      </w:pPr>
      <w:r>
        <w:rPr>
          <w:b/>
          <w:bCs/>
        </w:rPr>
        <w:t xml:space="preserve">Notes, Règles d’Or &amp; Pièges au Comptoir :</w:t>
      </w:r>
      <w:r>
        <w:t xml:space="preserve"> </w:t>
      </w:r>
      <w:r>
        <w:t xml:space="preserve">-</w:t>
      </w:r>
      <w:r>
        <w:t xml:space="preserve"> </w:t>
      </w:r>
      <w:r>
        <w:rPr>
          <w:b/>
          <w:bCs/>
        </w:rPr>
        <w:t xml:space="preserve">Piège classique — Antagonisme des agonistes pleins</w:t>
      </w:r>
      <w:r>
        <w:t xml:space="preserve"> </w:t>
      </w:r>
      <w:r>
        <w:t xml:space="preserve">: la buprénorphine a une affinité supérieure au μ par rapport à la morphine et au fentanyl. Administrée chez un patient sous morphine ou fentanyl chronique (cancer, patch), elle</w:t>
      </w:r>
      <w:r>
        <w:t xml:space="preserve"> </w:t>
      </w:r>
      <w:r>
        <w:rPr>
          <w:b/>
          <w:bCs/>
        </w:rPr>
        <w:t xml:space="preserve">déplace l’agoniste du récepteur</w:t>
      </w:r>
      <w:r>
        <w:t xml:space="preserve"> </w:t>
      </w:r>
      <w:r>
        <w:t xml:space="preserve">→ perte d’efficacité analgésique + syndrome de sevrage précipité (anxiété, frissons, douleurs diffuses, nausées, vomissements, mydriase, tachycardie). Délai d’attente : 6–12 h après morphine courte durée, 12–24 h après fentanyl, 24–48 h après morphine LP, 7–10 jours après méthadone.</w:t>
      </w:r>
      <w:r>
        <w:t xml:space="preserve"> </w:t>
      </w:r>
      <w:r>
        <w:rPr>
          <w:b/>
          <w:bCs/>
        </w:rPr>
        <w:t xml:space="preserve">Antécédent opioïde à interroger systématiquement avant dispensation.</w:t>
      </w:r>
      <w:r>
        <w:t xml:space="preserve"> </w:t>
      </w:r>
      <w:r>
        <w:t xml:space="preserve">-</w:t>
      </w:r>
      <w:r>
        <w:t xml:space="preserve"> </w:t>
      </w:r>
      <w:r>
        <w:rPr>
          <w:b/>
          <w:bCs/>
        </w:rPr>
        <w:t xml:space="preserve">Piège — Effet plafond</w:t>
      </w:r>
      <w:r>
        <w:t xml:space="preserve"> </w:t>
      </w:r>
      <w:r>
        <w:t xml:space="preserve">: la buprénorphine ne convient pas aux douleurs très sévères (EVA &gt; 8), où un agoniste plein (morphine, fentanyl) est plus efficace. Indication : douleurs modérées à sévères (EVA 5–7), alternative à la morphine en cas d’intolérance.</w:t>
      </w:r>
      <w:r>
        <w:t xml:space="preserve"> </w:t>
      </w:r>
      <w:r>
        <w:t xml:space="preserve">-</w:t>
      </w:r>
      <w:r>
        <w:t xml:space="preserve"> </w:t>
      </w:r>
      <w:r>
        <w:rPr>
          <w:b/>
          <w:bCs/>
        </w:rPr>
        <w:t xml:space="preserve">Piège — Naloxone difficile</w:t>
      </w:r>
      <w:r>
        <w:t xml:space="preserve"> </w:t>
      </w:r>
      <w:r>
        <w:t xml:space="preserve">: la forte affinité de la buprénorphine pour le μ rend l’antagonisme par naloxone difficile — doses plus élevées (0,4–2 mg) et surveillance prolongée nécessaires. Le surdosage à la buprénorphine est rare mais peut survenir en association à d’autres dépresseurs (alcool, benzodiazépines).</w:t>
      </w:r>
      <w:r>
        <w:t xml:space="preserve"> </w:t>
      </w:r>
      <w:r>
        <w:t xml:space="preserve">-</w:t>
      </w:r>
      <w:r>
        <w:t xml:space="preserve"> </w:t>
      </w:r>
      <w:r>
        <w:rPr>
          <w:b/>
          <w:bCs/>
        </w:rPr>
        <w:t xml:space="preserve">Piège — Longue demi-vie</w:t>
      </w:r>
      <w:r>
        <w:t xml:space="preserve"> </w:t>
      </w:r>
      <w:r>
        <w:t xml:space="preserve">: la durée d’action analgésique est de 6–8 h mais la demi-vie d’élimination est de 24–42 h → syndrome de sevrage à l’arrêt prolongé (jusqu’à 2 semaines), à anticiper par décroissance progressive.</w:t>
      </w:r>
      <w:r>
        <w:t xml:space="preserve"> </w:t>
      </w:r>
      <w:r>
        <w:t xml:space="preserve">-</w:t>
      </w:r>
      <w:r>
        <w:t xml:space="preserve"> </w:t>
      </w:r>
      <w:r>
        <w:rPr>
          <w:b/>
          <w:bCs/>
        </w:rPr>
        <w:t xml:space="preserve">Piège — Hépatotoxicité</w:t>
      </w:r>
      <w:r>
        <w:t xml:space="preserve"> </w:t>
      </w:r>
      <w:r>
        <w:t xml:space="preserve">: cytolyse hépatique décrite à haute dose (substitution), surveillance transaminases si usage prolongé.</w:t>
      </w:r>
      <w:r>
        <w:t xml:space="preserve"> </w:t>
      </w:r>
      <w:r>
        <w:t xml:space="preserve">-</w:t>
      </w:r>
      <w:r>
        <w:t xml:space="preserve"> </w:t>
      </w:r>
      <w:r>
        <w:rPr>
          <w:b/>
          <w:bCs/>
        </w:rPr>
        <w:t xml:space="preserve">Piège — Allongement QT</w:t>
      </w:r>
      <w:r>
        <w:t xml:space="preserve"> </w:t>
      </w:r>
      <w:r>
        <w:t xml:space="preserve">: à haute dose (substitution), surveillance ECG si association à torsadogènes.</w:t>
      </w:r>
      <w:r>
        <w:t xml:space="preserve"> </w:t>
      </w:r>
      <w:r>
        <w:t xml:space="preserve">-</w:t>
      </w:r>
      <w:r>
        <w:t xml:space="preserve"> </w:t>
      </w:r>
      <w:r>
        <w:rPr>
          <w:b/>
          <w:bCs/>
        </w:rPr>
        <w:t xml:space="preserve">Règle de prise</w:t>
      </w:r>
      <w:r>
        <w:t xml:space="preserve"> </w:t>
      </w:r>
      <w:r>
        <w:t xml:space="preserve">: IM/IV/SC toutes les 6–8 h, max 1,2 mg/jour (effet plafond).</w:t>
      </w:r>
      <w:r>
        <w:t xml:space="preserve"> </w:t>
      </w:r>
      <w:r>
        <w:t xml:space="preserve">-</w:t>
      </w:r>
      <w:r>
        <w:t xml:space="preserve"> </w:t>
      </w:r>
      <w:r>
        <w:rPr>
          <w:b/>
          <w:bCs/>
        </w:rPr>
        <w:t xml:space="preserve">Préparation et Conservation</w:t>
      </w:r>
      <w:r>
        <w:t xml:space="preserve"> </w:t>
      </w:r>
      <w:r>
        <w:t xml:space="preserve">: Liste I en Algérie (ordonnance ordinaire, conservation 6 mois). Stockage &lt; 25 °C, à l’abri de la lumière. Ne pas congeler.</w:t>
      </w:r>
      <w:r>
        <w:t xml:space="preserve"> </w:t>
      </w:r>
      <w:r>
        <w:t xml:space="preserve">-</w:t>
      </w:r>
      <w:r>
        <w:t xml:space="preserve"> </w:t>
      </w:r>
      <w:r>
        <w:rPr>
          <w:b/>
          <w:bCs/>
        </w:rPr>
        <w:t xml:space="preserve">Piège du surdosage</w:t>
      </w:r>
      <w:r>
        <w:t xml:space="preserve"> </w:t>
      </w:r>
      <w:r>
        <w:t xml:space="preserve">: naloxone IV à dose élevée (0,4–2 mg), surveillance 12 h.</w:t>
      </w:r>
      <w:r>
        <w:t xml:space="preserve"> </w:t>
      </w:r>
      <w:r>
        <w:t xml:space="preserve">-</w:t>
      </w:r>
      <w:r>
        <w:t xml:space="preserve"> </w:t>
      </w:r>
      <w:r>
        <w:rPr>
          <w:b/>
          <w:bCs/>
        </w:rPr>
        <w:t xml:space="preserve">Substitution / Mésusage</w:t>
      </w:r>
      <w:r>
        <w:t xml:space="preserve"> </w:t>
      </w:r>
      <w:r>
        <w:t xml:space="preserve">: la buprénorphine injectable peut faire l’objet de détournements (injection IV, usage récréatif). En Algérie, vigilance accrue en cas de prescriptions rapprochées, demanding behaviors, multiples prescripteurs. À signaler au médecin traitant et au centre de pharmacovigilance.</w:t>
      </w:r>
    </w:p>
    <w:p>
      <w:r>
        <w:pict>
          <v:rect style="width:0;height:1.5pt" o:hralign="center" o:hrstd="t" o:hr="t"/>
        </w:pict>
      </w:r>
    </w:p>
    <w:bookmarkEnd w:id="115"/>
    <w:bookmarkEnd w:id="116"/>
    <w:bookmarkStart w:id="117" w:name="Xc5428ac62a1080d840b35a7e7a46bd063ef3125"/>
    <w:p>
      <w:pPr>
        <w:pStyle w:val="Heading2"/>
      </w:pPr>
      <w:r>
        <w:t xml:space="preserve">Tableau Comparatif des Neuf DCI Opioïdes Paliers II–III</w:t>
      </w:r>
    </w:p>
    <w:tbl>
      <w:tblPr>
        <w:tblStyle w:val="Table"/>
        <w:tblW w:type="pct" w:w="5000"/>
        <w:jc w:val="left"/>
        <w:tblLayout w:type="fixed"/>
        <w:tblLook w:firstRow="1" w:lastRow="0" w:firstColumn="0" w:lastColumn="0" w:noHBand="0" w:noVBand="0" w:val="0020"/>
      </w:tblPr>
      <w:tblGrid>
        <w:gridCol w:w="262"/>
        <w:gridCol w:w="681"/>
        <w:gridCol w:w="1101"/>
        <w:gridCol w:w="524"/>
        <w:gridCol w:w="681"/>
        <w:gridCol w:w="2098"/>
        <w:gridCol w:w="1416"/>
        <w:gridCol w:w="576"/>
        <w:gridCol w:w="576"/>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Récepteur principal</w:t>
            </w:r>
          </w:p>
        </w:tc>
        <w:tc>
          <w:tcPr/>
          <w:p>
            <w:pPr>
              <w:pStyle w:val="Compact"/>
              <w:jc w:val="left"/>
            </w:pPr>
            <w:r>
              <w:t xml:space="preserve">Demi-vie</w:t>
            </w:r>
          </w:p>
        </w:tc>
        <w:tc>
          <w:tcPr/>
          <w:p>
            <w:pPr>
              <w:pStyle w:val="Compact"/>
              <w:jc w:val="left"/>
            </w:pPr>
            <w:r>
              <w:t xml:space="preserve">Métabolisme</w:t>
            </w:r>
          </w:p>
        </w:tc>
        <w:tc>
          <w:tcPr/>
          <w:p>
            <w:pPr>
              <w:pStyle w:val="Compact"/>
              <w:jc w:val="left"/>
            </w:pPr>
            <w:r>
              <w:t xml:space="preserve">Équianalgésie (morphine orale 30 mg)</w:t>
            </w:r>
          </w:p>
        </w:tc>
        <w:tc>
          <w:tcPr/>
          <w:p>
            <w:pPr>
              <w:pStyle w:val="Compact"/>
              <w:jc w:val="left"/>
            </w:pPr>
            <w:r>
              <w:t xml:space="preserve">Posologie usuelle adulte</w:t>
            </w:r>
          </w:p>
        </w:tc>
        <w:tc>
          <w:tcPr/>
          <w:p>
            <w:pPr>
              <w:pStyle w:val="Compact"/>
              <w:jc w:val="left"/>
            </w:pPr>
            <w:r>
              <w:t xml:space="preserve">EI majeur</w:t>
            </w:r>
          </w:p>
        </w:tc>
        <w:tc>
          <w:tcPr/>
          <w:p>
            <w:pPr>
              <w:pStyle w:val="Compact"/>
              <w:jc w:val="left"/>
            </w:pPr>
            <w:r>
              <w:t xml:space="preserve">Grossesse</w:t>
            </w:r>
          </w:p>
        </w:tc>
      </w:tr>
      <w:tr>
        <w:tc>
          <w:tcPr/>
          <w:p>
            <w:pPr>
              <w:pStyle w:val="Compact"/>
              <w:jc w:val="left"/>
            </w:pPr>
            <w:r>
              <w:rPr>
                <w:b/>
                <w:bCs/>
              </w:rPr>
              <w:t xml:space="preserve">Codéine</w:t>
            </w:r>
          </w:p>
        </w:tc>
        <w:tc>
          <w:tcPr/>
          <w:p>
            <w:pPr>
              <w:pStyle w:val="Compact"/>
              <w:jc w:val="left"/>
            </w:pPr>
            <w:r>
              <w:t xml:space="preserve">Palier II (faible)</w:t>
            </w:r>
          </w:p>
        </w:tc>
        <w:tc>
          <w:tcPr/>
          <w:p>
            <w:pPr>
              <w:pStyle w:val="Compact"/>
              <w:jc w:val="left"/>
            </w:pPr>
            <w:r>
              <w:t xml:space="preserve">μ (via morphine, métabolite actif)</w:t>
            </w:r>
          </w:p>
        </w:tc>
        <w:tc>
          <w:tcPr/>
          <w:p>
            <w:pPr>
              <w:pStyle w:val="Compact"/>
              <w:jc w:val="left"/>
            </w:pPr>
            <w:r>
              <w:t xml:space="preserve">3 h (morphine formée)</w:t>
            </w:r>
          </w:p>
        </w:tc>
        <w:tc>
          <w:tcPr/>
          <w:p>
            <w:pPr>
              <w:pStyle w:val="Compact"/>
              <w:jc w:val="left"/>
            </w:pPr>
            <w:r>
              <w:t xml:space="preserve">CYP2D6 → morphine (5–15 %) ; CYP3A4 → norcodéine</w:t>
            </w:r>
          </w:p>
        </w:tc>
        <w:tc>
          <w:tcPr/>
          <w:p>
            <w:pPr>
              <w:pStyle w:val="Compact"/>
              <w:jc w:val="left"/>
            </w:pPr>
            <w:r>
              <w:t xml:space="preserve">200 mg codéine PO ≈ 30 mg morphine PO</w:t>
            </w:r>
          </w:p>
        </w:tc>
        <w:tc>
          <w:tcPr/>
          <w:p>
            <w:pPr>
              <w:pStyle w:val="Compact"/>
              <w:jc w:val="left"/>
            </w:pPr>
            <w:r>
              <w:t xml:space="preserve">30–60 mg / 4–6 h, max 240 mg/j</w:t>
            </w:r>
          </w:p>
        </w:tc>
        <w:tc>
          <w:tcPr/>
          <w:p>
            <w:pPr>
              <w:pStyle w:val="Compact"/>
              <w:jc w:val="left"/>
            </w:pPr>
            <w:r>
              <w:t xml:space="preserve">Constipation, dépression respiratoire (UM-CYP2D6), syndrome sevrage néonatal</w:t>
            </w:r>
          </w:p>
        </w:tc>
        <w:tc>
          <w:tcPr/>
          <w:p>
            <w:pPr>
              <w:pStyle w:val="Compact"/>
              <w:jc w:val="left"/>
            </w:pPr>
            <w:r>
              <w:t xml:space="preserve">CI 3e trimestre ; CI allaitement</w:t>
            </w:r>
          </w:p>
        </w:tc>
      </w:tr>
      <w:tr>
        <w:tc>
          <w:tcPr/>
          <w:p>
            <w:pPr>
              <w:pStyle w:val="Compact"/>
              <w:jc w:val="left"/>
            </w:pPr>
            <w:r>
              <w:rPr>
                <w:b/>
                <w:bCs/>
              </w:rPr>
              <w:t xml:space="preserve">Tramadol</w:t>
            </w:r>
          </w:p>
        </w:tc>
        <w:tc>
          <w:tcPr/>
          <w:p>
            <w:pPr>
              <w:pStyle w:val="Compact"/>
              <w:jc w:val="left"/>
            </w:pPr>
            <w:r>
              <w:t xml:space="preserve">Palier II (faible, atypique)</w:t>
            </w:r>
          </w:p>
        </w:tc>
        <w:tc>
          <w:tcPr/>
          <w:p>
            <w:pPr>
              <w:pStyle w:val="Compact"/>
              <w:jc w:val="left"/>
            </w:pPr>
            <w:r>
              <w:t xml:space="preserve">μ (via M1, métabolite) + inhibition recapture 5HT/NA</w:t>
            </w:r>
          </w:p>
        </w:tc>
        <w:tc>
          <w:tcPr/>
          <w:p>
            <w:pPr>
              <w:pStyle w:val="Compact"/>
              <w:jc w:val="left"/>
            </w:pPr>
            <w:r>
              <w:t xml:space="preserve">6 h (M1 : 7–8 h)</w:t>
            </w:r>
          </w:p>
        </w:tc>
        <w:tc>
          <w:tcPr/>
          <w:p>
            <w:pPr>
              <w:pStyle w:val="Compact"/>
              <w:jc w:val="left"/>
            </w:pPr>
            <w:r>
              <w:t xml:space="preserve">CYP2D6 → M1 (200x plus affine μ) ; CYP3A4 → métabolites inactifs</w:t>
            </w:r>
          </w:p>
        </w:tc>
        <w:tc>
          <w:tcPr/>
          <w:p>
            <w:pPr>
              <w:pStyle w:val="Compact"/>
              <w:jc w:val="left"/>
            </w:pPr>
            <w:r>
              <w:t xml:space="preserve">150 mg tramadol PO ≈ 30 mg morphine PO</w:t>
            </w:r>
          </w:p>
        </w:tc>
        <w:tc>
          <w:tcPr/>
          <w:p>
            <w:pPr>
              <w:pStyle w:val="Compact"/>
              <w:jc w:val="left"/>
            </w:pPr>
            <w:r>
              <w:t xml:space="preserve">50–100 mg / 6 h, max 400 mg/j (300 mg si &gt; 75 ans) ; LP 100–300 mg / 12–24 h</w:t>
            </w:r>
          </w:p>
        </w:tc>
        <w:tc>
          <w:tcPr/>
          <w:p>
            <w:pPr>
              <w:pStyle w:val="Compact"/>
              <w:jc w:val="left"/>
            </w:pPr>
            <w:r>
              <w:t xml:space="preserve">Convulsions, syndrome sérotoninergique, hypoglycémie, somnolence</w:t>
            </w:r>
          </w:p>
        </w:tc>
        <w:tc>
          <w:tcPr/>
          <w:p>
            <w:pPr>
              <w:pStyle w:val="Compact"/>
              <w:jc w:val="left"/>
            </w:pPr>
            <w:r>
              <w:t xml:space="preserve">CI 3e trimestre ; CI allaitement</w:t>
            </w:r>
          </w:p>
        </w:tc>
      </w:tr>
      <w:tr>
        <w:tc>
          <w:tcPr/>
          <w:p>
            <w:pPr>
              <w:pStyle w:val="Compact"/>
              <w:jc w:val="left"/>
            </w:pPr>
            <w:r>
              <w:rPr>
                <w:b/>
                <w:bCs/>
              </w:rPr>
              <w:t xml:space="preserve">Morphine</w:t>
            </w:r>
          </w:p>
        </w:tc>
        <w:tc>
          <w:tcPr/>
          <w:p>
            <w:pPr>
              <w:pStyle w:val="Compact"/>
              <w:jc w:val="left"/>
            </w:pPr>
            <w:r>
              <w:t xml:space="preserve">Palier III (fort)</w:t>
            </w:r>
          </w:p>
        </w:tc>
        <w:tc>
          <w:tcPr/>
          <w:p>
            <w:pPr>
              <w:pStyle w:val="Compact"/>
              <w:jc w:val="left"/>
            </w:pPr>
            <w:r>
              <w:t xml:space="preserve">μ (agoniste plein)</w:t>
            </w:r>
          </w:p>
        </w:tc>
        <w:tc>
          <w:tcPr/>
          <w:p>
            <w:pPr>
              <w:pStyle w:val="Compact"/>
              <w:jc w:val="left"/>
            </w:pPr>
            <w:r>
              <w:t xml:space="preserve">2–4 h (M6G : 12–24 h)</w:t>
            </w:r>
          </w:p>
        </w:tc>
        <w:tc>
          <w:tcPr/>
          <w:p>
            <w:pPr>
              <w:pStyle w:val="Compact"/>
              <w:jc w:val="left"/>
            </w:pPr>
            <w:r>
              <w:t xml:space="preserve">UGT2B7 → M3G (neurotoxique), M6G (10x plus puissant, accumulation IR)</w:t>
            </w:r>
          </w:p>
        </w:tc>
        <w:tc>
          <w:tcPr/>
          <w:p>
            <w:pPr>
              <w:pStyle w:val="Compact"/>
              <w:jc w:val="left"/>
            </w:pPr>
            <w:r>
              <w:t xml:space="preserve">30 mg PO = référence (gold standard)</w:t>
            </w:r>
          </w:p>
        </w:tc>
        <w:tc>
          <w:tcPr/>
          <w:p>
            <w:pPr>
              <w:pStyle w:val="Compact"/>
              <w:jc w:val="left"/>
            </w:pPr>
            <w:r>
              <w:t xml:space="preserve">5–10 mg LI / 4 h, ou LP 30–200 mg / 12 h</w:t>
            </w:r>
          </w:p>
        </w:tc>
        <w:tc>
          <w:tcPr/>
          <w:p>
            <w:pPr>
              <w:pStyle w:val="Compact"/>
              <w:jc w:val="left"/>
            </w:pPr>
            <w:r>
              <w:t xml:space="preserve">Constipation quasi constante, dépression respiratoire M6G, prurit, myoclonies M3G</w:t>
            </w:r>
          </w:p>
        </w:tc>
        <w:tc>
          <w:tcPr/>
          <w:p>
            <w:pPr>
              <w:pStyle w:val="Compact"/>
              <w:jc w:val="left"/>
            </w:pPr>
            <w:r>
              <w:t xml:space="preserve">Compatible ponctuel ; CI 3e trim ; allaitement compatible dose unique</w:t>
            </w:r>
          </w:p>
        </w:tc>
      </w:tr>
      <w:tr>
        <w:tc>
          <w:tcPr/>
          <w:p>
            <w:pPr>
              <w:pStyle w:val="Compact"/>
              <w:jc w:val="left"/>
            </w:pPr>
            <w:r>
              <w:rPr>
                <w:b/>
                <w:bCs/>
              </w:rPr>
              <w:t xml:space="preserve">Fentanyl</w:t>
            </w:r>
          </w:p>
        </w:tc>
        <w:tc>
          <w:tcPr/>
          <w:p>
            <w:pPr>
              <w:pStyle w:val="Compact"/>
              <w:jc w:val="left"/>
            </w:pPr>
            <w:r>
              <w:t xml:space="preserve">Palier III (fort)</w:t>
            </w:r>
          </w:p>
        </w:tc>
        <w:tc>
          <w:tcPr/>
          <w:p>
            <w:pPr>
              <w:pStyle w:val="Compact"/>
              <w:jc w:val="left"/>
            </w:pPr>
            <w:r>
              <w:t xml:space="preserve">μ (agoniste plein)</w:t>
            </w:r>
          </w:p>
        </w:tc>
        <w:tc>
          <w:tcPr/>
          <w:p>
            <w:pPr>
              <w:pStyle w:val="Compact"/>
              <w:jc w:val="left"/>
            </w:pPr>
            <w:r>
              <w:t xml:space="preserve">2 h IV ( redistribution) ; 16 h patch</w:t>
            </w:r>
          </w:p>
        </w:tc>
        <w:tc>
          <w:tcPr/>
          <w:p>
            <w:pPr>
              <w:pStyle w:val="Compact"/>
              <w:jc w:val="left"/>
            </w:pPr>
            <w:r>
              <w:t xml:space="preserve">CYP3A4 → norfentanyl inactif</w:t>
            </w:r>
          </w:p>
        </w:tc>
        <w:tc>
          <w:tcPr/>
          <w:p>
            <w:pPr>
              <w:pStyle w:val="Compact"/>
              <w:jc w:val="left"/>
            </w:pPr>
            <w:r>
              <w:t xml:space="preserve">100 µg IV ≈ 10 mg morphine IV ; patch 25 µg/h ≈ 60 mg morphine PO/24 h</w:t>
            </w:r>
          </w:p>
        </w:tc>
        <w:tc>
          <w:tcPr/>
          <w:p>
            <w:pPr>
              <w:pStyle w:val="Compact"/>
              <w:jc w:val="left"/>
            </w:pPr>
            <w:r>
              <w:t xml:space="preserve">IV 1–5 µg/kg induction ; patch 12–100 µg/h / 72 h ; spray 100–400 µg / accès</w:t>
            </w:r>
          </w:p>
        </w:tc>
        <w:tc>
          <w:tcPr/>
          <w:p>
            <w:pPr>
              <w:pStyle w:val="Compact"/>
              <w:jc w:val="left"/>
            </w:pPr>
            <w:r>
              <w:t xml:space="preserve">Dépression respiratoire, rigidité thoracique, bradycardie, libération massive par chaleur patch</w:t>
            </w:r>
          </w:p>
        </w:tc>
        <w:tc>
          <w:tcPr/>
          <w:p>
            <w:pPr>
              <w:pStyle w:val="Compact"/>
              <w:jc w:val="left"/>
            </w:pPr>
            <w:r>
              <w:t xml:space="preserve">Compatible ponctuel ; allaitement compatible dose unique</w:t>
            </w:r>
          </w:p>
        </w:tc>
      </w:tr>
      <w:tr>
        <w:tc>
          <w:tcPr/>
          <w:p>
            <w:pPr>
              <w:pStyle w:val="Compact"/>
              <w:jc w:val="left"/>
            </w:pPr>
            <w:r>
              <w:rPr>
                <w:b/>
                <w:bCs/>
              </w:rPr>
              <w:t xml:space="preserve">Oxycodone</w:t>
            </w:r>
          </w:p>
        </w:tc>
        <w:tc>
          <w:tcPr/>
          <w:p>
            <w:pPr>
              <w:pStyle w:val="Compact"/>
              <w:jc w:val="left"/>
            </w:pPr>
            <w:r>
              <w:t xml:space="preserve">Palier III (fort, prodrogue partielle)</w:t>
            </w:r>
          </w:p>
        </w:tc>
        <w:tc>
          <w:tcPr/>
          <w:p>
            <w:pPr>
              <w:pStyle w:val="Compact"/>
              <w:jc w:val="left"/>
            </w:pPr>
            <w:r>
              <w:t xml:space="preserve">μ (agoniste plein)</w:t>
            </w:r>
          </w:p>
        </w:tc>
        <w:tc>
          <w:tcPr/>
          <w:p>
            <w:pPr>
              <w:pStyle w:val="Compact"/>
              <w:jc w:val="left"/>
            </w:pPr>
            <w:r>
              <w:t xml:space="preserve">3–4 h (oxymorphone : 8–10 h)</w:t>
            </w:r>
          </w:p>
        </w:tc>
        <w:tc>
          <w:tcPr/>
          <w:p>
            <w:pPr>
              <w:pStyle w:val="Compact"/>
              <w:jc w:val="left"/>
            </w:pPr>
            <w:r>
              <w:t xml:space="preserve">CYP2D6 → oxymorphone (14x plus affine μ) ; CYP3A4 → noroxycodone inactif</w:t>
            </w:r>
          </w:p>
        </w:tc>
        <w:tc>
          <w:tcPr/>
          <w:p>
            <w:pPr>
              <w:pStyle w:val="Compact"/>
              <w:jc w:val="left"/>
            </w:pPr>
            <w:r>
              <w:t xml:space="preserve">20 mg oxycodone PO ≈ 30 mg morphine PO</w:t>
            </w:r>
          </w:p>
        </w:tc>
        <w:tc>
          <w:tcPr/>
          <w:p>
            <w:pPr>
              <w:pStyle w:val="Compact"/>
              <w:jc w:val="left"/>
            </w:pPr>
            <w:r>
              <w:t xml:space="preserve">5–10 mg LI / 4–6 h ; LP 10–40 mg / 12 h</w:t>
            </w:r>
          </w:p>
        </w:tc>
        <w:tc>
          <w:tcPr/>
          <w:p>
            <w:pPr>
              <w:pStyle w:val="Compact"/>
              <w:jc w:val="left"/>
            </w:pPr>
            <w:r>
              <w:t xml:space="preserve">Constipation, dépression respiratoire, moins de nausées que morphine</w:t>
            </w:r>
          </w:p>
        </w:tc>
        <w:tc>
          <w:tcPr/>
          <w:p>
            <w:pPr>
              <w:pStyle w:val="Compact"/>
              <w:jc w:val="left"/>
            </w:pPr>
            <w:r>
              <w:t xml:space="preserve">Compatible ponctuel ; CI 3e trim ; allaitement compatible dose unique</w:t>
            </w:r>
          </w:p>
        </w:tc>
      </w:tr>
      <w:tr>
        <w:tc>
          <w:tcPr/>
          <w:p>
            <w:pPr>
              <w:pStyle w:val="Compact"/>
              <w:jc w:val="left"/>
            </w:pPr>
            <w:r>
              <w:rPr>
                <w:b/>
                <w:bCs/>
              </w:rPr>
              <w:t xml:space="preserve">Sufentanil</w:t>
            </w:r>
          </w:p>
        </w:tc>
        <w:tc>
          <w:tcPr/>
          <w:p>
            <w:pPr>
              <w:pStyle w:val="Compact"/>
              <w:jc w:val="left"/>
            </w:pPr>
            <w:r>
              <w:t xml:space="preserve">Palier III (fort, anesthésique)</w:t>
            </w:r>
          </w:p>
        </w:tc>
        <w:tc>
          <w:tcPr/>
          <w:p>
            <w:pPr>
              <w:pStyle w:val="Compact"/>
              <w:jc w:val="left"/>
            </w:pPr>
            <w:r>
              <w:t xml:space="preserve">μ (agoniste plein)</w:t>
            </w:r>
          </w:p>
        </w:tc>
        <w:tc>
          <w:tcPr/>
          <w:p>
            <w:pPr>
              <w:pStyle w:val="Compact"/>
              <w:jc w:val="left"/>
            </w:pPr>
            <w:r>
              <w:t xml:space="preserve">2–3 h (CSHT ~30 min après 4 h perf)</w:t>
            </w:r>
          </w:p>
        </w:tc>
        <w:tc>
          <w:tcPr/>
          <w:p>
            <w:pPr>
              <w:pStyle w:val="Compact"/>
              <w:jc w:val="left"/>
            </w:pPr>
            <w:r>
              <w:t xml:space="preserve">CYP3A4 → asufentanil, désmethylsufentanil inactifs</w:t>
            </w:r>
          </w:p>
        </w:tc>
        <w:tc>
          <w:tcPr/>
          <w:p>
            <w:pPr>
              <w:pStyle w:val="Compact"/>
              <w:jc w:val="left"/>
            </w:pPr>
            <w:r>
              <w:t xml:space="preserve">5 µg sufentanil IV ≈ 100 µg fentanyl IV ≈ 10 mg morphine IV</w:t>
            </w:r>
          </w:p>
        </w:tc>
        <w:tc>
          <w:tcPr/>
          <w:p>
            <w:pPr>
              <w:pStyle w:val="Compact"/>
              <w:jc w:val="left"/>
            </w:pPr>
            <w:r>
              <w:t xml:space="preserve">IV 0,2–5 µg/kg induction ; perfusion 0,5–1 µg/kg/h ; rachianesthésie 2,5–7,5 µg</w:t>
            </w:r>
          </w:p>
        </w:tc>
        <w:tc>
          <w:tcPr/>
          <w:p>
            <w:pPr>
              <w:pStyle w:val="Compact"/>
              <w:jc w:val="left"/>
            </w:pPr>
            <w:r>
              <w:t xml:space="preserve">Dépression respiratoire, rigidité thoracique, bradycardie, hypotension</w:t>
            </w:r>
          </w:p>
        </w:tc>
        <w:tc>
          <w:tcPr/>
          <w:p>
            <w:pPr>
              <w:pStyle w:val="Compact"/>
              <w:jc w:val="left"/>
            </w:pPr>
            <w:r>
              <w:t xml:space="preserve">Compatible ponctuel (anesthésie césarienne) ; allaitement compatible dose unique</w:t>
            </w:r>
          </w:p>
        </w:tc>
      </w:tr>
      <w:tr>
        <w:tc>
          <w:tcPr/>
          <w:p>
            <w:pPr>
              <w:pStyle w:val="Compact"/>
              <w:jc w:val="left"/>
            </w:pPr>
            <w:r>
              <w:rPr>
                <w:b/>
                <w:bCs/>
              </w:rPr>
              <w:t xml:space="preserve">Alfentanil</w:t>
            </w:r>
          </w:p>
        </w:tc>
        <w:tc>
          <w:tcPr/>
          <w:p>
            <w:pPr>
              <w:pStyle w:val="Compact"/>
              <w:jc w:val="left"/>
            </w:pPr>
            <w:r>
              <w:t xml:space="preserve">Palier III (fort, anesthésique court)</w:t>
            </w:r>
          </w:p>
        </w:tc>
        <w:tc>
          <w:tcPr/>
          <w:p>
            <w:pPr>
              <w:pStyle w:val="Compact"/>
              <w:jc w:val="left"/>
            </w:pPr>
            <w:r>
              <w:t xml:space="preserve">μ (agoniste plein)</w:t>
            </w:r>
          </w:p>
        </w:tc>
        <w:tc>
          <w:tcPr/>
          <w:p>
            <w:pPr>
              <w:pStyle w:val="Compact"/>
              <w:jc w:val="left"/>
            </w:pPr>
            <w:r>
              <w:t xml:space="preserve">1–2 h (CSHT ~1 h après 4 h perf)</w:t>
            </w:r>
          </w:p>
        </w:tc>
        <w:tc>
          <w:tcPr/>
          <w:p>
            <w:pPr>
              <w:pStyle w:val="Compact"/>
              <w:jc w:val="left"/>
            </w:pPr>
            <w:r>
              <w:t xml:space="preserve">CYP3A4 → noralfentanil inactif</w:t>
            </w:r>
          </w:p>
        </w:tc>
        <w:tc>
          <w:tcPr/>
          <w:p>
            <w:pPr>
              <w:pStyle w:val="Compact"/>
              <w:jc w:val="left"/>
            </w:pPr>
            <w:r>
              <w:t xml:space="preserve">1 mg alfentanil IV ≈ 100 µg fentanyl IV ≈ 10 mg morphine IV</w:t>
            </w:r>
          </w:p>
        </w:tc>
        <w:tc>
          <w:tcPr/>
          <w:p>
            <w:pPr>
              <w:pStyle w:val="Compact"/>
              <w:jc w:val="left"/>
            </w:pPr>
            <w:r>
              <w:t xml:space="preserve">IV 20–50 µg/kg induction ; perfusion 0,5–3 µg/kg/min ; bolus 10–20 µg/kg / 10–15 min</w:t>
            </w:r>
          </w:p>
        </w:tc>
        <w:tc>
          <w:tcPr/>
          <w:p>
            <w:pPr>
              <w:pStyle w:val="Compact"/>
              <w:jc w:val="left"/>
            </w:pPr>
            <w:r>
              <w:t xml:space="preserve">Dépression respiratoire, rigidité thoracique, bradycardie, hypotension, nausées postopératoires</w:t>
            </w:r>
          </w:p>
        </w:tc>
        <w:tc>
          <w:tcPr/>
          <w:p>
            <w:pPr>
              <w:pStyle w:val="Compact"/>
              <w:jc w:val="left"/>
            </w:pPr>
            <w:r>
              <w:t xml:space="preserve">Compatible ponctuel (anesthésie césarienne) ; allaitement compatible dose unique</w:t>
            </w:r>
          </w:p>
        </w:tc>
      </w:tr>
      <w:tr>
        <w:tc>
          <w:tcPr/>
          <w:p>
            <w:pPr>
              <w:pStyle w:val="Compact"/>
              <w:jc w:val="left"/>
            </w:pPr>
            <w:r>
              <w:rPr>
                <w:b/>
                <w:bCs/>
              </w:rPr>
              <w:t xml:space="preserve">Remifentanil</w:t>
            </w:r>
          </w:p>
        </w:tc>
        <w:tc>
          <w:tcPr/>
          <w:p>
            <w:pPr>
              <w:pStyle w:val="Compact"/>
              <w:jc w:val="left"/>
            </w:pPr>
            <w:r>
              <w:t xml:space="preserve">Palier III (fort, anesthésique ultracourt)</w:t>
            </w:r>
          </w:p>
        </w:tc>
        <w:tc>
          <w:tcPr/>
          <w:p>
            <w:pPr>
              <w:pStyle w:val="Compact"/>
              <w:jc w:val="left"/>
            </w:pPr>
            <w:r>
              <w:t xml:space="preserve">μ (agoniste plein)</w:t>
            </w:r>
          </w:p>
        </w:tc>
        <w:tc>
          <w:tcPr/>
          <w:p>
            <w:pPr>
              <w:pStyle w:val="Compact"/>
              <w:jc w:val="left"/>
            </w:pPr>
            <w:r>
              <w:t xml:space="preserve">10–20 min (CSHT ~3 min constant, indépendant durée perfusion)</w:t>
            </w:r>
          </w:p>
        </w:tc>
        <w:tc>
          <w:tcPr/>
          <w:p>
            <w:pPr>
              <w:pStyle w:val="Compact"/>
              <w:jc w:val="left"/>
            </w:pPr>
            <w:r>
              <w:t xml:space="preserve">Estérases plasmatiques non spécifiques → acide carboxylique inactif</w:t>
            </w:r>
          </w:p>
        </w:tc>
        <w:tc>
          <w:tcPr/>
          <w:p>
            <w:pPr>
              <w:pStyle w:val="Compact"/>
              <w:jc w:val="left"/>
            </w:pPr>
            <w:r>
              <w:t xml:space="preserve">1 µg remifentanil/kg/min ≈ 0,1 µg fentanyl/kg/min</w:t>
            </w:r>
          </w:p>
        </w:tc>
        <w:tc>
          <w:tcPr/>
          <w:p>
            <w:pPr>
              <w:pStyle w:val="Compact"/>
              <w:jc w:val="left"/>
            </w:pPr>
            <w:r>
              <w:t xml:space="preserve">IV induction 1–2 µg/kg ; perfusion 0,025–2 µg/kg/min ; AIVOC 2–8 ng/mL</w:t>
            </w:r>
          </w:p>
        </w:tc>
        <w:tc>
          <w:tcPr/>
          <w:p>
            <w:pPr>
              <w:pStyle w:val="Compact"/>
              <w:jc w:val="left"/>
            </w:pPr>
            <w:r>
              <w:t xml:space="preserve">Hyperalgésie rebond à l’arrêt, bradycardie, hypotension, tolérance aiguë</w:t>
            </w:r>
          </w:p>
        </w:tc>
        <w:tc>
          <w:tcPr/>
          <w:p>
            <w:pPr>
              <w:pStyle w:val="Compact"/>
              <w:jc w:val="left"/>
            </w:pPr>
            <w:r>
              <w:t xml:space="preserve">Compatible ponctuel (anesthésie césarienne urgente) ; allaitement compatible 4 h après</w:t>
            </w:r>
          </w:p>
        </w:tc>
      </w:tr>
      <w:tr>
        <w:tc>
          <w:tcPr/>
          <w:p>
            <w:pPr>
              <w:pStyle w:val="Compact"/>
              <w:jc w:val="left"/>
            </w:pPr>
            <w:r>
              <w:rPr>
                <w:b/>
                <w:bCs/>
              </w:rPr>
              <w:t xml:space="preserve">Buprénorphine</w:t>
            </w:r>
          </w:p>
        </w:tc>
        <w:tc>
          <w:tcPr/>
          <w:p>
            <w:pPr>
              <w:pStyle w:val="Compact"/>
              <w:jc w:val="left"/>
            </w:pPr>
            <w:r>
              <w:t xml:space="preserve">Palier III (agoniste partiel μ + antagoniste κ)</w:t>
            </w:r>
          </w:p>
        </w:tc>
        <w:tc>
          <w:tcPr/>
          <w:p>
            <w:pPr>
              <w:pStyle w:val="Compact"/>
              <w:jc w:val="left"/>
            </w:pPr>
            <w:r>
              <w:t xml:space="preserve">μ (agoniste partiel, activité 30–50 %) ; κ (antagoniste)</w:t>
            </w:r>
          </w:p>
        </w:tc>
        <w:tc>
          <w:tcPr/>
          <w:p>
            <w:pPr>
              <w:pStyle w:val="Compact"/>
              <w:jc w:val="left"/>
            </w:pPr>
            <w:r>
              <w:t xml:space="preserve">24–42 h (très longue)</w:t>
            </w:r>
          </w:p>
        </w:tc>
        <w:tc>
          <w:tcPr/>
          <w:p>
            <w:pPr>
              <w:pStyle w:val="Compact"/>
              <w:jc w:val="left"/>
            </w:pPr>
            <w:r>
              <w:t xml:space="preserve">CYP3A4 → norbuprénorphine (active) ; UGT1A1/2B7 → glucuronides</w:t>
            </w:r>
          </w:p>
        </w:tc>
        <w:tc>
          <w:tcPr/>
          <w:p>
            <w:pPr>
              <w:pStyle w:val="Compact"/>
              <w:jc w:val="left"/>
            </w:pPr>
            <w:r>
              <w:t xml:space="preserve">0,3 mg buprénorphine IM ≈ 10 mg morphine IM</w:t>
            </w:r>
          </w:p>
        </w:tc>
        <w:tc>
          <w:tcPr/>
          <w:p>
            <w:pPr>
              <w:pStyle w:val="Compact"/>
              <w:jc w:val="left"/>
            </w:pPr>
            <w:r>
              <w:t xml:space="preserve">0,3 mg IM/IV/SC / 6–8 h, max 1,2 mg/j (effet plafond) ; péridurale 0,3 mg</w:t>
            </w:r>
          </w:p>
        </w:tc>
        <w:tc>
          <w:tcPr/>
          <w:p>
            <w:pPr>
              <w:pStyle w:val="Compact"/>
              <w:jc w:val="left"/>
            </w:pPr>
            <w:r>
              <w:t xml:space="preserve">Effet plafond, syndrome sevrage précipité chez patient sous agoniste plein, naloxone difficile (haute affinité), allongement QT, hépatotoxicité</w:t>
            </w:r>
          </w:p>
        </w:tc>
        <w:tc>
          <w:tcPr/>
          <w:p>
            <w:pPr>
              <w:pStyle w:val="Compact"/>
              <w:jc w:val="left"/>
            </w:pPr>
            <w:r>
              <w:t xml:space="preserve">Compatible ponctuel ; allaitement compatible dose unique</w:t>
            </w:r>
          </w:p>
        </w:tc>
      </w:tr>
    </w:tbl>
    <w:p>
      <w:r>
        <w:pict>
          <v:rect style="width:0;height:1.5pt" o:hralign="center" o:hrstd="t" o:hr="t"/>
        </w:pict>
      </w:r>
    </w:p>
    <w:bookmarkEnd w:id="117"/>
    <w:bookmarkStart w:id="118" w:name="X729a63771ff815193665e3d39af94e61aeda50a"/>
    <w:p>
      <w:pPr>
        <w:pStyle w:val="Heading2"/>
      </w:pPr>
      <w:r>
        <w:t xml:space="preserve">Synthèse pour la Pratique Pharmaceutique Algérienne</w:t>
      </w:r>
    </w:p>
    <w:p>
      <w:pPr>
        <w:pStyle w:val="FirstParagraph"/>
      </w:pPr>
      <w:r>
        <w:t xml:space="preserve">La classe des opioïdes paliers II et III en Algérie se caractérise par une diversité de molécules et de formes galéniques, reflet de l’importance clinique de ces antalgiques et de leur place dans la stratégie OMS. Les principales règles pédagogiques à retenir sont :</w:t>
      </w:r>
    </w:p>
    <w:p>
      <w:pPr>
        <w:numPr>
          <w:ilvl w:val="0"/>
          <w:numId w:val="1061"/>
        </w:numPr>
      </w:pPr>
      <w:r>
        <w:rPr>
          <w:b/>
          <w:bCs/>
        </w:rPr>
        <w:t xml:space="preserve">L’escalade antalgique OMS reste la référence</w:t>
      </w:r>
      <w:r>
        <w:t xml:space="preserve"> </w:t>
      </w:r>
      <w:r>
        <w:t xml:space="preserve">: Palier I (paracétamol, AINS) → Palier II (codéine, tramadol) → Palier III (morphine, fentanyl, etc.). Ne pas brûler les paliers en première intention sauf douleur manifestement sévère (cancer, traumatisme majeur, postopératoire).</w:t>
      </w:r>
    </w:p>
    <w:p>
      <w:pPr>
        <w:numPr>
          <w:ilvl w:val="0"/>
          <w:numId w:val="1061"/>
        </w:numPr>
      </w:pPr>
      <w:r>
        <w:rPr>
          <w:b/>
          <w:bCs/>
        </w:rPr>
        <w:t xml:space="preserve">La codéine et le tramadol sont des prodrogues dépendantes du CYP2D6</w:t>
      </w:r>
      <w:r>
        <w:t xml:space="preserve"> </w:t>
      </w:r>
      <w:r>
        <w:t xml:space="preserve">: la variabilité pharmacogénétique (métaboliseurs ultra-rapides ou lents) influence fortement l’efficacité et la tolérance. Devant une inefficacité ou une somnolence excessive inexpliquée, envisager ce polymorphisme. La codéine est</w:t>
      </w:r>
      <w:r>
        <w:t xml:space="preserve"> </w:t>
      </w:r>
      <w:r>
        <w:rPr>
          <w:b/>
          <w:bCs/>
        </w:rPr>
        <w:t xml:space="preserve">CI chez l’enfant &lt; 12 ans et la femme allaitante</w:t>
      </w:r>
      <w:r>
        <w:t xml:space="preserve"> </w:t>
      </w:r>
      <w:r>
        <w:t xml:space="preserve">(recommandation EMA 2013-2015).</w:t>
      </w:r>
    </w:p>
    <w:p>
      <w:pPr>
        <w:numPr>
          <w:ilvl w:val="0"/>
          <w:numId w:val="1061"/>
        </w:numPr>
      </w:pPr>
      <w:r>
        <w:rPr>
          <w:b/>
          <w:bCs/>
        </w:rPr>
        <w:t xml:space="preserve">La morphine reste le gold standard du palier III</w:t>
      </w:r>
      <w:r>
        <w:t xml:space="preserve"> </w:t>
      </w:r>
      <w:r>
        <w:t xml:space="preserve">: disponibilité en formes orales LI (ACTISKENAN 10 mg) et LP (SKENAN LP 10/30/60/100 mg), microgranules ouvrables (adaptation pour sonde gastrique, sujet âgé, troubles de déglutition). Laxatif systématique. Surveillance de l’accumulation de M6G en IR (préférer fentanyl).</w:t>
      </w:r>
    </w:p>
    <w:p>
      <w:pPr>
        <w:numPr>
          <w:ilvl w:val="0"/>
          <w:numId w:val="1061"/>
        </w:numPr>
      </w:pPr>
      <w:r>
        <w:rPr>
          <w:b/>
          <w:bCs/>
        </w:rPr>
        <w:t xml:space="preserve">Le fentanyl occupe trois positions thérapeutiques distinctes</w:t>
      </w:r>
      <w:r>
        <w:t xml:space="preserve"> </w:t>
      </w:r>
      <w:r>
        <w:t xml:space="preserve">: (1) anesthésie IV (bloc opératoire, réanimation, obstétrique) ; (2) patch transdermique 72 h (douleur cancéreuse chronique stable — non renouvelé en Algérie, importation exceptionnelle) ; (3) spray nasal PECFENT pour douleurs paroxystiques cancéreuses (innovation). Surveillance particulière : libération massive par chaleur externe, surveillance prolongée à l’arrêt du patch (dépôt cutané résiduel).</w:t>
      </w:r>
    </w:p>
    <w:p>
      <w:pPr>
        <w:numPr>
          <w:ilvl w:val="0"/>
          <w:numId w:val="1061"/>
        </w:numPr>
      </w:pPr>
      <w:r>
        <w:rPr>
          <w:b/>
          <w:bCs/>
        </w:rPr>
        <w:t xml:space="preserve">Le sufentanil, l’alfentanil et le remifentanil sont des anesthésiques IV</w:t>
      </w:r>
      <w:r>
        <w:t xml:space="preserve"> </w:t>
      </w:r>
      <w:r>
        <w:t xml:space="preserve">strictement hospitaliers. Le choix dépend de la durée prévisible et du besoin d’AIVOC : alfentanil (gestes courts), fentanyl (chirurgie courante), sufentanil (chirurgie lourde, réanimation prolongée), remifentanil (chirurgie variable, AIVOC, patient IR/IH — mais hyperalgésie rebond à l’arrêt nécessitant relais).</w:t>
      </w:r>
    </w:p>
    <w:p>
      <w:pPr>
        <w:numPr>
          <w:ilvl w:val="0"/>
          <w:numId w:val="1061"/>
        </w:numPr>
      </w:pPr>
      <w:r>
        <w:rPr>
          <w:b/>
          <w:bCs/>
        </w:rPr>
        <w:t xml:space="preserve">L’oxycodone n’est plus disponible en Algérie</w:t>
      </w:r>
      <w:r>
        <w:t xml:space="preserve"> </w:t>
      </w:r>
      <w:r>
        <w:t xml:space="preserve">(retrait de tous les OXYNORM) — mention à l’étudiant pour reconnaissance INN et compréhension du mécanisme de prodrogue CYP2D6/CYP3A4.</w:t>
      </w:r>
    </w:p>
    <w:p>
      <w:pPr>
        <w:numPr>
          <w:ilvl w:val="0"/>
          <w:numId w:val="1061"/>
        </w:numPr>
      </w:pPr>
      <w:r>
        <w:rPr>
          <w:b/>
          <w:bCs/>
        </w:rPr>
        <w:t xml:space="preserve">La buprénorphine est un agoniste partiel μ + antagoniste κ</w:t>
      </w:r>
      <w:r>
        <w:t xml:space="preserve"> </w:t>
      </w:r>
      <w:r>
        <w:t xml:space="preserve">: effet plafond (analgésie et dépression respiratoire), longue demi-vie (24–42 h), antagonisme compétitif des agonistes pleins (risque de syndrome de sevrage précipité). Particularité réglementaire algérienne : Liste I (et non Stupéfiant comme en France).</w:t>
      </w:r>
    </w:p>
    <w:p>
      <w:pPr>
        <w:numPr>
          <w:ilvl w:val="0"/>
          <w:numId w:val="1061"/>
        </w:numPr>
      </w:pPr>
      <w:r>
        <w:rPr>
          <w:b/>
          <w:bCs/>
        </w:rPr>
        <w:t xml:space="preserve">La naloxone est l’antidote universel des opioïdes</w:t>
      </w:r>
      <w:r>
        <w:t xml:space="preserve"> </w:t>
      </w:r>
      <w:r>
        <w:t xml:space="preserve">: 0,1–0,4 mg IV titration pour les agonistes pleins ; 0,4–2 mg (dose élevée) pour la buprénorphine (compétition antagoniste difficile). Demi-vie courte (30–90 min) → surveillance prolongée 6–24 h selon la demi-vie de l’opioïde (M6G morphine, fentanyl patch, buprénorphine longue demi-vie).</w:t>
      </w:r>
    </w:p>
    <w:p>
      <w:pPr>
        <w:numPr>
          <w:ilvl w:val="0"/>
          <w:numId w:val="1061"/>
        </w:numPr>
      </w:pPr>
      <w:r>
        <w:rPr>
          <w:b/>
          <w:bCs/>
        </w:rPr>
        <w:t xml:space="preserve">La prévention de la constipation est systématique dès l’initiation d’un opioïde fort</w:t>
      </w:r>
      <w:r>
        <w:t xml:space="preserve"> </w:t>
      </w:r>
      <w:r>
        <w:t xml:space="preserve">: macrogol 10 g/j + bisacodyl 5–10 mg le soir, à poursuivre pendant toute la durée du traitement. La constipation ne cède pas avec la tolérance — pas d’arrêt du laxatif.</w:t>
      </w:r>
    </w:p>
    <w:p>
      <w:pPr>
        <w:numPr>
          <w:ilvl w:val="0"/>
          <w:numId w:val="1061"/>
        </w:numPr>
      </w:pPr>
      <w:r>
        <w:rPr>
          <w:b/>
          <w:bCs/>
        </w:rPr>
        <w:t xml:space="preserve">Le mésusage et la dépendance aux opioïdes sont une préoccupation mondiale</w:t>
      </w:r>
      <w:r>
        <w:t xml:space="preserve"> </w:t>
      </w:r>
      <w:r>
        <w:t xml:space="preserve">(épidémie nord-américaine depuis les années 2000). En Algérie, la vigilance du pharmacien d’officine est essentielle : prescriptions multiples rapprochées, demanding behaviors, multiples prescripteurs, doses cumulées supérieures aux maxima recommandés. Signalement au médecin et au centre de pharmacovigilance en cas de doute.</w:t>
      </w:r>
    </w:p>
    <w:p>
      <w:pPr>
        <w:numPr>
          <w:ilvl w:val="0"/>
          <w:numId w:val="1061"/>
        </w:numPr>
      </w:pPr>
      <w:r>
        <w:rPr>
          <w:b/>
          <w:bCs/>
        </w:rPr>
        <w:t xml:space="preserve">Le statut réglementaire algérien diffère partiellement de la France</w:t>
      </w:r>
      <w:r>
        <w:t xml:space="preserve"> </w:t>
      </w:r>
      <w:r>
        <w:t xml:space="preserve">: la codéine en sirop antitussif reste Liste II en Algérie (ordonnance simple), la buprénorphine est Liste I (et non Stupéfiant), la morphine et le fentanyl sont Stupéfiants (tableau B). À l’officine, le registre des stupéfiants et les ordonnances sécurisées carbone sont obligatoires pour les opioïdes forts (sauf buprénorphine).</w:t>
      </w:r>
    </w:p>
    <w:p>
      <w:pPr>
        <w:numPr>
          <w:ilvl w:val="0"/>
          <w:numId w:val="1061"/>
        </w:numPr>
      </w:pPr>
      <w:r>
        <w:rPr>
          <w:b/>
          <w:bCs/>
        </w:rPr>
        <w:t xml:space="preserve">Les sources de référence à mobiliser en Algérie</w:t>
      </w:r>
      <w:r>
        <w:t xml:space="preserve"> </w:t>
      </w:r>
      <w:r>
        <w:t xml:space="preserve">: la Pharmacopée Algérienne (PA), le Journal Officiel de la République Algérienne (JORADP) pour la nomenclature et la réglementation, le CRAT (français) pour les données grossesse/allaitement, l’ANSM pour les RCP, le VIDAL/Thériaque pour les interactions, l’OMS pour les recommandations cancer (Morphine Essential Medicines WHO 2019), UpToDate/Micromedex pour la pharmacologie clinique. La SFAR (Société Française d’Anesthésie-Réanimation) pour les protocoles d’anesthésie opioïdes.</w:t>
      </w:r>
    </w:p>
    <w:p>
      <w:pPr>
        <w:pStyle w:val="FirstParagraph"/>
      </w:pPr>
      <w:r>
        <w:t xml:space="preserve">Le pharmacien d’officine algérien joue un rôle central dans la dispensation, le conseil et la surveillance des traitements opioïdes. Sa vigilance est particulièrement requise pour :</w:t>
      </w:r>
      <w:r>
        <w:t xml:space="preserve"> </w:t>
      </w:r>
      <w:r>
        <w:t xml:space="preserve">- L’éducation du patient (observance horaire, gestion des EI, signes d’alerte) ;</w:t>
      </w:r>
      <w:r>
        <w:t xml:space="preserve"> </w:t>
      </w:r>
      <w:r>
        <w:t xml:space="preserve">- La détection des interactions médicamenteuses (IRS, IMAO, CYP3A4) ;</w:t>
      </w:r>
      <w:r>
        <w:t xml:space="preserve"> </w:t>
      </w:r>
      <w:r>
        <w:t xml:space="preserve">- La prévention du mésusage (prescriptions multiples, détournements) ;</w:t>
      </w:r>
      <w:r>
        <w:t xml:space="preserve"> </w:t>
      </w:r>
      <w:r>
        <w:t xml:space="preserve">- L’orientation vers le médecin en cas d’inefficacité, d’EI intolérables, ou de syndrome de sevrage ;</w:t>
      </w:r>
      <w:r>
        <w:t xml:space="preserve"> </w:t>
      </w:r>
      <w:r>
        <w:t xml:space="preserve">- La communication avec le médecin référent (cancérologue, médecin de la douleur, anesthésiste) pour les rotations opioïdes, les adaptations posologiques en IR/IH, le relais patch → orale.</w:t>
      </w:r>
    </w:p>
    <w:p>
      <w:pPr>
        <w:pStyle w:val="BodyText"/>
      </w:pPr>
      <w:r>
        <w:t xml:space="preserve">La place des opioïdes en Algérie reste sous-optimisée pour la douleur cancéreuse (accès limité à la morphine en ville, sous-prescription par crainte de la dépendance et des EI) — un enjeu de santé publique à intégrer dans la formation des pharmaciens et des médecins prescripteurs.</w:t>
      </w:r>
    </w:p>
    <w:p>
      <w:r>
        <w:pict>
          <v:rect style="width:0;height:1.5pt" o:hralign="center" o:hrstd="t" o:hr="t"/>
        </w:pict>
      </w:r>
    </w:p>
    <w:p>
      <w:pPr>
        <w:pStyle w:val="FirstParagraph"/>
      </w:pPr>
      <w:r>
        <w:rPr>
          <w:i/>
          <w:iCs/>
        </w:rPr>
        <w:t xml:space="preserve">Fin du chapitre 23 — Antalgiques opioïdes paliers II et III</w:t>
      </w:r>
    </w:p>
    <w:p>
      <w:r>
        <w:pict>
          <v:rect style="width:0;height:1.5pt" o:hralign="center" o:hrstd="t" o:hr="t"/>
        </w:pict>
      </w:r>
    </w:p>
    <w:bookmarkEnd w:id="118"/>
    <w:bookmarkEnd w:id="119"/>
    <w:bookmarkStart w:id="149" w:name="Xc1662c8c1f59c758e1b3659316ef979c89cd7aa"/>
    <w:p>
      <w:pPr>
        <w:pStyle w:val="Heading1"/>
      </w:pPr>
      <w:r>
        <w:t xml:space="preserve">Section 24 — AINS Classiques (Acides Carboxyliques et Pyrazolés)</w:t>
      </w:r>
    </w:p>
    <w:bookmarkStart w:id="120" w:name="Xd3686a79888a7ed0d2383e472d17b118a674fa4"/>
    <w:p>
      <w:pPr>
        <w:pStyle w:val="Heading2"/>
      </w:pPr>
      <w:r>
        <w:t xml:space="preserve">Fascicule III — Antalgiques &amp; Anti-inflammatoires</w:t>
      </w:r>
    </w:p>
    <w:bookmarkEnd w:id="120"/>
    <w:bookmarkStart w:id="121" w:name="Xc633c184398b976d1fb704f22edecaafe4032c8"/>
    <w:p>
      <w:pPr>
        <w:pStyle w:val="Heading2"/>
      </w:pPr>
      <w:r>
        <w:t xml:space="preserve">Introduction générale aux AINS classiques</w:t>
      </w:r>
    </w:p>
    <w:p>
      <w:pPr>
        <w:pStyle w:val="FirstParagraph"/>
      </w:pPr>
      <w:r>
        <w:t xml:space="preserve">Les anti-inflammatoires non stéroïdiens (AINS) constituent l’une des classes médicamenteuses les plus prescrites au monde, et l’Algérie ne déroge pas à cette règle, comme en témoigne la richesse du marché national (plus de 350 spécialités actives recensées pour les seuls AINS acides classiques dans la nomenclature d’avril 2026). Ils partagent tous un mécanisme fondamental commun : l’inhibition de la cyclo-oxygénase (COX), enzyme-clé de la conversion de l’acide arachidonique en prostanoïdes (prostaglandines PGE2, PGI2, thromboxane A2). Sur le plan structurel, les AINS classiques dits</w:t>
      </w:r>
      <w:r>
        <w:t xml:space="preserve"> </w:t>
      </w:r>
      <w:r>
        <w:t xml:space="preserve">“</w:t>
      </w:r>
      <w:r>
        <w:t xml:space="preserve">acides</w:t>
      </w:r>
      <w:r>
        <w:t xml:space="preserve">”</w:t>
      </w:r>
      <w:r>
        <w:t xml:space="preserve"> </w:t>
      </w:r>
      <w:r>
        <w:t xml:space="preserve">partagent une caractéristique chimique commune : la présence d’une fonction acide carboxylique (–COOH) ou équivalente, leur conférant une lipophilie importante, une liaison protéique élevée (&gt;95 %), un volume de distribution modeste et une excrétion principalement rénale sous forme inchangée ou de métabolites conjugués.</w:t>
      </w:r>
    </w:p>
    <w:p>
      <w:pPr>
        <w:pStyle w:val="BodyText"/>
      </w:pPr>
      <w:r>
        <w:t xml:space="preserve">La classification chimique des AINS acides classiques repose sur le noyau aromatique porteur de la fonction acide :</w:t>
      </w:r>
    </w:p>
    <w:p>
      <w:pPr>
        <w:pStyle w:val="Compact"/>
        <w:numPr>
          <w:ilvl w:val="0"/>
          <w:numId w:val="1062"/>
        </w:numPr>
      </w:pPr>
      <w:r>
        <w:rPr>
          <w:b/>
          <w:bCs/>
        </w:rPr>
        <w:t xml:space="preserve">Dérivés arylpropioniques</w:t>
      </w:r>
      <w:r>
        <w:t xml:space="preserve"> </w:t>
      </w:r>
      <w:r>
        <w:t xml:space="preserve">(acide 2-arylpropionique,</w:t>
      </w:r>
      <w:r>
        <w:t xml:space="preserve"> </w:t>
      </w:r>
      <w:r>
        <w:t xml:space="preserve">“</w:t>
      </w:r>
      <w:r>
        <w:t xml:space="preserve">profènes</w:t>
      </w:r>
      <w:r>
        <w:t xml:space="preserve">”</w:t>
      </w:r>
      <w:r>
        <w:t xml:space="preserve">) : ibuprofène, kétoprofène, dexkétoprofène, flurbiprofène, naproxène. Tous possèdent un carbone chiral (sauf le naproxène commercialisé sous forme active S) ; la plupart sont commercialisés en mélange racémique.</w:t>
      </w:r>
    </w:p>
    <w:p>
      <w:pPr>
        <w:pStyle w:val="Compact"/>
        <w:numPr>
          <w:ilvl w:val="0"/>
          <w:numId w:val="1062"/>
        </w:numPr>
      </w:pPr>
      <w:r>
        <w:rPr>
          <w:b/>
          <w:bCs/>
        </w:rPr>
        <w:t xml:space="preserve">Dérivés arylacétiques</w:t>
      </w:r>
      <w:r>
        <w:t xml:space="preserve"> </w:t>
      </w:r>
      <w:r>
        <w:t xml:space="preserve">: diclofénac, acéclofénac (traité ailleurs). Le diclofénac est l’AINS le plus prescrit au monde dans cette catégorie.</w:t>
      </w:r>
    </w:p>
    <w:p>
      <w:pPr>
        <w:pStyle w:val="Compact"/>
        <w:numPr>
          <w:ilvl w:val="0"/>
          <w:numId w:val="1062"/>
        </w:numPr>
      </w:pPr>
      <w:r>
        <w:rPr>
          <w:b/>
          <w:bCs/>
        </w:rPr>
        <w:t xml:space="preserve">Dérivés indoliques et indolacétiques</w:t>
      </w:r>
      <w:r>
        <w:t xml:space="preserve"> </w:t>
      </w:r>
      <w:r>
        <w:t xml:space="preserve">: indométacine, sulindac, étodolac (ces deux derniers non commercialisés en Algérie à ce jour).</w:t>
      </w:r>
    </w:p>
    <w:p>
      <w:pPr>
        <w:pStyle w:val="Compact"/>
        <w:numPr>
          <w:ilvl w:val="0"/>
          <w:numId w:val="1062"/>
        </w:numPr>
      </w:pPr>
      <w:r>
        <w:rPr>
          <w:b/>
          <w:bCs/>
        </w:rPr>
        <w:t xml:space="preserve">Dérivés hétérocycliques (pyrrolo-pyrroles ou enolic acids)</w:t>
      </w:r>
      <w:r>
        <w:t xml:space="preserve"> </w:t>
      </w:r>
      <w:r>
        <w:t xml:space="preserve">: kétorolac, piroxicam, méloxicam (ces derniers appartenant aux oxicams traités dans une autre section).</w:t>
      </w:r>
    </w:p>
    <w:p>
      <w:pPr>
        <w:pStyle w:val="Compact"/>
        <w:numPr>
          <w:ilvl w:val="0"/>
          <w:numId w:val="1062"/>
        </w:numPr>
      </w:pPr>
      <w:r>
        <w:rPr>
          <w:b/>
          <w:bCs/>
        </w:rPr>
        <w:t xml:space="preserve">Anthraniliques (acides fénamiques)</w:t>
      </w:r>
      <w:r>
        <w:t xml:space="preserve"> </w:t>
      </w:r>
      <w:r>
        <w:t xml:space="preserve">: acide méfénamique, acide niflumique, morniflumate (précurseur prodrogue de l’acide niflumique).</w:t>
      </w:r>
    </w:p>
    <w:p>
      <w:pPr>
        <w:pStyle w:val="Compact"/>
        <w:numPr>
          <w:ilvl w:val="0"/>
          <w:numId w:val="1062"/>
        </w:numPr>
      </w:pPr>
      <w:r>
        <w:rPr>
          <w:b/>
          <w:bCs/>
        </w:rPr>
        <w:t xml:space="preserve">Pyrazolés</w:t>
      </w:r>
      <w:r>
        <w:t xml:space="preserve"> </w:t>
      </w:r>
      <w:r>
        <w:t xml:space="preserve">: métamizole (noramidopyrine), phénylbutazone (retirée). Particularité : pas de fonction acide carboxylique stricte mais un noyau pyrazolé, classé historiquement avec les AINS.</w:t>
      </w:r>
    </w:p>
    <w:p>
      <w:pPr>
        <w:pStyle w:val="FirstParagraph"/>
      </w:pPr>
      <w:r>
        <w:rPr>
          <w:b/>
          <w:bCs/>
        </w:rPr>
        <w:t xml:space="preserve">Pharmacodynamie commune (rappel) :</w:t>
      </w:r>
    </w:p>
    <w:p>
      <w:pPr>
        <w:pStyle w:val="BodyText"/>
      </w:pPr>
      <w:r>
        <w:t xml:space="preserve">La COX existe sous deux isoformes principales : COX-1 (constitutive, omniprésente, responsable des prostaglandines physiologiques gastriques, rénales, endothéliales, plaquettaires) et COX-2 (inductible par les cytokines pro-inflammatoires, responsable des prostaglandines de l’inflammation). Les AINS classiques sont des inhibiteurs non sélectifs, inhibant les deux isoformes avec un ratio variable. Cette double inhibition explique à la fois l’efficacité anti-inflammatoire (COX-2) et la toxicité digestive, rénale et antiagrégante (COX-1). Les effets thérapeutiques recherchés sont au nombre de quatre : antalgique, anti-inflammatoire, antipyrétique, et pour certains antiagrégant plaquettaire (aspirine, mais aussi à un moindre degré les profènes et le diclofénac).</w:t>
      </w:r>
    </w:p>
    <w:p>
      <w:pPr>
        <w:pStyle w:val="BodyText"/>
      </w:pPr>
      <w:r>
        <w:rPr>
          <w:b/>
          <w:bCs/>
        </w:rPr>
        <w:t xml:space="preserve">Profil de tolérance commun :</w:t>
      </w:r>
    </w:p>
    <w:p>
      <w:pPr>
        <w:pStyle w:val="BodyText"/>
      </w:pPr>
      <w:r>
        <w:t xml:space="preserve">Tous les AINS acides partagent un socle commun d’effets indésirables :</w:t>
      </w:r>
    </w:p>
    <w:p>
      <w:pPr>
        <w:pStyle w:val="Compact"/>
        <w:numPr>
          <w:ilvl w:val="0"/>
          <w:numId w:val="1063"/>
        </w:numPr>
      </w:pPr>
      <w:r>
        <w:rPr>
          <w:b/>
          <w:bCs/>
        </w:rPr>
        <w:t xml:space="preserve">Toxicité digestive haute</w:t>
      </w:r>
      <w:r>
        <w:t xml:space="preserve"> </w:t>
      </w:r>
      <w:r>
        <w:t xml:space="preserve">: lésions muqueuses (érosions, ulcères, hémorragies, perforations) par inhibition des PG cytoprotectrices (PGE2, PGI2) gastriques. Risque lié à l’âge &gt; 65 ans, antécédent d’ulcère, association à l’aspirine ou aux anticoagulants, tabac, alcool.</w:t>
      </w:r>
    </w:p>
    <w:p>
      <w:pPr>
        <w:pStyle w:val="Compact"/>
        <w:numPr>
          <w:ilvl w:val="0"/>
          <w:numId w:val="1063"/>
        </w:numPr>
      </w:pPr>
      <w:r>
        <w:rPr>
          <w:b/>
          <w:bCs/>
        </w:rPr>
        <w:t xml:space="preserve">Toxicité rénale</w:t>
      </w:r>
      <w:r>
        <w:t xml:space="preserve"> </w:t>
      </w:r>
      <w:r>
        <w:t xml:space="preserve">: vasoconstriction de l’artériole afférente par baisse des PGE2/PGI2 rénales → insuffisance rénale aiguë fonctionnelle, surtout en cas d’hypovolémie, d’insuffisance cardiaque, de cirrhose, ou de traitement associé par IEC/ARA2/diurétiques (triade néphrotoxique). Néphropathie interstitielle aiguë (NIA) immunoallergique possible.</w:t>
      </w:r>
    </w:p>
    <w:p>
      <w:pPr>
        <w:pStyle w:val="Compact"/>
        <w:numPr>
          <w:ilvl w:val="0"/>
          <w:numId w:val="1063"/>
        </w:numPr>
      </w:pPr>
      <w:r>
        <w:rPr>
          <w:b/>
          <w:bCs/>
        </w:rPr>
        <w:t xml:space="preserve">Toxicité cardiovasculaire</w:t>
      </w:r>
      <w:r>
        <w:t xml:space="preserve"> </w:t>
      </w:r>
      <w:r>
        <w:t xml:space="preserve">: tous les AINS (sauf aspirine à dose antiagrégante) majorent le risque d’événements thrombotiques artériels (infarctus du myocarde, AVC), avec un gradient diclofénac &gt; ibuprofène &gt; naproxène (naproxène étant considéré comme le moins délétère sur le plan CV). Ce risque est retenu par l’EMA et fait l’objet de mises en garde de niveau 2-4 selon la molécule.</w:t>
      </w:r>
    </w:p>
    <w:p>
      <w:pPr>
        <w:pStyle w:val="Compact"/>
        <w:numPr>
          <w:ilvl w:val="0"/>
          <w:numId w:val="1063"/>
        </w:numPr>
      </w:pPr>
      <w:r>
        <w:rPr>
          <w:b/>
          <w:bCs/>
        </w:rPr>
        <w:t xml:space="preserve">Toxicité hépatique</w:t>
      </w:r>
      <w:r>
        <w:t xml:space="preserve"> </w:t>
      </w:r>
      <w:r>
        <w:t xml:space="preserve">: cytolyse hépatique possible, surtout avec le diclofénac et la niflumique.</w:t>
      </w:r>
    </w:p>
    <w:p>
      <w:pPr>
        <w:pStyle w:val="Compact"/>
        <w:numPr>
          <w:ilvl w:val="0"/>
          <w:numId w:val="1063"/>
        </w:numPr>
      </w:pPr>
      <w:r>
        <w:rPr>
          <w:b/>
          <w:bCs/>
        </w:rPr>
        <w:t xml:space="preserve">Hypersensibilité</w:t>
      </w:r>
      <w:r>
        <w:t xml:space="preserve"> </w:t>
      </w:r>
      <w:r>
        <w:t xml:space="preserve">: urticaire, angio-œdème, bronchospasme (cross-réactivité avec l’aspirine chez les sujets porteurs de polypose naso-sinusienne associée à l’asthme — triade de Widal).</w:t>
      </w:r>
    </w:p>
    <w:p>
      <w:pPr>
        <w:pStyle w:val="Compact"/>
        <w:numPr>
          <w:ilvl w:val="0"/>
          <w:numId w:val="1063"/>
        </w:numPr>
      </w:pPr>
      <w:r>
        <w:rPr>
          <w:b/>
          <w:bCs/>
        </w:rPr>
        <w:t xml:space="preserve">Effets centraux</w:t>
      </w:r>
      <w:r>
        <w:t xml:space="preserve"> </w:t>
      </w:r>
      <w:r>
        <w:t xml:space="preserve">: céphalées, vertiges, somnolence, surtout avec l’indométacine.</w:t>
      </w:r>
    </w:p>
    <w:p>
      <w:pPr>
        <w:pStyle w:val="FirstParagraph"/>
      </w:pPr>
      <w:r>
        <w:rPr>
          <w:b/>
          <w:bCs/>
        </w:rPr>
        <w:t xml:space="preserve">Règles de prescription communes :</w:t>
      </w:r>
    </w:p>
    <w:p>
      <w:pPr>
        <w:pStyle w:val="Compact"/>
        <w:numPr>
          <w:ilvl w:val="0"/>
          <w:numId w:val="1064"/>
        </w:numPr>
      </w:pPr>
      <w:r>
        <w:t xml:space="preserve">Posologie minimale efficace, durée la plus courte possible (ne pas dépasser 3 jours pour la fièvre, 5 jours pour la douleur sans avis médical).</w:t>
      </w:r>
    </w:p>
    <w:p>
      <w:pPr>
        <w:pStyle w:val="Compact"/>
        <w:numPr>
          <w:ilvl w:val="0"/>
          <w:numId w:val="1064"/>
        </w:numPr>
      </w:pPr>
      <w:r>
        <w:t xml:space="preserve">Ne jamais associer deux AINS (pas de bénéfice supplémentaire, majoration de la toxicité).</w:t>
      </w:r>
    </w:p>
    <w:p>
      <w:pPr>
        <w:pStyle w:val="Compact"/>
        <w:numPr>
          <w:ilvl w:val="0"/>
          <w:numId w:val="1064"/>
        </w:numPr>
      </w:pPr>
      <w:r>
        <w:t xml:space="preserve">Évaluer le risque digestif, rénal, cardiovasculaire avant prescription.</w:t>
      </w:r>
    </w:p>
    <w:p>
      <w:pPr>
        <w:pStyle w:val="Compact"/>
        <w:numPr>
          <w:ilvl w:val="0"/>
          <w:numId w:val="1064"/>
        </w:numPr>
      </w:pPr>
      <w:r>
        <w:t xml:space="preserve">Proposer une protection gastrique par IPP si terrain à risque ou traitement prolongé.</w:t>
      </w:r>
    </w:p>
    <w:p>
      <w:pPr>
        <w:pStyle w:val="Compact"/>
        <w:numPr>
          <w:ilvl w:val="0"/>
          <w:numId w:val="1064"/>
        </w:numPr>
      </w:pPr>
      <w:r>
        <w:t xml:space="preserve">Surveillance de la fonction rénale et de la tension artérielle en cas de traitement prolongé.</w:t>
      </w:r>
    </w:p>
    <w:p>
      <w:pPr>
        <w:pStyle w:val="Compact"/>
        <w:numPr>
          <w:ilvl w:val="0"/>
          <w:numId w:val="1064"/>
        </w:numPr>
      </w:pPr>
      <w:r>
        <w:t xml:space="preserve">Contre-indication absolue au 3e trimestre de grossesse (fermeture prématurée du canal artériel, oligoamnios, inhibition des contractions).</w:t>
      </w:r>
    </w:p>
    <w:p>
      <w:pPr>
        <w:pStyle w:val="FirstParagraph"/>
      </w:pPr>
      <w:r>
        <w:t xml:space="preserve">La présente section passe en revue 13 DCIs effectivement commercialisées en Algérie (à différentes périodes, certains produits étant non renouvelés ou retirés). Pour chacune, une fiche structurée décrit les spécialités disponibles, la pharmacologie, les contre-indications, les interactions, la posologie et les conseils au comptoir.</w:t>
      </w:r>
    </w:p>
    <w:p>
      <w:r>
        <w:pict>
          <v:rect style="width:0;height:1.5pt" o:hralign="center" o:hrstd="t" o:hr="t"/>
        </w:pict>
      </w:r>
    </w:p>
    <w:bookmarkEnd w:id="121"/>
    <w:bookmarkStart w:id="129" w:name="X9ab96e18af8ac64db21cb78bbee6ae8e8c8c49b"/>
    <w:p>
      <w:pPr>
        <w:pStyle w:val="Heading2"/>
      </w:pPr>
      <w:r>
        <w:t xml:space="preserve">I. Sous-classe : AINS - Dérivés arylpropioniques (Profènes)</w:t>
      </w:r>
    </w:p>
    <w:bookmarkStart w:id="122" w:name="introduction-à-la-sous-classe"/>
    <w:p>
      <w:pPr>
        <w:pStyle w:val="Heading3"/>
      </w:pPr>
      <w:r>
        <w:t xml:space="preserve">Introduction à la sous-classe</w:t>
      </w:r>
    </w:p>
    <w:p>
      <w:pPr>
        <w:pStyle w:val="FirstParagraph"/>
      </w:pPr>
      <w:r>
        <w:t xml:space="preserve">Les dérivés arylpropioniques, communément appelés</w:t>
      </w:r>
      <w:r>
        <w:t xml:space="preserve"> </w:t>
      </w:r>
      <w:r>
        <w:t xml:space="preserve">“</w:t>
      </w:r>
      <w:r>
        <w:t xml:space="preserve">profènes</w:t>
      </w:r>
      <w:r>
        <w:t xml:space="preserve">”</w:t>
      </w:r>
      <w:r>
        <w:t xml:space="preserve">, représentent la sous-classe d’AINS la plus prescrite au monde, notamment grâce à l’ibuprofène qui figure parmi les dix molécules les plus délivrées en Algérie. Leur structure chimique commune est l’acide 2-arylpropionique (Ar–CH(CH3)–COOH), comportant un carbone asymétrique. À l’exception du naproxène (commercialisé sous forme énantiomère actif S), tous sont commercialisés sous forme racémique ; l’énantiomère R est in vivo converti en forme S active (inversion métabolique unidirectionnelle pour l’ibuprofène et le flurbiprofène). Le dexkétoprofène, qui est l’énantiomère S pur du kétoprofène, illustre cette évolution vers l’isomérisation active.</w:t>
      </w:r>
    </w:p>
    <w:p>
      <w:pPr>
        <w:pStyle w:val="BodyText"/>
      </w:pPr>
      <w:r>
        <w:rPr>
          <w:b/>
          <w:bCs/>
        </w:rPr>
        <w:t xml:space="preserve">Pharmacocinétique commune :</w:t>
      </w:r>
      <w:r>
        <w:t xml:space="preserve"> </w:t>
      </w:r>
      <w:r>
        <w:t xml:space="preserve">- Résorption digestive rapide et quasi complète, pic sérique en 1 à 3 h.</w:t>
      </w:r>
      <w:r>
        <w:t xml:space="preserve"> </w:t>
      </w:r>
      <w:r>
        <w:t xml:space="preserve">- Liaison aux protéines plasmatiques (albumine) très élevée (&gt;95 %).</w:t>
      </w:r>
      <w:r>
        <w:t xml:space="preserve"> </w:t>
      </w:r>
      <w:r>
        <w:t xml:space="preserve">- Métabolisme hépatique par CYP2C9 (hydroxylation) puis conjugaison.</w:t>
      </w:r>
      <w:r>
        <w:t xml:space="preserve"> </w:t>
      </w:r>
      <w:r>
        <w:t xml:space="preserve">- Demi-vie d’élimination variable : courte pour l’ibuprofène (2 h), le dexkétoprofène (1–3 h) et le kétoprofène (2 h) ; longue pour le naproxène (12–15 h) autorisant une monoprise.</w:t>
      </w:r>
      <w:r>
        <w:t xml:space="preserve"> </w:t>
      </w:r>
      <w:r>
        <w:t xml:space="preserve">- Passage transplacentaire et dans le lait maternel (faible mais à prendre en compte).</w:t>
      </w:r>
      <w:r>
        <w:t xml:space="preserve"> </w:t>
      </w:r>
      <w:r>
        <w:t xml:space="preserve">- Excréttion principalement rénale.</w:t>
      </w:r>
    </w:p>
    <w:p>
      <w:pPr>
        <w:pStyle w:val="BodyText"/>
      </w:pPr>
      <w:r>
        <w:rPr>
          <w:b/>
          <w:bCs/>
        </w:rPr>
        <w:t xml:space="preserve">Tolérance spécifique :</w:t>
      </w:r>
      <w:r>
        <w:t xml:space="preserve"> </w:t>
      </w:r>
      <w:r>
        <w:t xml:space="preserve">Les profènes ont globalement un meilleur profil digestif que l’indométacine ou le diclofénac, mais le kétoprofène reste photosensibilisant (réactions de photo-toxicité et photo-allergie fréquentes). Le naproxène est considéré comme l’AINS classique présentant le meilleur profil cardiovasculaire (réservé chez les patients à risque CV élevé), mais son profil digestif reste conforme à celui de la classe. Le dexkétoprofène, en raison de son énantiomère unique, permet une posologie réduite de moitié pour une efficacité équivalente, avec un meilleur profil de tolérance.</w:t>
      </w:r>
    </w:p>
    <w:bookmarkEnd w:id="122"/>
    <w:bookmarkStart w:id="123" w:name="dci-ibuprofène-seule"/>
    <w:p>
      <w:pPr>
        <w:pStyle w:val="Heading3"/>
      </w:pPr>
      <w:r>
        <w:t xml:space="preserve">1. DCI : Ibuprofène (Seule)</w:t>
      </w:r>
    </w:p>
    <w:p>
      <w:pPr>
        <w:pStyle w:val="FirstParagraph"/>
      </w:pPr>
      <w:r>
        <w:rPr>
          <w:b/>
          <w:bCs/>
        </w:rPr>
        <w:t xml:space="preserve">Liste des Catégories :</w:t>
      </w:r>
      <w:r>
        <w:t xml:space="preserve"> </w:t>
      </w:r>
      <w:r>
        <w:t xml:space="preserve">Liste I (suspending forms pédiatriques selon dosage) / Liste II (comprimés à 200/400/600 mg) — Hors liste pour les gels dermiques.</w:t>
      </w:r>
    </w:p>
    <w:p>
      <w:pPr>
        <w:pStyle w:val="BodyText"/>
      </w:pPr>
      <w:r>
        <w:t xml:space="preserve">L’ibuprofène (acide 2-[4-isobutylphényl]propionique) est le prototype des profènes et l’un des AINS les plus utilisés au monde. Découvert par les Boots Research Department dans les années 1960, il est devenu l’antalgique de palier 1 de référence en première intention pour les douleurs légères à modérées. Sa popularité tient à son excellente tolérance aux posologies antalgiques (≤ 1200 mg/j), à sa flexibilité galénique (comprimés, sirop, gels, suppositoires, formes LP, injectable IM en lysinate) et à son autorisation à grande diffusion ( Liste II, OTC dans de nombreux pays). L’ibuprofène est commercialisé en Algérie par plus de 40 laboratoires différents, avec une pluralité de marques génériques et de formes galéniques impressionnante : on compte pas moins de 60 marques distinctes recensées dans la nomenclature algérienne d’avril 2026, ce qui en fait la DCI la plus répandue du marché national.</w:t>
      </w:r>
    </w:p>
    <w:p>
      <w:pPr>
        <w:pStyle w:val="BodyText"/>
      </w:pPr>
      <w:r>
        <w:rPr>
          <w:b/>
          <w:bCs/>
        </w:rPr>
        <w:t xml:space="preserve">Médicaments disponibles en Algérie (Marques, Laboratoires, Formes et Dosages) :</w:t>
      </w:r>
    </w:p>
    <w:p>
      <w:pPr>
        <w:pStyle w:val="BodyText"/>
      </w:pPr>
      <w:r>
        <w:t xml:space="preserve">Compte tenu de la quantité de spécialités (plus de 100 lignes recensées), la liste est présentée par forme galénique. Toutes les marques sont citées ci-dessous.</w:t>
      </w:r>
    </w:p>
    <w:p>
      <w:pPr>
        <w:pStyle w:val="BodyText"/>
      </w:pPr>
      <w:r>
        <w:rPr>
          <w:b/>
          <w:bCs/>
        </w:rPr>
        <w:t xml:space="preserve">Comprimés / Gélules 200 mg :</w:t>
      </w:r>
      <w:r>
        <w:t xml:space="preserve"> </w:t>
      </w:r>
      <w:r>
        <w:t xml:space="preserve">-</w:t>
      </w:r>
      <w:r>
        <w:t xml:space="preserve"> </w:t>
      </w:r>
      <w:r>
        <w:rPr>
          <w:b/>
          <w:bCs/>
        </w:rPr>
        <w:t xml:space="preserve">ADFEN</w:t>
      </w:r>
      <w:r>
        <w:t xml:space="preserve"> </w:t>
      </w:r>
      <w:r>
        <w:t xml:space="preserve">(Lab. MM) — Comprimé pelliculé 200 mg, B/20</w:t>
      </w:r>
      <w:r>
        <w:t xml:space="preserve"> </w:t>
      </w:r>
      <w:r>
        <w:t xml:space="preserve">-</w:t>
      </w:r>
      <w:r>
        <w:t xml:space="preserve"> </w:t>
      </w:r>
      <w:r>
        <w:rPr>
          <w:b/>
          <w:bCs/>
        </w:rPr>
        <w:t xml:space="preserve">ANTALFEN</w:t>
      </w:r>
      <w:r>
        <w:t xml:space="preserve"> </w:t>
      </w:r>
      <w:r>
        <w:t xml:space="preserve">(Pharmalliance) — Comprimé pelliculé 200 mg, B/15 (Liste II)</w:t>
      </w:r>
      <w:r>
        <w:t xml:space="preserve"> </w:t>
      </w:r>
      <w:r>
        <w:t xml:space="preserve">-</w:t>
      </w:r>
      <w:r>
        <w:t xml:space="preserve"> </w:t>
      </w:r>
      <w:r>
        <w:rPr>
          <w:b/>
          <w:bCs/>
        </w:rPr>
        <w:t xml:space="preserve">ANTARENE Gé</w:t>
      </w:r>
      <w:r>
        <w:t xml:space="preserve"> </w:t>
      </w:r>
      <w:r>
        <w:t xml:space="preserve">(ELERTE) (R) — Comprimé pelliculé 200 mg, B/15 et B/30 (Liste II)</w:t>
      </w:r>
      <w:r>
        <w:t xml:space="preserve"> </w:t>
      </w:r>
      <w:r>
        <w:t xml:space="preserve">-</w:t>
      </w:r>
      <w:r>
        <w:t xml:space="preserve"> </w:t>
      </w:r>
      <w:r>
        <w:rPr>
          <w:b/>
          <w:bCs/>
        </w:rPr>
        <w:t xml:space="preserve">APIFEN</w:t>
      </w:r>
      <w:r>
        <w:t xml:space="preserve"> </w:t>
      </w:r>
      <w:r>
        <w:t xml:space="preserve">(API) — Comprimé 200 mg, B/20 (Liste II)</w:t>
      </w:r>
      <w:r>
        <w:t xml:space="preserve"> </w:t>
      </w:r>
      <w:r>
        <w:t xml:space="preserve">-</w:t>
      </w:r>
      <w:r>
        <w:t xml:space="preserve"> </w:t>
      </w:r>
      <w:r>
        <w:rPr>
          <w:b/>
          <w:bCs/>
        </w:rPr>
        <w:t xml:space="preserve">BUTAFEN</w:t>
      </w:r>
      <w:r>
        <w:t xml:space="preserve"> </w:t>
      </w:r>
      <w:r>
        <w:t xml:space="preserve">(Biocare) — Gélule à microgranules 200 mg, B/20</w:t>
      </w:r>
      <w:r>
        <w:t xml:space="preserve"> </w:t>
      </w:r>
      <w:r>
        <w:t xml:space="preserve">-</w:t>
      </w:r>
      <w:r>
        <w:t xml:space="preserve"> </w:t>
      </w:r>
      <w:r>
        <w:rPr>
          <w:b/>
          <w:bCs/>
        </w:rPr>
        <w:t xml:space="preserve">CALMOFEN</w:t>
      </w:r>
      <w:r>
        <w:t xml:space="preserve"> </w:t>
      </w:r>
      <w:r>
        <w:t xml:space="preserve">(Inpha-Medis) — Comprimé pelliculé 200 mg, B/20</w:t>
      </w:r>
      <w:r>
        <w:t xml:space="preserve"> </w:t>
      </w:r>
      <w:r>
        <w:t xml:space="preserve">-</w:t>
      </w:r>
      <w:r>
        <w:t xml:space="preserve"> </w:t>
      </w:r>
      <w:r>
        <w:rPr>
          <w:b/>
          <w:bCs/>
        </w:rPr>
        <w:t xml:space="preserve">IBUMAL</w:t>
      </w:r>
      <w:r>
        <w:t xml:space="preserve"> </w:t>
      </w:r>
      <w:r>
        <w:t xml:space="preserve">(Saidal) — Gélule 200 mg, B/32 et B/20 ; Comprimé 200 mg, B/20 (Liste II)</w:t>
      </w:r>
      <w:r>
        <w:t xml:space="preserve"> </w:t>
      </w:r>
      <w:r>
        <w:t xml:space="preserve">-</w:t>
      </w:r>
      <w:r>
        <w:t xml:space="preserve"> </w:t>
      </w:r>
      <w:r>
        <w:rPr>
          <w:b/>
          <w:bCs/>
        </w:rPr>
        <w:t xml:space="preserve">IBUPRANE</w:t>
      </w:r>
      <w:r>
        <w:t xml:space="preserve"> </w:t>
      </w:r>
      <w:r>
        <w:t xml:space="preserve">(Sanofi Aventis Algérie) — Comprimé pelliculé 200 mg, B/20</w:t>
      </w:r>
      <w:r>
        <w:t xml:space="preserve"> </w:t>
      </w:r>
      <w:r>
        <w:t xml:space="preserve">-</w:t>
      </w:r>
      <w:r>
        <w:t xml:space="preserve"> </w:t>
      </w:r>
      <w:r>
        <w:rPr>
          <w:b/>
          <w:bCs/>
        </w:rPr>
        <w:t xml:space="preserve">IBUPROFAL</w:t>
      </w:r>
      <w:r>
        <w:t xml:space="preserve"> </w:t>
      </w:r>
      <w:r>
        <w:t xml:space="preserve">(Sophal) — Comprimé pelliculé 200 mg, B/20 (Liste II)</w:t>
      </w:r>
      <w:r>
        <w:t xml:space="preserve"> </w:t>
      </w:r>
      <w:r>
        <w:t xml:space="preserve">-</w:t>
      </w:r>
      <w:r>
        <w:t xml:space="preserve"> </w:t>
      </w:r>
      <w:r>
        <w:rPr>
          <w:b/>
          <w:bCs/>
        </w:rPr>
        <w:t xml:space="preserve">IBUPROFENE BEKER</w:t>
      </w:r>
      <w:r>
        <w:t xml:space="preserve"> </w:t>
      </w:r>
      <w:r>
        <w:t xml:space="preserve">(Lab. Beker) — Comprimé pelliculé 200 mg, B/30 (Liste II)</w:t>
      </w:r>
      <w:r>
        <w:t xml:space="preserve"> </w:t>
      </w:r>
      <w:r>
        <w:t xml:space="preserve">-</w:t>
      </w:r>
      <w:r>
        <w:t xml:space="preserve"> </w:t>
      </w:r>
      <w:r>
        <w:rPr>
          <w:b/>
          <w:bCs/>
        </w:rPr>
        <w:t xml:space="preserve">IBUPROFENE PHYSIOPHARM</w:t>
      </w:r>
      <w:r>
        <w:t xml:space="preserve"> </w:t>
      </w:r>
      <w:r>
        <w:t xml:space="preserve">— Comprimé pelliculé 200 mg, B/30</w:t>
      </w:r>
      <w:r>
        <w:t xml:space="preserve"> </w:t>
      </w:r>
      <w:r>
        <w:t xml:space="preserve">-</w:t>
      </w:r>
      <w:r>
        <w:t xml:space="preserve"> </w:t>
      </w:r>
      <w:r>
        <w:rPr>
          <w:b/>
          <w:bCs/>
        </w:rPr>
        <w:t xml:space="preserve">NEUPREN</w:t>
      </w:r>
      <w:r>
        <w:t xml:space="preserve"> </w:t>
      </w:r>
      <w:r>
        <w:t xml:space="preserve">(Biogalenic) — Comprimé pelliculé 200 mg, B/20</w:t>
      </w:r>
      <w:r>
        <w:t xml:space="preserve"> </w:t>
      </w:r>
      <w:r>
        <w:t xml:space="preserve">-</w:t>
      </w:r>
      <w:r>
        <w:t xml:space="preserve"> </w:t>
      </w:r>
      <w:r>
        <w:rPr>
          <w:b/>
          <w:bCs/>
        </w:rPr>
        <w:t xml:space="preserve">ROVIL CAPS</w:t>
      </w:r>
      <w:r>
        <w:t xml:space="preserve"> </w:t>
      </w:r>
      <w:r>
        <w:t xml:space="preserve">(Rovac) — Capsule molle 200 mg, B/20</w:t>
      </w:r>
      <w:r>
        <w:t xml:space="preserve"> </w:t>
      </w:r>
      <w:r>
        <w:t xml:space="preserve">-</w:t>
      </w:r>
      <w:r>
        <w:t xml:space="preserve"> </w:t>
      </w:r>
      <w:r>
        <w:rPr>
          <w:b/>
          <w:bCs/>
        </w:rPr>
        <w:t xml:space="preserve">SAPOMEX</w:t>
      </w:r>
      <w:r>
        <w:t xml:space="preserve"> </w:t>
      </w:r>
      <w:r>
        <w:t xml:space="preserve">(KPMA Biotic) — Comprimé pelliculé 200 mg, B/20</w:t>
      </w:r>
      <w:r>
        <w:t xml:space="preserve"> </w:t>
      </w:r>
      <w:r>
        <w:t xml:space="preserve">-</w:t>
      </w:r>
      <w:r>
        <w:t xml:space="preserve"> </w:t>
      </w:r>
      <w:r>
        <w:rPr>
          <w:b/>
          <w:bCs/>
        </w:rPr>
        <w:t xml:space="preserve">UBACTIVE 200 MG</w:t>
      </w:r>
      <w:r>
        <w:t xml:space="preserve"> </w:t>
      </w:r>
      <w:r>
        <w:t xml:space="preserve">(Nadpharmadic) — Comprimé pelliculé sécable 200 mg, B/20</w:t>
      </w:r>
      <w:r>
        <w:t xml:space="preserve"> </w:t>
      </w:r>
      <w:r>
        <w:t xml:space="preserve">-</w:t>
      </w:r>
      <w:r>
        <w:t xml:space="preserve"> </w:t>
      </w:r>
      <w:r>
        <w:rPr>
          <w:b/>
          <w:bCs/>
        </w:rPr>
        <w:t xml:space="preserve">UPFEN</w:t>
      </w:r>
      <w:r>
        <w:t xml:space="preserve"> </w:t>
      </w:r>
      <w:r>
        <w:t xml:space="preserve">(Propharmal) — Comprimé pelliculé 200 mg, B/20</w:t>
      </w:r>
      <w:r>
        <w:t xml:space="preserve"> </w:t>
      </w:r>
      <w:r>
        <w:t xml:space="preserve">-</w:t>
      </w:r>
      <w:r>
        <w:t xml:space="preserve"> </w:t>
      </w:r>
      <w:r>
        <w:rPr>
          <w:b/>
          <w:bCs/>
        </w:rPr>
        <w:t xml:space="preserve">XYDOL 200</w:t>
      </w:r>
      <w:r>
        <w:t xml:space="preserve"> </w:t>
      </w:r>
      <w:r>
        <w:t xml:space="preserve">(Merinal) — Comprimé pelliculé 200 mg, B/20 (Liste II)</w:t>
      </w:r>
      <w:r>
        <w:t xml:space="preserve"> </w:t>
      </w:r>
      <w:r>
        <w:t xml:space="preserve">- Marques retirées (R) : AMADVIL (CPCM), ANTAFENE (LGPA), ANTARENE Gé (ELERTE), IBU 200 (Pharmethic), IBUPROFENE BIOGARAN, IBUPROFENE IVAL, IBUPROFENE UPC, INTRALGIS (Urgo), JAZOFEN, ULTRAFEN, NOVAMAL, RUPAN, SPIFEN, SUPERGIFEN.</w:t>
      </w:r>
    </w:p>
    <w:p>
      <w:pPr>
        <w:pStyle w:val="BodyText"/>
      </w:pPr>
      <w:r>
        <w:rPr>
          <w:b/>
          <w:bCs/>
        </w:rPr>
        <w:t xml:space="preserve">Comprimés / Gélules 400 mg :</w:t>
      </w:r>
      <w:r>
        <w:t xml:space="preserve"> </w:t>
      </w:r>
      <w:r>
        <w:t xml:space="preserve">-</w:t>
      </w:r>
      <w:r>
        <w:t xml:space="preserve"> </w:t>
      </w:r>
      <w:r>
        <w:rPr>
          <w:b/>
          <w:bCs/>
        </w:rPr>
        <w:t xml:space="preserve">ADFEN</w:t>
      </w:r>
      <w:r>
        <w:t xml:space="preserve"> </w:t>
      </w:r>
      <w:r>
        <w:t xml:space="preserve">(Lab. MM) — Comprimé pelliculé 400 mg, B/20</w:t>
      </w:r>
      <w:r>
        <w:t xml:space="preserve"> </w:t>
      </w:r>
      <w:r>
        <w:t xml:space="preserve">-</w:t>
      </w:r>
      <w:r>
        <w:t xml:space="preserve"> </w:t>
      </w:r>
      <w:r>
        <w:rPr>
          <w:b/>
          <w:bCs/>
        </w:rPr>
        <w:t xml:space="preserve">ANTALFEN</w:t>
      </w:r>
      <w:r>
        <w:t xml:space="preserve"> </w:t>
      </w:r>
      <w:r>
        <w:t xml:space="preserve">(Pharmalliance) — Comprimé pelliculé 400 mg, B/20 (Liste II)</w:t>
      </w:r>
      <w:r>
        <w:t xml:space="preserve"> </w:t>
      </w:r>
      <w:r>
        <w:t xml:space="preserve">-</w:t>
      </w:r>
      <w:r>
        <w:t xml:space="preserve"> </w:t>
      </w:r>
      <w:r>
        <w:rPr>
          <w:b/>
          <w:bCs/>
        </w:rPr>
        <w:t xml:space="preserve">BUTAFEN</w:t>
      </w:r>
      <w:r>
        <w:t xml:space="preserve"> </w:t>
      </w:r>
      <w:r>
        <w:t xml:space="preserve">(Biocare) — Comprimé pelliculé 600 mg, B/30 (Liste II)</w:t>
      </w:r>
      <w:r>
        <w:t xml:space="preserve"> </w:t>
      </w:r>
      <w:r>
        <w:t xml:space="preserve">-</w:t>
      </w:r>
      <w:r>
        <w:t xml:space="preserve"> </w:t>
      </w:r>
      <w:r>
        <w:rPr>
          <w:b/>
          <w:bCs/>
        </w:rPr>
        <w:t xml:space="preserve">BUTAFEN LP</w:t>
      </w:r>
      <w:r>
        <w:t xml:space="preserve"> </w:t>
      </w:r>
      <w:r>
        <w:t xml:space="preserve">(Biocare) — Microgranules en gélule LP 400 mg, B/20 (Liste II)</w:t>
      </w:r>
      <w:r>
        <w:t xml:space="preserve"> </w:t>
      </w:r>
      <w:r>
        <w:t xml:space="preserve">-</w:t>
      </w:r>
      <w:r>
        <w:t xml:space="preserve"> </w:t>
      </w:r>
      <w:r>
        <w:rPr>
          <w:b/>
          <w:bCs/>
        </w:rPr>
        <w:t xml:space="preserve">CALMOFEN</w:t>
      </w:r>
      <w:r>
        <w:t xml:space="preserve"> </w:t>
      </w:r>
      <w:r>
        <w:t xml:space="preserve">(Inpha-Medis) — Comprimé pelliculé 400 mg, B/20 (Liste II)</w:t>
      </w:r>
      <w:r>
        <w:t xml:space="preserve"> </w:t>
      </w:r>
      <w:r>
        <w:t xml:space="preserve">-</w:t>
      </w:r>
      <w:r>
        <w:t xml:space="preserve"> </w:t>
      </w:r>
      <w:r>
        <w:rPr>
          <w:b/>
          <w:bCs/>
        </w:rPr>
        <w:t xml:space="preserve">HUBIFEN</w:t>
      </w:r>
      <w:r>
        <w:t xml:space="preserve"> </w:t>
      </w:r>
      <w:r>
        <w:t xml:space="preserve">(Hupp Pharma) — Comprimé pelliculé 400 mg, B/20 (Liste II)</w:t>
      </w:r>
      <w:r>
        <w:t xml:space="preserve"> </w:t>
      </w:r>
      <w:r>
        <w:t xml:space="preserve">-</w:t>
      </w:r>
      <w:r>
        <w:t xml:space="preserve"> </w:t>
      </w:r>
      <w:r>
        <w:rPr>
          <w:b/>
          <w:bCs/>
        </w:rPr>
        <w:t xml:space="preserve">IBUPRANE</w:t>
      </w:r>
      <w:r>
        <w:t xml:space="preserve"> </w:t>
      </w:r>
      <w:r>
        <w:t xml:space="preserve">(Sanofi Aventis Algérie) — Comprimé pelliculé 400 mg, B/20 (Liste II)</w:t>
      </w:r>
      <w:r>
        <w:t xml:space="preserve"> </w:t>
      </w:r>
      <w:r>
        <w:t xml:space="preserve">-</w:t>
      </w:r>
      <w:r>
        <w:t xml:space="preserve"> </w:t>
      </w:r>
      <w:r>
        <w:rPr>
          <w:b/>
          <w:bCs/>
        </w:rPr>
        <w:t xml:space="preserve">IBUPROFAL</w:t>
      </w:r>
      <w:r>
        <w:t xml:space="preserve"> </w:t>
      </w:r>
      <w:r>
        <w:t xml:space="preserve">(Sophal) — Comprimé pelliculé 400 mg, B/20 (Liste II)</w:t>
      </w:r>
      <w:r>
        <w:t xml:space="preserve"> </w:t>
      </w:r>
      <w:r>
        <w:t xml:space="preserve">-</w:t>
      </w:r>
      <w:r>
        <w:t xml:space="preserve"> </w:t>
      </w:r>
      <w:r>
        <w:rPr>
          <w:b/>
          <w:bCs/>
        </w:rPr>
        <w:t xml:space="preserve">IBUPROFENE BEKER</w:t>
      </w:r>
      <w:r>
        <w:t xml:space="preserve"> </w:t>
      </w:r>
      <w:r>
        <w:t xml:space="preserve">(Lab. Beker) — Comprimé pelliculé 400 mg, B/20 et B/100 (Liste II)</w:t>
      </w:r>
      <w:r>
        <w:t xml:space="preserve"> </w:t>
      </w:r>
      <w:r>
        <w:t xml:space="preserve">-</w:t>
      </w:r>
      <w:r>
        <w:t xml:space="preserve"> </w:t>
      </w:r>
      <w:r>
        <w:rPr>
          <w:b/>
          <w:bCs/>
        </w:rPr>
        <w:t xml:space="preserve">IBUMAL</w:t>
      </w:r>
      <w:r>
        <w:t xml:space="preserve"> </w:t>
      </w:r>
      <w:r>
        <w:t xml:space="preserve">(Saidal) — Comprimé pelliculé 400 mg, B/15 (Liste II)</w:t>
      </w:r>
      <w:r>
        <w:t xml:space="preserve"> </w:t>
      </w:r>
      <w:r>
        <w:t xml:space="preserve">-</w:t>
      </w:r>
      <w:r>
        <w:t xml:space="preserve"> </w:t>
      </w:r>
      <w:r>
        <w:rPr>
          <w:b/>
          <w:bCs/>
        </w:rPr>
        <w:t xml:space="preserve">NARUFENE</w:t>
      </w:r>
      <w:r>
        <w:t xml:space="preserve"> </w:t>
      </w:r>
      <w:r>
        <w:t xml:space="preserve">(Pharmidal NS) — Comprimé pelliculé 400 mg, B/20 (Liste II)</w:t>
      </w:r>
      <w:r>
        <w:t xml:space="preserve"> </w:t>
      </w:r>
      <w:r>
        <w:t xml:space="preserve">-</w:t>
      </w:r>
      <w:r>
        <w:t xml:space="preserve"> </w:t>
      </w:r>
      <w:r>
        <w:rPr>
          <w:b/>
          <w:bCs/>
        </w:rPr>
        <w:t xml:space="preserve">NEOFEN</w:t>
      </w:r>
      <w:r>
        <w:t xml:space="preserve"> </w:t>
      </w:r>
      <w:r>
        <w:t xml:space="preserve">(Neomedic) — Comprimé pelliculé 400 mg, B/20 (Liste II)</w:t>
      </w:r>
      <w:r>
        <w:t xml:space="preserve"> </w:t>
      </w:r>
      <w:r>
        <w:t xml:space="preserve">-</w:t>
      </w:r>
      <w:r>
        <w:t xml:space="preserve"> </w:t>
      </w:r>
      <w:r>
        <w:rPr>
          <w:b/>
          <w:bCs/>
        </w:rPr>
        <w:t xml:space="preserve">NEUPREN</w:t>
      </w:r>
      <w:r>
        <w:t xml:space="preserve"> </w:t>
      </w:r>
      <w:r>
        <w:t xml:space="preserve">(Biogalenic) — Comprimé pelliculé 400 mg, B/20 (Liste II)</w:t>
      </w:r>
      <w:r>
        <w:t xml:space="preserve"> </w:t>
      </w:r>
      <w:r>
        <w:t xml:space="preserve">-</w:t>
      </w:r>
      <w:r>
        <w:t xml:space="preserve"> </w:t>
      </w:r>
      <w:r>
        <w:rPr>
          <w:b/>
          <w:bCs/>
        </w:rPr>
        <w:t xml:space="preserve">PROF</w:t>
      </w:r>
      <w:r>
        <w:t xml:space="preserve"> </w:t>
      </w:r>
      <w:r>
        <w:t xml:space="preserve">(El Kendi) — Comprimé pelliculé 400 mg, B/30 (Liste II)</w:t>
      </w:r>
      <w:r>
        <w:t xml:space="preserve"> </w:t>
      </w:r>
      <w:r>
        <w:t xml:space="preserve">-</w:t>
      </w:r>
      <w:r>
        <w:t xml:space="preserve"> </w:t>
      </w:r>
      <w:r>
        <w:rPr>
          <w:b/>
          <w:bCs/>
        </w:rPr>
        <w:t xml:space="preserve">ROVIL CAPS</w:t>
      </w:r>
      <w:r>
        <w:t xml:space="preserve"> </w:t>
      </w:r>
      <w:r>
        <w:t xml:space="preserve">(Rovac) — Capsule molle 400 mg, B/14</w:t>
      </w:r>
      <w:r>
        <w:t xml:space="preserve"> </w:t>
      </w:r>
      <w:r>
        <w:t xml:space="preserve">-</w:t>
      </w:r>
      <w:r>
        <w:t xml:space="preserve"> </w:t>
      </w:r>
      <w:r>
        <w:rPr>
          <w:b/>
          <w:bCs/>
        </w:rPr>
        <w:t xml:space="preserve">SAPOFEN</w:t>
      </w:r>
      <w:r>
        <w:t xml:space="preserve"> </w:t>
      </w:r>
      <w:r>
        <w:t xml:space="preserve">(Spimaco) — Comprimé 400 mg, B/20 (Liste II)</w:t>
      </w:r>
      <w:r>
        <w:t xml:space="preserve"> </w:t>
      </w:r>
      <w:r>
        <w:t xml:space="preserve">-</w:t>
      </w:r>
      <w:r>
        <w:t xml:space="preserve"> </w:t>
      </w:r>
      <w:r>
        <w:rPr>
          <w:b/>
          <w:bCs/>
        </w:rPr>
        <w:t xml:space="preserve">UBACTIVE 400 MG</w:t>
      </w:r>
      <w:r>
        <w:t xml:space="preserve"> </w:t>
      </w:r>
      <w:r>
        <w:t xml:space="preserve">(Nadpharmadic) — Comprimé pelliculé 400 mg, B/20 (Liste II)</w:t>
      </w:r>
      <w:r>
        <w:t xml:space="preserve"> </w:t>
      </w:r>
      <w:r>
        <w:t xml:space="preserve">-</w:t>
      </w:r>
      <w:r>
        <w:t xml:space="preserve"> </w:t>
      </w:r>
      <w:r>
        <w:rPr>
          <w:b/>
          <w:bCs/>
        </w:rPr>
        <w:t xml:space="preserve">XYDOL 400</w:t>
      </w:r>
      <w:r>
        <w:t xml:space="preserve"> </w:t>
      </w:r>
      <w:r>
        <w:t xml:space="preserve">(Merinal) — Comprimé pelliculé 400 mg, B/20 (Liste II)</w:t>
      </w:r>
      <w:r>
        <w:t xml:space="preserve"> </w:t>
      </w:r>
      <w:r>
        <w:t xml:space="preserve">- Marques retirées (R) : ANTARENE Gé, BALKAPROFEN, BIOFENE, JAZOFEN, NOVAMAL, RUPAN, SPIFEN, SUPERGIFEN, ULTRAFEN, REMOFEN, IBUPROFENE UPC.</w:t>
      </w:r>
    </w:p>
    <w:p>
      <w:pPr>
        <w:pStyle w:val="BodyText"/>
      </w:pPr>
      <w:r>
        <w:rPr>
          <w:b/>
          <w:bCs/>
        </w:rPr>
        <w:t xml:space="preserve">Comprimés 600 mg :</w:t>
      </w:r>
      <w:r>
        <w:t xml:space="preserve"> </w:t>
      </w:r>
      <w:r>
        <w:t xml:space="preserve">-</w:t>
      </w:r>
      <w:r>
        <w:t xml:space="preserve"> </w:t>
      </w:r>
      <w:r>
        <w:rPr>
          <w:b/>
          <w:bCs/>
        </w:rPr>
        <w:t xml:space="preserve">HUBIFEN</w:t>
      </w:r>
      <w:r>
        <w:t xml:space="preserve"> </w:t>
      </w:r>
      <w:r>
        <w:t xml:space="preserve">(Hupp Pharma) — Comprimé pelliculé 600 mg, B/30 (Liste II)</w:t>
      </w:r>
      <w:r>
        <w:t xml:space="preserve"> </w:t>
      </w:r>
      <w:r>
        <w:t xml:space="preserve">-</w:t>
      </w:r>
      <w:r>
        <w:t xml:space="preserve"> </w:t>
      </w:r>
      <w:r>
        <w:rPr>
          <w:b/>
          <w:bCs/>
        </w:rPr>
        <w:t xml:space="preserve">IBUPRANE</w:t>
      </w:r>
      <w:r>
        <w:t xml:space="preserve"> </w:t>
      </w:r>
      <w:r>
        <w:t xml:space="preserve">(Sanofi Aventis Algérie) — Comprimé pelliculé 600 mg, B/20 (Liste II)</w:t>
      </w:r>
      <w:r>
        <w:t xml:space="preserve"> </w:t>
      </w:r>
      <w:r>
        <w:t xml:space="preserve">-</w:t>
      </w:r>
      <w:r>
        <w:t xml:space="preserve"> </w:t>
      </w:r>
      <w:r>
        <w:rPr>
          <w:b/>
          <w:bCs/>
        </w:rPr>
        <w:t xml:space="preserve">IBUPROFAL</w:t>
      </w:r>
      <w:r>
        <w:t xml:space="preserve"> </w:t>
      </w:r>
      <w:r>
        <w:t xml:space="preserve">(Sophal) — Comprimé pelliculé 600 mg, B/20 (Liste II)</w:t>
      </w:r>
      <w:r>
        <w:t xml:space="preserve"> </w:t>
      </w:r>
      <w:r>
        <w:t xml:space="preserve">-</w:t>
      </w:r>
      <w:r>
        <w:t xml:space="preserve"> </w:t>
      </w:r>
      <w:r>
        <w:rPr>
          <w:b/>
          <w:bCs/>
        </w:rPr>
        <w:t xml:space="preserve">IBUPROFENE BEKER</w:t>
      </w:r>
      <w:r>
        <w:t xml:space="preserve"> </w:t>
      </w:r>
      <w:r>
        <w:t xml:space="preserve">(Lab. Beker) — Comprimé pelliculé 600 mg, B/20 (Liste II)</w:t>
      </w:r>
      <w:r>
        <w:t xml:space="preserve"> </w:t>
      </w:r>
      <w:r>
        <w:t xml:space="preserve">-</w:t>
      </w:r>
      <w:r>
        <w:t xml:space="preserve"> </w:t>
      </w:r>
      <w:r>
        <w:rPr>
          <w:b/>
          <w:bCs/>
        </w:rPr>
        <w:t xml:space="preserve">NARUFENE</w:t>
      </w:r>
      <w:r>
        <w:t xml:space="preserve"> </w:t>
      </w:r>
      <w:r>
        <w:t xml:space="preserve">(Pharmidal NS) — Comprimé pelliculé 600 mg, B/30 (Liste II)</w:t>
      </w:r>
      <w:r>
        <w:t xml:space="preserve"> </w:t>
      </w:r>
      <w:r>
        <w:t xml:space="preserve">-</w:t>
      </w:r>
      <w:r>
        <w:t xml:space="preserve"> </w:t>
      </w:r>
      <w:r>
        <w:rPr>
          <w:b/>
          <w:bCs/>
        </w:rPr>
        <w:t xml:space="preserve">NEOFEN</w:t>
      </w:r>
      <w:r>
        <w:t xml:space="preserve"> </w:t>
      </w:r>
      <w:r>
        <w:t xml:space="preserve">(Neomedic) — Comprimé pelliculé 600 mg, B/30 (Liste II)</w:t>
      </w:r>
      <w:r>
        <w:t xml:space="preserve"> </w:t>
      </w:r>
      <w:r>
        <w:t xml:space="preserve">-</w:t>
      </w:r>
      <w:r>
        <w:t xml:space="preserve"> </w:t>
      </w:r>
      <w:r>
        <w:rPr>
          <w:b/>
          <w:bCs/>
        </w:rPr>
        <w:t xml:space="preserve">NEUPREN</w:t>
      </w:r>
      <w:r>
        <w:t xml:space="preserve"> </w:t>
      </w:r>
      <w:r>
        <w:t xml:space="preserve">(Biogalenic) — Comprimé pelliculé 600 mg, B/30 (Liste II)</w:t>
      </w:r>
      <w:r>
        <w:t xml:space="preserve"> </w:t>
      </w:r>
      <w:r>
        <w:t xml:space="preserve">-</w:t>
      </w:r>
      <w:r>
        <w:t xml:space="preserve"> </w:t>
      </w:r>
      <w:r>
        <w:rPr>
          <w:b/>
          <w:bCs/>
        </w:rPr>
        <w:t xml:space="preserve">SAPOMEX</w:t>
      </w:r>
      <w:r>
        <w:t xml:space="preserve"> </w:t>
      </w:r>
      <w:r>
        <w:t xml:space="preserve">(KPMA Biotic) — Comprimé pelliculé 600 mg, B/30 (Liste II)</w:t>
      </w:r>
      <w:r>
        <w:t xml:space="preserve"> </w:t>
      </w:r>
      <w:r>
        <w:t xml:space="preserve">-</w:t>
      </w:r>
      <w:r>
        <w:t xml:space="preserve"> </w:t>
      </w:r>
      <w:r>
        <w:rPr>
          <w:b/>
          <w:bCs/>
        </w:rPr>
        <w:t xml:space="preserve">SAPOFEN 600</w:t>
      </w:r>
      <w:r>
        <w:t xml:space="preserve"> </w:t>
      </w:r>
      <w:r>
        <w:t xml:space="preserve">(Spimaco) — Comprimé pelliculé 600 mg, B/30 (Liste II)</w:t>
      </w:r>
      <w:r>
        <w:t xml:space="preserve"> </w:t>
      </w:r>
      <w:r>
        <w:t xml:space="preserve">-</w:t>
      </w:r>
      <w:r>
        <w:t xml:space="preserve"> </w:t>
      </w:r>
      <w:r>
        <w:rPr>
          <w:b/>
          <w:bCs/>
        </w:rPr>
        <w:t xml:space="preserve">UBACTIVE 600 MG</w:t>
      </w:r>
      <w:r>
        <w:t xml:space="preserve"> </w:t>
      </w:r>
      <w:r>
        <w:t xml:space="preserve">(Nadpharmadic) — Comprimé pelliculé 600 mg, B/30 (Liste II)</w:t>
      </w:r>
      <w:r>
        <w:t xml:space="preserve"> </w:t>
      </w:r>
      <w:r>
        <w:t xml:space="preserve">-</w:t>
      </w:r>
      <w:r>
        <w:t xml:space="preserve"> </w:t>
      </w:r>
      <w:r>
        <w:rPr>
          <w:b/>
          <w:bCs/>
        </w:rPr>
        <w:t xml:space="preserve">XYDOL 600</w:t>
      </w:r>
      <w:r>
        <w:t xml:space="preserve"> </w:t>
      </w:r>
      <w:r>
        <w:t xml:space="preserve">(Merinal) — Comprimé pelliculé 600 mg, B/30 (Liste II)</w:t>
      </w:r>
      <w:r>
        <w:t xml:space="preserve"> </w:t>
      </w:r>
      <w:r>
        <w:t xml:space="preserve">-</w:t>
      </w:r>
      <w:r>
        <w:t xml:space="preserve"> </w:t>
      </w:r>
      <w:r>
        <w:rPr>
          <w:b/>
          <w:bCs/>
        </w:rPr>
        <w:t xml:space="preserve">SAPBUFEN</w:t>
      </w:r>
      <w:r>
        <w:t xml:space="preserve"> </w:t>
      </w:r>
      <w:r>
        <w:t xml:space="preserve">(Frater-Razes) — Granulés pour solution buvable en sachet adulte 600 mg, B/12</w:t>
      </w:r>
    </w:p>
    <w:p>
      <w:pPr>
        <w:pStyle w:val="BodyText"/>
      </w:pPr>
      <w:r>
        <w:rPr>
          <w:b/>
          <w:bCs/>
        </w:rPr>
        <w:t xml:space="preserve">Suspensions buvables (20 mg/mL = 100 mg/5 mL) :</w:t>
      </w:r>
      <w:r>
        <w:t xml:space="preserve"> </w:t>
      </w:r>
      <w:r>
        <w:t xml:space="preserve">-</w:t>
      </w:r>
      <w:r>
        <w:t xml:space="preserve"> </w:t>
      </w:r>
      <w:r>
        <w:rPr>
          <w:b/>
          <w:bCs/>
        </w:rPr>
        <w:t xml:space="preserve">ADFEN</w:t>
      </w:r>
      <w:r>
        <w:t xml:space="preserve"> </w:t>
      </w:r>
      <w:r>
        <w:t xml:space="preserve">(Lab. MM) — FL/180 mL + seringue graduée</w:t>
      </w:r>
      <w:r>
        <w:t xml:space="preserve"> </w:t>
      </w:r>
      <w:r>
        <w:t xml:space="preserve">-</w:t>
      </w:r>
      <w:r>
        <w:t xml:space="preserve"> </w:t>
      </w:r>
      <w:r>
        <w:rPr>
          <w:b/>
          <w:bCs/>
        </w:rPr>
        <w:t xml:space="preserve">ADVIFEN</w:t>
      </w:r>
      <w:r>
        <w:t xml:space="preserve"> </w:t>
      </w:r>
      <w:r>
        <w:t xml:space="preserve">(Pharmaghreb) — FL/125 mL (Liste II)</w:t>
      </w:r>
      <w:r>
        <w:t xml:space="preserve"> </w:t>
      </w:r>
      <w:r>
        <w:t xml:space="preserve">-</w:t>
      </w:r>
      <w:r>
        <w:t xml:space="preserve"> </w:t>
      </w:r>
      <w:r>
        <w:rPr>
          <w:b/>
          <w:bCs/>
        </w:rPr>
        <w:t xml:space="preserve">ALGIFEN</w:t>
      </w:r>
      <w:r>
        <w:t xml:space="preserve"> </w:t>
      </w:r>
      <w:r>
        <w:t xml:space="preserve">(Generic Lab) — FL/200 mL</w:t>
      </w:r>
      <w:r>
        <w:t xml:space="preserve"> </w:t>
      </w:r>
      <w:r>
        <w:t xml:space="preserve">-</w:t>
      </w:r>
      <w:r>
        <w:t xml:space="preserve"> </w:t>
      </w:r>
      <w:r>
        <w:rPr>
          <w:b/>
          <w:bCs/>
        </w:rPr>
        <w:t xml:space="preserve">ANTALFEN</w:t>
      </w:r>
      <w:r>
        <w:t xml:space="preserve"> </w:t>
      </w:r>
      <w:r>
        <w:t xml:space="preserve">(Pharmalliance) — FL/200 mL</w:t>
      </w:r>
      <w:r>
        <w:t xml:space="preserve"> </w:t>
      </w:r>
      <w:r>
        <w:t xml:space="preserve">-</w:t>
      </w:r>
      <w:r>
        <w:t xml:space="preserve"> </w:t>
      </w:r>
      <w:r>
        <w:rPr>
          <w:b/>
          <w:bCs/>
        </w:rPr>
        <w:t xml:space="preserve">ARDIL</w:t>
      </w:r>
      <w:r>
        <w:t xml:space="preserve"> </w:t>
      </w:r>
      <w:r>
        <w:t xml:space="preserve">(Physiopharm) — FL/200 mL</w:t>
      </w:r>
      <w:r>
        <w:t xml:space="preserve"> </w:t>
      </w:r>
      <w:r>
        <w:t xml:space="preserve">-</w:t>
      </w:r>
      <w:r>
        <w:t xml:space="preserve"> </w:t>
      </w:r>
      <w:r>
        <w:rPr>
          <w:b/>
          <w:bCs/>
        </w:rPr>
        <w:t xml:space="preserve">BUFEN</w:t>
      </w:r>
      <w:r>
        <w:t xml:space="preserve"> </w:t>
      </w:r>
      <w:r>
        <w:t xml:space="preserve">(Groupe Santé) (R) — FL/125 mL</w:t>
      </w:r>
      <w:r>
        <w:t xml:space="preserve"> </w:t>
      </w:r>
      <w:r>
        <w:t xml:space="preserve">-</w:t>
      </w:r>
      <w:r>
        <w:t xml:space="preserve"> </w:t>
      </w:r>
      <w:r>
        <w:rPr>
          <w:b/>
          <w:bCs/>
        </w:rPr>
        <w:t xml:space="preserve">CALMOFEN</w:t>
      </w:r>
      <w:r>
        <w:t xml:space="preserve"> </w:t>
      </w:r>
      <w:r>
        <w:t xml:space="preserve">(Inpha-Medis) — FL/125 mL</w:t>
      </w:r>
      <w:r>
        <w:t xml:space="preserve"> </w:t>
      </w:r>
      <w:r>
        <w:t xml:space="preserve">-</w:t>
      </w:r>
      <w:r>
        <w:t xml:space="preserve"> </w:t>
      </w:r>
      <w:r>
        <w:rPr>
          <w:b/>
          <w:bCs/>
        </w:rPr>
        <w:t xml:space="preserve">IBUFEN</w:t>
      </w:r>
      <w:r>
        <w:t xml:space="preserve"> </w:t>
      </w:r>
      <w:r>
        <w:t xml:space="preserve">(LAD Pharma) — FL/125 mL</w:t>
      </w:r>
      <w:r>
        <w:t xml:space="preserve"> </w:t>
      </w:r>
      <w:r>
        <w:t xml:space="preserve">-</w:t>
      </w:r>
      <w:r>
        <w:t xml:space="preserve"> </w:t>
      </w:r>
      <w:r>
        <w:rPr>
          <w:b/>
          <w:bCs/>
        </w:rPr>
        <w:t xml:space="preserve">IBUMAL</w:t>
      </w:r>
      <w:r>
        <w:t xml:space="preserve"> </w:t>
      </w:r>
      <w:r>
        <w:t xml:space="preserve">(Saidal) — Gel</w:t>
      </w:r>
      <w:r>
        <w:t xml:space="preserve"> </w:t>
      </w:r>
      <w:r>
        <w:t xml:space="preserve">-</w:t>
      </w:r>
      <w:r>
        <w:t xml:space="preserve"> </w:t>
      </w:r>
      <w:r>
        <w:rPr>
          <w:b/>
          <w:bCs/>
        </w:rPr>
        <w:t xml:space="preserve">IBUPROFENE PHYSIOPHARM</w:t>
      </w:r>
      <w:r>
        <w:t xml:space="preserve"> </w:t>
      </w:r>
      <w:r>
        <w:t xml:space="preserve">— Comprimés (ci-dessus)</w:t>
      </w:r>
      <w:r>
        <w:t xml:space="preserve"> </w:t>
      </w:r>
      <w:r>
        <w:t xml:space="preserve">-</w:t>
      </w:r>
      <w:r>
        <w:t xml:space="preserve"> </w:t>
      </w:r>
      <w:r>
        <w:rPr>
          <w:b/>
          <w:bCs/>
        </w:rPr>
        <w:t xml:space="preserve">LAMIFENE</w:t>
      </w:r>
      <w:r>
        <w:t xml:space="preserve"> </w:t>
      </w:r>
      <w:r>
        <w:t xml:space="preserve">(LAM) — FL/125 mL</w:t>
      </w:r>
      <w:r>
        <w:t xml:space="preserve"> </w:t>
      </w:r>
      <w:r>
        <w:t xml:space="preserve">-</w:t>
      </w:r>
      <w:r>
        <w:t xml:space="preserve"> </w:t>
      </w:r>
      <w:r>
        <w:rPr>
          <w:b/>
          <w:bCs/>
        </w:rPr>
        <w:t xml:space="preserve">NARUFENE 2%</w:t>
      </w:r>
      <w:r>
        <w:t xml:space="preserve"> </w:t>
      </w:r>
      <w:r>
        <w:t xml:space="preserve">(Pharmidal NS) — FL/125 mL</w:t>
      </w:r>
      <w:r>
        <w:t xml:space="preserve"> </w:t>
      </w:r>
      <w:r>
        <w:t xml:space="preserve">-</w:t>
      </w:r>
      <w:r>
        <w:t xml:space="preserve"> </w:t>
      </w:r>
      <w:r>
        <w:rPr>
          <w:b/>
          <w:bCs/>
        </w:rPr>
        <w:t xml:space="preserve">NEUPREN</w:t>
      </w:r>
      <w:r>
        <w:t xml:space="preserve"> </w:t>
      </w:r>
      <w:r>
        <w:t xml:space="preserve">(Biogalenic) — FL/200 mL</w:t>
      </w:r>
      <w:r>
        <w:t xml:space="preserve"> </w:t>
      </w:r>
      <w:r>
        <w:t xml:space="preserve">-</w:t>
      </w:r>
      <w:r>
        <w:t xml:space="preserve"> </w:t>
      </w:r>
      <w:r>
        <w:rPr>
          <w:b/>
          <w:bCs/>
        </w:rPr>
        <w:t xml:space="preserve">PACIFENE</w:t>
      </w:r>
      <w:r>
        <w:t xml:space="preserve"> </w:t>
      </w:r>
      <w:r>
        <w:t xml:space="preserve">(SPA UPC Production) — FL/125 mL</w:t>
      </w:r>
      <w:r>
        <w:t xml:space="preserve"> </w:t>
      </w:r>
      <w:r>
        <w:t xml:space="preserve">-</w:t>
      </w:r>
      <w:r>
        <w:t xml:space="preserve"> </w:t>
      </w:r>
      <w:r>
        <w:rPr>
          <w:b/>
          <w:bCs/>
        </w:rPr>
        <w:t xml:space="preserve">POLYPHENE</w:t>
      </w:r>
      <w:r>
        <w:t xml:space="preserve"> </w:t>
      </w:r>
      <w:r>
        <w:t xml:space="preserve">(Afropharm) — FL/100 mL</w:t>
      </w:r>
      <w:r>
        <w:t xml:space="preserve"> </w:t>
      </w:r>
      <w:r>
        <w:t xml:space="preserve">-</w:t>
      </w:r>
      <w:r>
        <w:t xml:space="preserve"> </w:t>
      </w:r>
      <w:r>
        <w:rPr>
          <w:b/>
          <w:bCs/>
        </w:rPr>
        <w:t xml:space="preserve">PROF</w:t>
      </w:r>
      <w:r>
        <w:t xml:space="preserve"> </w:t>
      </w:r>
      <w:r>
        <w:t xml:space="preserve">(El Kendi) — FL/100 mL + bouchon doseur</w:t>
      </w:r>
      <w:r>
        <w:t xml:space="preserve"> </w:t>
      </w:r>
      <w:r>
        <w:t xml:space="preserve">-</w:t>
      </w:r>
      <w:r>
        <w:t xml:space="preserve"> </w:t>
      </w:r>
      <w:r>
        <w:rPr>
          <w:b/>
          <w:bCs/>
        </w:rPr>
        <w:t xml:space="preserve">RUMIFEN</w:t>
      </w:r>
      <w:r>
        <w:t xml:space="preserve"> </w:t>
      </w:r>
      <w:r>
        <w:t xml:space="preserve">(LGPA) — FL/145 mL</w:t>
      </w:r>
      <w:r>
        <w:t xml:space="preserve"> </w:t>
      </w:r>
      <w:r>
        <w:t xml:space="preserve">-</w:t>
      </w:r>
      <w:r>
        <w:t xml:space="preserve"> </w:t>
      </w:r>
      <w:r>
        <w:rPr>
          <w:b/>
          <w:bCs/>
        </w:rPr>
        <w:t xml:space="preserve">XYDOL ENFANTS ET NOURRISSONS</w:t>
      </w:r>
      <w:r>
        <w:t xml:space="preserve"> </w:t>
      </w:r>
      <w:r>
        <w:t xml:space="preserve">(Merinal) — FL/200 mL</w:t>
      </w:r>
      <w:r>
        <w:t xml:space="preserve"> </w:t>
      </w:r>
      <w:r>
        <w:t xml:space="preserve">- Marques retirées : BRUFEN (Abbott), SAPOFEN JUNIOR (Spimaco), DOLORAZ, GEFENE, IBUMAL (suspension historique).</w:t>
      </w:r>
    </w:p>
    <w:p>
      <w:pPr>
        <w:pStyle w:val="BodyText"/>
      </w:pPr>
      <w:r>
        <w:rPr>
          <w:b/>
          <w:bCs/>
        </w:rPr>
        <w:t xml:space="preserve">Gels dermiques (5 %) :</w:t>
      </w:r>
      <w:r>
        <w:t xml:space="preserve"> </w:t>
      </w:r>
      <w:r>
        <w:t xml:space="preserve">-</w:t>
      </w:r>
      <w:r>
        <w:t xml:space="preserve"> </w:t>
      </w:r>
      <w:r>
        <w:rPr>
          <w:b/>
          <w:bCs/>
        </w:rPr>
        <w:t xml:space="preserve">ANTALFEN GEL</w:t>
      </w:r>
      <w:r>
        <w:t xml:space="preserve"> </w:t>
      </w:r>
      <w:r>
        <w:t xml:space="preserve">(Pharmalliance) — Tube 50 g, 5 %</w:t>
      </w:r>
      <w:r>
        <w:t xml:space="preserve"> </w:t>
      </w:r>
      <w:r>
        <w:t xml:space="preserve">-</w:t>
      </w:r>
      <w:r>
        <w:t xml:space="preserve"> </w:t>
      </w:r>
      <w:r>
        <w:rPr>
          <w:b/>
          <w:bCs/>
        </w:rPr>
        <w:t xml:space="preserve">GELFEN 5%</w:t>
      </w:r>
      <w:r>
        <w:t xml:space="preserve"> </w:t>
      </w:r>
      <w:r>
        <w:t xml:space="preserve">(LDM) — Tube 50 g, 5 %</w:t>
      </w:r>
      <w:r>
        <w:t xml:space="preserve"> </w:t>
      </w:r>
      <w:r>
        <w:t xml:space="preserve">-</w:t>
      </w:r>
      <w:r>
        <w:t xml:space="preserve"> </w:t>
      </w:r>
      <w:r>
        <w:rPr>
          <w:b/>
          <w:bCs/>
        </w:rPr>
        <w:t xml:space="preserve">IBUMAL</w:t>
      </w:r>
      <w:r>
        <w:t xml:space="preserve"> </w:t>
      </w:r>
      <w:r>
        <w:t xml:space="preserve">(Saidal) — Tube 40 g, 5 %</w:t>
      </w:r>
    </w:p>
    <w:p>
      <w:pPr>
        <w:pStyle w:val="BodyText"/>
      </w:pPr>
      <w:r>
        <w:rPr>
          <w:b/>
          <w:bCs/>
        </w:rPr>
        <w:t xml:space="preserve">Suppositoires 500 mg :</w:t>
      </w:r>
      <w:r>
        <w:t xml:space="preserve"> </w:t>
      </w:r>
      <w:r>
        <w:t xml:space="preserve">-</w:t>
      </w:r>
      <w:r>
        <w:t xml:space="preserve"> </w:t>
      </w:r>
      <w:r>
        <w:rPr>
          <w:b/>
          <w:bCs/>
        </w:rPr>
        <w:t xml:space="preserve">CROMIVAL</w:t>
      </w:r>
      <w:r>
        <w:t xml:space="preserve"> </w:t>
      </w:r>
      <w:r>
        <w:t xml:space="preserve">(Crovis Philcom) (R) — B/12 (Liste II)</w:t>
      </w:r>
      <w:r>
        <w:t xml:space="preserve"> </w:t>
      </w:r>
      <w:r>
        <w:t xml:space="preserve">-</w:t>
      </w:r>
      <w:r>
        <w:t xml:space="preserve"> </w:t>
      </w:r>
      <w:r>
        <w:rPr>
          <w:b/>
          <w:bCs/>
        </w:rPr>
        <w:t xml:space="preserve">IBUMAL</w:t>
      </w:r>
      <w:r>
        <w:t xml:space="preserve"> </w:t>
      </w:r>
      <w:r>
        <w:t xml:space="preserve">(Saidal) (R) — B/10 (Liste II)</w:t>
      </w:r>
    </w:p>
    <w:p>
      <w:pPr>
        <w:pStyle w:val="BodyText"/>
      </w:pPr>
      <w:r>
        <w:rPr>
          <w:b/>
          <w:bCs/>
        </w:rPr>
        <w:t xml:space="preserve">Granulés pour solution buvable en sachet :</w:t>
      </w:r>
      <w:r>
        <w:t xml:space="preserve"> </w:t>
      </w:r>
      <w:r>
        <w:t xml:space="preserve">-</w:t>
      </w:r>
      <w:r>
        <w:t xml:space="preserve"> </w:t>
      </w:r>
      <w:r>
        <w:rPr>
          <w:b/>
          <w:bCs/>
        </w:rPr>
        <w:t xml:space="preserve">SAPBUFEN</w:t>
      </w:r>
      <w:r>
        <w:t xml:space="preserve"> </w:t>
      </w:r>
      <w:r>
        <w:t xml:space="preserve">(Frater-Razes Forme Sèche) — Granulés pour solution buvable en sachet adulte 600 mg, B/12</w:t>
      </w:r>
    </w:p>
    <w:p>
      <w:pPr>
        <w:pStyle w:val="BodyText"/>
      </w:pPr>
      <w:r>
        <w:rPr>
          <w:b/>
          <w:bCs/>
        </w:rPr>
        <w:t xml:space="preserve">Statut :</w:t>
      </w:r>
      <w:r>
        <w:t xml:space="preserve"> </w:t>
      </w:r>
      <w:r>
        <w:t xml:space="preserve">La grande majorité des spécialités sont ACTIVES. Les produits marqués (R) sont retirés du marché algérien, ceux marqués (NR) sont non renouvelés. Le marché algérien de l’ibuprofène reste l’un des plus fournis du Maghreb, avec un couplage fort entre génériques locaux (Saidal, Sophal, Beker, Merinal, El Kendi, Biopharm, Propharmal, Nadpharmadic, Inpha-Medis) et importations.</w:t>
      </w:r>
    </w:p>
    <w:p>
      <w:pPr>
        <w:pStyle w:val="BodyText"/>
      </w:pPr>
      <w:r>
        <w:rPr>
          <w:b/>
          <w:bCs/>
        </w:rPr>
        <w:t xml:space="preserve">Sous-classe et Mécanisme d’action :</w:t>
      </w:r>
      <w:r>
        <w:t xml:space="preserve"> </w:t>
      </w:r>
      <w:r>
        <w:t xml:space="preserve">- Sous-classe : Dérivé arylpropionique (profène), AINS non sélectif de la COX (ratio COX-1/COX-2 modéré).</w:t>
      </w:r>
      <w:r>
        <w:t xml:space="preserve"> </w:t>
      </w:r>
      <w:r>
        <w:t xml:space="preserve">- Mécanisme d’action : Inhibition réversible et compétitive des cyclo-oxygénases COX-1 et COX-2 → blocage de la conversion de l’acide arachidonique en endoperoxydes (PGG2, PGH2) → baisse de la synthèse des prostaglandines PGE2 (inflammation, pyrogène hypothalamique), PGI2 (prostacycline vasodilatatrice et cytoprotectrice gastrique) et TXA2 (agrégation plaquettaire). Effet anti-inflammatoire (COX-2), antalgique périphérique et central (COX-2 spinale), antipyrétique (centre hypothalamique). L’inhibition plaquettaire est transitoire et réversible (4–6 h), contrairement à l’aspirine.</w:t>
      </w:r>
    </w:p>
    <w:p>
      <w:pPr>
        <w:pStyle w:val="BodyText"/>
      </w:pPr>
      <w:r>
        <w:rPr>
          <w:b/>
          <w:bCs/>
        </w:rPr>
        <w:t xml:space="preserve">Profil Pharmacologique :</w:t>
      </w:r>
      <w:r>
        <w:t xml:space="preserve"> </w:t>
      </w:r>
      <w:r>
        <w:t xml:space="preserve">- Indications : Traitement symptomatique des douleurs légères à modérées (céphalées, dysménorrhée, douleurs dentaires, post-opératoires, musculo-squelettiques, arthrose, rhumatismes abarticulaires) ; traitement symptomatique de la fièvre ; traitement de fond de la polyarthrite rhumatoïde, spondylarthrite ankylosante, arthrose (à dose anti-inflammatoire 1200–2400 mg/j) ; traitement adjuvant de la migraine (en association) ; palier 1 OMS.</w:t>
      </w:r>
      <w:r>
        <w:t xml:space="preserve"> </w:t>
      </w:r>
      <w:r>
        <w:t xml:space="preserve">- Contre-indications : (1) Hypersensibilité à l’ibuprofène ou à un autre AINS (notamment terrain d’asthme aspirine-sensible, polypose naso-sinusienne, angio-œdème). (2) Ulcère gastro-duodénal en évolution ou antécédent récent (≤ 1 an). (3) Insuffisance hépatique sévère, insuffisance rénale sévère (DFG &lt; 30 mL/min). (4) Insuffisance cardiaque sévère. (5) Grossesse 3e trimestre (à partir de 24 SA) : fermeture prématurée du canal artériel, oligoamnios, inhibition des contractions. (6) Hémorragie cérébrale ou active. (7) Lupus erythémateux disséminé (relatif). (8) Enfant &lt; 3 mois ou &lt; 5 kg (selon dosage). (9) Varicelle en cours (risque de surinfection streptococcique cutanée).</w:t>
      </w:r>
      <w:r>
        <w:t xml:space="preserve"> </w:t>
      </w:r>
      <w:r>
        <w:t xml:space="preserve">- Effets Indésirables :</w:t>
      </w:r>
      <w:r>
        <w:t xml:space="preserve"> </w:t>
      </w:r>
      <w:r>
        <w:t xml:space="preserve">- Digestifs (&gt;10 %) : dyspepsie, nausées, douleurs épigastriques, ulcère gastro-duodénal, hémorragie digestive, perforation (rare mais grave).</w:t>
      </w:r>
      <w:r>
        <w:t xml:space="preserve"> </w:t>
      </w:r>
      <w:r>
        <w:t xml:space="preserve">- Rénaux : insuffisance rénale aiguë fonctionnelle (surtout hypovolémie, IEC/ARA2/diurétiques), néphropathie interstitielle aiguë, syndrome néphrotique, hyperkaliémie, rétention hydrosodée (œdèmes, HTA).</w:t>
      </w:r>
      <w:r>
        <w:t xml:space="preserve"> </w:t>
      </w:r>
      <w:r>
        <w:t xml:space="preserve">- Cardiovasculaires : majoration modérée du risque d’événements thrombotiques artériels (RR ~ 1,3–1,5 selon méta-analyses), HTA, insuffisance cardiaque.</w:t>
      </w:r>
      <w:r>
        <w:t xml:space="preserve"> </w:t>
      </w:r>
      <w:r>
        <w:t xml:space="preserve">- Hépatiques : cytolyse, cholestase (rares), hépatites cytolytiques sévères (très rares).</w:t>
      </w:r>
      <w:r>
        <w:t xml:space="preserve"> </w:t>
      </w:r>
      <w:r>
        <w:t xml:space="preserve">- Neurologiques : céphalées, vertiges, somnolence, fatigue.</w:t>
      </w:r>
      <w:r>
        <w:t xml:space="preserve"> </w:t>
      </w:r>
      <w:r>
        <w:t xml:space="preserve">- Cutanés : éruptions, prurit, urticaire ; très rarement syndrome de Stevens-Johnson, syndrome de Lyell, DRESS, pustulose exanthématique aiguë généralisée (PEAG).</w:t>
      </w:r>
      <w:r>
        <w:t xml:space="preserve"> </w:t>
      </w:r>
      <w:r>
        <w:t xml:space="preserve">- Hématologiques : thrombopénie, neutropénie, anémie hémolytique auto-immune (rares).</w:t>
      </w:r>
      <w:r>
        <w:t xml:space="preserve"> </w:t>
      </w:r>
      <w:r>
        <w:t xml:space="preserve">- Respiratoires : bronchospasme chez le sujet asthmatique aspirine-sensible.</w:t>
      </w:r>
    </w:p>
    <w:p>
      <w:pPr>
        <w:pStyle w:val="BodyText"/>
      </w:pPr>
      <w:r>
        <w:rPr>
          <w:b/>
          <w:bCs/>
        </w:rPr>
        <w:t xml:space="preserve">Prévention et Gestion des Effets Indésirables :</w:t>
      </w:r>
      <w:r>
        <w:t xml:space="preserve"> </w:t>
      </w:r>
      <w:r>
        <w:t xml:space="preserve">- Mesures Préventives : (1) Posologie minimale efficace, durée la plus courte possible (3 jours pour fièvre, 5 jours pour douleur sans avis médical). (2) Prise au cours du repas pour réduire la toxicité gastrique. (3) Co-prescription d’IPP (oméprazole 20 mg ou pantoprazole 20 mg) en cas d’antécédent ulcéreux, âge &gt; 65 ans, corticothérapie ou anticoagulants associés. (4) Hydratation adéquate, surtout chez le sujet âgé. (5) Surveillance de la fonction rénale et de la TA si traitement &gt; 7 jours. (6) Éviter l’association à un autre AINS ou à l’aspirine (sauf cardiologie). (7) Éviter la prise chez le patient déshydraté, hypovolémique, ou sous IEC/ARA2 + diurétique.</w:t>
      </w:r>
      <w:r>
        <w:t xml:space="preserve"> </w:t>
      </w:r>
      <w:r>
        <w:t xml:space="preserve">- Conduite à Tenir : (1) Arrêt immédiat en cas de melæna, hématémèse, douleur épigastrique intense, vomissements, vertiges importants, éruption cutanée avec fièvre (DRESS, Stevens-Johnson). (2) Consultation urgente si insuffisance rénale (oligurie, œdèmes), ictère, asthénie profonde. (3) Surveillance biologique (NFS, créatinine, transaminases, ionogramme) si traitement &gt; 2 semaines.</w:t>
      </w:r>
    </w:p>
    <w:p>
      <w:pPr>
        <w:pStyle w:val="BodyText"/>
      </w:pPr>
      <w:r>
        <w:rPr>
          <w:b/>
          <w:bCs/>
        </w:rPr>
        <w:t xml:space="preserve">Interactions Importantes :</w:t>
      </w:r>
      <w:r>
        <w:t xml:space="preserve"> </w:t>
      </w:r>
      <w:r>
        <w:t xml:space="preserve">-</w:t>
      </w:r>
      <w:r>
        <w:t xml:space="preserve"> </w:t>
      </w:r>
      <w:r>
        <w:rPr>
          <w:b/>
          <w:bCs/>
        </w:rPr>
        <w:t xml:space="preserve">Ibuprofène + AVK (warfarine, acénocoumarol)</w:t>
      </w:r>
      <w:r>
        <w:t xml:space="preserve"> </w:t>
      </w:r>
      <w:r>
        <w:t xml:space="preserve">: majoration du risque hémorragique (effet anticoagulant majoré par déplacement des liaisons protéiques et toxicité digestive). Surveillance INR, contrôler l’INR 3-4 jours après début/fin d’ibuprofène.</w:t>
      </w:r>
      <w:r>
        <w:t xml:space="preserve"> </w:t>
      </w:r>
      <w:r>
        <w:t xml:space="preserve">-</w:t>
      </w:r>
      <w:r>
        <w:t xml:space="preserve"> </w:t>
      </w:r>
      <w:r>
        <w:rPr>
          <w:b/>
          <w:bCs/>
        </w:rPr>
        <w:t xml:space="preserve">Ibuprofène + Aspirine à dose antiagrégante (75–300 mg)</w:t>
      </w:r>
      <w:r>
        <w:t xml:space="preserve"> </w:t>
      </w:r>
      <w:r>
        <w:t xml:space="preserve">: baisse de l’effet cardioprotecteur de l’aspirine (compétition au site de liaison de la COX-1 plaquettaire) ; addition des toxicités digestives. À éviter en pratique, ou espacer de 8 h (aspirine le matin à jeun, ibuprofène 2 h après).</w:t>
      </w:r>
      <w:r>
        <w:t xml:space="preserve"> </w:t>
      </w:r>
      <w:r>
        <w:t xml:space="preserve">-</w:t>
      </w:r>
      <w:r>
        <w:t xml:space="preserve"> </w:t>
      </w:r>
      <w:r>
        <w:rPr>
          <w:b/>
          <w:bCs/>
        </w:rPr>
        <w:t xml:space="preserve">Ibuprofène + IEC/ARA2 + diurétiques</w:t>
      </w:r>
      <w:r>
        <w:t xml:space="preserve"> </w:t>
      </w:r>
      <w:r>
        <w:t xml:space="preserve">: effet triade néphrotoxique majoré → insuffisance rénale aiguë fonctionnelle. Surveillance stricte de la créatinine, de la kaliémie et de la TA.</w:t>
      </w:r>
      <w:r>
        <w:t xml:space="preserve"> </w:t>
      </w:r>
      <w:r>
        <w:t xml:space="preserve">-</w:t>
      </w:r>
      <w:r>
        <w:t xml:space="preserve"> </w:t>
      </w:r>
      <w:r>
        <w:rPr>
          <w:b/>
          <w:bCs/>
        </w:rPr>
        <w:t xml:space="preserve">Ibuprofène + Lithium</w:t>
      </w:r>
      <w:r>
        <w:t xml:space="preserve"> </w:t>
      </w:r>
      <w:r>
        <w:t xml:space="preserve">: baisse de la clairance rénale du lithium (PG-dépendante) → toxicité lithium (tremblements, confusion, polyurie). Contrôle lithémie 5 jours après début/fin.</w:t>
      </w:r>
      <w:r>
        <w:t xml:space="preserve"> </w:t>
      </w:r>
      <w:r>
        <w:t xml:space="preserve">-</w:t>
      </w:r>
      <w:r>
        <w:t xml:space="preserve"> </w:t>
      </w:r>
      <w:r>
        <w:rPr>
          <w:b/>
          <w:bCs/>
        </w:rPr>
        <w:t xml:space="preserve">Ibuprofène + Méthotrexate (hautes doses)</w:t>
      </w:r>
      <w:r>
        <w:t xml:space="preserve"> </w:t>
      </w:r>
      <w:r>
        <w:t xml:space="preserve">: baisse de l’élimination du MTX → toxicité hématologique. Espacer ≥ 12 h (à dose IV oncologique).</w:t>
      </w:r>
      <w:r>
        <w:t xml:space="preserve"> </w:t>
      </w:r>
      <w:r>
        <w:t xml:space="preserve">-</w:t>
      </w:r>
      <w:r>
        <w:t xml:space="preserve"> </w:t>
      </w:r>
      <w:r>
        <w:rPr>
          <w:b/>
          <w:bCs/>
        </w:rPr>
        <w:t xml:space="preserve">Ibuprofène + Inhibiteurs de la SGLT2</w:t>
      </w:r>
      <w:r>
        <w:t xml:space="preserve"> </w:t>
      </w:r>
      <w:r>
        <w:t xml:space="preserve">: risque de majoration de l’acidocétose euglycémique.</w:t>
      </w:r>
      <w:r>
        <w:t xml:space="preserve"> </w:t>
      </w:r>
      <w:r>
        <w:t xml:space="preserve">-</w:t>
      </w:r>
      <w:r>
        <w:t xml:space="preserve"> </w:t>
      </w:r>
      <w:r>
        <w:rPr>
          <w:b/>
          <w:bCs/>
        </w:rPr>
        <w:t xml:space="preserve">Ibuprofène + Alcool</w:t>
      </w:r>
      <w:r>
        <w:t xml:space="preserve"> </w:t>
      </w:r>
      <w:r>
        <w:t xml:space="preserve">: potentialisation de la toxicité digestive.</w:t>
      </w:r>
      <w:r>
        <w:t xml:space="preserve"> </w:t>
      </w:r>
      <w:r>
        <w:t xml:space="preserve">-</w:t>
      </w:r>
      <w:r>
        <w:t xml:space="preserve"> </w:t>
      </w:r>
      <w:r>
        <w:rPr>
          <w:b/>
          <w:bCs/>
        </w:rPr>
        <w:t xml:space="preserve">Ibuprofène + Ciclosporine, Tacrolimus</w:t>
      </w:r>
      <w:r>
        <w:t xml:space="preserve"> </w:t>
      </w:r>
      <w:r>
        <w:t xml:space="preserve">: néphrotoxicité additive.</w:t>
      </w:r>
      <w:r>
        <w:t xml:space="preserve"> </w:t>
      </w:r>
      <w:r>
        <w:t xml:space="preserve">-</w:t>
      </w:r>
      <w:r>
        <w:t xml:space="preserve"> </w:t>
      </w:r>
      <w:r>
        <w:rPr>
          <w:b/>
          <w:bCs/>
        </w:rPr>
        <w:t xml:space="preserve">Ibuprofène + Inhibiteurs sélectifs de la recapture de la sérotonine (ISRS)</w:t>
      </w:r>
      <w:r>
        <w:t xml:space="preserve"> </w:t>
      </w:r>
      <w:r>
        <w:t xml:space="preserve">: majoration du risque hémorragique digestif.</w:t>
      </w:r>
    </w:p>
    <w:p>
      <w:pPr>
        <w:pStyle w:val="BodyText"/>
      </w:pPr>
      <w:r>
        <w:rPr>
          <w:b/>
          <w:bCs/>
        </w:rPr>
        <w:t xml:space="preserve">Grossesse et Allaitement :</w:t>
      </w:r>
      <w:r>
        <w:t xml:space="preserve"> </w:t>
      </w:r>
      <w:r>
        <w:t xml:space="preserve">- Grossesse : (selon CRAT) — 1er et 2e trimestres : utilisation ponctuelle possible (préférable au diclofénac ou à l’indométacine). Éviter l’utilisation chronique. 3e trimestre (≥ 24 SA) : CI absolue (fermeture prématurée du canal artériel avec HTAP persistante néonatale, oligoamnios, inhibition des contractions, allongement du travail). Fertilité : l’ibuprofène peut altérer la fertilité féminine par inhibition de l’ovulation (effet réversible à l’arrêt).</w:t>
      </w:r>
      <w:r>
        <w:t xml:space="preserve"> </w:t>
      </w:r>
      <w:r>
        <w:t xml:space="preserve">- Allaitement : (selon CRAT et Lactmed) — Compatible aux doses habituelles (≤ 1200 mg/j, dose unique ou traitement court). M/P = 0,06–0,6. Demi-vie courte (2 h). Préférer la prise juste après la tétée. À éviter en cas d’administration prolongée ou à forte dose.</w:t>
      </w:r>
      <w:r>
        <w:t xml:space="preserve"> </w:t>
      </w:r>
      <w:r>
        <w:t xml:space="preserve">- Précisions : L’ibuprofène est l’AINS de choix chez la femme qui allaite, et l’un des préférables pendant les deux premiers trimestres de grossesse (alternative au paracétamol en cas d’échec de celui-ci).</w:t>
      </w:r>
    </w:p>
    <w:p>
      <w:pPr>
        <w:pStyle w:val="BodyText"/>
      </w:pPr>
      <w:r>
        <w:rPr>
          <w:b/>
          <w:bCs/>
        </w:rPr>
        <w:t xml:space="preserve">Posologie et Mode d’administration (Standard) :</w:t>
      </w:r>
      <w:r>
        <w:t xml:space="preserve"> </w:t>
      </w:r>
      <w:r>
        <w:t xml:space="preserve">- Adulte :</w:t>
      </w:r>
      <w:r>
        <w:t xml:space="preserve"> </w:t>
      </w:r>
      <w:r>
        <w:t xml:space="preserve">- Antalgique / antipyrétique : 200 à 400 mg par prise, à renouveler si nécessaire toutes les 4 à 6 h, sans dépasser 1200 mg/j en automédication (3 jours pour la fièvre, 5 jours pour la douleur).</w:t>
      </w:r>
      <w:r>
        <w:t xml:space="preserve"> </w:t>
      </w:r>
      <w:r>
        <w:t xml:space="preserve">- Anti-inflammatoire : 1200 à 2400 mg/j en 3 à 4 prises (400 à 800 mg x 3-4/j), max 2400 mg/j. Formes LP 600 mg x 2/j.</w:t>
      </w:r>
      <w:r>
        <w:t xml:space="preserve"> </w:t>
      </w:r>
      <w:r>
        <w:t xml:space="preserve">- Dysménorrhée : 400 mg x 3/j au moment des règles.</w:t>
      </w:r>
      <w:r>
        <w:t xml:space="preserve"> </w:t>
      </w:r>
      <w:r>
        <w:t xml:space="preserve">- Enfant &gt; 3 mois (&gt; 5 kg) : 20 à 30 mg/kg/j en 3 à 4 prises (soit 5–10 mg/kg toutes les 6–8 h), sans dépasser 30 mg/kg/j (ou 2400 mg/j chez l’adolescent). Suspension buvable 20 mg/mL (1 mL = 20 mg). Antipyrétique : ne pas dépasser 3 jours sans avis. Chez l’enfant déshydraté : risque d’insuffisance rénale aiguë.</w:t>
      </w:r>
      <w:r>
        <w:t xml:space="preserve"> </w:t>
      </w:r>
      <w:r>
        <w:t xml:space="preserve">- Sujet âgé : posologie identique mais surveillance accrue (risque digestif, rénal, CV). Ne pas dépasser 1200 mg/j en traitement prolongé.</w:t>
      </w:r>
      <w:r>
        <w:t xml:space="preserve"> </w:t>
      </w:r>
      <w:r>
        <w:t xml:space="preserve">- Durée : court terme ; prescription initiale maximale 30 jours (Liste II). En automédication : 3 jours (fièvre) ou 5 jours (douleur).</w:t>
      </w:r>
      <w:r>
        <w:t xml:space="preserve"> </w:t>
      </w:r>
      <w:r>
        <w:t xml:space="preserve">- Moment de prise : au cours des repas, avec un grand verre d’eau, en position assise ou debout (éviter le décubitus immédiat après prise).</w:t>
      </w:r>
    </w:p>
    <w:p>
      <w:pPr>
        <w:pStyle w:val="BodyText"/>
      </w:pPr>
      <w:r>
        <w:rPr>
          <w:b/>
          <w:bCs/>
        </w:rPr>
        <w:t xml:space="preserve">Arbitrage et Bénéfices des Formes Galéniques :</w:t>
      </w:r>
      <w:r>
        <w:t xml:space="preserve"> </w:t>
      </w:r>
      <w:r>
        <w:t xml:space="preserve">- Comprimés pelliculés 200/400/600 mg : forme de référence pour adulte. Le 200 mg est l’unité idéale pour antalgie ponctuelle et automédication. Le 400 mg offre le meilleur rapport efficacité/tolérance pour douleur modérée. Le 600 mg est réservé à la prescription médicale anti-inflammatoire (forme LP intéressante pour la compliance en 2 prises/j).</w:t>
      </w:r>
      <w:r>
        <w:t xml:space="preserve"> </w:t>
      </w:r>
      <w:r>
        <w:t xml:space="preserve">- Formes LP (BUTAFEN LP 400 mg, gélules LP) : intérêt en cas de douleur chronique inflammatoire (arthrose, polyarthrite) pour réduire le nombre de prises et améliorer la compliance.</w:t>
      </w:r>
      <w:r>
        <w:t xml:space="preserve"> </w:t>
      </w:r>
      <w:r>
        <w:t xml:space="preserve">- Suspensions buvables 20 mg/mL : indiquées chez l’enfant de plus de 3 mois (5 kg), ou chez l’adulte incapable de swallowed un comprimé. Avantage : dosage pondéral précis (seringue graduée), tolérance pédiatrique, goût acceptable.</w:t>
      </w:r>
      <w:r>
        <w:t xml:space="preserve"> </w:t>
      </w:r>
      <w:r>
        <w:t xml:space="preserve">- Gels dermiques 5 % : indication des douleurs musculo-tendineuses superficielles (entorses, tendinites, cervicalgies). Passage systémique faible (≈ 5–10 %), réduisant le risque digestif. Masser 2 à 4 fois/j sur zone douloureuse, ne pas appliquer sur peau lésée, se laver les mains après application.</w:t>
      </w:r>
      <w:r>
        <w:t xml:space="preserve"> </w:t>
      </w:r>
      <w:r>
        <w:t xml:space="preserve">- Suppositoires 500 mg : alternative en cas de vomissements ou de difficulté à avaler, mais tolérance rectale médiocre (risque de rectite), moins prescrits aujourd’hui.</w:t>
      </w:r>
      <w:r>
        <w:t xml:space="preserve"> </w:t>
      </w:r>
      <w:r>
        <w:t xml:space="preserve">- Forme injectable IM (voir ibuprofène lysinate ARFEN) : indiquée dans les douleurs aiguës post-opératoires ou coliques néphrétiques.</w:t>
      </w:r>
      <w:r>
        <w:t xml:space="preserve"> </w:t>
      </w:r>
      <w:r>
        <w:t xml:space="preserve">- Granulés sachets : utiles en cas de dysphagie ou de nécessité d’administration rapide (effet flash).</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C’est un anti-inflammatoire non stéroïdien. Vous le prendrez pendant ou juste après un repas, avec un grand verre d’eau.</w:t>
      </w:r>
      <w:r>
        <w:t xml:space="preserve">”</w:t>
      </w:r>
      <w:r>
        <w:t xml:space="preserve"> </w:t>
      </w:r>
      <w:r>
        <w:t xml:space="preserve">-</w:t>
      </w:r>
      <w:r>
        <w:t xml:space="preserve"> </w:t>
      </w:r>
      <w:r>
        <w:t xml:space="preserve">“</w:t>
      </w:r>
      <w:r>
        <w:t xml:space="preserve">Ne le prenez pas avec un autre antalgique de la même famille (aspirine, kétoprofène, diclofénac) ni avec de l’alcool.</w:t>
      </w:r>
      <w:r>
        <w:t xml:space="preserve">”</w:t>
      </w:r>
      <w:r>
        <w:t xml:space="preserve"> </w:t>
      </w:r>
      <w:r>
        <w:t xml:space="preserve">-</w:t>
      </w:r>
      <w:r>
        <w:t xml:space="preserve"> </w:t>
      </w:r>
      <w:r>
        <w:t xml:space="preserve">“</w:t>
      </w:r>
      <w:r>
        <w:t xml:space="preserve">Si vous avez des douleurs au ventre, des selles noires, des nausées persistantes, arrêtez et consultez.</w:t>
      </w:r>
      <w:r>
        <w:t xml:space="preserve">”</w:t>
      </w:r>
      <w:r>
        <w:t xml:space="preserve"> </w:t>
      </w:r>
      <w:r>
        <w:t xml:space="preserve">-</w:t>
      </w:r>
      <w:r>
        <w:t xml:space="preserve"> </w:t>
      </w:r>
      <w:r>
        <w:t xml:space="preserve">“</w:t>
      </w:r>
      <w:r>
        <w:t xml:space="preserve">Si vous êtes enceinte, prévenez votre médecin, surtout au 3e trimestre.</w:t>
      </w:r>
      <w:r>
        <w:t xml:space="preserve">”</w:t>
      </w:r>
      <w:r>
        <w:t xml:space="preserve"> </w:t>
      </w:r>
      <w:r>
        <w:t xml:space="preserve">-</w:t>
      </w:r>
      <w:r>
        <w:t xml:space="preserve"> </w:t>
      </w:r>
      <w:r>
        <w:t xml:space="preserve">“</w:t>
      </w:r>
      <w:r>
        <w:t xml:space="preserve">Buvez beaucoup d’eau, surtout par temps chaud ou si vous transpirez.</w:t>
      </w:r>
      <w:r>
        <w:t xml:space="preserve">”</w:t>
      </w:r>
      <w:r>
        <w:t xml:space="preserve"> </w:t>
      </w:r>
      <w:r>
        <w:t xml:space="preserve">-</w:t>
      </w:r>
      <w:r>
        <w:t xml:space="preserve"> </w:t>
      </w:r>
      <w:r>
        <w:t xml:space="preserve">“</w:t>
      </w:r>
      <w:r>
        <w:t xml:space="preserve">Respectez bien les intervalles entre les prises (minimum 4–6 h), ne dépassez pas la dose maximale journalière.</w:t>
      </w:r>
      <w:r>
        <w:t xml:space="preserve">”</w:t>
      </w:r>
      <w:r>
        <w:t xml:space="preserve"> </w:t>
      </w:r>
      <w:r>
        <w:t xml:space="preserve">- Mode d’utilisation pratique : pour la suspension, bien agiter le flacon avant emploi, utiliser la seringue graduée fournie (1 mL = 20 mg). Conservation à température &lt; 25 °C, après ouverture : 1 mois. Pour les gels dermiques, appliquer une noisette sur la zone douloureuse 2 à 4 fois/j, masser doucement, ne pas recouvrir d’un pansement occlusif. En cas d’oubli, ne pas doubler la dose, prendre la suivante à l’heure prévue.</w:t>
      </w:r>
    </w:p>
    <w:p>
      <w:pPr>
        <w:pStyle w:val="BodyText"/>
      </w:pPr>
      <w:r>
        <w:rPr>
          <w:b/>
          <w:bCs/>
        </w:rPr>
        <w:t xml:space="preserve">Notes, Règles d’Or &amp; Pièges au Comptoir :</w:t>
      </w:r>
      <w:r>
        <w:t xml:space="preserve"> </w:t>
      </w:r>
      <w:r>
        <w:t xml:space="preserve">- Piège classique : patient sous aspirine à dose cardioprotectrice qui demande de l’ibuprofène pour douleur articulaire — risque de perte d’efficacité de l’aspirine et de majoration du saignement. Préférer le paracétamol ou un autre antalgique non AINS.</w:t>
      </w:r>
      <w:r>
        <w:t xml:space="preserve"> </w:t>
      </w:r>
      <w:r>
        <w:t xml:space="preserve">- Piège de l’enfant déshydraté (gastroentérite) : risque majeur d’IRA fonctionnelle. Toujours demander si l’enfant boit, urine normalement, et proposer réhydratation avant ibuprofène.</w:t>
      </w:r>
      <w:r>
        <w:t xml:space="preserve"> </w:t>
      </w:r>
      <w:r>
        <w:t xml:space="preserve">- Piège femme enceinte au 3e trimestre : refuser la délivrance et orienter vers le médecin pour paracétamol.</w:t>
      </w:r>
      <w:r>
        <w:t xml:space="preserve"> </w:t>
      </w:r>
      <w:r>
        <w:t xml:space="preserve">- Règle de prise : pas d’automédication au-delà de 5 jours sans avis médical. Pas d’association avec un autre AINS, l’aspirine, ou les anticoagulants sans avis.</w:t>
      </w:r>
      <w:r>
        <w:t xml:space="preserve"> </w:t>
      </w:r>
      <w:r>
        <w:t xml:space="preserve">- Préparation et Conservation : suspension buvable : agitation avant emploi, conservation 1 mois après ouverture à T &lt; 25 °C. Comprimés : conservation en emballage d’origine à l’abri de la lumière et de l’humidité.</w:t>
      </w:r>
      <w:r>
        <w:t xml:space="preserve"> </w:t>
      </w:r>
      <w:r>
        <w:t xml:space="preserve">- Piège du surdosage : aux doses massives (&gt; 5 g chez l’adulte), l’ibuprofène peut provoquer une acidose métabolique, une dépression du SNC, une insuffisance rénale aiguë. Traitement symptomatique, charbon activé si prise récente.</w:t>
      </w:r>
      <w:r>
        <w:t xml:space="preserve"> </w:t>
      </w:r>
      <w:r>
        <w:t xml:space="preserve">- Substitution : la substitution générique est autorisée mais doit être effectuée avec discernement. Préférer une forme LP si le patient était sous LP. Pour les suspensions pédiatriques, toujours indiquer la concentration (20 mg/mL = 100 mg/5 mL) et utiliser la seringue fournie.</w:t>
      </w:r>
    </w:p>
    <w:p>
      <w:r>
        <w:pict>
          <v:rect style="width:0;height:1.5pt" o:hralign="center" o:hrstd="t" o:hr="t"/>
        </w:pict>
      </w:r>
    </w:p>
    <w:bookmarkEnd w:id="123"/>
    <w:bookmarkStart w:id="124" w:name="dci-ibuprofène-lysinate-seule"/>
    <w:p>
      <w:pPr>
        <w:pStyle w:val="Heading3"/>
      </w:pPr>
      <w:r>
        <w:t xml:space="preserve">2. DCI : Ibuprofène (lysinate) (Seule)</w:t>
      </w:r>
    </w:p>
    <w:p>
      <w:pPr>
        <w:pStyle w:val="FirstParagraph"/>
      </w:pPr>
      <w:r>
        <w:rPr>
          <w:b/>
          <w:bCs/>
        </w:rPr>
        <w:t xml:space="preserve">Liste des Catégories :</w:t>
      </w:r>
      <w:r>
        <w:t xml:space="preserve"> </w:t>
      </w:r>
      <w:r>
        <w:t xml:space="preserve">Liste II.</w:t>
      </w:r>
    </w:p>
    <w:p>
      <w:pPr>
        <w:pStyle w:val="BodyText"/>
      </w:pPr>
      <w:r>
        <w:t xml:space="preserve">Le lysinate d’ibuprofène est un sel formé par association de l’ibuprofène (acide libre) avec la lysine (acide aminé basique), qui permet d’augmenter la solubilité et la vitesse de dissolution de l’ibuprofène. Cette formulation présente un intérêt galénique majeur : la fraction lysinate accélère la libération et l’absorption de l’ibuprofène, ce qui se traduit par un pic sérique plus précoce et un délai d’action plus court. Le lysinate d’ibuprofène est commercialisé en Algérie dans deux formes galéniques distinctes : la forme injectable IM (ARFEN) qui fut l’une des premières formulations d’AINS injectable disponibles en Algérie, et une forme orale</w:t>
      </w:r>
      <w:r>
        <w:t xml:space="preserve"> </w:t>
      </w:r>
      <w:r>
        <w:t xml:space="preserve">“</w:t>
      </w:r>
      <w:r>
        <w:t xml:space="preserve">flash</w:t>
      </w:r>
      <w:r>
        <w:t xml:space="preserve">”</w:t>
      </w:r>
      <w:r>
        <w:t xml:space="preserve"> </w:t>
      </w:r>
      <w:r>
        <w:t xml:space="preserve">(XYDOL FLASH 400) à dissolution rapide. Le lysinate d’ibuprofène contient environ 0,585 g d’ibuprofène acide libre pour 1 g de sel (la différence étant représentée par le lysinate), d’où la mention</w:t>
      </w:r>
      <w:r>
        <w:t xml:space="preserve"> </w:t>
      </w:r>
      <w:r>
        <w:t xml:space="preserve">“</w:t>
      </w:r>
      <w:r>
        <w:t xml:space="preserve">400 mg (684 mg)</w:t>
      </w:r>
      <w:r>
        <w:t xml:space="preserve">”</w:t>
      </w:r>
      <w:r>
        <w:t xml:space="preserve"> </w:t>
      </w:r>
      <w:r>
        <w:t xml:space="preserve">sur le XYDOL FLASH (684 mg de lysinate = 400 mg d’ibuprofène acide).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ARFEN</w:t>
      </w:r>
      <w:r>
        <w:t xml:space="preserve"> </w:t>
      </w:r>
      <w:r>
        <w:t xml:space="preserve">(ITALIANO BIOCHIMICO FARMACEUTICO LISAPHARMA SPA, Italie)</w:t>
      </w:r>
      <w:r>
        <w:t xml:space="preserve"> </w:t>
      </w:r>
      <w:r>
        <w:t xml:space="preserve">- Forme : Solution injectable IM</w:t>
      </w:r>
      <w:r>
        <w:t xml:space="preserve"> </w:t>
      </w:r>
      <w:r>
        <w:t xml:space="preserve">- Dosage : 400 mg/3 mL</w:t>
      </w:r>
      <w:r>
        <w:t xml:space="preserve"> </w:t>
      </w:r>
      <w:r>
        <w:t xml:space="preserve">- Conditionnement : B/06 ampoules de 3 mL</w:t>
      </w:r>
      <w:r>
        <w:t xml:space="preserve"> </w:t>
      </w:r>
      <w:r>
        <w:t xml:space="preserve">- Liste : Liste II</w:t>
      </w:r>
      <w:r>
        <w:t xml:space="preserve"> </w:t>
      </w:r>
      <w:r>
        <w:t xml:space="preserve">- Statut : ACTIF</w:t>
      </w:r>
      <w:r>
        <w:t xml:space="preserve"> </w:t>
      </w:r>
      <w:r>
        <w:t xml:space="preserve">-</w:t>
      </w:r>
      <w:r>
        <w:t xml:space="preserve"> </w:t>
      </w:r>
      <w:r>
        <w:rPr>
          <w:b/>
          <w:bCs/>
        </w:rPr>
        <w:t xml:space="preserve">XYDOL FLASH 400</w:t>
      </w:r>
      <w:r>
        <w:t xml:space="preserve"> </w:t>
      </w:r>
      <w:r>
        <w:t xml:space="preserve">(Laboratoires Merinal)</w:t>
      </w:r>
      <w:r>
        <w:t xml:space="preserve"> </w:t>
      </w:r>
      <w:r>
        <w:t xml:space="preserve">- Forme : Comprimé pelliculé</w:t>
      </w:r>
      <w:r>
        <w:t xml:space="preserve"> </w:t>
      </w:r>
      <w:r>
        <w:t xml:space="preserve">- Dosage : 400 mg (684 mg de lysinate)</w:t>
      </w:r>
      <w:r>
        <w:t xml:space="preserve"> </w:t>
      </w:r>
      <w:r>
        <w:t xml:space="preserve">- Conditionnement : B/12</w:t>
      </w:r>
      <w:r>
        <w:t xml:space="preserve"> </w:t>
      </w:r>
      <w:r>
        <w:t xml:space="preserve">- Liste : Hors liste</w:t>
      </w:r>
      <w:r>
        <w:t xml:space="preserve"> </w:t>
      </w:r>
      <w:r>
        <w:t xml:space="preserve">- Statut : ACTIF</w:t>
      </w:r>
    </w:p>
    <w:p>
      <w:pPr>
        <w:pStyle w:val="BodyText"/>
      </w:pPr>
      <w:r>
        <w:rPr>
          <w:b/>
          <w:bCs/>
        </w:rPr>
        <w:t xml:space="preserve">Sous-classe et Mécanisme d’action :</w:t>
      </w:r>
      <w:r>
        <w:t xml:space="preserve"> </w:t>
      </w:r>
      <w:r>
        <w:t xml:space="preserve">- Sous-classe : Dérivé arylpropionique sous forme de sel de lysine (lysinate). Le lysinate n’est qu’un excipient fonctionnel qui modifie la cinétique, sans modifier le mécanisme d’action.</w:t>
      </w:r>
      <w:r>
        <w:t xml:space="preserve"> </w:t>
      </w:r>
      <w:r>
        <w:t xml:space="preserve">- Mécanisme d’action : Inhibition réversible des COX-1 et COX-2, identique à celui de l’ibuprofène acide. Le lysinate d’ibuprofène libère in vivo l’ibuprofène acide qui se lie à la cyclo-oxygénase.</w:t>
      </w:r>
    </w:p>
    <w:p>
      <w:pPr>
        <w:pStyle w:val="BodyText"/>
      </w:pPr>
      <w:r>
        <w:rPr>
          <w:b/>
          <w:bCs/>
        </w:rPr>
        <w:t xml:space="preserve">Profil Pharmacologique :</w:t>
      </w:r>
      <w:r>
        <w:t xml:space="preserve"> </w:t>
      </w:r>
      <w:r>
        <w:t xml:space="preserve">- Indications :</w:t>
      </w:r>
      <w:r>
        <w:t xml:space="preserve"> </w:t>
      </w:r>
      <w:r>
        <w:t xml:space="preserve">- ARFEN IM : Traitement de courte durée des douleurs aiguës intenses (post-opératoires, coliques néphrétiques, crises de polyarthrite rhumatoïde, douleurs traumatiques, crises de migraines sévères). Usage hospitalier ou en structure de soins.</w:t>
      </w:r>
      <w:r>
        <w:t xml:space="preserve"> </w:t>
      </w:r>
      <w:r>
        <w:t xml:space="preserve">- XYDOL FLASH 400 : Traitement de courte durée des douleurs aiguës modérées à intenses nécessitant un délai d’action court (céphalées, migraines, dysménorrhées, douleurs dentaires, douleurs post-traumatiques).</w:t>
      </w:r>
      <w:r>
        <w:t xml:space="preserve"> </w:t>
      </w:r>
      <w:r>
        <w:t xml:space="preserve">- Contre-indications : Identiques à celles de l’ibuprofène. Pour la forme IM : CI supplémentaires en raison de la voie (IM stricte, jamais IV) — pas chez l’hémophile, pas sur anticoagulant, pas en cas de thrombopénie, pas en cas d’infection locale au point d’injection.</w:t>
      </w:r>
      <w:r>
        <w:t xml:space="preserve"> </w:t>
      </w:r>
      <w:r>
        <w:t xml:space="preserve">- Effets Indésirables : Identiques à l’ibuprofène. Pour la forme IM : douleur au point d’injection, possible formation d’abcès stérile, hématome (surtout si trouble de l’hémostase). Pour la forme flash : majoration transitoire de la toxicité gastrique du fait du pic sérique plus élevé.</w:t>
      </w:r>
    </w:p>
    <w:p>
      <w:pPr>
        <w:pStyle w:val="BodyText"/>
      </w:pPr>
      <w:r>
        <w:rPr>
          <w:b/>
          <w:bCs/>
        </w:rPr>
        <w:t xml:space="preserve">Prévention et Gestion des Effets Indésirables :</w:t>
      </w:r>
      <w:r>
        <w:t xml:space="preserve"> </w:t>
      </w:r>
      <w:r>
        <w:t xml:space="preserve">- Mesures Préventives : pour la forme IM, respecter la voie IM stricte (injection lente, profonde, intramusculaire, dans le quadrant supéro-externe de la fesse), vérifier l’absence de reflux sanguin avant injection, alterner les sites d’injection, ne jamais injecter en IV (risque d’embolie, de thrombose veineuse). Ne pas mélanger avec d’autres produits dans la même seringue.</w:t>
      </w:r>
      <w:r>
        <w:t xml:space="preserve"> </w:t>
      </w:r>
      <w:r>
        <w:t xml:space="preserve">- Conduite à Tenir : En cas de douleur intense au point d’injection, de fièvre, d’induration → consulter. En cas d’hématome → surveillance, recherche de trouble de l’hémostase.</w:t>
      </w:r>
    </w:p>
    <w:p>
      <w:pPr>
        <w:pStyle w:val="BodyText"/>
      </w:pPr>
      <w:r>
        <w:rPr>
          <w:b/>
          <w:bCs/>
        </w:rPr>
        <w:t xml:space="preserve">Interactions Importantes :</w:t>
      </w:r>
      <w:r>
        <w:t xml:space="preserve"> </w:t>
      </w:r>
      <w:r>
        <w:t xml:space="preserve">- Identiques à l’ibuprofène (AVK, aspirine, IEC/ARA2/diurétiques, lithium, méthotrexate, alcool).</w:t>
      </w:r>
      <w:r>
        <w:t xml:space="preserve"> </w:t>
      </w:r>
      <w:r>
        <w:t xml:space="preserve">- Pour la forme IM : attention à l’association avec les héparines (HBPM, HNF), les antiagrégants (clopidogrel, ticagrelor) en raison du risque hématome profond.</w:t>
      </w:r>
    </w:p>
    <w:p>
      <w:pPr>
        <w:pStyle w:val="BodyText"/>
      </w:pPr>
      <w:r>
        <w:rPr>
          <w:b/>
          <w:bCs/>
        </w:rPr>
        <w:t xml:space="preserve">Grossesse et Allaitement :</w:t>
      </w:r>
      <w:r>
        <w:t xml:space="preserve"> </w:t>
      </w:r>
      <w:r>
        <w:t xml:space="preserve">- Grossesse : Identique à l’ibuprofène (CI 3e trimestre). Forme IM à éviter pendant toute la grossesse (manque de données, risque maternel).</w:t>
      </w:r>
      <w:r>
        <w:t xml:space="preserve"> </w:t>
      </w:r>
      <w:r>
        <w:t xml:space="preserve">- Allaitement : Compatible dose unique, mais forme IM à éviter par prudence.</w:t>
      </w:r>
    </w:p>
    <w:p>
      <w:pPr>
        <w:pStyle w:val="BodyText"/>
      </w:pPr>
      <w:r>
        <w:rPr>
          <w:b/>
          <w:bCs/>
        </w:rPr>
        <w:t xml:space="preserve">Posologie et Mode d’administration (Standard) :</w:t>
      </w:r>
      <w:r>
        <w:t xml:space="preserve"> </w:t>
      </w:r>
      <w:r>
        <w:t xml:space="preserve">- Adulte :</w:t>
      </w:r>
      <w:r>
        <w:t xml:space="preserve"> </w:t>
      </w:r>
      <w:r>
        <w:t xml:space="preserve">- ARFEN IM : 1 ampoule (400 mg) en IM profonde, 1 à 2 fois/j, à espacer d’au moins 6 h. Durée maximale : 2 à 3 jours. Relais rapide par voie orale dès que possible.</w:t>
      </w:r>
      <w:r>
        <w:t xml:space="preserve"> </w:t>
      </w:r>
      <w:r>
        <w:t xml:space="preserve">- XYDOL FLASH 400 : 1 comprimé à dissolution rapide, renouvelable si besoin au bout de 4–6 h, sans dépasser 1200 mg/j en automédication (3 comprimés/j). Maximum 4 comprimés/j sur prescription médicale.</w:t>
      </w:r>
      <w:r>
        <w:t xml:space="preserve"> </w:t>
      </w:r>
      <w:r>
        <w:t xml:space="preserve">- Enfant : ARFEN IM contre-indiqué chez l’enfant &lt; 15 ans. XYDOL FLASH non indiqué chez l’enfant &lt; 12 ans.</w:t>
      </w:r>
      <w:r>
        <w:t xml:space="preserve"> </w:t>
      </w:r>
      <w:r>
        <w:t xml:space="preserve">- Sujet âgé : ARFEN IM à utiliser avec prudence (risque rénal, digestif). Préférer voie orale.</w:t>
      </w:r>
      <w:r>
        <w:t xml:space="preserve"> </w:t>
      </w:r>
      <w:r>
        <w:t xml:space="preserve">- Durée : 2–3 jours pour la forme IM ; 5 jours max pour la forme flash en automédication.</w:t>
      </w:r>
      <w:r>
        <w:t xml:space="preserve"> </w:t>
      </w:r>
      <w:r>
        <w:t xml:space="preserve">- Moment de prise : pour la forme flash, prise pendant le repas, avec un grand verre d’eau. Le comprimé peut être avalé entier ou mis sur la langue pour dissolution rapide (selon technique galénique).</w:t>
      </w:r>
    </w:p>
    <w:p>
      <w:pPr>
        <w:pStyle w:val="BodyText"/>
      </w:pPr>
      <w:r>
        <w:rPr>
          <w:b/>
          <w:bCs/>
        </w:rPr>
        <w:t xml:space="preserve">Arbitrage et Bénéfices des Formes Galéniques :</w:t>
      </w:r>
      <w:r>
        <w:t xml:space="preserve"> </w:t>
      </w:r>
      <w:r>
        <w:t xml:space="preserve">- Forme IM : intérêt majeur dans la douleur aiguë post-opératoire, les coliques néphrétiques (alternative au diclofénac IM, kétoprofène IM), les crises sévères de polyarthrite. Délai d’action court (15–30 min), pic sérique précoce.</w:t>
      </w:r>
      <w:r>
        <w:t xml:space="preserve"> </w:t>
      </w:r>
      <w:r>
        <w:t xml:space="preserve">- Forme flash orale : intérêt dans les douleurs aiguës nécessitant un délai d’action court (migraine, dysménorrhée). Le comprimé</w:t>
      </w:r>
      <w:r>
        <w:t xml:space="preserve"> </w:t>
      </w:r>
      <w:r>
        <w:t xml:space="preserve">“</w:t>
      </w:r>
      <w:r>
        <w:t xml:space="preserve">flash</w:t>
      </w:r>
      <w:r>
        <w:t xml:space="preserve">”</w:t>
      </w:r>
      <w:r>
        <w:t xml:space="preserve"> </w:t>
      </w:r>
      <w:r>
        <w:t xml:space="preserve">se désagrège rapidement dans la cavité buccale ou dans un verre d’eau, permettant une absorption accélérée.</w:t>
      </w:r>
    </w:p>
    <w:p>
      <w:pPr>
        <w:pStyle w:val="BodyText"/>
      </w:pPr>
      <w:r>
        <w:rPr>
          <w:b/>
          <w:bCs/>
        </w:rPr>
        <w:t xml:space="preserve">Instructions et Conseils au Patient :</w:t>
      </w:r>
      <w:r>
        <w:t xml:space="preserve"> </w:t>
      </w:r>
      <w:r>
        <w:t xml:space="preserve">- Communication au comptoir : pour la forme IM, expliquer au patient que l’injection doit être faite par un professionnel de santé (infirmier, médecin), en milieu médicalisé. Ne jamais tenter une auto-injection. Respecter la voie IM stricte.</w:t>
      </w:r>
      <w:r>
        <w:t xml:space="preserve"> </w:t>
      </w:r>
      <w:r>
        <w:t xml:space="preserve">- Mode d’utilisation pratique : pour la forme flash, mettre le comprimé sur la langue, le laisser se dissoudre (sans eau ou avec un peu d’eau), avaler. Ne pas croquer. Prendre au moment d’un repas léger pour réduire la toxicité gastrique.</w:t>
      </w:r>
    </w:p>
    <w:p>
      <w:pPr>
        <w:pStyle w:val="BodyText"/>
      </w:pPr>
      <w:r>
        <w:rPr>
          <w:b/>
          <w:bCs/>
        </w:rPr>
        <w:t xml:space="preserve">Notes, Règles d’Or &amp; Pièges au Comptoir :</w:t>
      </w:r>
      <w:r>
        <w:t xml:space="preserve"> </w:t>
      </w:r>
      <w:r>
        <w:t xml:space="preserve">- Piège classique : la forme IM ne doit jamais être administrée en IV (risque d’embolie, de thrombose veineuse). Toujours vérifier la voie d’administration.</w:t>
      </w:r>
      <w:r>
        <w:t xml:space="preserve"> </w:t>
      </w:r>
      <w:r>
        <w:t xml:space="preserve">- Piège du dosage : XYDOL FLASH 400 mg (684 mg de lysinate) — bien préciser au patient que la dose active est 400 mg d’ibuprofène. Ne pas confondre avec XYDOL 400 (comprimé classique d’ibuprofène 400 mg).</w:t>
      </w:r>
      <w:r>
        <w:t xml:space="preserve"> </w:t>
      </w:r>
      <w:r>
        <w:t xml:space="preserve">- Règle de prise : jamais plus de 3 jours en IM ; relais oral rapide.</w:t>
      </w:r>
      <w:r>
        <w:t xml:space="preserve"> </w:t>
      </w:r>
      <w:r>
        <w:t xml:space="preserve">- Préparation et Conservation : ARFEN ampoules à conserver à T &lt; 25 °C, à l’abri de la lumière. XYDOL FLASH à conserver en emballage d’origine, à l’abri de l’humidité.</w:t>
      </w:r>
    </w:p>
    <w:p>
      <w:r>
        <w:pict>
          <v:rect style="width:0;height:1.5pt" o:hralign="center" o:hrstd="t" o:hr="t"/>
        </w:pict>
      </w:r>
    </w:p>
    <w:bookmarkEnd w:id="124"/>
    <w:bookmarkStart w:id="125" w:name="dci-kétoprofène-seule"/>
    <w:p>
      <w:pPr>
        <w:pStyle w:val="Heading3"/>
      </w:pPr>
      <w:r>
        <w:t xml:space="preserve">3. DCI : Kétoprofène (Seule)</w:t>
      </w:r>
    </w:p>
    <w:p>
      <w:pPr>
        <w:pStyle w:val="FirstParagraph"/>
      </w:pPr>
      <w:r>
        <w:rPr>
          <w:b/>
          <w:bCs/>
        </w:rPr>
        <w:t xml:space="preserve">Liste des Catégories :</w:t>
      </w:r>
      <w:r>
        <w:t xml:space="preserve"> </w:t>
      </w:r>
      <w:r>
        <w:t xml:space="preserve">Liste I (sirop historique enfant) / Liste II (comprimés, gélules, suppositoires, gels, injectable IM).</w:t>
      </w:r>
    </w:p>
    <w:p>
      <w:pPr>
        <w:pStyle w:val="BodyText"/>
      </w:pPr>
      <w:r>
        <w:t xml:space="preserve">Le kétoprofène (acide 2-[3-benzoylphényl]propionique) est un AINS de la sous-classe des profènes, dérivé arylpropionique comportant un groupement benzoyl sur le cycle aromatique. Il se distingue par sa puissante activité anti-inflammatoire et antalgique, comparable voire supérieure à celle du diclofénac, mais aussi par une particularité clinique majeure : sa photosensibilité. Le kétoprofène est en effet responsable de réactions de phototoxicité et de photo-allergie cutanées plus fréquentes et plus sévères que les autres AINS, ce qui a conduit l’ANSM (ex-Afssaps) à émettre une mise en garde spécifique et à restreindre son utilisation. Le kétoprofène est commercialisé en Algérie sous de nombreuses formes : comprimés pelliculés 100 mg, comprimés LP 200 mg, suppositoires 100 mg, solution injectable IM 100 mg/2 mL, gels dermiques 2,5 %, et patches topiques. Il est largement représenté dans les pharmacies algériennes, avec des laboratoires nationaux (Saidal, Biopharm, Frater-Razes, Hupp Pharma) et internationaux (Sanofi-Aventis, Menarini, Lek).</w:t>
      </w:r>
    </w:p>
    <w:p>
      <w:pPr>
        <w:pStyle w:val="BodyText"/>
      </w:pPr>
      <w:r>
        <w:rPr>
          <w:b/>
          <w:bCs/>
        </w:rPr>
        <w:t xml:space="preserve">Médicaments disponibles en Algérie (Marques, Laboratoires, Formes et Dosages) :</w:t>
      </w:r>
    </w:p>
    <w:p>
      <w:pPr>
        <w:pStyle w:val="BodyText"/>
      </w:pPr>
      <w:r>
        <w:rPr>
          <w:b/>
          <w:bCs/>
        </w:rPr>
        <w:t xml:space="preserve">Solutions injectables IM (100 mg/2 mL) :</w:t>
      </w:r>
      <w:r>
        <w:t xml:space="preserve"> </w:t>
      </w:r>
      <w:r>
        <w:t xml:space="preserve">-</w:t>
      </w:r>
      <w:r>
        <w:t xml:space="preserve"> </w:t>
      </w:r>
      <w:r>
        <w:rPr>
          <w:b/>
          <w:bCs/>
        </w:rPr>
        <w:t xml:space="preserve">BIOPROFEN</w:t>
      </w:r>
      <w:r>
        <w:t xml:space="preserve"> </w:t>
      </w:r>
      <w:r>
        <w:t xml:space="preserve">(Biothera) — B/05 ampoules de 2 mL (Liste II) — ACTIF</w:t>
      </w:r>
      <w:r>
        <w:t xml:space="preserve"> </w:t>
      </w:r>
      <w:r>
        <w:t xml:space="preserve">-</w:t>
      </w:r>
      <w:r>
        <w:t xml:space="preserve"> </w:t>
      </w:r>
      <w:r>
        <w:rPr>
          <w:b/>
          <w:bCs/>
        </w:rPr>
        <w:t xml:space="preserve">FLEXEN</w:t>
      </w:r>
      <w:r>
        <w:t xml:space="preserve"> </w:t>
      </w:r>
      <w:r>
        <w:t xml:space="preserve">(Lifepharma) — Poudre + solvant pour solution injectable, 100 mg/flacon, B/06 flacons + 06 amp 2,5 mL solvant (Liste II) — ACTIF</w:t>
      </w:r>
      <w:r>
        <w:t xml:space="preserve"> </w:t>
      </w:r>
      <w:r>
        <w:t xml:space="preserve">-</w:t>
      </w:r>
      <w:r>
        <w:t xml:space="preserve"> </w:t>
      </w:r>
      <w:r>
        <w:rPr>
          <w:b/>
          <w:bCs/>
        </w:rPr>
        <w:t xml:space="preserve">KETOFAN</w:t>
      </w:r>
      <w:r>
        <w:t xml:space="preserve"> </w:t>
      </w:r>
      <w:r>
        <w:t xml:space="preserve">(Amrya) (R) — B/3 (Liste II)</w:t>
      </w:r>
      <w:r>
        <w:t xml:space="preserve"> </w:t>
      </w:r>
      <w:r>
        <w:t xml:space="preserve">-</w:t>
      </w:r>
      <w:r>
        <w:t xml:space="preserve"> </w:t>
      </w:r>
      <w:r>
        <w:rPr>
          <w:b/>
          <w:bCs/>
        </w:rPr>
        <w:t xml:space="preserve">KETOFLEX</w:t>
      </w:r>
      <w:r>
        <w:t xml:space="preserve"> </w:t>
      </w:r>
      <w:r>
        <w:t xml:space="preserve">(Geopharm) — B/05 amp 2 mL et B/50 amp 2 mL (Liste II) — ACTIF</w:t>
      </w:r>
      <w:r>
        <w:t xml:space="preserve"> </w:t>
      </w:r>
      <w:r>
        <w:t xml:space="preserve">-</w:t>
      </w:r>
      <w:r>
        <w:t xml:space="preserve"> </w:t>
      </w:r>
      <w:r>
        <w:rPr>
          <w:b/>
          <w:bCs/>
        </w:rPr>
        <w:t xml:space="preserve">KETONAL</w:t>
      </w:r>
      <w:r>
        <w:t xml:space="preserve"> </w:t>
      </w:r>
      <w:r>
        <w:t xml:space="preserve">(Lek) — B/10 amp (Liste II) — ACTIF</w:t>
      </w:r>
      <w:r>
        <w:t xml:space="preserve"> </w:t>
      </w:r>
      <w:r>
        <w:t xml:space="preserve">-</w:t>
      </w:r>
      <w:r>
        <w:t xml:space="preserve"> </w:t>
      </w:r>
      <w:r>
        <w:rPr>
          <w:b/>
          <w:bCs/>
        </w:rPr>
        <w:t xml:space="preserve">KETONEED</w:t>
      </w:r>
      <w:r>
        <w:t xml:space="preserve"> </w:t>
      </w:r>
      <w:r>
        <w:t xml:space="preserve">(Frater-Razès) — B/05 amp 2 mL et B/50 amp 2 mL (Liste II) — ACTIF</w:t>
      </w:r>
      <w:r>
        <w:t xml:space="preserve"> </w:t>
      </w:r>
      <w:r>
        <w:t xml:space="preserve">-</w:t>
      </w:r>
      <w:r>
        <w:t xml:space="preserve"> </w:t>
      </w:r>
      <w:r>
        <w:rPr>
          <w:b/>
          <w:bCs/>
        </w:rPr>
        <w:t xml:space="preserve">PROFELADJ</w:t>
      </w:r>
      <w:r>
        <w:t xml:space="preserve"> </w:t>
      </w:r>
      <w:r>
        <w:t xml:space="preserve">(Iladj) (R) — B/05 amp 2 mL (Liste II)</w:t>
      </w:r>
      <w:r>
        <w:t xml:space="preserve"> </w:t>
      </w:r>
      <w:r>
        <w:t xml:space="preserve">-</w:t>
      </w:r>
      <w:r>
        <w:t xml:space="preserve"> </w:t>
      </w:r>
      <w:r>
        <w:rPr>
          <w:b/>
          <w:bCs/>
        </w:rPr>
        <w:t xml:space="preserve">PROFENID</w:t>
      </w:r>
      <w:r>
        <w:t xml:space="preserve"> </w:t>
      </w:r>
      <w:r>
        <w:t xml:space="preserve">(Rhône Poulenc Rorer) — B/06 amp 2 mL (Liste II) — ACTIF</w:t>
      </w:r>
      <w:r>
        <w:t xml:space="preserve"> </w:t>
      </w:r>
      <w:r>
        <w:t xml:space="preserve">-</w:t>
      </w:r>
      <w:r>
        <w:t xml:space="preserve"> </w:t>
      </w:r>
      <w:r>
        <w:rPr>
          <w:b/>
          <w:bCs/>
        </w:rPr>
        <w:t xml:space="preserve">PROHEFEN</w:t>
      </w:r>
      <w:r>
        <w:t xml:space="preserve"> </w:t>
      </w:r>
      <w:r>
        <w:t xml:space="preserve">(Hupp Pharma) — B/05 amp 2 mL (Liste II) — ACTIF</w:t>
      </w:r>
    </w:p>
    <w:p>
      <w:pPr>
        <w:pStyle w:val="BodyText"/>
      </w:pPr>
      <w:r>
        <w:rPr>
          <w:b/>
          <w:bCs/>
        </w:rPr>
        <w:t xml:space="preserve">Comprimés pelliculés 100 mg :</w:t>
      </w:r>
      <w:r>
        <w:t xml:space="preserve"> </w:t>
      </w:r>
      <w:r>
        <w:t xml:space="preserve">-</w:t>
      </w:r>
      <w:r>
        <w:t xml:space="preserve"> </w:t>
      </w:r>
      <w:r>
        <w:rPr>
          <w:b/>
          <w:bCs/>
        </w:rPr>
        <w:t xml:space="preserve">EVOFENID</w:t>
      </w:r>
      <w:r>
        <w:t xml:space="preserve"> </w:t>
      </w:r>
      <w:r>
        <w:t xml:space="preserve">(Evolab) — B/30 (Liste II) — ACTIF</w:t>
      </w:r>
      <w:r>
        <w:t xml:space="preserve"> </w:t>
      </w:r>
      <w:r>
        <w:t xml:space="preserve">-</w:t>
      </w:r>
      <w:r>
        <w:t xml:space="preserve"> </w:t>
      </w:r>
      <w:r>
        <w:rPr>
          <w:b/>
          <w:bCs/>
        </w:rPr>
        <w:t xml:space="preserve">PROFEK</w:t>
      </w:r>
      <w:r>
        <w:t xml:space="preserve"> </w:t>
      </w:r>
      <w:r>
        <w:t xml:space="preserve">(Lab. MM) — B/30 (Liste II) — ACTIF</w:t>
      </w:r>
      <w:r>
        <w:t xml:space="preserve"> </w:t>
      </w:r>
      <w:r>
        <w:t xml:space="preserve">-</w:t>
      </w:r>
      <w:r>
        <w:t xml:space="preserve"> </w:t>
      </w:r>
      <w:r>
        <w:rPr>
          <w:b/>
          <w:bCs/>
        </w:rPr>
        <w:t xml:space="preserve">PROFENID</w:t>
      </w:r>
      <w:r>
        <w:t xml:space="preserve"> </w:t>
      </w:r>
      <w:r>
        <w:t xml:space="preserve">(Rhône Poulenc Rorer) — B/30 (Liste II) — ACTIF</w:t>
      </w:r>
      <w:r>
        <w:t xml:space="preserve"> </w:t>
      </w:r>
      <w:r>
        <w:t xml:space="preserve">-</w:t>
      </w:r>
      <w:r>
        <w:t xml:space="preserve"> </w:t>
      </w:r>
      <w:r>
        <w:rPr>
          <w:b/>
          <w:bCs/>
        </w:rPr>
        <w:t xml:space="preserve">PROHEFEN</w:t>
      </w:r>
      <w:r>
        <w:t xml:space="preserve"> </w:t>
      </w:r>
      <w:r>
        <w:t xml:space="preserve">(Hupp Pharma) — B/30 (Liste II) — ACTIF</w:t>
      </w:r>
    </w:p>
    <w:p>
      <w:pPr>
        <w:pStyle w:val="BodyText"/>
      </w:pPr>
      <w:r>
        <w:rPr>
          <w:b/>
          <w:bCs/>
        </w:rPr>
        <w:t xml:space="preserve">Comprimés LP 200 mg :</w:t>
      </w:r>
      <w:r>
        <w:t xml:space="preserve"> </w:t>
      </w:r>
      <w:r>
        <w:t xml:space="preserve">-</w:t>
      </w:r>
      <w:r>
        <w:t xml:space="preserve"> </w:t>
      </w:r>
      <w:r>
        <w:rPr>
          <w:b/>
          <w:bCs/>
        </w:rPr>
        <w:t xml:space="preserve">PROFENID LP</w:t>
      </w:r>
      <w:r>
        <w:t xml:space="preserve"> </w:t>
      </w:r>
      <w:r>
        <w:t xml:space="preserve">(Sanofi-Aventis Algérie) — Comprimé enrobé LP 200 mg, B/14 (Liste II) — ACTIF</w:t>
      </w:r>
    </w:p>
    <w:p>
      <w:pPr>
        <w:pStyle w:val="BodyText"/>
      </w:pPr>
      <w:r>
        <w:rPr>
          <w:b/>
          <w:bCs/>
        </w:rPr>
        <w:t xml:space="preserve">Gélules LP 200 mg (historiques) :</w:t>
      </w:r>
      <w:r>
        <w:t xml:space="preserve"> </w:t>
      </w:r>
      <w:r>
        <w:t xml:space="preserve">-</w:t>
      </w:r>
      <w:r>
        <w:t xml:space="preserve"> </w:t>
      </w:r>
      <w:r>
        <w:rPr>
          <w:b/>
          <w:bCs/>
        </w:rPr>
        <w:t xml:space="preserve">KETOFEN LP</w:t>
      </w:r>
      <w:r>
        <w:t xml:space="preserve"> </w:t>
      </w:r>
      <w:r>
        <w:t xml:space="preserve">(Neomedic) (NR) — B/20 (Liste II)</w:t>
      </w:r>
      <w:r>
        <w:t xml:space="preserve"> </w:t>
      </w:r>
      <w:r>
        <w:t xml:space="preserve">-</w:t>
      </w:r>
      <w:r>
        <w:t xml:space="preserve"> </w:t>
      </w:r>
      <w:r>
        <w:rPr>
          <w:b/>
          <w:bCs/>
        </w:rPr>
        <w:t xml:space="preserve">PROFEN LP</w:t>
      </w:r>
      <w:r>
        <w:t xml:space="preserve"> </w:t>
      </w:r>
      <w:r>
        <w:t xml:space="preserve">(Pharmalliance) (NR) — B/20 (Liste II)</w:t>
      </w:r>
    </w:p>
    <w:p>
      <w:pPr>
        <w:pStyle w:val="BodyText"/>
      </w:pPr>
      <w:r>
        <w:rPr>
          <w:b/>
          <w:bCs/>
        </w:rPr>
        <w:t xml:space="preserve">Suppositoires 100 mg :</w:t>
      </w:r>
      <w:r>
        <w:t xml:space="preserve"> </w:t>
      </w:r>
      <w:r>
        <w:t xml:space="preserve">-</w:t>
      </w:r>
      <w:r>
        <w:t xml:space="preserve"> </w:t>
      </w:r>
      <w:r>
        <w:rPr>
          <w:b/>
          <w:bCs/>
        </w:rPr>
        <w:t xml:space="preserve">ALPROFEN</w:t>
      </w:r>
      <w:r>
        <w:t xml:space="preserve"> </w:t>
      </w:r>
      <w:r>
        <w:t xml:space="preserve">(Salem) (NR) — B/10 (Liste II)</w:t>
      </w:r>
      <w:r>
        <w:t xml:space="preserve"> </w:t>
      </w:r>
      <w:r>
        <w:t xml:space="preserve">-</w:t>
      </w:r>
      <w:r>
        <w:t xml:space="preserve"> </w:t>
      </w:r>
      <w:r>
        <w:rPr>
          <w:b/>
          <w:bCs/>
        </w:rPr>
        <w:t xml:space="preserve">FLEXEN</w:t>
      </w:r>
      <w:r>
        <w:t xml:space="preserve"> </w:t>
      </w:r>
      <w:r>
        <w:t xml:space="preserve">(Lifepharma) (R) — B/12 (Liste II)</w:t>
      </w:r>
      <w:r>
        <w:t xml:space="preserve"> </w:t>
      </w:r>
      <w:r>
        <w:t xml:space="preserve">-</w:t>
      </w:r>
      <w:r>
        <w:t xml:space="preserve"> </w:t>
      </w:r>
      <w:r>
        <w:rPr>
          <w:b/>
          <w:bCs/>
        </w:rPr>
        <w:t xml:space="preserve">GEPROFENE</w:t>
      </w:r>
      <w:r>
        <w:t xml:space="preserve"> </w:t>
      </w:r>
      <w:r>
        <w:t xml:space="preserve">(Arab Pharm) (NR) — B/12 (Liste II)</w:t>
      </w:r>
      <w:r>
        <w:t xml:space="preserve"> </w:t>
      </w:r>
      <w:r>
        <w:t xml:space="preserve">-</w:t>
      </w:r>
      <w:r>
        <w:t xml:space="preserve"> </w:t>
      </w:r>
      <w:r>
        <w:rPr>
          <w:b/>
          <w:bCs/>
        </w:rPr>
        <w:t xml:space="preserve">KETOFEN</w:t>
      </w:r>
      <w:r>
        <w:t xml:space="preserve"> </w:t>
      </w:r>
      <w:r>
        <w:t xml:space="preserve">(4A Santé Industrie) (NR) — B/10 (Liste II)</w:t>
      </w:r>
      <w:r>
        <w:t xml:space="preserve"> </w:t>
      </w:r>
      <w:r>
        <w:t xml:space="preserve">-</w:t>
      </w:r>
      <w:r>
        <w:t xml:space="preserve"> </w:t>
      </w:r>
      <w:r>
        <w:rPr>
          <w:b/>
          <w:bCs/>
        </w:rPr>
        <w:t xml:space="preserve">KETOFENID</w:t>
      </w:r>
      <w:r>
        <w:t xml:space="preserve"> </w:t>
      </w:r>
      <w:r>
        <w:t xml:space="preserve">(GPA) (R) — B/10 (Liste II)</w:t>
      </w:r>
      <w:r>
        <w:t xml:space="preserve"> </w:t>
      </w:r>
      <w:r>
        <w:t xml:space="preserve">-</w:t>
      </w:r>
      <w:r>
        <w:t xml:space="preserve"> </w:t>
      </w:r>
      <w:r>
        <w:rPr>
          <w:b/>
          <w:bCs/>
        </w:rPr>
        <w:t xml:space="preserve">KETOMEX</w:t>
      </w:r>
      <w:r>
        <w:t xml:space="preserve"> </w:t>
      </w:r>
      <w:r>
        <w:t xml:space="preserve">(KPMA Biotic) — B/10 (Liste II) — ACTIF</w:t>
      </w:r>
      <w:r>
        <w:t xml:space="preserve"> </w:t>
      </w:r>
      <w:r>
        <w:t xml:space="preserve">-</w:t>
      </w:r>
      <w:r>
        <w:t xml:space="preserve"> </w:t>
      </w:r>
      <w:r>
        <w:rPr>
          <w:b/>
          <w:bCs/>
        </w:rPr>
        <w:t xml:space="preserve">KETOPROFENE LPA</w:t>
      </w:r>
      <w:r>
        <w:t xml:space="preserve"> </w:t>
      </w:r>
      <w:r>
        <w:t xml:space="preserve">(LPA) (NR) — B/10 (Liste II)</w:t>
      </w:r>
      <w:r>
        <w:t xml:space="preserve"> </w:t>
      </w:r>
      <w:r>
        <w:t xml:space="preserve">-</w:t>
      </w:r>
      <w:r>
        <w:t xml:space="preserve"> </w:t>
      </w:r>
      <w:r>
        <w:rPr>
          <w:b/>
          <w:bCs/>
        </w:rPr>
        <w:t xml:space="preserve">KETOPROFENO RATIOPHARM</w:t>
      </w:r>
      <w:r>
        <w:t xml:space="preserve"> </w:t>
      </w:r>
      <w:r>
        <w:t xml:space="preserve">(Ratiopharm) (R) — B/12 (Liste II)</w:t>
      </w:r>
      <w:r>
        <w:t xml:space="preserve"> </w:t>
      </w:r>
      <w:r>
        <w:t xml:space="preserve">-</w:t>
      </w:r>
      <w:r>
        <w:t xml:space="preserve"> </w:t>
      </w:r>
      <w:r>
        <w:rPr>
          <w:b/>
          <w:bCs/>
        </w:rPr>
        <w:t xml:space="preserve">KETONAL</w:t>
      </w:r>
      <w:r>
        <w:t xml:space="preserve"> </w:t>
      </w:r>
      <w:r>
        <w:t xml:space="preserve">(Lek) (R) — B/12 (Liste II)</w:t>
      </w:r>
      <w:r>
        <w:t xml:space="preserve"> </w:t>
      </w:r>
      <w:r>
        <w:t xml:space="preserve">-</w:t>
      </w:r>
      <w:r>
        <w:t xml:space="preserve"> </w:t>
      </w:r>
      <w:r>
        <w:rPr>
          <w:b/>
          <w:bCs/>
        </w:rPr>
        <w:t xml:space="preserve">PROFENID</w:t>
      </w:r>
      <w:r>
        <w:t xml:space="preserve"> </w:t>
      </w:r>
      <w:r>
        <w:t xml:space="preserve">(Rhône Poulenc Rorer) — B/12 (Liste II) — ACTIF</w:t>
      </w:r>
      <w:r>
        <w:t xml:space="preserve"> </w:t>
      </w:r>
      <w:r>
        <w:t xml:space="preserve">-</w:t>
      </w:r>
      <w:r>
        <w:t xml:space="preserve"> </w:t>
      </w:r>
      <w:r>
        <w:rPr>
          <w:b/>
          <w:bCs/>
        </w:rPr>
        <w:t xml:space="preserve">SAIFEN</w:t>
      </w:r>
      <w:r>
        <w:t xml:space="preserve"> </w:t>
      </w:r>
      <w:r>
        <w:t xml:space="preserve">(Saidal) (NR) — B/10 (Liste II)</w:t>
      </w:r>
    </w:p>
    <w:p>
      <w:pPr>
        <w:pStyle w:val="BodyText"/>
      </w:pPr>
      <w:r>
        <w:rPr>
          <w:b/>
          <w:bCs/>
        </w:rPr>
        <w:t xml:space="preserve">Gels dermiques 2,5 % :</w:t>
      </w:r>
      <w:r>
        <w:t xml:space="preserve"> </w:t>
      </w:r>
      <w:r>
        <w:t xml:space="preserve">-</w:t>
      </w:r>
      <w:r>
        <w:t xml:space="preserve"> </w:t>
      </w:r>
      <w:r>
        <w:rPr>
          <w:b/>
          <w:bCs/>
        </w:rPr>
        <w:t xml:space="preserve">GEPROFEN</w:t>
      </w:r>
      <w:r>
        <w:t xml:space="preserve"> </w:t>
      </w:r>
      <w:r>
        <w:t xml:space="preserve">(Arab Pharm) — Tube 60 g (Liste II) — ACTIF</w:t>
      </w:r>
      <w:r>
        <w:t xml:space="preserve"> </w:t>
      </w:r>
      <w:r>
        <w:t xml:space="preserve">-</w:t>
      </w:r>
      <w:r>
        <w:t xml:space="preserve"> </w:t>
      </w:r>
      <w:r>
        <w:rPr>
          <w:b/>
          <w:bCs/>
        </w:rPr>
        <w:t xml:space="preserve">K-PROFEN</w:t>
      </w:r>
      <w:r>
        <w:t xml:space="preserve"> </w:t>
      </w:r>
      <w:r>
        <w:t xml:space="preserve">(LGPA) — Tube 50 g (Liste II) — ACTIF</w:t>
      </w:r>
      <w:r>
        <w:t xml:space="preserve"> </w:t>
      </w:r>
      <w:r>
        <w:t xml:space="preserve">-</w:t>
      </w:r>
      <w:r>
        <w:t xml:space="preserve"> </w:t>
      </w:r>
      <w:r>
        <w:rPr>
          <w:b/>
          <w:bCs/>
        </w:rPr>
        <w:t xml:space="preserve">KETOFEN</w:t>
      </w:r>
      <w:r>
        <w:t xml:space="preserve"> </w:t>
      </w:r>
      <w:r>
        <w:t xml:space="preserve">(4A Santé Industrie) — Tube 40 g (Liste II) — ACTIF (forme suppositoire retirée)</w:t>
      </w:r>
      <w:r>
        <w:t xml:space="preserve"> </w:t>
      </w:r>
      <w:r>
        <w:t xml:space="preserve">-</w:t>
      </w:r>
      <w:r>
        <w:t xml:space="preserve"> </w:t>
      </w:r>
      <w:r>
        <w:rPr>
          <w:b/>
          <w:bCs/>
        </w:rPr>
        <w:t xml:space="preserve">KETOMEX</w:t>
      </w:r>
      <w:r>
        <w:t xml:space="preserve"> </w:t>
      </w:r>
      <w:r>
        <w:t xml:space="preserve">(KPMA Biotic) — Tube 50 g (Liste II) — ACTIF</w:t>
      </w:r>
      <w:r>
        <w:t xml:space="preserve"> </w:t>
      </w:r>
      <w:r>
        <w:t xml:space="preserve">-</w:t>
      </w:r>
      <w:r>
        <w:t xml:space="preserve"> </w:t>
      </w:r>
      <w:r>
        <w:rPr>
          <w:b/>
          <w:bCs/>
        </w:rPr>
        <w:t xml:space="preserve">KETONYX</w:t>
      </w:r>
      <w:r>
        <w:t xml:space="preserve"> </w:t>
      </w:r>
      <w:r>
        <w:t xml:space="preserve">(Onyx Industrie) — Tube 50 g (Liste II) — ACTIF</w:t>
      </w:r>
      <w:r>
        <w:t xml:space="preserve"> </w:t>
      </w:r>
      <w:r>
        <w:t xml:space="preserve">-</w:t>
      </w:r>
      <w:r>
        <w:t xml:space="preserve"> </w:t>
      </w:r>
      <w:r>
        <w:rPr>
          <w:b/>
          <w:bCs/>
        </w:rPr>
        <w:t xml:space="preserve">KETUM</w:t>
      </w:r>
      <w:r>
        <w:t xml:space="preserve"> </w:t>
      </w:r>
      <w:r>
        <w:t xml:space="preserve">(Menarini France) — Tube 60 g (Liste II) — ACTIF</w:t>
      </w:r>
      <w:r>
        <w:t xml:space="preserve"> </w:t>
      </w:r>
      <w:r>
        <w:t xml:space="preserve">-</w:t>
      </w:r>
      <w:r>
        <w:t xml:space="preserve"> </w:t>
      </w:r>
      <w:r>
        <w:rPr>
          <w:b/>
          <w:bCs/>
        </w:rPr>
        <w:t xml:space="preserve">KOPROFEN</w:t>
      </w:r>
      <w:r>
        <w:t xml:space="preserve"> </w:t>
      </w:r>
      <w:r>
        <w:t xml:space="preserve">(LDM) — Tube 60 g (Liste II) — ACTIF</w:t>
      </w:r>
      <w:r>
        <w:t xml:space="preserve"> </w:t>
      </w:r>
      <w:r>
        <w:t xml:space="preserve">-</w:t>
      </w:r>
      <w:r>
        <w:t xml:space="preserve"> </w:t>
      </w:r>
      <w:r>
        <w:rPr>
          <w:b/>
          <w:bCs/>
        </w:rPr>
        <w:t xml:space="preserve">PROFEN</w:t>
      </w:r>
      <w:r>
        <w:t xml:space="preserve"> </w:t>
      </w:r>
      <w:r>
        <w:t xml:space="preserve">(Pharmalliance) — Tube 50 g (Liste II) — ACTIF</w:t>
      </w:r>
      <w:r>
        <w:t xml:space="preserve"> </w:t>
      </w:r>
      <w:r>
        <w:t xml:space="preserve">-</w:t>
      </w:r>
      <w:r>
        <w:t xml:space="preserve"> </w:t>
      </w:r>
      <w:r>
        <w:rPr>
          <w:b/>
          <w:bCs/>
        </w:rPr>
        <w:t xml:space="preserve">PROFENID</w:t>
      </w:r>
      <w:r>
        <w:t xml:space="preserve"> </w:t>
      </w:r>
      <w:r>
        <w:t xml:space="preserve">(Rhône Poulenc Rorer) (R) — Tube 60 g</w:t>
      </w:r>
      <w:r>
        <w:t xml:space="preserve"> </w:t>
      </w:r>
      <w:r>
        <w:t xml:space="preserve">-</w:t>
      </w:r>
      <w:r>
        <w:t xml:space="preserve"> </w:t>
      </w:r>
      <w:r>
        <w:rPr>
          <w:b/>
          <w:bCs/>
        </w:rPr>
        <w:t xml:space="preserve">SAIFEN</w:t>
      </w:r>
      <w:r>
        <w:t xml:space="preserve"> </w:t>
      </w:r>
      <w:r>
        <w:t xml:space="preserve">(Saidal) (NR) — Tube 50 g</w:t>
      </w:r>
    </w:p>
    <w:p>
      <w:pPr>
        <w:pStyle w:val="BodyText"/>
      </w:pPr>
      <w:r>
        <w:rPr>
          <w:b/>
          <w:bCs/>
        </w:rPr>
        <w:t xml:space="preserve">Patches 30 mg :</w:t>
      </w:r>
      <w:r>
        <w:t xml:space="preserve"> </w:t>
      </w:r>
      <w:r>
        <w:t xml:space="preserve">-</w:t>
      </w:r>
      <w:r>
        <w:t xml:space="preserve"> </w:t>
      </w:r>
      <w:r>
        <w:rPr>
          <w:b/>
          <w:bCs/>
        </w:rPr>
        <w:t xml:space="preserve">HARUFEN</w:t>
      </w:r>
      <w:r>
        <w:t xml:space="preserve"> </w:t>
      </w:r>
      <w:r>
        <w:t xml:space="preserve">(Sinil Pharmaceutical Co, Corée) — B/7 — ACTIF</w:t>
      </w:r>
      <w:r>
        <w:t xml:space="preserve"> </w:t>
      </w:r>
      <w:r>
        <w:t xml:space="preserve">-</w:t>
      </w:r>
      <w:r>
        <w:t xml:space="preserve"> </w:t>
      </w:r>
      <w:r>
        <w:rPr>
          <w:b/>
          <w:bCs/>
        </w:rPr>
        <w:t xml:space="preserve">KEFENTECH</w:t>
      </w:r>
      <w:r>
        <w:t xml:space="preserve"> </w:t>
      </w:r>
      <w:r>
        <w:t xml:space="preserve">(Jeil Pharmaceutical Co, Corée) (NR) — Sachet de 7</w:t>
      </w:r>
      <w:r>
        <w:t xml:space="preserve"> </w:t>
      </w:r>
      <w:r>
        <w:t xml:space="preserve">-</w:t>
      </w:r>
      <w:r>
        <w:t xml:space="preserve"> </w:t>
      </w:r>
      <w:r>
        <w:rPr>
          <w:b/>
          <w:bCs/>
        </w:rPr>
        <w:t xml:space="preserve">KETOTOP</w:t>
      </w:r>
      <w:r>
        <w:t xml:space="preserve"> </w:t>
      </w:r>
      <w:r>
        <w:t xml:space="preserve">(AT Pharma) — B/7 — ACTIF</w:t>
      </w:r>
    </w:p>
    <w:p>
      <w:pPr>
        <w:pStyle w:val="BodyText"/>
      </w:pPr>
      <w:r>
        <w:rPr>
          <w:b/>
          <w:bCs/>
        </w:rPr>
        <w:t xml:space="preserve">Sirop (historique) :</w:t>
      </w:r>
      <w:r>
        <w:t xml:space="preserve"> </w:t>
      </w:r>
      <w:r>
        <w:t xml:space="preserve">-</w:t>
      </w:r>
      <w:r>
        <w:t xml:space="preserve"> </w:t>
      </w:r>
      <w:r>
        <w:rPr>
          <w:b/>
          <w:bCs/>
        </w:rPr>
        <w:t xml:space="preserve">PROFENID ENFANT ET NOURRISSON</w:t>
      </w:r>
      <w:r>
        <w:t xml:space="preserve"> </w:t>
      </w:r>
      <w:r>
        <w:t xml:space="preserve">(Sanofi-Aventis Algérie) (R) — Sirop 1 mg/mL, FL 150 mL + seringue orale 10 mL (Liste II)</w:t>
      </w:r>
      <w:r>
        <w:t xml:space="preserve"> </w:t>
      </w:r>
      <w:r>
        <w:t xml:space="preserve">-</w:t>
      </w:r>
      <w:r>
        <w:t xml:space="preserve"> </w:t>
      </w:r>
      <w:r>
        <w:rPr>
          <w:b/>
          <w:bCs/>
        </w:rPr>
        <w:t xml:space="preserve">PROFEMIGR</w:t>
      </w:r>
      <w:r>
        <w:t xml:space="preserve"> </w:t>
      </w:r>
      <w:r>
        <w:t xml:space="preserve">(Sanofi-Aventis France) (R) — Comprimé sécable 150 mg, B/10 (Liste II) — indication migraine historique</w:t>
      </w:r>
    </w:p>
    <w:p>
      <w:pPr>
        <w:pStyle w:val="BodyText"/>
      </w:pPr>
      <w:r>
        <w:rPr>
          <w:b/>
          <w:bCs/>
        </w:rPr>
        <w:t xml:space="preserve">Statut :</w:t>
      </w:r>
      <w:r>
        <w:t xml:space="preserve"> </w:t>
      </w:r>
      <w:r>
        <w:t xml:space="preserve">La majorité des spécialités actives sont les comprimés, gels et injectables. Les formes suppositoires sont pour la plupart non renouvelées ou retirées, ce qui traduit la tendance globale de déremboursement des suppositoires d’AINS en raison de leur tolérance rectale médiocre.</w:t>
      </w:r>
    </w:p>
    <w:p>
      <w:pPr>
        <w:pStyle w:val="BodyText"/>
      </w:pPr>
      <w:r>
        <w:rPr>
          <w:b/>
          <w:bCs/>
        </w:rPr>
        <w:t xml:space="preserve">Sous-classe et Mécanisme d’action :</w:t>
      </w:r>
      <w:r>
        <w:t xml:space="preserve"> </w:t>
      </w:r>
      <w:r>
        <w:t xml:space="preserve">- Sous-classe : Dérivé arylpropionique (profène), AINS non sélectif COX-1/COX-2.</w:t>
      </w:r>
      <w:r>
        <w:t xml:space="preserve"> </w:t>
      </w:r>
      <w:r>
        <w:t xml:space="preserve">- Mécanisme d’action : Inhibition réversible des COX-1 et COX-2, identique à celui de la classe. Le kétoprofène est un racémique, mais son énantiomère S est actif et l’énantiomère R est converti in vivo en S. Activité anti-inflammatoire élevée, comparable au diclofénac. Le kétoprofène présente également une activité anti-bradykinine et une inhibition de la lipooxygénase à hautes doses.</w:t>
      </w:r>
    </w:p>
    <w:p>
      <w:pPr>
        <w:pStyle w:val="BodyText"/>
      </w:pPr>
      <w:r>
        <w:rPr>
          <w:b/>
          <w:bCs/>
        </w:rPr>
        <w:t xml:space="preserve">Profil Pharmacologique :</w:t>
      </w:r>
      <w:r>
        <w:t xml:space="preserve"> </w:t>
      </w:r>
      <w:r>
        <w:t xml:space="preserve">- Indications : Traitement symptomatique de courte durée des douleurs aiguës intenses (post-opératoires, coliques néphrétiques, sciatiques aiguës, douleurs traumatiques, crises de polyarthrite rhumatoïde) ; traitement de fond des rhumatismes inflammatoires chroniques (polyarthrite rhumatoïde, spondylarthrite ankylosante) ; arthrose symptomatique ; douleurs menstruelles ; traitement local des tendinites, entorses, contusions (gel dermique).</w:t>
      </w:r>
      <w:r>
        <w:t xml:space="preserve"> </w:t>
      </w:r>
      <w:r>
        <w:t xml:space="preserve">- Contre-indications : (1) Hypersensibilité au kétoprofène ou à un autre AINS. (2) Antécédent de réaction de photosensibilité au kétoprofène (CI absolue, even à dose topique). (3) Ulcère gastro-duodénal en évolution. (4) Insuffisance hépatique sévère, insuffisance rénale sévère. (5) Insuffisance cardiaque sévère. (6) Grossesse 3e trimestre. (7) Asthme aspirine-sensible. (8) Enfant &lt; 15 ans pour les formes injectables et suppositoires. (9) Exposition solaire prévue pendant le traitement (CI relative pour toutes les formes, y compris topiques).</w:t>
      </w:r>
      <w:r>
        <w:t xml:space="preserve"> </w:t>
      </w:r>
      <w:r>
        <w:t xml:space="preserve">- Effets Indésirables :</w:t>
      </w:r>
      <w:r>
        <w:t xml:space="preserve"> </w:t>
      </w:r>
      <w:r>
        <w:t xml:space="preserve">- Cutanés (particularité majeure) : phototoxicité (érythème, brûlure, vésicules en zones photo-exposées), photo-allergie (eczéma persistant, réactions croisées avec d’autres profènes). Risque élevé même avec les formes topiques (gel, patch) en raison de la pénétration cutanée et de la concentration dans les couches superficielles. DRESS, Stevens-Johnson, Lyell (rares mais graves). Le kétoprofène présente le risque photo-toxique le plus élevé de tous les AINS.</w:t>
      </w:r>
      <w:r>
        <w:t xml:space="preserve"> </w:t>
      </w:r>
      <w:r>
        <w:t xml:space="preserve">- Digestifs : ulcère, hémorragie, perforation (à des taux comparables au diclofénac).</w:t>
      </w:r>
      <w:r>
        <w:t xml:space="preserve"> </w:t>
      </w:r>
      <w:r>
        <w:t xml:space="preserve">- Rénaux : insuffisance rénale aiguë, néphropathie interstitielle.</w:t>
      </w:r>
      <w:r>
        <w:t xml:space="preserve"> </w:t>
      </w:r>
      <w:r>
        <w:t xml:space="preserve">- Cardiovasculaires : majoration modérée du risque thrombotique.</w:t>
      </w:r>
      <w:r>
        <w:t xml:space="preserve"> </w:t>
      </w:r>
      <w:r>
        <w:t xml:space="preserve">- Neurologiques : céphalées, vertiges, somnolence.</w:t>
      </w:r>
      <w:r>
        <w:t xml:space="preserve"> </w:t>
      </w:r>
      <w:r>
        <w:t xml:space="preserve">- Hématologiques : thrombopénie, agranulocytose (très rare).</w:t>
      </w:r>
    </w:p>
    <w:p>
      <w:pPr>
        <w:pStyle w:val="BodyText"/>
      </w:pPr>
      <w:r>
        <w:rPr>
          <w:b/>
          <w:bCs/>
        </w:rPr>
        <w:t xml:space="preserve">Prévention et Gestion des Effets Indésirables :</w:t>
      </w:r>
      <w:r>
        <w:t xml:space="preserve"> </w:t>
      </w:r>
      <w:r>
        <w:t xml:space="preserve">- Mesures Préventives :</w:t>
      </w:r>
      <w:r>
        <w:t xml:space="preserve"> </w:t>
      </w:r>
      <w:r>
        <w:t xml:space="preserve">- Photosensibilité : information du patient sur l’impératif d’éviter toute exposition solaire (y compris UV artificiels) pendant toute la durée du traitement et jusqu’à 2 semaines après l’arrêt. Utilisation d’une protection solaire écran total indice 50+ sur zones découvertes, vêtements couvrants. Préférer un autre AINS en cas d’activité extérieure ou de saison estivale.</w:t>
      </w:r>
      <w:r>
        <w:t xml:space="preserve"> </w:t>
      </w:r>
      <w:r>
        <w:t xml:space="preserve">- Toxicité digestive : prise au cours des repas, co-prescription d’IPP si terrain à risque.</w:t>
      </w:r>
      <w:r>
        <w:t xml:space="preserve"> </w:t>
      </w:r>
      <w:r>
        <w:t xml:space="preserve">- Toxicité rénale : hydratation adéquate, surveillance créatininémie.</w:t>
      </w:r>
      <w:r>
        <w:t xml:space="preserve"> </w:t>
      </w:r>
      <w:r>
        <w:t xml:space="preserve">- Conduite à Tenir :</w:t>
      </w:r>
      <w:r>
        <w:t xml:space="preserve"> </w:t>
      </w:r>
      <w:r>
        <w:t xml:space="preserve">- Arrêt immédiat en cas d’éruption cutanée, surtout en zone photo-exposée → consultation dermatologique urgente.</w:t>
      </w:r>
      <w:r>
        <w:t xml:space="preserve"> </w:t>
      </w:r>
      <w:r>
        <w:t xml:space="preserve">- Arrêt en cas de brûlure épigastrique persistante, melæna, hématémèse.</w:t>
      </w:r>
      <w:r>
        <w:t xml:space="preserve"> </w:t>
      </w:r>
      <w:r>
        <w:t xml:space="preserve">- Surveillance de la créatininémie si traitement &gt; 7 jours ou si terrain à risque.</w:t>
      </w:r>
    </w:p>
    <w:p>
      <w:pPr>
        <w:pStyle w:val="BodyText"/>
      </w:pPr>
      <w:r>
        <w:rPr>
          <w:b/>
          <w:bCs/>
        </w:rPr>
        <w:t xml:space="preserve">Interactions Importantes :</w:t>
      </w:r>
      <w:r>
        <w:t xml:space="preserve"> </w:t>
      </w:r>
      <w:r>
        <w:t xml:space="preserve">-</w:t>
      </w:r>
      <w:r>
        <w:t xml:space="preserve"> </w:t>
      </w:r>
      <w:r>
        <w:rPr>
          <w:b/>
          <w:bCs/>
        </w:rPr>
        <w:t xml:space="preserve">Kétoprofène + AVK</w:t>
      </w:r>
      <w:r>
        <w:t xml:space="preserve"> </w:t>
      </w:r>
      <w:r>
        <w:t xml:space="preserve">: majoration du risque hémorragique.</w:t>
      </w:r>
      <w:r>
        <w:t xml:space="preserve"> </w:t>
      </w:r>
      <w:r>
        <w:t xml:space="preserve">-</w:t>
      </w:r>
      <w:r>
        <w:t xml:space="preserve"> </w:t>
      </w:r>
      <w:r>
        <w:rPr>
          <w:b/>
          <w:bCs/>
        </w:rPr>
        <w:t xml:space="preserve">Kétoprofène + Aspirine</w:t>
      </w:r>
      <w:r>
        <w:t xml:space="preserve"> </w:t>
      </w:r>
      <w:r>
        <w:t xml:space="preserve">: addition des toxicités digestives, baisse de l’effet cardioprotecteur de l’aspirine.</w:t>
      </w:r>
      <w:r>
        <w:t xml:space="preserve"> </w:t>
      </w:r>
      <w:r>
        <w:t xml:space="preserve">-</w:t>
      </w:r>
      <w:r>
        <w:t xml:space="preserve"> </w:t>
      </w:r>
      <w:r>
        <w:rPr>
          <w:b/>
          <w:bCs/>
        </w:rPr>
        <w:t xml:space="preserve">Kétoprofène + IEC/ARA2/diurétiques</w:t>
      </w:r>
      <w:r>
        <w:t xml:space="preserve"> </w:t>
      </w:r>
      <w:r>
        <w:t xml:space="preserve">: insuffisance rénale aiguë fonctionnelle.</w:t>
      </w:r>
      <w:r>
        <w:t xml:space="preserve"> </w:t>
      </w:r>
      <w:r>
        <w:t xml:space="preserve">-</w:t>
      </w:r>
      <w:r>
        <w:t xml:space="preserve"> </w:t>
      </w:r>
      <w:r>
        <w:rPr>
          <w:b/>
          <w:bCs/>
        </w:rPr>
        <w:t xml:space="preserve">Kétoprofène + Lithium</w:t>
      </w:r>
      <w:r>
        <w:t xml:space="preserve"> </w:t>
      </w:r>
      <w:r>
        <w:t xml:space="preserve">: baisse de la clairance, toxicité.</w:t>
      </w:r>
      <w:r>
        <w:t xml:space="preserve"> </w:t>
      </w:r>
      <w:r>
        <w:t xml:space="preserve">-</w:t>
      </w:r>
      <w:r>
        <w:t xml:space="preserve"> </w:t>
      </w:r>
      <w:r>
        <w:rPr>
          <w:b/>
          <w:bCs/>
        </w:rPr>
        <w:t xml:space="preserve">Kétoprofène + Méthotrexate</w:t>
      </w:r>
      <w:r>
        <w:t xml:space="preserve"> </w:t>
      </w:r>
      <w:r>
        <w:t xml:space="preserve">: baisse de l’élimination, toxicité hématologique.</w:t>
      </w:r>
      <w:r>
        <w:t xml:space="preserve"> </w:t>
      </w:r>
      <w:r>
        <w:t xml:space="preserve">-</w:t>
      </w:r>
      <w:r>
        <w:t xml:space="preserve"> </w:t>
      </w:r>
      <w:r>
        <w:rPr>
          <w:b/>
          <w:bCs/>
        </w:rPr>
        <w:t xml:space="preserve">Kétoprofène topique + exposition solaire/UV</w:t>
      </w:r>
      <w:r>
        <w:t xml:space="preserve"> </w:t>
      </w:r>
      <w:r>
        <w:t xml:space="preserve">: réaction de photo-toxicité majeure (effet lié à l’absorption UV du kétoprofène).</w:t>
      </w:r>
      <w:r>
        <w:t xml:space="preserve"> </w:t>
      </w:r>
      <w:r>
        <w:t xml:space="preserve">-</w:t>
      </w:r>
      <w:r>
        <w:t xml:space="preserve"> </w:t>
      </w:r>
      <w:r>
        <w:rPr>
          <w:b/>
          <w:bCs/>
        </w:rPr>
        <w:t xml:space="preserve">Kétoprofène + Proguanil</w:t>
      </w:r>
      <w:r>
        <w:t xml:space="preserve"> </w:t>
      </w:r>
      <w:r>
        <w:t xml:space="preserve">: risque de toxicité rénale (rare).</w:t>
      </w:r>
    </w:p>
    <w:p>
      <w:pPr>
        <w:pStyle w:val="BodyText"/>
      </w:pPr>
      <w:r>
        <w:rPr>
          <w:b/>
          <w:bCs/>
        </w:rPr>
        <w:t xml:space="preserve">Grossesse et Allaitement :</w:t>
      </w:r>
      <w:r>
        <w:t xml:space="preserve"> </w:t>
      </w:r>
      <w:r>
        <w:t xml:space="preserve">- Grossesse : Identique à la classe. CI absolue 3e trimestre (≥ 24 SA). Préférer l’ibuprofène aux 1er et 2e trimestres en cas d’AINS nécessaire.</w:t>
      </w:r>
      <w:r>
        <w:t xml:space="preserve"> </w:t>
      </w:r>
      <w:r>
        <w:t xml:space="preserve">- Allaitement : Compatible dose unique, mais à éviter en cas d’allaitement maternel exclusif du fait du passage faible mais réel dans le lait. Préférer l’ibuprofène.</w:t>
      </w:r>
      <w:r>
        <w:t xml:space="preserve"> </w:t>
      </w:r>
      <w:r>
        <w:t xml:space="preserve">- Précisions : Le kétoprofène topique est déconseillé pendant la grossesse par prudence (manque de données spécifiques).</w:t>
      </w:r>
    </w:p>
    <w:p>
      <w:pPr>
        <w:pStyle w:val="BodyText"/>
      </w:pPr>
      <w:r>
        <w:rPr>
          <w:b/>
          <w:bCs/>
        </w:rPr>
        <w:t xml:space="preserve">Posologie et Mode d’administration (Standard) :</w:t>
      </w:r>
      <w:r>
        <w:t xml:space="preserve"> </w:t>
      </w:r>
      <w:r>
        <w:t xml:space="preserve">- Adulte :</w:t>
      </w:r>
      <w:r>
        <w:t xml:space="preserve"> </w:t>
      </w:r>
      <w:r>
        <w:t xml:space="preserve">- Comprimés 100 mg : 1 comprimé x 2 à 3/j (200–300 mg/j max). Prise pendant les repas.</w:t>
      </w:r>
      <w:r>
        <w:t xml:space="preserve"> </w:t>
      </w:r>
      <w:r>
        <w:t xml:space="preserve">- Comprimés LP 200 mg : 1 comprimé x 1/j le soir (200 mg/j). Forme LP de choix pour le traitement prolongé.</w:t>
      </w:r>
      <w:r>
        <w:t xml:space="preserve"> </w:t>
      </w:r>
      <w:r>
        <w:t xml:space="preserve">- Suppositoires 100 mg : 1 suppositoire x 2/j (matin et soir).</w:t>
      </w:r>
      <w:r>
        <w:t xml:space="preserve"> </w:t>
      </w:r>
      <w:r>
        <w:t xml:space="preserve">- Injectable IM 100 mg/2 mL : 1 ampoule IM profonde x 1 à 2/j (espacées de 8–12 h), max 200 mg/24 h. Durée maximale 3 à 5 jours, relais oral rapide.</w:t>
      </w:r>
      <w:r>
        <w:t xml:space="preserve"> </w:t>
      </w:r>
      <w:r>
        <w:t xml:space="preserve">- Gel dermique 2,5 % : 1 à 2 applications/j en massage doux sur zone douloureuse. Ne pas dépasser 3 semaines d’application.</w:t>
      </w:r>
      <w:r>
        <w:t xml:space="preserve"> </w:t>
      </w:r>
      <w:r>
        <w:t xml:space="preserve">- Patch : 1 patch/j sur zone douloureuse, à changer toutes les 24 h. Durée maximale 7 jours.</w:t>
      </w:r>
      <w:r>
        <w:t xml:space="preserve"> </w:t>
      </w:r>
      <w:r>
        <w:t xml:space="preserve">- Enfant : CI pour les formes injectables et suppositoires &lt; 15 ans. Forme orale (sirop historique retiré) autrefois à 1 mg/kg/j en 3 prises.</w:t>
      </w:r>
      <w:r>
        <w:t xml:space="preserve"> </w:t>
      </w:r>
      <w:r>
        <w:t xml:space="preserve">- Sujet âgé : réduire la posologie de moitié (50 mg x 2/j ou 100 mg LP x 1/j), surveillance digestive et rénale accrue.</w:t>
      </w:r>
      <w:r>
        <w:t xml:space="preserve"> </w:t>
      </w:r>
      <w:r>
        <w:t xml:space="preserve">- Durée : 3 à 5 jours en injectable ; 7 jours max en antalgique oral ; 2 semaines à 1 mois en traitement anti-inflammatoire chronique avec surveillance.</w:t>
      </w:r>
      <w:r>
        <w:t xml:space="preserve"> </w:t>
      </w:r>
      <w:r>
        <w:t xml:space="preserve">- Moment de prise : pendant les repas (voie orale). Pour la forme IM : injection lente et profonde, en position assise ou couchée.</w:t>
      </w:r>
    </w:p>
    <w:p>
      <w:pPr>
        <w:pStyle w:val="BodyText"/>
      </w:pPr>
      <w:r>
        <w:rPr>
          <w:b/>
          <w:bCs/>
        </w:rPr>
        <w:t xml:space="preserve">Arbitrage et Bénéfices des Formes Galéniques :</w:t>
      </w:r>
      <w:r>
        <w:t xml:space="preserve"> </w:t>
      </w:r>
      <w:r>
        <w:t xml:space="preserve">- Forme orale 100 mg : intérêt dans la douleur aiguë modérée à intense. Dose efficace mais contraignante (3 prises/j).</w:t>
      </w:r>
      <w:r>
        <w:t xml:space="preserve"> </w:t>
      </w:r>
      <w:r>
        <w:t xml:space="preserve">- Forme LP 200 mg : intérêt majeur en traitement chronique (arthrose, polyarthrite) — une seule prise/j le soir, améliore la compliance, réduit les pics sériques et donc la toxicité gastrique.</w:t>
      </w:r>
      <w:r>
        <w:t xml:space="preserve"> </w:t>
      </w:r>
      <w:r>
        <w:t xml:space="preserve">- Injectable IM : indiqué dans la douleur aiguë post-opératoire, colique néphrétique, crise sévère. Délai d’action 15–30 min. Alternative au diclofénac IM (avantage : moins de toxicité hépatique ; inconvénient : plus de photosensibilité).</w:t>
      </w:r>
      <w:r>
        <w:t xml:space="preserve"> </w:t>
      </w:r>
      <w:r>
        <w:t xml:space="preserve">- Suppositoires : alternative en cas d’impossibilité de voie orale, mais tolérance rectale médiocre (rectite, érosions muqueuses). Tendance au retrait du marché.</w:t>
      </w:r>
      <w:r>
        <w:t xml:space="preserve"> </w:t>
      </w:r>
      <w:r>
        <w:t xml:space="preserve">- Gel dermique : indiqué dans les douleurs musculo-tendineuses superficielles. Tolérance systémique faible mais photosensibilité présente (contre-indication d’exposition solaire).</w:t>
      </w:r>
      <w:r>
        <w:t xml:space="preserve"> </w:t>
      </w:r>
      <w:r>
        <w:t xml:space="preserve">- Patch : indiqué dans les douleurs localisées (lombalgies, tendinites). Avantage : application unique/j, bonne observance, pas de manipulation du gel.</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contient un AINS qui peut provoquer des réactions cutanées graves si vous vous exposez au soleil. Pendant le traitement et pendant les 2 semaines qui suivent l’arrêt, vous devez absolument éviter le soleil et les UV. Si vous devez sortir, mettez de la crème solaire indice 50+, des vêtements couvrants et un chapeau.</w:t>
      </w:r>
      <w:r>
        <w:t xml:space="preserve">”</w:t>
      </w:r>
      <w:r>
        <w:t xml:space="preserve"> </w:t>
      </w:r>
      <w:r>
        <w:t xml:space="preserve">-</w:t>
      </w:r>
      <w:r>
        <w:t xml:space="preserve"> </w:t>
      </w:r>
      <w:r>
        <w:t xml:space="preserve">“</w:t>
      </w:r>
      <w:r>
        <w:t xml:space="preserve">Prenez ce médicament pendant les repas avec un grand verre d’eau.</w:t>
      </w:r>
      <w:r>
        <w:t xml:space="preserve">”</w:t>
      </w:r>
      <w:r>
        <w:t xml:space="preserve"> </w:t>
      </w:r>
      <w:r>
        <w:t xml:space="preserve">-</w:t>
      </w:r>
      <w:r>
        <w:t xml:space="preserve"> </w:t>
      </w:r>
      <w:r>
        <w:t xml:space="preserve">“</w:t>
      </w:r>
      <w:r>
        <w:t xml:space="preserve">Ne l’associez pas à un autre AINS (aspirine, ibuprofène, diclofénac) ni avec de l’alcool.</w:t>
      </w:r>
      <w:r>
        <w:t xml:space="preserve">”</w:t>
      </w:r>
      <w:r>
        <w:t xml:space="preserve"> </w:t>
      </w:r>
      <w:r>
        <w:t xml:space="preserve">-</w:t>
      </w:r>
      <w:r>
        <w:t xml:space="preserve"> </w:t>
      </w:r>
      <w:r>
        <w:t xml:space="preserve">“</w:t>
      </w:r>
      <w:r>
        <w:t xml:space="preserve">Si vous avez des douleurs au ventre, des éruptions cutanées, des vertiges, arrêtez et consultez.</w:t>
      </w:r>
      <w:r>
        <w:t xml:space="preserve">”</w:t>
      </w:r>
      <w:r>
        <w:t xml:space="preserve"> </w:t>
      </w:r>
      <w:r>
        <w:t xml:space="preserve">-</w:t>
      </w:r>
      <w:r>
        <w:t xml:space="preserve"> </w:t>
      </w:r>
      <w:r>
        <w:t xml:space="preserve">“</w:t>
      </w:r>
      <w:r>
        <w:t xml:space="preserve">Prévenez votre médecin si vous êtes enceinte, surtout au 3e trimestre.</w:t>
      </w:r>
      <w:r>
        <w:t xml:space="preserve">”</w:t>
      </w:r>
      <w:r>
        <w:t xml:space="preserve"> </w:t>
      </w:r>
      <w:r>
        <w:t xml:space="preserve">- Mode d’utilisation pratique : pour le gel dermique, appliquer une noisette 1 à 2 fois/j sur la zone douloureuse, masser doucement, ne pas recouvrir d’un pansement occlusif, se laver les mains après application. Pour le patch, appliquer sur peau sèche, propre, sans lésion, changer toutes les 24 h, alterner les zones d’application. Pour la forme injectable, faire pratiquer l’injection par un professionnel de santé (IDE ou médecin).</w:t>
      </w:r>
    </w:p>
    <w:p>
      <w:pPr>
        <w:pStyle w:val="BodyText"/>
      </w:pPr>
      <w:r>
        <w:rPr>
          <w:b/>
          <w:bCs/>
        </w:rPr>
        <w:t xml:space="preserve">Notes, Règles d’Or &amp; Pièges au Comptoir :</w:t>
      </w:r>
      <w:r>
        <w:t xml:space="preserve"> </w:t>
      </w:r>
      <w:r>
        <w:t xml:space="preserve">- Piège classique de la photosensibilité : patient qui demande un gel de kétoprofène en été pour une entorse → informer de l’impératif de ne pas s’exposer au soleil, sinon proposer une alternative (ibuprofène gel, diclofénac gel).</w:t>
      </w:r>
      <w:r>
        <w:t xml:space="preserve"> </w:t>
      </w:r>
      <w:r>
        <w:t xml:space="preserve">- Piège de l’association à un autre AINS : patient déjà sous ibuprofène ou diclofénac qui demande du kétoprofène en plus → refuser la délivrance, expliquer le sur-risque digestif et rénal.</w:t>
      </w:r>
      <w:r>
        <w:t xml:space="preserve"> </w:t>
      </w:r>
      <w:r>
        <w:t xml:space="preserve">- Règle de prise : jamais d’injection IV (IM stricte).</w:t>
      </w:r>
      <w:r>
        <w:t xml:space="preserve"> </w:t>
      </w:r>
      <w:r>
        <w:t xml:space="preserve">- Préparation et Conservation : conservation des comprimés à T &lt; 25 °C, à l’abri de la lumière et de l’humidité. Gel dermique : bien refermer le tube après usage. Patch : conserver en emballage d’origine.</w:t>
      </w:r>
      <w:r>
        <w:t xml:space="preserve"> </w:t>
      </w:r>
      <w:r>
        <w:t xml:space="preserve">- Piège du surdosage : aux doses massives, risque d’insuffisance rénale aiguë, d’acidose métabolique, de convulsions.</w:t>
      </w:r>
    </w:p>
    <w:p>
      <w:r>
        <w:pict>
          <v:rect style="width:0;height:1.5pt" o:hralign="center" o:hrstd="t" o:hr="t"/>
        </w:pict>
      </w:r>
    </w:p>
    <w:bookmarkEnd w:id="125"/>
    <w:bookmarkStart w:id="126" w:name="dci-dexkétoprofène-seule"/>
    <w:p>
      <w:pPr>
        <w:pStyle w:val="Heading3"/>
      </w:pPr>
      <w:r>
        <w:t xml:space="preserve">4. DCI : Dexkétoprofène (Seule)</w:t>
      </w:r>
    </w:p>
    <w:p>
      <w:pPr>
        <w:pStyle w:val="FirstParagraph"/>
      </w:pPr>
      <w:r>
        <w:rPr>
          <w:b/>
          <w:bCs/>
        </w:rPr>
        <w:t xml:space="preserve">Liste des Catégories :</w:t>
      </w:r>
      <w:r>
        <w:t xml:space="preserve"> </w:t>
      </w:r>
      <w:r>
        <w:t xml:space="preserve">Liste II.</w:t>
      </w:r>
    </w:p>
    <w:p>
      <w:pPr>
        <w:pStyle w:val="BodyText"/>
      </w:pPr>
      <w:r>
        <w:t xml:space="preserve">Le dexkétoprofène est l’énantiomère S (+) du kétoprofène, c’est-à-dire la forme énantiomériquement active du kétoprofène racémique. Le kétoprofène racémique est en effet composé d’un mélange 50/50 de formes R et S, mais seule la forme S possède une activité inhibitrice de la cyclo-oxygénase. L’inversion métabolique R→S in vivo fait que la forme racémique produit une activité équivalente à la forme S seule, mais nécessite l’administration d’une dose double. Le dexkétoprofène (sous forme de sel de trométamol pour améliorer la solubilité et la vitesse d’absorption) permet donc de réduire la dose administrée de moitié, avec une biodisponibilité et une tolérance comparables, voire supérieures. Commercialisé en Algérie principalement sous les marques ENANTUM (Menarini) et XALGIC (Biopharm), le dexkétoprofène est un AINS de la douleur aiguë modérée à intense, utilisé en pratique courante pour les douleurs post-opératoires, dentaires, traumatologiques et la dysménorrhée. Sa rapidité d’action (effet antalgique significatif dès 30 min) et sa tolérance gastrique correcte en font une alternative intéressante au kétoprofène racémique.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ENANTUM</w:t>
      </w:r>
      <w:r>
        <w:t xml:space="preserve"> </w:t>
      </w:r>
      <w:r>
        <w:t xml:space="preserve">(Menarini)</w:t>
      </w:r>
      <w:r>
        <w:t xml:space="preserve"> </w:t>
      </w:r>
      <w:r>
        <w:t xml:space="preserve">- Forme : Comprimé pelliculé</w:t>
      </w:r>
      <w:r>
        <w:t xml:space="preserve"> </w:t>
      </w:r>
      <w:r>
        <w:t xml:space="preserve">- Dosage : 25 mg</w:t>
      </w:r>
      <w:r>
        <w:t xml:space="preserve"> </w:t>
      </w:r>
      <w:r>
        <w:t xml:space="preserve">- Conditionnement : B/20</w:t>
      </w:r>
      <w:r>
        <w:t xml:space="preserve"> </w:t>
      </w:r>
      <w:r>
        <w:t xml:space="preserve">- Liste : Liste II</w:t>
      </w:r>
      <w:r>
        <w:t xml:space="preserve"> </w:t>
      </w:r>
      <w:r>
        <w:t xml:space="preserve">- Statut : ACTIF</w:t>
      </w:r>
      <w:r>
        <w:t xml:space="preserve"> </w:t>
      </w:r>
      <w:r>
        <w:t xml:space="preserve">-</w:t>
      </w:r>
      <w:r>
        <w:t xml:space="preserve"> </w:t>
      </w:r>
      <w:r>
        <w:rPr>
          <w:b/>
          <w:bCs/>
        </w:rPr>
        <w:t xml:space="preserve">XALGIC</w:t>
      </w:r>
      <w:r>
        <w:t xml:space="preserve"> </w:t>
      </w:r>
      <w:r>
        <w:t xml:space="preserve">(Biopharm)</w:t>
      </w:r>
      <w:r>
        <w:t xml:space="preserve"> </w:t>
      </w:r>
      <w:r>
        <w:t xml:space="preserve">- Forme : Solution buvable en sachet</w:t>
      </w:r>
      <w:r>
        <w:t xml:space="preserve"> </w:t>
      </w:r>
      <w:r>
        <w:t xml:space="preserve">- Dosage : 25 mg/10 mL</w:t>
      </w:r>
      <w:r>
        <w:t xml:space="preserve"> </w:t>
      </w:r>
      <w:r>
        <w:t xml:space="preserve">- Conditionnement : Boîte de 20 sachets</w:t>
      </w:r>
      <w:r>
        <w:t xml:space="preserve"> </w:t>
      </w:r>
      <w:r>
        <w:t xml:space="preserve">- Liste : Liste II</w:t>
      </w:r>
      <w:r>
        <w:t xml:space="preserve"> </w:t>
      </w:r>
      <w:r>
        <w:t xml:space="preserve">- Statut : ACTIF</w:t>
      </w:r>
    </w:p>
    <w:p>
      <w:pPr>
        <w:pStyle w:val="BodyText"/>
      </w:pPr>
      <w:r>
        <w:rPr>
          <w:b/>
          <w:bCs/>
        </w:rPr>
        <w:t xml:space="preserve">Sous-classe et Mécanisme d’action :</w:t>
      </w:r>
      <w:r>
        <w:t xml:space="preserve"> </w:t>
      </w:r>
      <w:r>
        <w:t xml:space="preserve">- Sous-classe : Dérivé arylpropionique (profène), énantiomère S pur du kétoprofène, AINS non sélectif COX-1/COX-2.</w:t>
      </w:r>
      <w:r>
        <w:t xml:space="preserve"> </w:t>
      </w:r>
      <w:r>
        <w:t xml:space="preserve">- Mécanisme d’action : Inhibition réversible des COX-1 et COX-2. Le dexkétoprofène trométamol est la forme sel avec la base trométamol, qui augmente la solubilité et la vitesse de dissolution, conduisant à une absorption plus rapide et un pic sérique plus précoce (Tmax 0,25–0,75 h pour le sachet vs 1 h pour le comprimé). L’énantiomère S a une affinité environ 100 fois supérieure à celle de la forme R pour la COX, et correspond donc à toute l’activité pharmacologique du kétoprofène racémique.</w:t>
      </w:r>
    </w:p>
    <w:p>
      <w:pPr>
        <w:pStyle w:val="BodyText"/>
      </w:pPr>
      <w:r>
        <w:rPr>
          <w:b/>
          <w:bCs/>
        </w:rPr>
        <w:t xml:space="preserve">Profil Pharmacologique :</w:t>
      </w:r>
      <w:r>
        <w:t xml:space="preserve"> </w:t>
      </w:r>
      <w:r>
        <w:t xml:space="preserve">- Indications : Traitement symptomatique de courte durée des douleurs aiguës d’intensité légère à modérée (douleurs musculaires, douleurs dentaires, dysménorrhée, douleurs post-opératoires mineures, céphalées, migraines). Efficacité comparable au kétoprofène racémique 100 mg à 50 mg de dexkétoprofène (moitié de la dose).</w:t>
      </w:r>
      <w:r>
        <w:t xml:space="preserve"> </w:t>
      </w:r>
      <w:r>
        <w:t xml:space="preserve">- Contre-indications : (1) Hypersensibilité au dexkétoprofène, kétoprofène ou autre AINS. (2) Asthme aspirine-sensible, polypose naso-sinusienne, angio-œdème. (3) Ulcère gastro-duodénal en évolution. (4) Insuffisance hépatique sévère, insuffisance rénale sévère (DFG &lt; 30 mL/min). (5) Insuffisance cardiaque sévère. (6) Grossesse 3e trimestre. (7) Hémorragie active. (8) Enfant &lt; 18 ans (forme actuelle). (9) Allaitement.</w:t>
      </w:r>
      <w:r>
        <w:t xml:space="preserve"> </w:t>
      </w:r>
      <w:r>
        <w:t xml:space="preserve">- Effets Indésirables :</w:t>
      </w:r>
      <w:r>
        <w:t xml:space="preserve"> </w:t>
      </w:r>
      <w:r>
        <w:t xml:space="preserve">- Digestifs (très fréquents) : nausées, douleurs épigastriques, dyspepsie, diarrhée. Ulcère et hémorragie (rares).</w:t>
      </w:r>
      <w:r>
        <w:t xml:space="preserve"> </w:t>
      </w:r>
      <w:r>
        <w:t xml:space="preserve">- Neurologiques : céphalées, vertiges, somnolence.</w:t>
      </w:r>
      <w:r>
        <w:t xml:space="preserve"> </w:t>
      </w:r>
      <w:r>
        <w:t xml:space="preserve">- Cutanés : éruptions, prurit. Photosensibilité possible mais moindre qu’avec le kétoprofène racémique (la dose administrée est réduite de moitié).</w:t>
      </w:r>
      <w:r>
        <w:t xml:space="preserve"> </w:t>
      </w:r>
      <w:r>
        <w:t xml:space="preserve">- Rénaux : insuffisance rénale aiguë fonctionnelle, hyperkaliémie.</w:t>
      </w:r>
      <w:r>
        <w:t xml:space="preserve"> </w:t>
      </w:r>
      <w:r>
        <w:t xml:space="preserve">- Cardiovasculaires : majoration modérée du risque thrombotique.</w:t>
      </w:r>
      <w:r>
        <w:t xml:space="preserve"> </w:t>
      </w:r>
      <w:r>
        <w:t xml:space="preserve">- Hépatiques : cytolyse (rare).</w:t>
      </w:r>
    </w:p>
    <w:p>
      <w:pPr>
        <w:pStyle w:val="BodyText"/>
      </w:pPr>
      <w:r>
        <w:rPr>
          <w:b/>
          <w:bCs/>
        </w:rPr>
        <w:t xml:space="preserve">Prévention et Gestion des Effets Indésirables :</w:t>
      </w:r>
      <w:r>
        <w:t xml:space="preserve"> </w:t>
      </w:r>
      <w:r>
        <w:t xml:space="preserve">- Mesures Préventives : prise pendant les repas, hydratation adéquate, durée courte (5 jours max), pas d’association à un autre AINS, surveillance chez le sujet âgé.</w:t>
      </w:r>
      <w:r>
        <w:t xml:space="preserve"> </w:t>
      </w:r>
      <w:r>
        <w:t xml:space="preserve">- Conduite à Tenir : arrêt en cas de douleur épigastrique persistante, éruption cutanée, vertiges intenses, oligurie, hématémèse.</w:t>
      </w:r>
    </w:p>
    <w:p>
      <w:pPr>
        <w:pStyle w:val="BodyText"/>
      </w:pPr>
      <w:r>
        <w:rPr>
          <w:b/>
          <w:bCs/>
        </w:rPr>
        <w:t xml:space="preserve">Interactions Importantes :</w:t>
      </w:r>
      <w:r>
        <w:t xml:space="preserve"> </w:t>
      </w:r>
      <w:r>
        <w:t xml:space="preserve">- Identiques à la classe des profènes : AVK, aspirine, IEC/ARA2/diurétiques, lithium, méthotrexate, ISRS, alcool.</w:t>
      </w:r>
      <w:r>
        <w:t xml:space="preserve"> </w:t>
      </w:r>
      <w:r>
        <w:t xml:space="preserve">- Dexkétoprofène + Cyclosporine : néphrotoxicité additive.</w:t>
      </w:r>
      <w:r>
        <w:t xml:space="preserve"> </w:t>
      </w:r>
      <w:r>
        <w:t xml:space="preserve">- Dexkétoprofène + Fluconazole (inhibiteur CYP2C9) : augmentation des concentrations de dexkétoprofène (rare).</w:t>
      </w:r>
    </w:p>
    <w:p>
      <w:pPr>
        <w:pStyle w:val="BodyText"/>
      </w:pPr>
      <w:r>
        <w:rPr>
          <w:b/>
          <w:bCs/>
        </w:rPr>
        <w:t xml:space="preserve">Grossesse et Allaitement :</w:t>
      </w:r>
      <w:r>
        <w:t xml:space="preserve"> </w:t>
      </w:r>
      <w:r>
        <w:t xml:space="preserve">- Grossesse : Identique à la classe. CI 3e trimestre. Préférer l’ibuprofène aux 1er et 2e trimestres.</w:t>
      </w:r>
      <w:r>
        <w:t xml:space="preserve"> </w:t>
      </w:r>
      <w:r>
        <w:t xml:space="preserve">- Allaitement : À éviter par prudence, bien que le passage dans le lait soit probablement faible (données limitées).</w:t>
      </w:r>
    </w:p>
    <w:p>
      <w:pPr>
        <w:pStyle w:val="BodyText"/>
      </w:pPr>
      <w:r>
        <w:rPr>
          <w:b/>
          <w:bCs/>
        </w:rPr>
        <w:t xml:space="preserve">Posologie et Mode d’administration (Standard) :</w:t>
      </w:r>
      <w:r>
        <w:t xml:space="preserve"> </w:t>
      </w:r>
      <w:r>
        <w:t xml:space="preserve">- Adulte : 1 comprimé ou 1 sachet à 25 mg, 1 à 3 fois/j, à espacer d’au moins 8 h. Dose maximale : 75 mg/j (3 comprimés). Dose unitaire initiale recommandée : 50 mg (2 comprimés) pour douleur intense, puis 25 mg à 8 h d’intervalle. La forme sachet permet une administration plus rapide (dissolution immédiate dans 10 mL d’eau).</w:t>
      </w:r>
      <w:r>
        <w:t xml:space="preserve"> </w:t>
      </w:r>
      <w:r>
        <w:t xml:space="preserve">- Enfant : CI chez l’enfant &lt; 18 ans.</w:t>
      </w:r>
      <w:r>
        <w:t xml:space="preserve"> </w:t>
      </w:r>
      <w:r>
        <w:t xml:space="preserve">- Sujet âgé : réduire la posologie initiale à 25 mg x 1 à 2/j max 50 mg/j, surveillance digestive et rénale accrue.</w:t>
      </w:r>
      <w:r>
        <w:t xml:space="preserve"> </w:t>
      </w:r>
      <w:r>
        <w:t xml:space="preserve">- Durée : 5 jours maximum en antalgique.</w:t>
      </w:r>
      <w:r>
        <w:t xml:space="preserve"> </w:t>
      </w:r>
      <w:r>
        <w:t xml:space="preserve">- Moment de prise : pendant ou après les repas, avec un grand verre d’eau. Pour le sachet : verser le contenu dans un verre d’eau, mélanger, boire immédiatement.</w:t>
      </w:r>
    </w:p>
    <w:p>
      <w:pPr>
        <w:pStyle w:val="BodyText"/>
      </w:pPr>
      <w:r>
        <w:rPr>
          <w:b/>
          <w:bCs/>
        </w:rPr>
        <w:t xml:space="preserve">Arbitrage et Bénéfices des Formes Galéniques :</w:t>
      </w:r>
      <w:r>
        <w:t xml:space="preserve"> </w:t>
      </w:r>
      <w:r>
        <w:t xml:space="preserve">- Comprimé pelliculé 25 mg : forme de référence pour douleur modérée à intense. Délai d’action 30 min. Prise pratique.</w:t>
      </w:r>
      <w:r>
        <w:t xml:space="preserve"> </w:t>
      </w:r>
      <w:r>
        <w:t xml:space="preserve">- Sachet 25 mg/10 mL : intérêt en cas de dysphagie, de vomissements, ou pour un effet plus rapide (dissolution immédiate). Pratique en milieu hospitalier ou pour la douleur aiguë.</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antalgique anti-inflammatoire. Prenez-le pendant les repas, avec un grand verre d’eau.</w:t>
      </w:r>
      <w:r>
        <w:t xml:space="preserve">”</w:t>
      </w:r>
      <w:r>
        <w:t xml:space="preserve"> </w:t>
      </w:r>
      <w:r>
        <w:t xml:space="preserve">-</w:t>
      </w:r>
      <w:r>
        <w:t xml:space="preserve"> </w:t>
      </w:r>
      <w:r>
        <w:t xml:space="preserve">“</w:t>
      </w:r>
      <w:r>
        <w:t xml:space="preserve">Ne dépassez pas 3 comprimés ou 3 sachets par jour, et respectez un intervalle de 8 h entre les prises.</w:t>
      </w:r>
      <w:r>
        <w:t xml:space="preserve">”</w:t>
      </w:r>
      <w:r>
        <w:t xml:space="preserve"> </w:t>
      </w:r>
      <w:r>
        <w:t xml:space="preserve">-</w:t>
      </w:r>
      <w:r>
        <w:t xml:space="preserve"> </w:t>
      </w:r>
      <w:r>
        <w:t xml:space="preserve">“</w:t>
      </w:r>
      <w:r>
        <w:t xml:space="preserve">Ne l’associez pas à un autre AINS (aspirine, ibuprofène).</w:t>
      </w:r>
      <w:r>
        <w:t xml:space="preserve">”</w:t>
      </w:r>
      <w:r>
        <w:t xml:space="preserve"> </w:t>
      </w:r>
      <w:r>
        <w:t xml:space="preserve">-</w:t>
      </w:r>
      <w:r>
        <w:t xml:space="preserve"> </w:t>
      </w:r>
      <w:r>
        <w:t xml:space="preserve">“</w:t>
      </w:r>
      <w:r>
        <w:t xml:space="preserve">Si vous avez des douleurs au ventre ou des éruptions cutanées, arrêtez et consultez.</w:t>
      </w:r>
      <w:r>
        <w:t xml:space="preserve">”</w:t>
      </w:r>
      <w:r>
        <w:t xml:space="preserve"> </w:t>
      </w:r>
      <w:r>
        <w:t xml:space="preserve">- Mode d’utilisation pratique : pour le sachet, bien dissoudre dans 10 mL d’eau et boire immédiatement. Ne pas conserver la solution.</w:t>
      </w:r>
    </w:p>
    <w:p>
      <w:pPr>
        <w:pStyle w:val="BodyText"/>
      </w:pPr>
      <w:r>
        <w:rPr>
          <w:b/>
          <w:bCs/>
        </w:rPr>
        <w:t xml:space="preserve">Notes, Règles d’Or &amp; Pièges au Comptoir :</w:t>
      </w:r>
      <w:r>
        <w:t xml:space="preserve"> </w:t>
      </w:r>
      <w:r>
        <w:t xml:space="preserve">- Piège classique : patient qui demande du dexkétoprofène en plus d’un autre AINS → refuser, risque de surdosage et d’effets indésirables additifs.</w:t>
      </w:r>
      <w:r>
        <w:t xml:space="preserve"> </w:t>
      </w:r>
      <w:r>
        <w:t xml:space="preserve">- Piège de la prescription chez la femme enceinte : CI 3e trimestre.</w:t>
      </w:r>
      <w:r>
        <w:t xml:space="preserve"> </w:t>
      </w:r>
      <w:r>
        <w:t xml:space="preserve">- Règle de prise : jamais plus de 75 mg/j (3 prises), jamais plus de 5 jours sans avis médical.</w:t>
      </w:r>
      <w:r>
        <w:t xml:space="preserve"> </w:t>
      </w:r>
      <w:r>
        <w:t xml:space="preserve">- Préparation et Conservation : comprimés à T &lt; 25 °C, à l’abri de l’humidité. Sachets à conserver en emballage d’origine.</w:t>
      </w:r>
    </w:p>
    <w:p>
      <w:r>
        <w:pict>
          <v:rect style="width:0;height:1.5pt" o:hralign="center" o:hrstd="t" o:hr="t"/>
        </w:pict>
      </w:r>
    </w:p>
    <w:bookmarkEnd w:id="126"/>
    <w:bookmarkStart w:id="127" w:name="dci-flurbiprofène-seule"/>
    <w:p>
      <w:pPr>
        <w:pStyle w:val="Heading3"/>
      </w:pPr>
      <w:r>
        <w:t xml:space="preserve">5. DCI : Flurbiprofène (Seule)</w:t>
      </w:r>
    </w:p>
    <w:p>
      <w:pPr>
        <w:pStyle w:val="FirstParagraph"/>
      </w:pPr>
      <w:r>
        <w:rPr>
          <w:b/>
          <w:bCs/>
        </w:rPr>
        <w:t xml:space="preserve">Liste des Catégories :</w:t>
      </w:r>
      <w:r>
        <w:t xml:space="preserve"> </w:t>
      </w:r>
      <w:r>
        <w:t xml:space="preserve">Liste II.</w:t>
      </w:r>
    </w:p>
    <w:p>
      <w:pPr>
        <w:pStyle w:val="BodyText"/>
      </w:pPr>
      <w:r>
        <w:t xml:space="preserve">Le flurbiprofène (acide 2-[2-fluoro-4-biphénylyl]propionique) est un AINS de la sous-classe des profènes, dérivé arylpropionique comportant un atome de fluor sur le cycle aromatique. Il se distingue des autres profènes par plusieurs particularités : (1) une puissance anti-inflammatoire supérieure à l’ibuprofène (ratio d’environ 2:1), (2) une longue demi-vie (4–6 h), autorisant une administration biquotidienne, (3) une indication spécifique dans la dysménorrhée, où il s’est montré particulièrement efficace (le flurbiprofène est l’un des rares AINS à avoir une AMM spécifique dans cette indication), (4) une indication historique en collyre dans la prévention de la myosis peropératoire en chirurgie de la cataracte (mais les collyres ne sont pas disponibles en Algérie à ce jour). En Algérie, le flurbiprofène est commercialisé sous une dizaine de marques, toutes en comprimés 100 mg, principalement sous des noms évoquant la dysménorrhée (ANTALFEN GYN, XYDOL GYN, ANTADYS, HUPTADYS), reflétant le positionnement de la molécule dans cette indication. La spécialité historique ANTADYS (Theramex) est retirée du marché algérien, mais les génériques locaux (SANAMED, PHARMALLIANCE, GEOPHARM, INPHA-MEDIS, NADPHARMADIC, SOPHAL, HUPP PHARMA, BIOGALENIC, MERINAL) maintiennent une bonne disponibilité.</w:t>
      </w:r>
    </w:p>
    <w:p>
      <w:pPr>
        <w:pStyle w:val="BodyText"/>
      </w:pPr>
      <w:r>
        <w:rPr>
          <w:b/>
          <w:bCs/>
        </w:rPr>
        <w:t xml:space="preserve">Médicaments disponibles en Algérie (Marques, Laboratoires, Formes et Dosages) :</w:t>
      </w:r>
    </w:p>
    <w:p>
      <w:pPr>
        <w:pStyle w:val="BodyText"/>
      </w:pPr>
      <w:r>
        <w:rPr>
          <w:b/>
          <w:bCs/>
        </w:rPr>
        <w:t xml:space="preserve">Comprimés enrobés / pelliculés 100 mg :</w:t>
      </w:r>
      <w:r>
        <w:t xml:space="preserve"> </w:t>
      </w:r>
      <w:r>
        <w:t xml:space="preserve">-</w:t>
      </w:r>
      <w:r>
        <w:t xml:space="preserve"> </w:t>
      </w:r>
      <w:r>
        <w:rPr>
          <w:b/>
          <w:bCs/>
        </w:rPr>
        <w:t xml:space="preserve">ANTADINE</w:t>
      </w:r>
      <w:r>
        <w:t xml:space="preserve"> </w:t>
      </w:r>
      <w:r>
        <w:t xml:space="preserve">(Sanamed) — Comprimé enrobé 100 mg, B/20 (Liste II) — ACTIF</w:t>
      </w:r>
      <w:r>
        <w:t xml:space="preserve"> </w:t>
      </w:r>
      <w:r>
        <w:t xml:space="preserve">-</w:t>
      </w:r>
      <w:r>
        <w:t xml:space="preserve"> </w:t>
      </w:r>
      <w:r>
        <w:rPr>
          <w:b/>
          <w:bCs/>
        </w:rPr>
        <w:t xml:space="preserve">ANTALFEN GYN</w:t>
      </w:r>
      <w:r>
        <w:t xml:space="preserve"> </w:t>
      </w:r>
      <w:r>
        <w:t xml:space="preserve">(Pharmalliance) — Comprimé pelliculé 100 mg, B/20 (Liste II) — ACTIF</w:t>
      </w:r>
      <w:r>
        <w:t xml:space="preserve"> </w:t>
      </w:r>
      <w:r>
        <w:t xml:space="preserve">-</w:t>
      </w:r>
      <w:r>
        <w:t xml:space="preserve"> </w:t>
      </w:r>
      <w:r>
        <w:rPr>
          <w:b/>
          <w:bCs/>
        </w:rPr>
        <w:t xml:space="preserve">FLUBIFENE</w:t>
      </w:r>
      <w:r>
        <w:t xml:space="preserve"> </w:t>
      </w:r>
      <w:r>
        <w:t xml:space="preserve">(Geopharm) — Comprimé pelliculé 100 mg, B/20 (Liste II) — ACTIF</w:t>
      </w:r>
      <w:r>
        <w:t xml:space="preserve"> </w:t>
      </w:r>
      <w:r>
        <w:t xml:space="preserve">-</w:t>
      </w:r>
      <w:r>
        <w:t xml:space="preserve"> </w:t>
      </w:r>
      <w:r>
        <w:rPr>
          <w:b/>
          <w:bCs/>
        </w:rPr>
        <w:t xml:space="preserve">FLUDIS</w:t>
      </w:r>
      <w:r>
        <w:t xml:space="preserve"> </w:t>
      </w:r>
      <w:r>
        <w:t xml:space="preserve">(Inpha-Medis) — Comprimé pelliculé 100 mg, B/16 (Liste II) — ACTIF</w:t>
      </w:r>
      <w:r>
        <w:t xml:space="preserve"> </w:t>
      </w:r>
      <w:r>
        <w:t xml:space="preserve">-</w:t>
      </w:r>
      <w:r>
        <w:t xml:space="preserve"> </w:t>
      </w:r>
      <w:r>
        <w:rPr>
          <w:b/>
          <w:bCs/>
        </w:rPr>
        <w:t xml:space="preserve">FLURBINAD</w:t>
      </w:r>
      <w:r>
        <w:t xml:space="preserve"> </w:t>
      </w:r>
      <w:r>
        <w:t xml:space="preserve">(Nadpharmadic) — Comprimé pelliculé 100 mg, B/20 (Liste II) — ACTIF</w:t>
      </w:r>
      <w:r>
        <w:t xml:space="preserve"> </w:t>
      </w:r>
      <w:r>
        <w:t xml:space="preserve">-</w:t>
      </w:r>
      <w:r>
        <w:t xml:space="preserve"> </w:t>
      </w:r>
      <w:r>
        <w:rPr>
          <w:b/>
          <w:bCs/>
        </w:rPr>
        <w:t xml:space="preserve">FLURBIPROFAL</w:t>
      </w:r>
      <w:r>
        <w:t xml:space="preserve"> </w:t>
      </w:r>
      <w:r>
        <w:t xml:space="preserve">(Sophal) — Comprimé pelliculé 100 mg, B/16 (Liste II) — ACTIF</w:t>
      </w:r>
      <w:r>
        <w:t xml:space="preserve"> </w:t>
      </w:r>
      <w:r>
        <w:t xml:space="preserve">-</w:t>
      </w:r>
      <w:r>
        <w:t xml:space="preserve"> </w:t>
      </w:r>
      <w:r>
        <w:rPr>
          <w:b/>
          <w:bCs/>
        </w:rPr>
        <w:t xml:space="preserve">HUPTADYS</w:t>
      </w:r>
      <w:r>
        <w:t xml:space="preserve"> </w:t>
      </w:r>
      <w:r>
        <w:t xml:space="preserve">(Hupp Pharma) — Comprimé pelliculé 100 mg, B/20 (Liste II) — ACTIF</w:t>
      </w:r>
      <w:r>
        <w:t xml:space="preserve"> </w:t>
      </w:r>
      <w:r>
        <w:t xml:space="preserve">-</w:t>
      </w:r>
      <w:r>
        <w:t xml:space="preserve"> </w:t>
      </w:r>
      <w:r>
        <w:rPr>
          <w:b/>
          <w:bCs/>
        </w:rPr>
        <w:t xml:space="preserve">MENODIS</w:t>
      </w:r>
      <w:r>
        <w:t xml:space="preserve"> </w:t>
      </w:r>
      <w:r>
        <w:t xml:space="preserve">(Biogalenic) — Comprimé pelliculé 100 mg, B/16 (Liste II) — ACTIF</w:t>
      </w:r>
      <w:r>
        <w:t xml:space="preserve"> </w:t>
      </w:r>
      <w:r>
        <w:t xml:space="preserve">-</w:t>
      </w:r>
      <w:r>
        <w:t xml:space="preserve"> </w:t>
      </w:r>
      <w:r>
        <w:rPr>
          <w:b/>
          <w:bCs/>
        </w:rPr>
        <w:t xml:space="preserve">XYDOL GYN</w:t>
      </w:r>
      <w:r>
        <w:t xml:space="preserve"> </w:t>
      </w:r>
      <w:r>
        <w:t xml:space="preserve">(Merinal) — Comprimé pelliculé 100 mg, B/20 (Liste II) — ACTIF</w:t>
      </w:r>
      <w:r>
        <w:t xml:space="preserve"> </w:t>
      </w:r>
      <w:r>
        <w:t xml:space="preserve">-</w:t>
      </w:r>
      <w:r>
        <w:t xml:space="preserve"> </w:t>
      </w:r>
      <w:r>
        <w:rPr>
          <w:b/>
          <w:bCs/>
        </w:rPr>
        <w:t xml:space="preserve">ANTADYS</w:t>
      </w:r>
      <w:r>
        <w:t xml:space="preserve"> </w:t>
      </w:r>
      <w:r>
        <w:t xml:space="preserve">(Theramex) (R) — Comprimé pelliculé 100 mg, B/15 (Liste II)</w:t>
      </w:r>
    </w:p>
    <w:p>
      <w:pPr>
        <w:pStyle w:val="BodyText"/>
      </w:pPr>
      <w:r>
        <w:rPr>
          <w:b/>
          <w:bCs/>
        </w:rPr>
        <w:t xml:space="preserve">Statut :</w:t>
      </w:r>
      <w:r>
        <w:t xml:space="preserve"> </w:t>
      </w:r>
      <w:r>
        <w:t xml:space="preserve">La quasi-totalité des spécialités sont ACTIVES, à l’exception de l’ANTADYS (Theramex, retirée). Le marché est dominé par les laboratoires algériens et les imports régionaux (Moyen-Orient).</w:t>
      </w:r>
    </w:p>
    <w:p>
      <w:pPr>
        <w:pStyle w:val="BodyText"/>
      </w:pPr>
      <w:r>
        <w:rPr>
          <w:b/>
          <w:bCs/>
        </w:rPr>
        <w:t xml:space="preserve">Sous-classe et Mécanisme d’action :</w:t>
      </w:r>
      <w:r>
        <w:t xml:space="preserve"> </w:t>
      </w:r>
      <w:r>
        <w:t xml:space="preserve">- Sous-classe : Dérivé arylpropionique (profène), AINS non sélectif COX-1/COX-2, racémique.</w:t>
      </w:r>
      <w:r>
        <w:t xml:space="preserve"> </w:t>
      </w:r>
      <w:r>
        <w:t xml:space="preserve">- Mécanisme d’action : Inhibition réversible des COX-1 et COX-2, identique à la classe. L’énantiomère S est actif, l’énantiomère R est in vivo converti en S (inversion métabolique). Puissance anti-inflammatoire élevée, environ 2× supérieure à l’ibuprofène.</w:t>
      </w:r>
    </w:p>
    <w:p>
      <w:pPr>
        <w:pStyle w:val="BodyText"/>
      </w:pPr>
      <w:r>
        <w:rPr>
          <w:b/>
          <w:bCs/>
        </w:rPr>
        <w:t xml:space="preserve">Profil Pharmacologique :</w:t>
      </w:r>
      <w:r>
        <w:t xml:space="preserve"> </w:t>
      </w:r>
      <w:r>
        <w:t xml:space="preserve">- Indications : Traitement symptomatique de courte durée des douleurs aiguës (douleurs articulaires, musculaires, dentaires, céphalées) ; traitement spécifique de la dysménorrhée primaire (efficacité supérieure aux autres profènes dans cette indication) ; traitement adjuvant des rhumatismes abarticulaires.</w:t>
      </w:r>
      <w:r>
        <w:t xml:space="preserve"> </w:t>
      </w:r>
      <w:r>
        <w:t xml:space="preserve">- Contre-indications : Identiques à la classe des profènes. (1) Hypersensibilité au flurbiprofène ou à un autre AINS. (2) Asthme aspirine-sensible. (3) Ulcère gastro-duodénal en évolution. (4) Insuffisance hépatique sévère, insuffisance rénale sévère. (5) Insuffisance cardiaque sévère. (6) Grossesse 3e trimestre. (7) Hémorragie active. (8) Enfant &lt; 15 ans.</w:t>
      </w:r>
      <w:r>
        <w:t xml:space="preserve"> </w:t>
      </w:r>
      <w:r>
        <w:t xml:space="preserve">- Effets Indésirables :</w:t>
      </w:r>
      <w:r>
        <w:t xml:space="preserve"> </w:t>
      </w:r>
      <w:r>
        <w:t xml:space="preserve">- Digestifs : ulcère, hémorragie, perforation (à des taux comparables au kétoprofène et au diclofénac).</w:t>
      </w:r>
      <w:r>
        <w:t xml:space="preserve"> </w:t>
      </w:r>
      <w:r>
        <w:t xml:space="preserve">- Rénaux : insuffisance rénale aiguë fonctionnelle, hyperkaliémie.</w:t>
      </w:r>
      <w:r>
        <w:t xml:space="preserve"> </w:t>
      </w:r>
      <w:r>
        <w:t xml:space="preserve">- Cardiovasculaires : majoration modérée du risque thrombotique.</w:t>
      </w:r>
      <w:r>
        <w:t xml:space="preserve"> </w:t>
      </w:r>
      <w:r>
        <w:t xml:space="preserve">- Neurologiques : céphalées, vertiges, somnolence.</w:t>
      </w:r>
      <w:r>
        <w:t xml:space="preserve"> </w:t>
      </w:r>
      <w:r>
        <w:t xml:space="preserve">- Cutanés : éruptions, prurit. Photosensibilité possible mais moindre qu’avec le kétoprofène.</w:t>
      </w:r>
      <w:r>
        <w:t xml:space="preserve"> </w:t>
      </w:r>
      <w:r>
        <w:t xml:space="preserve">- Hépatiques : cytolyse (rare).</w:t>
      </w:r>
    </w:p>
    <w:p>
      <w:pPr>
        <w:pStyle w:val="BodyText"/>
      </w:pPr>
      <w:r>
        <w:rPr>
          <w:b/>
          <w:bCs/>
        </w:rPr>
        <w:t xml:space="preserve">Prévention et Gestion des Effets Indésirables :</w:t>
      </w:r>
      <w:r>
        <w:t xml:space="preserve"> </w:t>
      </w:r>
      <w:r>
        <w:t xml:space="preserve">- Mesures Préventives : prise pendant les repas, hydratation adéquate, durée courte (7 jours max en antalgique), pas d’association à un autre AINS, surveillance digestive et rénale chez le sujet âgé.</w:t>
      </w:r>
      <w:r>
        <w:t xml:space="preserve"> </w:t>
      </w:r>
      <w:r>
        <w:t xml:space="preserve">- Conduite à Tenir : arrêt en cas de douleur épigastrique persistante, melæna, hématémèse, éruption cutanée.</w:t>
      </w:r>
    </w:p>
    <w:p>
      <w:pPr>
        <w:pStyle w:val="BodyText"/>
      </w:pPr>
      <w:r>
        <w:rPr>
          <w:b/>
          <w:bCs/>
        </w:rPr>
        <w:t xml:space="preserve">Interactions Importantes :</w:t>
      </w:r>
      <w:r>
        <w:t xml:space="preserve"> </w:t>
      </w:r>
      <w:r>
        <w:t xml:space="preserve">- Identiques à la classe des profènes (AVK, aspirine, IEC/ARA2/diurétiques, lithium, méthotrexate, ISRS, alcool).</w:t>
      </w:r>
      <w:r>
        <w:t xml:space="preserve"> </w:t>
      </w:r>
      <w:r>
        <w:t xml:space="preserve">- Flurbiprofène + Bisoprolol : baisse de l’effet antihypertenseur (rare).</w:t>
      </w:r>
    </w:p>
    <w:p>
      <w:pPr>
        <w:pStyle w:val="BodyText"/>
      </w:pPr>
      <w:r>
        <w:rPr>
          <w:b/>
          <w:bCs/>
        </w:rPr>
        <w:t xml:space="preserve">Grossesse et Allaitement :</w:t>
      </w:r>
      <w:r>
        <w:t xml:space="preserve"> </w:t>
      </w:r>
      <w:r>
        <w:t xml:space="preserve">- Grossesse : Identique à la classe. CI 3e trimestre. Préférer l’ibuprofène aux 1er et 2e trimestres.</w:t>
      </w:r>
      <w:r>
        <w:t xml:space="preserve"> </w:t>
      </w:r>
      <w:r>
        <w:t xml:space="preserve">- Allaitement : Compatible dose unique, mais à éviter en traitement prolongé (données limitées).</w:t>
      </w:r>
    </w:p>
    <w:p>
      <w:pPr>
        <w:pStyle w:val="BodyText"/>
      </w:pPr>
      <w:r>
        <w:rPr>
          <w:b/>
          <w:bCs/>
        </w:rPr>
        <w:t xml:space="preserve">Posologie et Mode d’administration (Standard) :</w:t>
      </w:r>
      <w:r>
        <w:t xml:space="preserve"> </w:t>
      </w:r>
      <w:r>
        <w:t xml:space="preserve">- Adulte : 100 mg x 2 à 3/j (200–300 mg/j max). Pour la dysménorrhée : 100 mg au début des règles, puis 100 mg x 2/j pendant 3–5 jours. Dose maximale : 300 mg/j.</w:t>
      </w:r>
      <w:r>
        <w:t xml:space="preserve"> </w:t>
      </w:r>
      <w:r>
        <w:t xml:space="preserve">- Enfant : CI chez l’enfant &lt; 15 ans.</w:t>
      </w:r>
      <w:r>
        <w:t xml:space="preserve"> </w:t>
      </w:r>
      <w:r>
        <w:t xml:space="preserve">- Sujet âgé : réduire à 100 mg x 1 à 2/j, surveillance accrue.</w:t>
      </w:r>
      <w:r>
        <w:t xml:space="preserve"> </w:t>
      </w:r>
      <w:r>
        <w:t xml:space="preserve">- Durée : 5 à 7 jours en antalgique ; jusqu’à 10 jours pour la dysménorrhée.</w:t>
      </w:r>
      <w:r>
        <w:t xml:space="preserve"> </w:t>
      </w:r>
      <w:r>
        <w:t xml:space="preserve">- Moment de prise : pendant les repas, avec un grand verre d’eau.</w:t>
      </w:r>
    </w:p>
    <w:p>
      <w:pPr>
        <w:pStyle w:val="BodyText"/>
      </w:pPr>
      <w:r>
        <w:rPr>
          <w:b/>
          <w:bCs/>
        </w:rPr>
        <w:t xml:space="preserve">Arbitrage et Bénéfices des Formes Galéniques :</w:t>
      </w:r>
      <w:r>
        <w:t xml:space="preserve"> </w:t>
      </w:r>
      <w:r>
        <w:t xml:space="preserve">- Comprimés 100 mg : unique forme disponible en Algérie. Avantage : simplicité d’administration, posologie biquotidienne (bonne compliance). Inconvénient : pas de forme pédiatrique, pas de forme injectable, pas de gel topique.</w:t>
      </w:r>
      <w:r>
        <w:t xml:space="preserve"> </w:t>
      </w:r>
      <w:r>
        <w:t xml:space="preserve">- Forme collyre (indisponible en Algérie) : utilisée ailleurs pour la prévention de la myose peropératoire en chirurgie de la cataracte.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antalgique anti-inflammatoire particulièrement efficace pour les douleurs des règles. Prenez-le pendant les repas.</w:t>
      </w:r>
      <w:r>
        <w:t xml:space="preserve">”</w:t>
      </w:r>
      <w:r>
        <w:t xml:space="preserve"> </w:t>
      </w:r>
      <w:r>
        <w:t xml:space="preserve">-</w:t>
      </w:r>
      <w:r>
        <w:t xml:space="preserve"> </w:t>
      </w:r>
      <w:r>
        <w:t xml:space="preserve">“</w:t>
      </w:r>
      <w:r>
        <w:t xml:space="preserve">Ne l’associez pas à un autre AINS (aspirine, ibuprofène).</w:t>
      </w:r>
      <w:r>
        <w:t xml:space="preserve">”</w:t>
      </w:r>
      <w:r>
        <w:t xml:space="preserve"> </w:t>
      </w:r>
      <w:r>
        <w:t xml:space="preserve">-</w:t>
      </w:r>
      <w:r>
        <w:t xml:space="preserve"> </w:t>
      </w:r>
      <w:r>
        <w:t xml:space="preserve">“</w:t>
      </w:r>
      <w:r>
        <w:t xml:space="preserve">Si vous avez des douleurs au ventre, des selles noires, des éruptions cutanées, arrêtez et consultez.</w:t>
      </w:r>
      <w:r>
        <w:t xml:space="preserve">”</w:t>
      </w:r>
      <w:r>
        <w:t xml:space="preserve"> </w:t>
      </w:r>
      <w:r>
        <w:t xml:space="preserve">- Mode d’utilisation pratique : prise orale pendant les repas, avec un grand verre d’eau. En cas d’oubli, ne pas doubler la dose.</w:t>
      </w:r>
    </w:p>
    <w:p>
      <w:pPr>
        <w:pStyle w:val="BodyText"/>
      </w:pPr>
      <w:r>
        <w:rPr>
          <w:b/>
          <w:bCs/>
        </w:rPr>
        <w:t xml:space="preserve">Notes, Règles d’Or &amp; Pièges au Comptoir :</w:t>
      </w:r>
      <w:r>
        <w:t xml:space="preserve"> </w:t>
      </w:r>
      <w:r>
        <w:t xml:space="preserve">- Piège classique : patiente sous contraception œstroprogestative qui demande du flurbiprofène pour dysménorrhée — pas de contre-indication formelle, mais surveiller le risque thrombotique additionnel.</w:t>
      </w:r>
      <w:r>
        <w:t xml:space="preserve"> </w:t>
      </w:r>
      <w:r>
        <w:t xml:space="preserve">- Piège femme enceinte : CI 3e trimestre.</w:t>
      </w:r>
      <w:r>
        <w:t xml:space="preserve"> </w:t>
      </w:r>
      <w:r>
        <w:t xml:space="preserve">- Règle de prise : pas plus de 300 mg/j, pas plus de 7 jours sans avis médical.</w:t>
      </w:r>
      <w:r>
        <w:t xml:space="preserve"> </w:t>
      </w:r>
      <w:r>
        <w:t xml:space="preserve">- Préparation et Conservation : conservation à T &lt; 25 °C, à l’abri de l’humidité.</w:t>
      </w:r>
    </w:p>
    <w:p>
      <w:r>
        <w:pict>
          <v:rect style="width:0;height:1.5pt" o:hralign="center" o:hrstd="t" o:hr="t"/>
        </w:pict>
      </w:r>
    </w:p>
    <w:bookmarkEnd w:id="127"/>
    <w:bookmarkStart w:id="128" w:name="dci-naproxène-seule"/>
    <w:p>
      <w:pPr>
        <w:pStyle w:val="Heading3"/>
      </w:pPr>
      <w:r>
        <w:t xml:space="preserve">6. DCI : Naproxène (Seule)</w:t>
      </w:r>
    </w:p>
    <w:p>
      <w:pPr>
        <w:pStyle w:val="FirstParagraph"/>
      </w:pPr>
      <w:r>
        <w:rPr>
          <w:b/>
          <w:bCs/>
        </w:rPr>
        <w:t xml:space="preserve">Liste des Catégories :</w:t>
      </w:r>
      <w:r>
        <w:t xml:space="preserve"> </w:t>
      </w:r>
      <w:r>
        <w:t xml:space="preserve">Liste I ( suspension buvable historique) / Liste II (comprimés 250/275/500/550 mg).</w:t>
      </w:r>
    </w:p>
    <w:p>
      <w:pPr>
        <w:pStyle w:val="BodyText"/>
      </w:pPr>
      <w:r>
        <w:t xml:space="preserve">Le naproxène (acide [S]-2-[6-méthoxy-2-naphthyl]propionique) est un AINS de la sous-classe des profènes, dérivé arylpropionique original car commercialisé exclusivement sous forme énantiomère active S (+), à la différence de la plupart des autres profènes (ibuprofène, kétoprofène, flurbiprofène) qui sont commercialisés en mélange racémique. Cette particularité, combinée à une demi-vie d’élimination longue (12–15 h), lui confère plusieurs avantages cliniques : (1) une monoprise quotidienne ou biquotidienne autorisant une meilleure compliance, (2) une exposition systémique plus régulière (pas de pics et creux), (3) une inhibition plaquettaire plus stable, (4) et surtout, un profil cardiovasculaire considéré comme le plus favorable de tous les AINS classiques. Plusieurs méta-analyses et études observationnelles (incluant l’étude précise ADAPT, l’étude PRECISION) ont en effet suggéré que le naproxène est l’AINS classique présentant le risque cardiovasculaire le plus faible, à tel point qu’il est recommandé chez les patients à haut risque CV nécessitant un AINS. En contrepartie, son profil digestif n’est pas meilleur que celui des autres AINS, et il existe un risque accru d’hémorragie digestive haute par rapport à l’ibuprofène à dose équivalente. Le naproxène est commercialisé en Algérie sous plusieurs marques, principalement en comprimés à 275 mg (équivalent à 250 mg d’acide libre) et 550 mg (équivalent à 500 mg d’acide libre), avec une forme historique de sirop (suspension) retirée du marché.</w:t>
      </w:r>
    </w:p>
    <w:p>
      <w:pPr>
        <w:pStyle w:val="BodyText"/>
      </w:pPr>
      <w:r>
        <w:rPr>
          <w:b/>
          <w:bCs/>
        </w:rPr>
        <w:t xml:space="preserve">Médicaments disponibles en Algérie (Marques, Laboratoires, Formes et Dosages) :</w:t>
      </w:r>
    </w:p>
    <w:p>
      <w:pPr>
        <w:pStyle w:val="BodyText"/>
      </w:pPr>
      <w:r>
        <w:rPr>
          <w:b/>
          <w:bCs/>
        </w:rPr>
        <w:t xml:space="preserve">Comprimés pelliculés 275 mg :</w:t>
      </w:r>
      <w:r>
        <w:t xml:space="preserve"> </w:t>
      </w:r>
      <w:r>
        <w:t xml:space="preserve">-</w:t>
      </w:r>
      <w:r>
        <w:t xml:space="preserve"> </w:t>
      </w:r>
      <w:r>
        <w:rPr>
          <w:b/>
          <w:bCs/>
        </w:rPr>
        <w:t xml:space="preserve">NAPROLGIC</w:t>
      </w:r>
      <w:r>
        <w:t xml:space="preserve"> </w:t>
      </w:r>
      <w:r>
        <w:t xml:space="preserve">(Inpha-Medis) — B/30 (Liste II) — ACTIF</w:t>
      </w:r>
      <w:r>
        <w:t xml:space="preserve"> </w:t>
      </w:r>
      <w:r>
        <w:t xml:space="preserve">-</w:t>
      </w:r>
      <w:r>
        <w:t xml:space="preserve"> </w:t>
      </w:r>
      <w:r>
        <w:rPr>
          <w:b/>
          <w:bCs/>
        </w:rPr>
        <w:t xml:space="preserve">NAPROX</w:t>
      </w:r>
      <w:r>
        <w:t xml:space="preserve"> </w:t>
      </w:r>
      <w:r>
        <w:t xml:space="preserve">(Sanamed) — B/20 (Liste II) — ACTIF</w:t>
      </w:r>
      <w:r>
        <w:t xml:space="preserve"> </w:t>
      </w:r>
      <w:r>
        <w:t xml:space="preserve">-</w:t>
      </w:r>
      <w:r>
        <w:t xml:space="preserve"> </w:t>
      </w:r>
      <w:r>
        <w:rPr>
          <w:b/>
          <w:bCs/>
        </w:rPr>
        <w:t xml:space="preserve">NAPROXENE PHYSIOPHARM</w:t>
      </w:r>
      <w:r>
        <w:t xml:space="preserve"> </w:t>
      </w:r>
      <w:r>
        <w:t xml:space="preserve">(Physiopharm) — B/20 (Liste I) — ACTIF</w:t>
      </w:r>
      <w:r>
        <w:t xml:space="preserve"> </w:t>
      </w:r>
      <w:r>
        <w:t xml:space="preserve">-</w:t>
      </w:r>
      <w:r>
        <w:t xml:space="preserve"> </w:t>
      </w:r>
      <w:r>
        <w:rPr>
          <w:b/>
          <w:bCs/>
        </w:rPr>
        <w:t xml:space="preserve">NEXOPAIN</w:t>
      </w:r>
      <w:r>
        <w:t xml:space="preserve"> </w:t>
      </w:r>
      <w:r>
        <w:t xml:space="preserve">(Lab. MM) — B/20 (Liste II) — ACTIF</w:t>
      </w:r>
      <w:r>
        <w:t xml:space="preserve"> </w:t>
      </w:r>
      <w:r>
        <w:t xml:space="preserve">-</w:t>
      </w:r>
      <w:r>
        <w:t xml:space="preserve"> </w:t>
      </w:r>
      <w:r>
        <w:rPr>
          <w:b/>
          <w:bCs/>
        </w:rPr>
        <w:t xml:space="preserve">NEXORPAN</w:t>
      </w:r>
      <w:r>
        <w:t xml:space="preserve"> </w:t>
      </w:r>
      <w:r>
        <w:t xml:space="preserve">(RAM Pharmaceutical) — B/20 (Liste II) — ACTIF (forme 550 mg non renouvelée)</w:t>
      </w:r>
      <w:r>
        <w:t xml:space="preserve"> </w:t>
      </w:r>
      <w:r>
        <w:t xml:space="preserve">-</w:t>
      </w:r>
      <w:r>
        <w:t xml:space="preserve"> </w:t>
      </w:r>
      <w:r>
        <w:rPr>
          <w:b/>
          <w:bCs/>
        </w:rPr>
        <w:t xml:space="preserve">NHUPAIN</w:t>
      </w:r>
      <w:r>
        <w:t xml:space="preserve"> </w:t>
      </w:r>
      <w:r>
        <w:t xml:space="preserve">(Hupp Pharma) — B/20 (Liste II) — ACTIF</w:t>
      </w:r>
      <w:r>
        <w:t xml:space="preserve"> </w:t>
      </w:r>
      <w:r>
        <w:t xml:space="preserve">-</w:t>
      </w:r>
      <w:r>
        <w:t xml:space="preserve"> </w:t>
      </w:r>
      <w:r>
        <w:rPr>
          <w:b/>
          <w:bCs/>
        </w:rPr>
        <w:t xml:space="preserve">NAREX</w:t>
      </w:r>
      <w:r>
        <w:t xml:space="preserve"> </w:t>
      </w:r>
      <w:r>
        <w:t xml:space="preserve">(Petra Pharm) (NR) — B/10 (Liste II)</w:t>
      </w:r>
      <w:r>
        <w:t xml:space="preserve"> </w:t>
      </w:r>
      <w:r>
        <w:t xml:space="preserve">-</w:t>
      </w:r>
      <w:r>
        <w:t xml:space="preserve"> </w:t>
      </w:r>
      <w:r>
        <w:rPr>
          <w:b/>
          <w:bCs/>
        </w:rPr>
        <w:t xml:space="preserve">NOPAIN</w:t>
      </w:r>
      <w:r>
        <w:t xml:space="preserve"> </w:t>
      </w:r>
      <w:r>
        <w:t xml:space="preserve">(Hikma) (NR) — B/20 (Liste II)</w:t>
      </w:r>
      <w:r>
        <w:t xml:space="preserve"> </w:t>
      </w:r>
      <w:r>
        <w:t xml:space="preserve">-</w:t>
      </w:r>
      <w:r>
        <w:t xml:space="preserve"> </w:t>
      </w:r>
      <w:r>
        <w:rPr>
          <w:b/>
          <w:bCs/>
        </w:rPr>
        <w:t xml:space="preserve">PROXIDOL</w:t>
      </w:r>
      <w:r>
        <w:t xml:space="preserve"> </w:t>
      </w:r>
      <w:r>
        <w:t xml:space="preserve">(Hayat Pharmaceutical) (NR) — B/20 (Liste II)</w:t>
      </w:r>
      <w:r>
        <w:t xml:space="preserve"> </w:t>
      </w:r>
      <w:r>
        <w:t xml:space="preserve">-</w:t>
      </w:r>
      <w:r>
        <w:t xml:space="preserve"> </w:t>
      </w:r>
      <w:r>
        <w:rPr>
          <w:b/>
          <w:bCs/>
        </w:rPr>
        <w:t xml:space="preserve">NOXEN</w:t>
      </w:r>
      <w:r>
        <w:t xml:space="preserve"> </w:t>
      </w:r>
      <w:r>
        <w:t xml:space="preserve">(JPM) (NR) — B/20 (Liste II) — forme 250 mg</w:t>
      </w:r>
      <w:r>
        <w:t xml:space="preserve"> </w:t>
      </w:r>
      <w:r>
        <w:t xml:space="preserve">-</w:t>
      </w:r>
      <w:r>
        <w:t xml:space="preserve"> </w:t>
      </w:r>
      <w:r>
        <w:rPr>
          <w:b/>
          <w:bCs/>
        </w:rPr>
        <w:t xml:space="preserve">NAPROXENE SOLUPHARM</w:t>
      </w:r>
      <w:r>
        <w:t xml:space="preserve"> </w:t>
      </w:r>
      <w:r>
        <w:t xml:space="preserve">(Solupharm) (R) — B/20 (Liste II)</w:t>
      </w:r>
      <w:r>
        <w:t xml:space="preserve"> </w:t>
      </w:r>
      <w:r>
        <w:t xml:space="preserve">-</w:t>
      </w:r>
      <w:r>
        <w:t xml:space="preserve"> </w:t>
      </w:r>
      <w:r>
        <w:rPr>
          <w:b/>
          <w:bCs/>
        </w:rPr>
        <w:t xml:space="preserve">APRANAX</w:t>
      </w:r>
      <w:r>
        <w:t xml:space="preserve"> </w:t>
      </w:r>
      <w:r>
        <w:t xml:space="preserve">(Roche) (R) — B/30 (Liste II)</w:t>
      </w:r>
    </w:p>
    <w:p>
      <w:pPr>
        <w:pStyle w:val="BodyText"/>
      </w:pPr>
      <w:r>
        <w:rPr>
          <w:b/>
          <w:bCs/>
        </w:rPr>
        <w:t xml:space="preserve">Comprimés pelliculés 550 mg (ou 500 mg) :</w:t>
      </w:r>
      <w:r>
        <w:t xml:space="preserve"> </w:t>
      </w:r>
      <w:r>
        <w:t xml:space="preserve">-</w:t>
      </w:r>
      <w:r>
        <w:t xml:space="preserve"> </w:t>
      </w:r>
      <w:r>
        <w:rPr>
          <w:b/>
          <w:bCs/>
        </w:rPr>
        <w:t xml:space="preserve">NAPROLGIC</w:t>
      </w:r>
      <w:r>
        <w:t xml:space="preserve"> </w:t>
      </w:r>
      <w:r>
        <w:t xml:space="preserve">(Inpha-Medis) — Comprimé pelliculé sécable 550 mg, B/16 (Liste II) — ACTIF</w:t>
      </w:r>
      <w:r>
        <w:t xml:space="preserve"> </w:t>
      </w:r>
      <w:r>
        <w:t xml:space="preserve">-</w:t>
      </w:r>
      <w:r>
        <w:t xml:space="preserve"> </w:t>
      </w:r>
      <w:r>
        <w:rPr>
          <w:b/>
          <w:bCs/>
        </w:rPr>
        <w:t xml:space="preserve">NAPROX</w:t>
      </w:r>
      <w:r>
        <w:t xml:space="preserve"> </w:t>
      </w:r>
      <w:r>
        <w:t xml:space="preserve">(Sanamed) — Comprimé pelliculé 550 mg, B/10 (Liste II) — ACTIF</w:t>
      </w:r>
      <w:r>
        <w:t xml:space="preserve"> </w:t>
      </w:r>
      <w:r>
        <w:t xml:space="preserve">-</w:t>
      </w:r>
      <w:r>
        <w:t xml:space="preserve"> </w:t>
      </w:r>
      <w:r>
        <w:rPr>
          <w:b/>
          <w:bCs/>
        </w:rPr>
        <w:t xml:space="preserve">NAPROXENE PHYSIOPHARM</w:t>
      </w:r>
      <w:r>
        <w:t xml:space="preserve"> </w:t>
      </w:r>
      <w:r>
        <w:t xml:space="preserve">(Physiopharm) — Comprimé pelliculé 550 mg, B/10 (Liste I) — ACTIF</w:t>
      </w:r>
      <w:r>
        <w:t xml:space="preserve"> </w:t>
      </w:r>
      <w:r>
        <w:t xml:space="preserve">-</w:t>
      </w:r>
      <w:r>
        <w:t xml:space="preserve"> </w:t>
      </w:r>
      <w:r>
        <w:rPr>
          <w:b/>
          <w:bCs/>
        </w:rPr>
        <w:t xml:space="preserve">NEXOPAIN</w:t>
      </w:r>
      <w:r>
        <w:t xml:space="preserve"> </w:t>
      </w:r>
      <w:r>
        <w:t xml:space="preserve">(Lab. MM) — Comprimé pelliculé sécable 550 mg, B/10 (Liste II) — ACTIF</w:t>
      </w:r>
      <w:r>
        <w:t xml:space="preserve"> </w:t>
      </w:r>
      <w:r>
        <w:t xml:space="preserve">-</w:t>
      </w:r>
      <w:r>
        <w:t xml:space="preserve"> </w:t>
      </w:r>
      <w:r>
        <w:rPr>
          <w:b/>
          <w:bCs/>
        </w:rPr>
        <w:t xml:space="preserve">NHUPAIN</w:t>
      </w:r>
      <w:r>
        <w:t xml:space="preserve"> </w:t>
      </w:r>
      <w:r>
        <w:t xml:space="preserve">(Hupp Pharma) — Comprimé pelliculé sécable 550 mg, B/10 (Liste II) — ACTIF</w:t>
      </w:r>
      <w:r>
        <w:t xml:space="preserve"> </w:t>
      </w:r>
      <w:r>
        <w:t xml:space="preserve">-</w:t>
      </w:r>
      <w:r>
        <w:t xml:space="preserve"> </w:t>
      </w:r>
      <w:r>
        <w:rPr>
          <w:b/>
          <w:bCs/>
        </w:rPr>
        <w:t xml:space="preserve">NEXORPAN</w:t>
      </w:r>
      <w:r>
        <w:t xml:space="preserve"> </w:t>
      </w:r>
      <w:r>
        <w:t xml:space="preserve">(RAM) (NR) — 550 mg, B/10 (Liste II)</w:t>
      </w:r>
      <w:r>
        <w:t xml:space="preserve"> </w:t>
      </w:r>
      <w:r>
        <w:t xml:space="preserve">-</w:t>
      </w:r>
      <w:r>
        <w:t xml:space="preserve"> </w:t>
      </w:r>
      <w:r>
        <w:rPr>
          <w:b/>
          <w:bCs/>
        </w:rPr>
        <w:t xml:space="preserve">NOPAIN DS</w:t>
      </w:r>
      <w:r>
        <w:t xml:space="preserve"> </w:t>
      </w:r>
      <w:r>
        <w:t xml:space="preserve">(Hikma) (NR) — 550 mg, B/10 (Liste II)</w:t>
      </w:r>
      <w:r>
        <w:t xml:space="preserve"> </w:t>
      </w:r>
      <w:r>
        <w:t xml:space="preserve">-</w:t>
      </w:r>
      <w:r>
        <w:t xml:space="preserve"> </w:t>
      </w:r>
      <w:r>
        <w:rPr>
          <w:b/>
          <w:bCs/>
        </w:rPr>
        <w:t xml:space="preserve">PROXIDOL DS</w:t>
      </w:r>
      <w:r>
        <w:t xml:space="preserve"> </w:t>
      </w:r>
      <w:r>
        <w:t xml:space="preserve">(Hayat) (NR) — 550 mg, B/10 (Liste II)</w:t>
      </w:r>
      <w:r>
        <w:t xml:space="preserve"> </w:t>
      </w:r>
      <w:r>
        <w:t xml:space="preserve">-</w:t>
      </w:r>
      <w:r>
        <w:t xml:space="preserve"> </w:t>
      </w:r>
      <w:r>
        <w:rPr>
          <w:b/>
          <w:bCs/>
        </w:rPr>
        <w:t xml:space="preserve">NOXEN</w:t>
      </w:r>
      <w:r>
        <w:t xml:space="preserve"> </w:t>
      </w:r>
      <w:r>
        <w:t xml:space="preserve">(JPM) (NR) — 500 mg, B/10 (Liste II)</w:t>
      </w:r>
      <w:r>
        <w:t xml:space="preserve"> </w:t>
      </w:r>
      <w:r>
        <w:t xml:space="preserve">-</w:t>
      </w:r>
      <w:r>
        <w:t xml:space="preserve"> </w:t>
      </w:r>
      <w:r>
        <w:rPr>
          <w:b/>
          <w:bCs/>
        </w:rPr>
        <w:t xml:space="preserve">NAPROXENE SOLUPHARM</w:t>
      </w:r>
      <w:r>
        <w:t xml:space="preserve"> </w:t>
      </w:r>
      <w:r>
        <w:t xml:space="preserve">(Solupharm) (R) — 550 mg, B/15 (Liste II)</w:t>
      </w:r>
      <w:r>
        <w:t xml:space="preserve"> </w:t>
      </w:r>
      <w:r>
        <w:t xml:space="preserve">-</w:t>
      </w:r>
      <w:r>
        <w:t xml:space="preserve"> </w:t>
      </w:r>
      <w:r>
        <w:rPr>
          <w:b/>
          <w:bCs/>
        </w:rPr>
        <w:t xml:space="preserve">APRANAX</w:t>
      </w:r>
      <w:r>
        <w:t xml:space="preserve"> </w:t>
      </w:r>
      <w:r>
        <w:t xml:space="preserve">(Roche) (R) — 550 mg, B/16 (Liste II)</w:t>
      </w:r>
    </w:p>
    <w:p>
      <w:pPr>
        <w:pStyle w:val="BodyText"/>
      </w:pPr>
      <w:r>
        <w:rPr>
          <w:b/>
          <w:bCs/>
        </w:rPr>
        <w:t xml:space="preserve">Suspension buvable (historique) :</w:t>
      </w:r>
      <w:r>
        <w:t xml:space="preserve"> </w:t>
      </w:r>
      <w:r>
        <w:t xml:space="preserve">-</w:t>
      </w:r>
      <w:r>
        <w:t xml:space="preserve"> </w:t>
      </w:r>
      <w:r>
        <w:rPr>
          <w:b/>
          <w:bCs/>
        </w:rPr>
        <w:t xml:space="preserve">NOPAIN</w:t>
      </w:r>
      <w:r>
        <w:t xml:space="preserve"> </w:t>
      </w:r>
      <w:r>
        <w:t xml:space="preserve">(Hikma) (R) — Susp. buv. 125 mg/5 mL, FL 100 mL (Liste I)</w:t>
      </w:r>
    </w:p>
    <w:p>
      <w:pPr>
        <w:pStyle w:val="BodyText"/>
      </w:pPr>
      <w:r>
        <w:rPr>
          <w:b/>
          <w:bCs/>
        </w:rPr>
        <w:t xml:space="preserve">Statut :</w:t>
      </w:r>
      <w:r>
        <w:t xml:space="preserve"> </w:t>
      </w:r>
      <w:r>
        <w:t xml:space="preserve">Environ 50 % des spécialités sont ACTIVES, l’autre moitié étant non renouvelée ou retirée. Le marché est partagé entre laboratoires algériens (Inpha-Medis, Sanamed, Physiopharm, Lab. MM, Hupp Pharma) et imports régionaux.</w:t>
      </w:r>
    </w:p>
    <w:p>
      <w:pPr>
        <w:pStyle w:val="BodyText"/>
      </w:pPr>
      <w:r>
        <w:rPr>
          <w:b/>
          <w:bCs/>
        </w:rPr>
        <w:t xml:space="preserve">Sous-classe et Mécanisme d’action :</w:t>
      </w:r>
      <w:r>
        <w:t xml:space="preserve"> </w:t>
      </w:r>
      <w:r>
        <w:t xml:space="preserve">- Sous-classe : Dérivé arylpropionique (profène), énantiomère S pur, AINS non sélectif COX-1/COX-2.</w:t>
      </w:r>
      <w:r>
        <w:t xml:space="preserve"> </w:t>
      </w:r>
      <w:r>
        <w:t xml:space="preserve">- Mécanisme d’action : Inhibition réversible des COX-1 et COX-2, identique à la classe. Le naproxène est l’unique profène commercialisé sous forme énantiomère pur actif, ce qui évite le métabolisme d’inversion R→S et le surcroit hépatique correspondant.</w:t>
      </w:r>
    </w:p>
    <w:p>
      <w:pPr>
        <w:pStyle w:val="BodyText"/>
      </w:pPr>
      <w:r>
        <w:rPr>
          <w:b/>
          <w:bCs/>
        </w:rPr>
        <w:t xml:space="preserve">Profil Pharmacologique :</w:t>
      </w:r>
      <w:r>
        <w:t xml:space="preserve"> </w:t>
      </w:r>
      <w:r>
        <w:t xml:space="preserve">- Indications : Traitement symptomatique de courte durée des douleurs aiguës (céphalées, migraines, dysménorrhée, douleurs dentaires, post-opératoires) ; traitement de fond des rhumatismes inflammatoires chroniques (polyarthrite rhumatoïde, spondylarthrite ankylosante) ; arthrose symptomatique ; crises de goutte ; douleurs musculo-squelettiques ; dysménorrhée. AINS de préférence chez les patients à haut risque cardiovasculaire.</w:t>
      </w:r>
      <w:r>
        <w:t xml:space="preserve"> </w:t>
      </w:r>
      <w:r>
        <w:t xml:space="preserve">- Contre-indications : Identiques à la classe. (1) Hypersensibilité au naproxène ou à un autre AINS. (2) Asthme aspirine-sensible. (3) Ulcère gastro-duodénal en évolution. (4) Insuffisance hépatique sévère, insuffisance rénale sévère. (5) Insuffisance cardiaque sévère. (6) Grossesse 3e trimestre. (7) Hémorragie active. (8) Enfant &lt; 12 ans sauf indications spécifiques (maladies rhumatologiques pédiatriques).</w:t>
      </w:r>
      <w:r>
        <w:t xml:space="preserve"> </w:t>
      </w:r>
      <w:r>
        <w:t xml:space="preserve">- Effets Indésirables :</w:t>
      </w:r>
      <w:r>
        <w:t xml:space="preserve"> </w:t>
      </w:r>
      <w:r>
        <w:t xml:space="preserve">- Digestifs : ulcère, hémorragie, perforation (à des taux comparables aux autres profènes, possiblement supérieurs à l’ibuprofène à dose équivalente).</w:t>
      </w:r>
      <w:r>
        <w:t xml:space="preserve"> </w:t>
      </w:r>
      <w:r>
        <w:t xml:space="preserve">- Rénaux : insuffisance rénale aiguë fonctionnelle, néphropathie interstitielle.</w:t>
      </w:r>
      <w:r>
        <w:t xml:space="preserve"> </w:t>
      </w:r>
      <w:r>
        <w:t xml:space="preserve">- Cardiovasculaires : naproxène = AINS classique avec le meilleur profil CV (RR ~ 1,0 selon la méta-analyse de Trelle 2011, non significativement différent du placebo pour l’IDM).</w:t>
      </w:r>
      <w:r>
        <w:t xml:space="preserve"> </w:t>
      </w:r>
      <w:r>
        <w:t xml:space="preserve">- Neurologiques : céphalées, vertiges, somnolence.</w:t>
      </w:r>
      <w:r>
        <w:t xml:space="preserve"> </w:t>
      </w:r>
      <w:r>
        <w:t xml:space="preserve">- Cutanés : éruptions, prurit. Photosensibilité possible.</w:t>
      </w:r>
      <w:r>
        <w:t xml:space="preserve"> </w:t>
      </w:r>
      <w:r>
        <w:t xml:space="preserve">- Hématologiques : thrombopénie, neutropénie (rares).</w:t>
      </w:r>
    </w:p>
    <w:p>
      <w:pPr>
        <w:pStyle w:val="BodyText"/>
      </w:pPr>
      <w:r>
        <w:rPr>
          <w:b/>
          <w:bCs/>
        </w:rPr>
        <w:t xml:space="preserve">Prévention et Gestion des Effets Indésirables :</w:t>
      </w:r>
      <w:r>
        <w:t xml:space="preserve"> </w:t>
      </w:r>
      <w:r>
        <w:t xml:space="preserve">- Mesures Préventives : prise pendant les repas, hydratation adéquate, pas d’association à un autre AINS, surveillance digestive (sujet âgé, antécédent ulcèreux), surveillance rénale si traitement prolongé.</w:t>
      </w:r>
      <w:r>
        <w:t xml:space="preserve"> </w:t>
      </w:r>
      <w:r>
        <w:t xml:space="preserve">- Conduite à Tenir : arrêt en cas de douleur épigastrique, melæna, hématémèse, éruption cutanée, oligurie.</w:t>
      </w:r>
    </w:p>
    <w:p>
      <w:pPr>
        <w:pStyle w:val="BodyText"/>
      </w:pPr>
      <w:r>
        <w:rPr>
          <w:b/>
          <w:bCs/>
        </w:rPr>
        <w:t xml:space="preserve">Interactions Importantes :</w:t>
      </w:r>
      <w:r>
        <w:t xml:space="preserve"> </w:t>
      </w:r>
      <w:r>
        <w:t xml:space="preserve">- Identiques à la classe (AVK, aspirine, IEC/ARA2/diurétiques, lithium, méthotrexate, ISRS, alcool).</w:t>
      </w:r>
      <w:r>
        <w:t xml:space="preserve"> </w:t>
      </w:r>
      <w:r>
        <w:t xml:space="preserve">- Naproxène + Probénécide : inhibition de la sécrétion tubulaire du naproxène → augmentation de l’exposition (utilisée pour réduire la dose nécessaire).</w:t>
      </w:r>
      <w:r>
        <w:t xml:space="preserve"> </w:t>
      </w:r>
      <w:r>
        <w:t xml:space="preserve">- Naproxène + Zidovudine : majoration de la toxicité hématologique (historique).</w:t>
      </w:r>
    </w:p>
    <w:p>
      <w:pPr>
        <w:pStyle w:val="BodyText"/>
      </w:pPr>
      <w:r>
        <w:rPr>
          <w:b/>
          <w:bCs/>
        </w:rPr>
        <w:t xml:space="preserve">Grossesse et Allaitement :</w:t>
      </w:r>
      <w:r>
        <w:t xml:space="preserve"> </w:t>
      </w:r>
      <w:r>
        <w:t xml:space="preserve">- Grossesse : Identique à la classe. CI 3e trimestre. Aux 1er et 2e trimestres, le naproxène est parfois préféré chez la femme qui allaite (en raison de sa compatibilité avec l’allaitement). Préférer l’ibuprofène en première intention.</w:t>
      </w:r>
      <w:r>
        <w:t xml:space="preserve"> </w:t>
      </w:r>
      <w:r>
        <w:t xml:space="preserve">- Allaitement : Compatible dose unique. Le naproxène passe faiblement dans le lait (M/P = 0,01), mais sa longue demi-vie et la présence d’un métabolite actif (desméthylnaproxène) incitent à la prudence en cas de traitement prolongé. Préférer l’ibuprofène en traitement prolongé.</w:t>
      </w:r>
    </w:p>
    <w:p>
      <w:pPr>
        <w:pStyle w:val="BodyText"/>
      </w:pPr>
      <w:r>
        <w:rPr>
          <w:b/>
          <w:bCs/>
        </w:rPr>
        <w:t xml:space="preserve">Posologie et Mode d’administration (Standard) :</w:t>
      </w:r>
      <w:r>
        <w:t xml:space="preserve"> </w:t>
      </w:r>
      <w:r>
        <w:t xml:space="preserve">- Adulte :</w:t>
      </w:r>
      <w:r>
        <w:t xml:space="preserve"> </w:t>
      </w:r>
      <w:r>
        <w:t xml:space="preserve">- Antalgique / antipyrétique : 250 à 500 mg par prise, toutes les 8–12 h, sans dépasser 1500 mg/j (1100 mg de naproxène base = 1250 mg de naproxène sodique). En pratique : 275 mg x 2 à 3/j ou 550 mg x 2/j.</w:t>
      </w:r>
      <w:r>
        <w:t xml:space="preserve"> </w:t>
      </w:r>
      <w:r>
        <w:t xml:space="preserve">- Anti-inflammatoire : 500 à 1000 mg/j en 1 à 2 prises (550 mg x 2/j ou 1000 mg LP x 1/j).</w:t>
      </w:r>
      <w:r>
        <w:t xml:space="preserve"> </w:t>
      </w:r>
      <w:r>
        <w:t xml:space="preserve">- Crise de goutte : 750 mg en prise initiale, puis 250 mg toutes les 8 h jusqu’à disparition des symptômes.</w:t>
      </w:r>
      <w:r>
        <w:t xml:space="preserve"> </w:t>
      </w:r>
      <w:r>
        <w:t xml:space="preserve">- Dysménorrhée : 500 mg au début des règles, puis 250 mg toutes les 6–8 h.</w:t>
      </w:r>
      <w:r>
        <w:t xml:space="preserve"> </w:t>
      </w:r>
      <w:r>
        <w:t xml:space="preserve">- Enfant &gt; 12 ans : 10 mg/kg/j en 2 prises, sans dépasser 1000 mg/j.</w:t>
      </w:r>
      <w:r>
        <w:t xml:space="preserve"> </w:t>
      </w:r>
      <w:r>
        <w:t xml:space="preserve">- Sujet âgé : réduire à 250 mg x 2/j max 500 mg/j, surveillance accrue.</w:t>
      </w:r>
      <w:r>
        <w:t xml:space="preserve"> </w:t>
      </w:r>
      <w:r>
        <w:t xml:space="preserve">- Durée : 3 à 5 jours en antalgique ; 7 à 14 jours en anti-inflammatoire ; traitement prolongé possible sous surveillance.</w:t>
      </w:r>
      <w:r>
        <w:t xml:space="preserve"> </w:t>
      </w:r>
      <w:r>
        <w:t xml:space="preserve">- Moment de prise : pendant les repas, avec un grand verre d’eau.</w:t>
      </w:r>
    </w:p>
    <w:p>
      <w:pPr>
        <w:pStyle w:val="BodyText"/>
      </w:pPr>
      <w:r>
        <w:rPr>
          <w:b/>
          <w:bCs/>
        </w:rPr>
        <w:t xml:space="preserve">Arbitrage et Bénéfices des Formes Galéniques :</w:t>
      </w:r>
      <w:r>
        <w:t xml:space="preserve"> </w:t>
      </w:r>
      <w:r>
        <w:t xml:space="preserve">- Comprimés 275 mg : forme de référence pour antalgie modérée. Avantage : posologie biquotidienne (toutes les 12 h), bonne compliance.</w:t>
      </w:r>
      <w:r>
        <w:t xml:space="preserve"> </w:t>
      </w:r>
      <w:r>
        <w:t xml:space="preserve">- Comprimés 550 mg : forme de référence pour antalgie intense ou traitement anti-inflammatoire. Séquence biquotidienne stricte.</w:t>
      </w:r>
      <w:r>
        <w:t xml:space="preserve"> </w:t>
      </w:r>
      <w:r>
        <w:t xml:space="preserve">- Forme LP (indisponible en Algérie) : intérêt pour la monoprise quotidienne (1000 mg LP x 1/j) en traitement chronique.</w:t>
      </w:r>
      <w:r>
        <w:t xml:space="preserve"> </w:t>
      </w:r>
      <w:r>
        <w:t xml:space="preserve">- Suspension buvable (retirée) : était indiquée en pédiatrie pour certaines maladies rhumatologiques (arthrite juvénile idiopathique).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anti-inflammatoire à durée d’action prolongée, vous le prendrez matin et soir pendant les repas.</w:t>
      </w:r>
      <w:r>
        <w:t xml:space="preserve">”</w:t>
      </w:r>
      <w:r>
        <w:t xml:space="preserve"> </w:t>
      </w:r>
      <w:r>
        <w:t xml:space="preserve">-</w:t>
      </w:r>
      <w:r>
        <w:t xml:space="preserve"> </w:t>
      </w:r>
      <w:r>
        <w:t xml:space="preserve">“</w:t>
      </w:r>
      <w:r>
        <w:t xml:space="preserve">Ne l’associez pas à un autre AINS.</w:t>
      </w:r>
      <w:r>
        <w:t xml:space="preserve">”</w:t>
      </w:r>
      <w:r>
        <w:t xml:space="preserve"> </w:t>
      </w:r>
      <w:r>
        <w:t xml:space="preserve">-</w:t>
      </w:r>
      <w:r>
        <w:t xml:space="preserve"> </w:t>
      </w:r>
      <w:r>
        <w:t xml:space="preserve">“</w:t>
      </w:r>
      <w:r>
        <w:t xml:space="preserve">Si vous avez des douleurs au ventre, des selles noires, des éruptions cutanées, arrêtez et consultez.</w:t>
      </w:r>
      <w:r>
        <w:t xml:space="preserve">”</w:t>
      </w:r>
      <w:r>
        <w:t xml:space="preserve"> </w:t>
      </w:r>
      <w:r>
        <w:t xml:space="preserve">-</w:t>
      </w:r>
      <w:r>
        <w:t xml:space="preserve"> </w:t>
      </w:r>
      <w:r>
        <w:t xml:space="preserve">“</w:t>
      </w:r>
      <w:r>
        <w:t xml:space="preserve">Prévenez votre médecin si vous avez des problèmes cardiaques, rénaux ou digestifs.</w:t>
      </w:r>
      <w:r>
        <w:t xml:space="preserve">”</w:t>
      </w:r>
      <w:r>
        <w:t xml:space="preserve"> </w:t>
      </w:r>
      <w:r>
        <w:t xml:space="preserve">- Mode d’utilisation pratique : prise au cours des repas, avec un grand verre d’eau. Respecter un intervalle de 12 h entre les prises biquotidiennes. En cas d’oubli, ne pas doubler la dose.</w:t>
      </w:r>
    </w:p>
    <w:p>
      <w:pPr>
        <w:pStyle w:val="BodyText"/>
      </w:pPr>
      <w:r>
        <w:rPr>
          <w:b/>
          <w:bCs/>
        </w:rPr>
        <w:t xml:space="preserve">Notes, Règles d’Or &amp; Pièges au Comptoir :</w:t>
      </w:r>
      <w:r>
        <w:t xml:space="preserve"> </w:t>
      </w:r>
      <w:r>
        <w:t xml:space="preserve">- Piège classique : patient sous aspirine à dose cardioprotectrice qui demande du naproxène — interaction possible (baisse de l’effet aspirine par compétition COX-1 plaquettaire), mais le naproxène reste préférable aux autres AINS en cas de risque CV.</w:t>
      </w:r>
      <w:r>
        <w:t xml:space="preserve"> </w:t>
      </w:r>
      <w:r>
        <w:t xml:space="preserve">- Piège femme enceinte : CI 3e trimestre.</w:t>
      </w:r>
      <w:r>
        <w:t xml:space="preserve"> </w:t>
      </w:r>
      <w:r>
        <w:t xml:space="preserve">- Règle de prise : pas plus de 1500 mg/j, respecter l’intervalle de 12 h entre les prises.</w:t>
      </w:r>
      <w:r>
        <w:t xml:space="preserve"> </w:t>
      </w:r>
      <w:r>
        <w:t xml:space="preserve">- Préparation et Conservation : conservation à T &lt; 25 °C, à l’abri de la lumière et de l’humidité.</w:t>
      </w:r>
    </w:p>
    <w:p>
      <w:r>
        <w:pict>
          <v:rect style="width:0;height:1.5pt" o:hralign="center" o:hrstd="t" o:hr="t"/>
        </w:pict>
      </w:r>
    </w:p>
    <w:bookmarkEnd w:id="128"/>
    <w:bookmarkEnd w:id="129"/>
    <w:bookmarkStart w:id="132" w:name="X3709126f52e3b358b07acb2ea9a7d03047dbde7"/>
    <w:p>
      <w:pPr>
        <w:pStyle w:val="Heading2"/>
      </w:pPr>
      <w:r>
        <w:t xml:space="preserve">II. Sous-classe : AINS - Dérivés arylacétiques</w:t>
      </w:r>
    </w:p>
    <w:bookmarkStart w:id="130" w:name="introduction-à-la-sous-classe-1"/>
    <w:p>
      <w:pPr>
        <w:pStyle w:val="Heading3"/>
      </w:pPr>
      <w:r>
        <w:t xml:space="preserve">Introduction à la sous-classe</w:t>
      </w:r>
    </w:p>
    <w:p>
      <w:pPr>
        <w:pStyle w:val="FirstParagraph"/>
      </w:pPr>
      <w:r>
        <w:t xml:space="preserve">Les dérivés arylacétiques représentent une sous-classe d’AINS structuralement caractérisés par la présence d’un groupe acide acétique (–CH2–COOH) lié à un noyau aromatique. Le chef de file de cette sous-classe est le diclofénac, AINS le plus prescrit au monde et pilier de la pharmacopée antalgique et anti-inflammatoire algérienne. L’acéclofénac et le fénoprofène (parfois classé ici) appartiennent également à cette famille, mais le diclofénac est le seul représentant largement commercialisé en Algérie (l’acéclofénac est traité dans une autre section).</w:t>
      </w:r>
    </w:p>
    <w:p>
      <w:pPr>
        <w:pStyle w:val="BodyText"/>
      </w:pPr>
      <w:r>
        <w:rPr>
          <w:b/>
          <w:bCs/>
        </w:rPr>
        <w:t xml:space="preserve">Pharmacocinétique commune :</w:t>
      </w:r>
      <w:r>
        <w:t xml:space="preserve"> </w:t>
      </w:r>
      <w:r>
        <w:t xml:space="preserve">- Résorption digestive rapide (biodisponibilité ~50–60 %, réduite par effet de premier passage hépatique pour le diclofénac).</w:t>
      </w:r>
      <w:r>
        <w:t xml:space="preserve"> </w:t>
      </w:r>
      <w:r>
        <w:t xml:space="preserve">- Liaison protéique &gt; 99 %.</w:t>
      </w:r>
      <w:r>
        <w:t xml:space="preserve"> </w:t>
      </w:r>
      <w:r>
        <w:t xml:space="preserve">- Métabolisme hépatique intense par hydroxylation (CYP2C9, CYP3A4) puis conjugaison.</w:t>
      </w:r>
      <w:r>
        <w:t xml:space="preserve"> </w:t>
      </w:r>
      <w:r>
        <w:t xml:space="preserve">- Demi-vie d’élimination courte (1–2 h pour le diclofénac), nécessitant des formes à libération prolongée (LP) pour permettre une posologie biquotidienne.</w:t>
      </w:r>
      <w:r>
        <w:t xml:space="preserve"> </w:t>
      </w:r>
      <w:r>
        <w:t xml:space="preserve">- Excrétion biliaire et rénale des métabolites conjugués.</w:t>
      </w:r>
      <w:r>
        <w:t xml:space="preserve"> </w:t>
      </w:r>
      <w:r>
        <w:t xml:space="preserve">- Passage transplacentaire et faible passage dans le lait.</w:t>
      </w:r>
    </w:p>
    <w:p>
      <w:pPr>
        <w:pStyle w:val="BodyText"/>
      </w:pPr>
      <w:r>
        <w:rPr>
          <w:b/>
          <w:bCs/>
        </w:rPr>
        <w:t xml:space="preserve">Tolérance spécifique :</w:t>
      </w:r>
      <w:r>
        <w:t xml:space="preserve"> </w:t>
      </w:r>
      <w:r>
        <w:t xml:space="preserve">Le diclofénac présente un profil de tolérance digestif comparable aux autres AINS non sélectifs, mais avec une toxicité hépatique plus marquée (cytolyse hépatique fréquente, hépatites graves rares mais possibles). Sur le plan cardiovasculaire, le diclofénac est l’AINS classique présentant le risque cardiovasculaire thrombotique le plus élevé (RR ~ 1,4 selon la méta-analyse de Trelle 2011), ce qui a conduit l’EMA à émettre une mise en garde de niveau 4 et à recommander l’évitement chez les patients à haut risque CV. Cette particularité explique le choix privilégié du naproxène (ou de l’ibuprofène à dose faible) chez les patients aux antécédents cardiovasculaires.</w:t>
      </w:r>
    </w:p>
    <w:bookmarkEnd w:id="130"/>
    <w:bookmarkStart w:id="131" w:name="dci-diclofénac-seule"/>
    <w:p>
      <w:pPr>
        <w:pStyle w:val="Heading3"/>
      </w:pPr>
      <w:r>
        <w:t xml:space="preserve">7. DCI : Diclofénac (Seule)</w:t>
      </w:r>
    </w:p>
    <w:p>
      <w:pPr>
        <w:pStyle w:val="FirstParagraph"/>
      </w:pPr>
      <w:r>
        <w:rPr>
          <w:b/>
          <w:bCs/>
        </w:rPr>
        <w:t xml:space="preserve">Liste des Catégories :</w:t>
      </w:r>
      <w:r>
        <w:t xml:space="preserve"> </w:t>
      </w:r>
      <w:r>
        <w:t xml:space="preserve">Liste I (Voltamex gel 1 %) / Liste II (comprimés, suppositoires, solutions injectables, gels dermiques, collyres) / Hors liste (Emplâtre médicamenteux).</w:t>
      </w:r>
    </w:p>
    <w:p>
      <w:pPr>
        <w:pStyle w:val="BodyText"/>
      </w:pPr>
      <w:r>
        <w:t xml:space="preserve">Le diclofénac (acide 2-[2-(2,6-dichloroanilino)phényl]acétique) est l’AINS acide le plus prescrit au monde et le plus largement représenté sur le marché algérien, avec plus de 180 lignes recensées dans la nomenclature d’avril 2026 et plus de 90 marques distinctes. Il a été synthétisé pour la première fois en 1965 par les laboratoires Ciba-Geigy (aujourd’hui Novartis) et commercialisé à partir de 1973 sous le nom de Voltarène. La richesse du marché algérien du diclofénac reflète à la fois la popularité de la molécule et la dynamique locale des génériques : on trouve le diclofénac sous pratiquement toutes les formes galéniques existantes — comprimés gastro-résistants à 25, 50 et 100 mg, comprimés à libération prolongée à 75 et 100 mg, suppositoires à 12,5, 25, 50 et 100 mg, solutions injectables IM à 75 mg/3 mL, gels dermiques à 1 et 2 %, collyres à 0,1 %, emplâtre médicamenteux — et sous de multiples sels (sodique, potassique, épolamine). Le diclofénac est métabolisé à 50 % par effet de premier passage hépatique, ce qui explique sa biodisponibilité orale modeste (50–60 %) et la relative inefficacité d’augmentation des doses orales au-delà de 150–200 mg/j. Les sels de diclofénac (sodique pour les formes orales et injectables, potassique pour les formes à absorption rapide, épolamine pour les formes topiques) ont des profils cinétiques légèrement différents, mais partagent la même activité pharmacologique.</w:t>
      </w:r>
    </w:p>
    <w:p>
      <w:pPr>
        <w:pStyle w:val="BodyText"/>
      </w:pPr>
      <w:r>
        <w:rPr>
          <w:b/>
          <w:bCs/>
        </w:rPr>
        <w:t xml:space="preserve">Médicaments disponibles en Algérie (Marques, Laboratoires, Formes et Dosages) :</w:t>
      </w:r>
    </w:p>
    <w:p>
      <w:pPr>
        <w:pStyle w:val="BodyText"/>
      </w:pPr>
      <w:r>
        <w:t xml:space="preserve">Compte tenu de la quantité de spécialités (plus de 180 lignes), la liste est présentée par forme galénique. Toutes les marques sont citées.</w:t>
      </w:r>
    </w:p>
    <w:p>
      <w:pPr>
        <w:pStyle w:val="BodyText"/>
      </w:pPr>
      <w:r>
        <w:rPr>
          <w:b/>
          <w:bCs/>
        </w:rPr>
        <w:t xml:space="preserve">Solutions injectables IM (75 mg/3 mL ou 25 mg/mL) :</w:t>
      </w:r>
      <w:r>
        <w:t xml:space="preserve"> </w:t>
      </w:r>
      <w:r>
        <w:t xml:space="preserve">-</w:t>
      </w:r>
      <w:r>
        <w:t xml:space="preserve"> </w:t>
      </w:r>
      <w:r>
        <w:rPr>
          <w:b/>
          <w:bCs/>
        </w:rPr>
        <w:t xml:space="preserve">CLOFENAL</w:t>
      </w:r>
      <w:r>
        <w:t xml:space="preserve"> </w:t>
      </w:r>
      <w:r>
        <w:t xml:space="preserve">(Saidal) — 25 mg/mL (75 mg/3 mL), B/02 amp et B/50 amp 3 mL (Liste II) — ACTIF</w:t>
      </w:r>
      <w:r>
        <w:t xml:space="preserve"> </w:t>
      </w:r>
      <w:r>
        <w:t xml:space="preserve">-</w:t>
      </w:r>
      <w:r>
        <w:t xml:space="preserve"> </w:t>
      </w:r>
      <w:r>
        <w:rPr>
          <w:b/>
          <w:bCs/>
        </w:rPr>
        <w:t xml:space="preserve">DICLAMID</w:t>
      </w:r>
      <w:r>
        <w:t xml:space="preserve"> </w:t>
      </w:r>
      <w:r>
        <w:t xml:space="preserve">(Frater-Razès) — 25 mg/mL (75 mg/3 mL), B/02 amp et B/50 amp 3 mL (Liste II) — ACTIF</w:t>
      </w:r>
      <w:r>
        <w:t xml:space="preserve"> </w:t>
      </w:r>
      <w:r>
        <w:t xml:space="preserve">-</w:t>
      </w:r>
      <w:r>
        <w:t xml:space="preserve"> </w:t>
      </w:r>
      <w:r>
        <w:rPr>
          <w:b/>
          <w:bCs/>
        </w:rPr>
        <w:t xml:space="preserve">DICLOTHERA</w:t>
      </w:r>
      <w:r>
        <w:t xml:space="preserve"> </w:t>
      </w:r>
      <w:r>
        <w:t xml:space="preserve">(Biothera) — 25 mg/mL (75 mg/3 mL), B/02 amp et B/50 amp 3 mL (Liste II) — ACTIF</w:t>
      </w:r>
      <w:r>
        <w:t xml:space="preserve"> </w:t>
      </w:r>
      <w:r>
        <w:t xml:space="preserve">-</w:t>
      </w:r>
      <w:r>
        <w:t xml:space="preserve"> </w:t>
      </w:r>
      <w:r>
        <w:rPr>
          <w:b/>
          <w:bCs/>
        </w:rPr>
        <w:t xml:space="preserve">GEOFENAC</w:t>
      </w:r>
      <w:r>
        <w:t xml:space="preserve"> </w:t>
      </w:r>
      <w:r>
        <w:t xml:space="preserve">(Geopharm) — 25 mg/mL (75 mg/3 mL), B/02 amp et B/50 amp 3 mL (Liste II) — ACTIF</w:t>
      </w:r>
      <w:r>
        <w:t xml:space="preserve"> </w:t>
      </w:r>
      <w:r>
        <w:t xml:space="preserve">-</w:t>
      </w:r>
      <w:r>
        <w:t xml:space="preserve"> </w:t>
      </w:r>
      <w:r>
        <w:rPr>
          <w:b/>
          <w:bCs/>
        </w:rPr>
        <w:t xml:space="preserve">VOLTAFENE</w:t>
      </w:r>
      <w:r>
        <w:t xml:space="preserve"> </w:t>
      </w:r>
      <w:r>
        <w:t xml:space="preserve">(Hupp Pharma) — 25 mg/mL (75 mg/3 mL), B/02 amp 3 mL (Liste II) — ACTIF</w:t>
      </w:r>
      <w:r>
        <w:t xml:space="preserve"> </w:t>
      </w:r>
      <w:r>
        <w:t xml:space="preserve">-</w:t>
      </w:r>
      <w:r>
        <w:t xml:space="preserve"> </w:t>
      </w:r>
      <w:r>
        <w:rPr>
          <w:b/>
          <w:bCs/>
        </w:rPr>
        <w:t xml:space="preserve">BIOFENAC</w:t>
      </w:r>
      <w:r>
        <w:t xml:space="preserve"> </w:t>
      </w:r>
      <w:r>
        <w:t xml:space="preserve">(Unique Pharmaceutical) (R) — 25 mg/mL (75 mg/3 mL), B/05 amp 3 mL</w:t>
      </w:r>
      <w:r>
        <w:t xml:space="preserve"> </w:t>
      </w:r>
      <w:r>
        <w:t xml:space="preserve">-</w:t>
      </w:r>
      <w:r>
        <w:t xml:space="preserve"> </w:t>
      </w:r>
      <w:r>
        <w:rPr>
          <w:b/>
          <w:bCs/>
        </w:rPr>
        <w:t xml:space="preserve">DICLOFAL</w:t>
      </w:r>
      <w:r>
        <w:t xml:space="preserve"> </w:t>
      </w:r>
      <w:r>
        <w:t xml:space="preserve">(Sophal) (R) — 25 mg/mL (75 mg/3 mL), B/02 amp 3 mL</w:t>
      </w:r>
      <w:r>
        <w:t xml:space="preserve"> </w:t>
      </w:r>
      <w:r>
        <w:t xml:space="preserve">-</w:t>
      </w:r>
      <w:r>
        <w:t xml:space="preserve"> </w:t>
      </w:r>
      <w:r>
        <w:rPr>
          <w:b/>
          <w:bCs/>
        </w:rPr>
        <w:t xml:space="preserve">DICLOFENAC</w:t>
      </w:r>
      <w:r>
        <w:t xml:space="preserve"> </w:t>
      </w:r>
      <w:r>
        <w:t xml:space="preserve">(Renaudin) (R) — 75 mg/3 mL, B/03 amp</w:t>
      </w:r>
      <w:r>
        <w:t xml:space="preserve"> </w:t>
      </w:r>
      <w:r>
        <w:t xml:space="preserve">-</w:t>
      </w:r>
      <w:r>
        <w:t xml:space="preserve"> </w:t>
      </w:r>
      <w:r>
        <w:rPr>
          <w:b/>
          <w:bCs/>
        </w:rPr>
        <w:t xml:space="preserve">DICLOGESIC</w:t>
      </w:r>
      <w:r>
        <w:t xml:space="preserve"> </w:t>
      </w:r>
      <w:r>
        <w:t xml:space="preserve">(Dar Al Dawa) (R) — 75 mg/3 mL, B/05</w:t>
      </w:r>
      <w:r>
        <w:t xml:space="preserve"> </w:t>
      </w:r>
      <w:r>
        <w:t xml:space="preserve">-</w:t>
      </w:r>
      <w:r>
        <w:t xml:space="preserve"> </w:t>
      </w:r>
      <w:r>
        <w:rPr>
          <w:b/>
          <w:bCs/>
        </w:rPr>
        <w:t xml:space="preserve">DICLOREUM</w:t>
      </w:r>
      <w:r>
        <w:t xml:space="preserve"> </w:t>
      </w:r>
      <w:r>
        <w:t xml:space="preserve">(Alfa Wassermann) (R) — 75 mg/3 mL, B/06</w:t>
      </w:r>
      <w:r>
        <w:t xml:space="preserve"> </w:t>
      </w:r>
      <w:r>
        <w:t xml:space="preserve">-</w:t>
      </w:r>
      <w:r>
        <w:t xml:space="preserve"> </w:t>
      </w:r>
      <w:r>
        <w:rPr>
          <w:b/>
          <w:bCs/>
        </w:rPr>
        <w:t xml:space="preserve">DICLOMEC</w:t>
      </w:r>
      <w:r>
        <w:t xml:space="preserve"> </w:t>
      </w:r>
      <w:r>
        <w:t xml:space="preserve">(Abdi Ibrahim) (R) — 75 mg/3 mL, B/02 à B/10</w:t>
      </w:r>
      <w:r>
        <w:t xml:space="preserve"> </w:t>
      </w:r>
      <w:r>
        <w:t xml:space="preserve">-</w:t>
      </w:r>
      <w:r>
        <w:t xml:space="preserve"> </w:t>
      </w:r>
      <w:r>
        <w:rPr>
          <w:b/>
          <w:bCs/>
        </w:rPr>
        <w:t xml:space="preserve">DYCLOMAX</w:t>
      </w:r>
      <w:r>
        <w:t xml:space="preserve"> </w:t>
      </w:r>
      <w:r>
        <w:t xml:space="preserve">(SmithKline Beecham) (R) — 75 mg/3 mL, B/02</w:t>
      </w:r>
      <w:r>
        <w:t xml:space="preserve"> </w:t>
      </w:r>
      <w:r>
        <w:t xml:space="preserve">-</w:t>
      </w:r>
      <w:r>
        <w:t xml:space="preserve"> </w:t>
      </w:r>
      <w:r>
        <w:rPr>
          <w:b/>
          <w:bCs/>
        </w:rPr>
        <w:t xml:space="preserve">EFIRAP</w:t>
      </w:r>
      <w:r>
        <w:t xml:space="preserve"> </w:t>
      </w:r>
      <w:r>
        <w:t xml:space="preserve">(Tabuk Algérie) — Comprimé pelliculé 50 mg (voie orale) — ACTIF</w:t>
      </w:r>
      <w:r>
        <w:t xml:space="preserve"> </w:t>
      </w:r>
      <w:r>
        <w:t xml:space="preserve">-</w:t>
      </w:r>
      <w:r>
        <w:t xml:space="preserve"> </w:t>
      </w:r>
      <w:r>
        <w:rPr>
          <w:b/>
          <w:bCs/>
        </w:rPr>
        <w:t xml:space="preserve">EPIFENAC</w:t>
      </w:r>
      <w:r>
        <w:t xml:space="preserve"> </w:t>
      </w:r>
      <w:r>
        <w:t xml:space="preserve">(EIPICO) (R) — 75 mg/3 mL, B/03</w:t>
      </w:r>
      <w:r>
        <w:t xml:space="preserve"> </w:t>
      </w:r>
      <w:r>
        <w:t xml:space="preserve">-</w:t>
      </w:r>
      <w:r>
        <w:t xml:space="preserve"> </w:t>
      </w:r>
      <w:r>
        <w:rPr>
          <w:b/>
          <w:bCs/>
        </w:rPr>
        <w:t xml:space="preserve">FLOGOFENAC</w:t>
      </w:r>
      <w:r>
        <w:t xml:space="preserve"> </w:t>
      </w:r>
      <w:r>
        <w:t xml:space="preserve">(Ecobi) (R) — 75 mg/3 mL, B/05</w:t>
      </w:r>
      <w:r>
        <w:t xml:space="preserve"> </w:t>
      </w:r>
      <w:r>
        <w:t xml:space="preserve">-</w:t>
      </w:r>
      <w:r>
        <w:t xml:space="preserve"> </w:t>
      </w:r>
      <w:r>
        <w:rPr>
          <w:b/>
          <w:bCs/>
        </w:rPr>
        <w:t xml:space="preserve">INFLA-BAN</w:t>
      </w:r>
      <w:r>
        <w:t xml:space="preserve"> </w:t>
      </w:r>
      <w:r>
        <w:t xml:space="preserve">(Arab Pharm) (R) — 75 mg/3 mL, B/05</w:t>
      </w:r>
      <w:r>
        <w:t xml:space="preserve"> </w:t>
      </w:r>
      <w:r>
        <w:t xml:space="preserve">-</w:t>
      </w:r>
      <w:r>
        <w:t xml:space="preserve"> </w:t>
      </w:r>
      <w:r>
        <w:rPr>
          <w:b/>
          <w:bCs/>
        </w:rPr>
        <w:t xml:space="preserve">NAKLOFEN</w:t>
      </w:r>
      <w:r>
        <w:t xml:space="preserve"> </w:t>
      </w:r>
      <w:r>
        <w:t xml:space="preserve">(Krka) (R) — 75 mg/3 mL, B/05</w:t>
      </w:r>
      <w:r>
        <w:t xml:space="preserve"> </w:t>
      </w:r>
      <w:r>
        <w:t xml:space="preserve">-</w:t>
      </w:r>
      <w:r>
        <w:t xml:space="preserve"> </w:t>
      </w:r>
      <w:r>
        <w:rPr>
          <w:b/>
          <w:bCs/>
        </w:rPr>
        <w:t xml:space="preserve">PANAMOR</w:t>
      </w:r>
      <w:r>
        <w:t xml:space="preserve"> </w:t>
      </w:r>
      <w:r>
        <w:t xml:space="preserve">(Pharmacare) (R) — 75 mg/3 mL, B/05</w:t>
      </w:r>
      <w:r>
        <w:t xml:space="preserve"> </w:t>
      </w:r>
      <w:r>
        <w:t xml:space="preserve">-</w:t>
      </w:r>
      <w:r>
        <w:t xml:space="preserve"> </w:t>
      </w:r>
      <w:r>
        <w:rPr>
          <w:b/>
          <w:bCs/>
        </w:rPr>
        <w:t xml:space="preserve">REFEN</w:t>
      </w:r>
      <w:r>
        <w:t xml:space="preserve"> </w:t>
      </w:r>
      <w:r>
        <w:t xml:space="preserve">(Hemofarm) (R) — 75 mg/3 mL, B/05</w:t>
      </w:r>
      <w:r>
        <w:t xml:space="preserve"> </w:t>
      </w:r>
      <w:r>
        <w:t xml:space="preserve">-</w:t>
      </w:r>
      <w:r>
        <w:t xml:space="preserve"> </w:t>
      </w:r>
      <w:r>
        <w:rPr>
          <w:b/>
          <w:bCs/>
        </w:rPr>
        <w:t xml:space="preserve">ROFENAC</w:t>
      </w:r>
      <w:r>
        <w:t xml:space="preserve"> </w:t>
      </w:r>
      <w:r>
        <w:t xml:space="preserve">(Spimaco) (R) — 75 mg/3 mL, B/05</w:t>
      </w:r>
      <w:r>
        <w:t xml:space="preserve"> </w:t>
      </w:r>
      <w:r>
        <w:t xml:space="preserve">-</w:t>
      </w:r>
      <w:r>
        <w:t xml:space="preserve"> </w:t>
      </w:r>
      <w:r>
        <w:rPr>
          <w:b/>
          <w:bCs/>
        </w:rPr>
        <w:t xml:space="preserve">VOLTAGESIC</w:t>
      </w:r>
      <w:r>
        <w:t xml:space="preserve"> </w:t>
      </w:r>
      <w:r>
        <w:t xml:space="preserve">(Aleppo Pharma) (R) — 75 mg/3 mL, B/03</w:t>
      </w:r>
      <w:r>
        <w:t xml:space="preserve"> </w:t>
      </w:r>
      <w:r>
        <w:t xml:space="preserve">-</w:t>
      </w:r>
      <w:r>
        <w:t xml:space="preserve"> </w:t>
      </w:r>
      <w:r>
        <w:rPr>
          <w:b/>
          <w:bCs/>
        </w:rPr>
        <w:t xml:space="preserve">VOLTARENE</w:t>
      </w:r>
      <w:r>
        <w:t xml:space="preserve"> </w:t>
      </w:r>
      <w:r>
        <w:t xml:space="preserve">(Novartis) (R) — 75 mg/3 mL, B/02</w:t>
      </w:r>
      <w:r>
        <w:t xml:space="preserve"> </w:t>
      </w:r>
      <w:r>
        <w:t xml:space="preserve">-</w:t>
      </w:r>
      <w:r>
        <w:t xml:space="preserve"> </w:t>
      </w:r>
      <w:r>
        <w:rPr>
          <w:b/>
          <w:bCs/>
        </w:rPr>
        <w:t xml:space="preserve">VOLTUM</w:t>
      </w:r>
      <w:r>
        <w:t xml:space="preserve"> </w:t>
      </w:r>
      <w:r>
        <w:t xml:space="preserve">(Pharmalliance) (R) — 75 mg/3 mL, B/02</w:t>
      </w:r>
      <w:r>
        <w:t xml:space="preserve"> </w:t>
      </w:r>
      <w:r>
        <w:t xml:space="preserve">-</w:t>
      </w:r>
      <w:r>
        <w:t xml:space="preserve"> </w:t>
      </w:r>
      <w:r>
        <w:rPr>
          <w:b/>
          <w:bCs/>
        </w:rPr>
        <w:t xml:space="preserve">VOTREX</w:t>
      </w:r>
      <w:r>
        <w:t xml:space="preserve"> </w:t>
      </w:r>
      <w:r>
        <w:t xml:space="preserve">(Hikma) (R) — 75 mg/3 mL, B/02 et B/05</w:t>
      </w:r>
      <w:r>
        <w:t xml:space="preserve"> </w:t>
      </w:r>
      <w:r>
        <w:t xml:space="preserve">-</w:t>
      </w:r>
      <w:r>
        <w:t xml:space="preserve"> </w:t>
      </w:r>
      <w:r>
        <w:rPr>
          <w:b/>
          <w:bCs/>
        </w:rPr>
        <w:t xml:space="preserve">WERAFENAC 75</w:t>
      </w:r>
      <w:r>
        <w:t xml:space="preserve"> </w:t>
      </w:r>
      <w:r>
        <w:t xml:space="preserve">(Weimer Pharma) (R) — 75 mg/3 mL, B/03 et B/05</w:t>
      </w:r>
      <w:r>
        <w:t xml:space="preserve"> </w:t>
      </w:r>
      <w:r>
        <w:t xml:space="preserve">-</w:t>
      </w:r>
      <w:r>
        <w:t xml:space="preserve"> </w:t>
      </w:r>
      <w:r>
        <w:rPr>
          <w:b/>
          <w:bCs/>
        </w:rPr>
        <w:t xml:space="preserve">XENID</w:t>
      </w:r>
      <w:r>
        <w:t xml:space="preserve"> </w:t>
      </w:r>
      <w:r>
        <w:t xml:space="preserve">(Biogalenique) (R) — 75 mg/3 mL, B/02</w:t>
      </w:r>
    </w:p>
    <w:p>
      <w:pPr>
        <w:pStyle w:val="BodyText"/>
      </w:pPr>
      <w:r>
        <w:rPr>
          <w:b/>
          <w:bCs/>
        </w:rPr>
        <w:t xml:space="preserve">Comprimés gastro-résistants 25 mg :</w:t>
      </w:r>
      <w:r>
        <w:t xml:space="preserve"> </w:t>
      </w:r>
      <w:r>
        <w:t xml:space="preserve">-</w:t>
      </w:r>
      <w:r>
        <w:t xml:space="preserve"> </w:t>
      </w:r>
      <w:r>
        <w:rPr>
          <w:b/>
          <w:bCs/>
        </w:rPr>
        <w:t xml:space="preserve">VOLTUM</w:t>
      </w:r>
      <w:r>
        <w:t xml:space="preserve"> </w:t>
      </w:r>
      <w:r>
        <w:t xml:space="preserve">(Pharmalliance) — B/30 — ACTIF</w:t>
      </w:r>
      <w:r>
        <w:t xml:space="preserve"> </w:t>
      </w:r>
      <w:r>
        <w:t xml:space="preserve">-</w:t>
      </w:r>
      <w:r>
        <w:t xml:space="preserve"> </w:t>
      </w:r>
      <w:r>
        <w:rPr>
          <w:b/>
          <w:bCs/>
        </w:rPr>
        <w:t xml:space="preserve">BIOFENAC</w:t>
      </w:r>
      <w:r>
        <w:t xml:space="preserve"> </w:t>
      </w:r>
      <w:r>
        <w:t xml:space="preserve">(Unique Pharmaceutical) (R) — B/30</w:t>
      </w:r>
      <w:r>
        <w:t xml:space="preserve"> </w:t>
      </w:r>
      <w:r>
        <w:t xml:space="preserve">-</w:t>
      </w:r>
      <w:r>
        <w:t xml:space="preserve"> </w:t>
      </w:r>
      <w:r>
        <w:rPr>
          <w:b/>
          <w:bCs/>
        </w:rPr>
        <w:t xml:space="preserve">DICLOFENAC</w:t>
      </w:r>
      <w:r>
        <w:t xml:space="preserve"> </w:t>
      </w:r>
      <w:r>
        <w:t xml:space="preserve">(Renaudin) (R) — B/30</w:t>
      </w:r>
      <w:r>
        <w:t xml:space="preserve"> </w:t>
      </w:r>
      <w:r>
        <w:t xml:space="preserve">-</w:t>
      </w:r>
      <w:r>
        <w:t xml:space="preserve"> </w:t>
      </w:r>
      <w:r>
        <w:rPr>
          <w:b/>
          <w:bCs/>
        </w:rPr>
        <w:t xml:space="preserve">DICLOFENAC 25</w:t>
      </w:r>
      <w:r>
        <w:t xml:space="preserve"> </w:t>
      </w:r>
      <w:r>
        <w:t xml:space="preserve">(Oubari) (R) — B/20</w:t>
      </w:r>
      <w:r>
        <w:t xml:space="preserve"> </w:t>
      </w:r>
      <w:r>
        <w:t xml:space="preserve">-</w:t>
      </w:r>
      <w:r>
        <w:t xml:space="preserve"> </w:t>
      </w:r>
      <w:r>
        <w:rPr>
          <w:b/>
          <w:bCs/>
        </w:rPr>
        <w:t xml:space="preserve">DICLOREUM</w:t>
      </w:r>
      <w:r>
        <w:t xml:space="preserve"> </w:t>
      </w:r>
      <w:r>
        <w:t xml:space="preserve">(R) — B/30</w:t>
      </w:r>
      <w:r>
        <w:t xml:space="preserve"> </w:t>
      </w:r>
      <w:r>
        <w:t xml:space="preserve">-</w:t>
      </w:r>
      <w:r>
        <w:t xml:space="preserve"> </w:t>
      </w:r>
      <w:r>
        <w:rPr>
          <w:b/>
          <w:bCs/>
        </w:rPr>
        <w:t xml:space="preserve">DYCLOMAX</w:t>
      </w:r>
      <w:r>
        <w:t xml:space="preserve"> </w:t>
      </w:r>
      <w:r>
        <w:t xml:space="preserve">(SmithKline Beecham) (R) — B/30</w:t>
      </w:r>
      <w:r>
        <w:t xml:space="preserve"> </w:t>
      </w:r>
      <w:r>
        <w:t xml:space="preserve">-</w:t>
      </w:r>
      <w:r>
        <w:t xml:space="preserve"> </w:t>
      </w:r>
      <w:r>
        <w:rPr>
          <w:b/>
          <w:bCs/>
        </w:rPr>
        <w:t xml:space="preserve">EPIFENAC 25</w:t>
      </w:r>
      <w:r>
        <w:t xml:space="preserve"> </w:t>
      </w:r>
      <w:r>
        <w:t xml:space="preserve">(EIPICO) (R) — B/30</w:t>
      </w:r>
      <w:r>
        <w:t xml:space="preserve"> </w:t>
      </w:r>
      <w:r>
        <w:t xml:space="preserve">-</w:t>
      </w:r>
      <w:r>
        <w:t xml:space="preserve"> </w:t>
      </w:r>
      <w:r>
        <w:rPr>
          <w:b/>
          <w:bCs/>
        </w:rPr>
        <w:t xml:space="preserve">INFLA-BAN</w:t>
      </w:r>
      <w:r>
        <w:t xml:space="preserve"> </w:t>
      </w:r>
      <w:r>
        <w:t xml:space="preserve">(Arab Pharm) (R) — B/30</w:t>
      </w:r>
      <w:r>
        <w:t xml:space="preserve"> </w:t>
      </w:r>
      <w:r>
        <w:t xml:space="preserve">-</w:t>
      </w:r>
      <w:r>
        <w:t xml:space="preserve"> </w:t>
      </w:r>
      <w:r>
        <w:rPr>
          <w:b/>
          <w:bCs/>
        </w:rPr>
        <w:t xml:space="preserve">PANAMOR</w:t>
      </w:r>
      <w:r>
        <w:t xml:space="preserve"> </w:t>
      </w:r>
      <w:r>
        <w:t xml:space="preserve">(Pharmacare) (R) — B/30</w:t>
      </w:r>
      <w:r>
        <w:t xml:space="preserve"> </w:t>
      </w:r>
      <w:r>
        <w:t xml:space="preserve">-</w:t>
      </w:r>
      <w:r>
        <w:t xml:space="preserve"> </w:t>
      </w:r>
      <w:r>
        <w:rPr>
          <w:b/>
          <w:bCs/>
        </w:rPr>
        <w:t xml:space="preserve">ROFENAC</w:t>
      </w:r>
      <w:r>
        <w:t xml:space="preserve"> </w:t>
      </w:r>
      <w:r>
        <w:t xml:space="preserve">(Spimaco) (R) — B/30</w:t>
      </w:r>
      <w:r>
        <w:t xml:space="preserve"> </w:t>
      </w:r>
      <w:r>
        <w:t xml:space="preserve">-</w:t>
      </w:r>
      <w:r>
        <w:t xml:space="preserve"> </w:t>
      </w:r>
      <w:r>
        <w:rPr>
          <w:b/>
          <w:bCs/>
        </w:rPr>
        <w:t xml:space="preserve">VOLTARENE</w:t>
      </w:r>
      <w:r>
        <w:t xml:space="preserve"> </w:t>
      </w:r>
      <w:r>
        <w:t xml:space="preserve">(Novartis) (R) — B/30</w:t>
      </w:r>
      <w:r>
        <w:t xml:space="preserve"> </w:t>
      </w:r>
      <w:r>
        <w:t xml:space="preserve">-</w:t>
      </w:r>
      <w:r>
        <w:t xml:space="preserve"> </w:t>
      </w:r>
      <w:r>
        <w:rPr>
          <w:b/>
          <w:bCs/>
        </w:rPr>
        <w:t xml:space="preserve">VOTREX</w:t>
      </w:r>
      <w:r>
        <w:t xml:space="preserve"> </w:t>
      </w:r>
      <w:r>
        <w:t xml:space="preserve">(Hikma) (R) — B/30</w:t>
      </w:r>
      <w:r>
        <w:t xml:space="preserve"> </w:t>
      </w:r>
      <w:r>
        <w:t xml:space="preserve">-</w:t>
      </w:r>
      <w:r>
        <w:t xml:space="preserve"> </w:t>
      </w:r>
      <w:r>
        <w:rPr>
          <w:b/>
          <w:bCs/>
        </w:rPr>
        <w:t xml:space="preserve">WERAFENAC</w:t>
      </w:r>
      <w:r>
        <w:t xml:space="preserve"> </w:t>
      </w:r>
      <w:r>
        <w:t xml:space="preserve">(Weimer Pharma) (R) — B/30</w:t>
      </w:r>
      <w:r>
        <w:t xml:space="preserve"> </w:t>
      </w:r>
      <w:r>
        <w:t xml:space="preserve">-</w:t>
      </w:r>
      <w:r>
        <w:t xml:space="preserve"> </w:t>
      </w:r>
      <w:r>
        <w:rPr>
          <w:b/>
          <w:bCs/>
        </w:rPr>
        <w:t xml:space="preserve">XENID</w:t>
      </w:r>
      <w:r>
        <w:t xml:space="preserve"> </w:t>
      </w:r>
      <w:r>
        <w:t xml:space="preserve">(Biogalenique) (R) — B/30</w:t>
      </w:r>
      <w:r>
        <w:t xml:space="preserve"> </w:t>
      </w:r>
      <w:r>
        <w:t xml:space="preserve">-</w:t>
      </w:r>
      <w:r>
        <w:t xml:space="preserve"> </w:t>
      </w:r>
      <w:r>
        <w:rPr>
          <w:b/>
          <w:bCs/>
        </w:rPr>
        <w:t xml:space="preserve">DICLO 25</w:t>
      </w:r>
      <w:r>
        <w:t xml:space="preserve"> </w:t>
      </w:r>
      <w:r>
        <w:t xml:space="preserve">(GPA) (R) — suppositoire 25 mg, B/10</w:t>
      </w:r>
    </w:p>
    <w:p>
      <w:pPr>
        <w:pStyle w:val="BodyText"/>
      </w:pPr>
      <w:r>
        <w:rPr>
          <w:b/>
          <w:bCs/>
        </w:rPr>
        <w:t xml:space="preserve">Comprimés gastro-résistants 50 mg :</w:t>
      </w:r>
      <w:r>
        <w:t xml:space="preserve"> </w:t>
      </w:r>
      <w:r>
        <w:t xml:space="preserve">-</w:t>
      </w:r>
      <w:r>
        <w:t xml:space="preserve"> </w:t>
      </w:r>
      <w:r>
        <w:rPr>
          <w:b/>
          <w:bCs/>
        </w:rPr>
        <w:t xml:space="preserve">BIOFENAC</w:t>
      </w:r>
      <w:r>
        <w:t xml:space="preserve"> </w:t>
      </w:r>
      <w:r>
        <w:t xml:space="preserve">(Unique Pharmaceutical) — B/30 (Liste II) — ACTIF</w:t>
      </w:r>
      <w:r>
        <w:t xml:space="preserve"> </w:t>
      </w:r>
      <w:r>
        <w:t xml:space="preserve">-</w:t>
      </w:r>
      <w:r>
        <w:t xml:space="preserve"> </w:t>
      </w:r>
      <w:r>
        <w:rPr>
          <w:b/>
          <w:bCs/>
        </w:rPr>
        <w:t xml:space="preserve">CLOFEN</w:t>
      </w:r>
      <w:r>
        <w:t xml:space="preserve"> </w:t>
      </w:r>
      <w:r>
        <w:t xml:space="preserve">(Biohder Group) — B/30 (Liste II) — ACTIF</w:t>
      </w:r>
      <w:r>
        <w:t xml:space="preserve"> </w:t>
      </w:r>
      <w:r>
        <w:t xml:space="preserve">-</w:t>
      </w:r>
      <w:r>
        <w:t xml:space="preserve"> </w:t>
      </w:r>
      <w:r>
        <w:rPr>
          <w:b/>
          <w:bCs/>
        </w:rPr>
        <w:t xml:space="preserve">CLOFENAL</w:t>
      </w:r>
      <w:r>
        <w:t xml:space="preserve"> </w:t>
      </w:r>
      <w:r>
        <w:t xml:space="preserve">(Saidal) — Gélule à microgranules gastro-résistantes 50 mg, B/30 (Liste II) — ACTIF</w:t>
      </w:r>
      <w:r>
        <w:t xml:space="preserve"> </w:t>
      </w:r>
      <w:r>
        <w:t xml:space="preserve">-</w:t>
      </w:r>
      <w:r>
        <w:t xml:space="preserve"> </w:t>
      </w:r>
      <w:r>
        <w:rPr>
          <w:b/>
          <w:bCs/>
        </w:rPr>
        <w:t xml:space="preserve">DICLOFAL</w:t>
      </w:r>
      <w:r>
        <w:t xml:space="preserve"> </w:t>
      </w:r>
      <w:r>
        <w:t xml:space="preserve">(Sophal) — B/30 (Liste II) — ACTIF</w:t>
      </w:r>
      <w:r>
        <w:t xml:space="preserve"> </w:t>
      </w:r>
      <w:r>
        <w:t xml:space="preserve">-</w:t>
      </w:r>
      <w:r>
        <w:t xml:space="preserve"> </w:t>
      </w:r>
      <w:r>
        <w:rPr>
          <w:b/>
          <w:bCs/>
        </w:rPr>
        <w:t xml:space="preserve">GEOFENAC</w:t>
      </w:r>
      <w:r>
        <w:t xml:space="preserve"> </w:t>
      </w:r>
      <w:r>
        <w:t xml:space="preserve">(Geopharm) — B/20 (Liste II) — ACTIF</w:t>
      </w:r>
      <w:r>
        <w:t xml:space="preserve"> </w:t>
      </w:r>
      <w:r>
        <w:t xml:space="preserve">-</w:t>
      </w:r>
      <w:r>
        <w:t xml:space="preserve"> </w:t>
      </w:r>
      <w:r>
        <w:rPr>
          <w:b/>
          <w:bCs/>
        </w:rPr>
        <w:t xml:space="preserve">XINAC-50</w:t>
      </w:r>
      <w:r>
        <w:t xml:space="preserve"> </w:t>
      </w:r>
      <w:r>
        <w:t xml:space="preserve">(Generic Lab) — B/20 (Liste II) — ACTIF</w:t>
      </w:r>
      <w:r>
        <w:t xml:space="preserve"> </w:t>
      </w:r>
      <w:r>
        <w:t xml:space="preserve">-</w:t>
      </w:r>
      <w:r>
        <w:t xml:space="preserve"> </w:t>
      </w:r>
      <w:r>
        <w:rPr>
          <w:b/>
          <w:bCs/>
        </w:rPr>
        <w:t xml:space="preserve">VOLTUM</w:t>
      </w:r>
      <w:r>
        <w:t xml:space="preserve"> </w:t>
      </w:r>
      <w:r>
        <w:t xml:space="preserve">(Pharmalliance) — B/30 (Liste II) — ACTIF</w:t>
      </w:r>
      <w:r>
        <w:t xml:space="preserve"> </w:t>
      </w:r>
      <w:r>
        <w:t xml:space="preserve">-</w:t>
      </w:r>
      <w:r>
        <w:t xml:space="preserve"> </w:t>
      </w:r>
      <w:r>
        <w:rPr>
          <w:b/>
          <w:bCs/>
        </w:rPr>
        <w:t xml:space="preserve">BIOFENAC FAST</w:t>
      </w:r>
      <w:r>
        <w:t xml:space="preserve"> </w:t>
      </w:r>
      <w:r>
        <w:t xml:space="preserve">(Biopharm) — Comprimé pelliculé 50 mg, B/20 (Liste II) — ACTIF</w:t>
      </w:r>
      <w:r>
        <w:t xml:space="preserve"> </w:t>
      </w:r>
      <w:r>
        <w:t xml:space="preserve">-</w:t>
      </w:r>
      <w:r>
        <w:t xml:space="preserve"> </w:t>
      </w:r>
      <w:r>
        <w:rPr>
          <w:b/>
          <w:bCs/>
        </w:rPr>
        <w:t xml:space="preserve">BIOFENAC FAST</w:t>
      </w:r>
      <w:r>
        <w:t xml:space="preserve"> </w:t>
      </w:r>
      <w:r>
        <w:t xml:space="preserve">(Biopharm) — Poudre pour solution buvable en sachet 50 mg/sachet, B/10 (Liste II) — ACTIF</w:t>
      </w:r>
      <w:r>
        <w:t xml:space="preserve"> </w:t>
      </w:r>
      <w:r>
        <w:t xml:space="preserve">-</w:t>
      </w:r>
      <w:r>
        <w:t xml:space="preserve"> </w:t>
      </w:r>
      <w:r>
        <w:rPr>
          <w:b/>
          <w:bCs/>
        </w:rPr>
        <w:t xml:space="preserve">CATAFENAC</w:t>
      </w:r>
      <w:r>
        <w:t xml:space="preserve"> </w:t>
      </w:r>
      <w:r>
        <w:t xml:space="preserve">(Nadpharmadic) — Comprimé pelliculé 50 mg, B/20 (Liste II) — ACTIF</w:t>
      </w:r>
      <w:r>
        <w:t xml:space="preserve"> </w:t>
      </w:r>
      <w:r>
        <w:t xml:space="preserve">-</w:t>
      </w:r>
      <w:r>
        <w:t xml:space="preserve"> </w:t>
      </w:r>
      <w:r>
        <w:rPr>
          <w:b/>
          <w:bCs/>
        </w:rPr>
        <w:t xml:space="preserve">CATAFLAM</w:t>
      </w:r>
      <w:r>
        <w:t xml:space="preserve"> </w:t>
      </w:r>
      <w:r>
        <w:t xml:space="preserve">(Novartis) (NR/R) — 50 mg, B/20</w:t>
      </w:r>
      <w:r>
        <w:t xml:space="preserve"> </w:t>
      </w:r>
      <w:r>
        <w:t xml:space="preserve">-</w:t>
      </w:r>
      <w:r>
        <w:t xml:space="preserve"> </w:t>
      </w:r>
      <w:r>
        <w:rPr>
          <w:b/>
          <w:bCs/>
        </w:rPr>
        <w:t xml:space="preserve">DICLOFAST</w:t>
      </w:r>
      <w:r>
        <w:t xml:space="preserve"> </w:t>
      </w:r>
      <w:r>
        <w:t xml:space="preserve">(Dar Al Dawa) — Comprimé pelliculé 50 mg, B/20 (Liste II) — ACTIF</w:t>
      </w:r>
      <w:r>
        <w:t xml:space="preserve"> </w:t>
      </w:r>
      <w:r>
        <w:t xml:space="preserve">-</w:t>
      </w:r>
      <w:r>
        <w:t xml:space="preserve"> </w:t>
      </w:r>
      <w:r>
        <w:rPr>
          <w:b/>
          <w:bCs/>
        </w:rPr>
        <w:t xml:space="preserve">DICLOFENAC</w:t>
      </w:r>
      <w:r>
        <w:t xml:space="preserve"> </w:t>
      </w:r>
      <w:r>
        <w:t xml:space="preserve">(Renaudin) (R) — 50 mg, B/30</w:t>
      </w:r>
      <w:r>
        <w:t xml:space="preserve"> </w:t>
      </w:r>
      <w:r>
        <w:t xml:space="preserve">-</w:t>
      </w:r>
      <w:r>
        <w:t xml:space="preserve"> </w:t>
      </w:r>
      <w:r>
        <w:rPr>
          <w:b/>
          <w:bCs/>
        </w:rPr>
        <w:t xml:space="preserve">DICLOFENAC LLORENS</w:t>
      </w:r>
      <w:r>
        <w:t xml:space="preserve"> </w:t>
      </w:r>
      <w:r>
        <w:t xml:space="preserve">(Llorens) (R) — 50 mg, B/20</w:t>
      </w:r>
      <w:r>
        <w:t xml:space="preserve"> </w:t>
      </w:r>
      <w:r>
        <w:t xml:space="preserve">-</w:t>
      </w:r>
      <w:r>
        <w:t xml:space="preserve"> </w:t>
      </w:r>
      <w:r>
        <w:rPr>
          <w:b/>
          <w:bCs/>
        </w:rPr>
        <w:t xml:space="preserve">DICLOFENAC 50</w:t>
      </w:r>
      <w:r>
        <w:t xml:space="preserve"> </w:t>
      </w:r>
      <w:r>
        <w:t xml:space="preserve">(Oubari) (R) — 50 mg, B/20</w:t>
      </w:r>
      <w:r>
        <w:t xml:space="preserve"> </w:t>
      </w:r>
      <w:r>
        <w:t xml:space="preserve">-</w:t>
      </w:r>
      <w:r>
        <w:t xml:space="preserve"> </w:t>
      </w:r>
      <w:r>
        <w:rPr>
          <w:b/>
          <w:bCs/>
        </w:rPr>
        <w:t xml:space="preserve">DICLOFENAC TEDEC</w:t>
      </w:r>
      <w:r>
        <w:t xml:space="preserve"> </w:t>
      </w:r>
      <w:r>
        <w:t xml:space="preserve">(Tedec Meiji) (R) — suppositoire 25/100 mg</w:t>
      </w:r>
      <w:r>
        <w:t xml:space="preserve"> </w:t>
      </w:r>
      <w:r>
        <w:t xml:space="preserve">-</w:t>
      </w:r>
      <w:r>
        <w:t xml:space="preserve"> </w:t>
      </w:r>
      <w:r>
        <w:rPr>
          <w:b/>
          <w:bCs/>
        </w:rPr>
        <w:t xml:space="preserve">DICLOFENACO RATIOPHARM</w:t>
      </w:r>
      <w:r>
        <w:t xml:space="preserve"> </w:t>
      </w:r>
      <w:r>
        <w:t xml:space="preserve">(R) — 50 mg, B/30</w:t>
      </w:r>
      <w:r>
        <w:t xml:space="preserve"> </w:t>
      </w:r>
      <w:r>
        <w:t xml:space="preserve">-</w:t>
      </w:r>
      <w:r>
        <w:t xml:space="preserve"> </w:t>
      </w:r>
      <w:r>
        <w:rPr>
          <w:b/>
          <w:bCs/>
        </w:rPr>
        <w:t xml:space="preserve">DICLOFENIL</w:t>
      </w:r>
      <w:r>
        <w:t xml:space="preserve"> </w:t>
      </w:r>
      <w:r>
        <w:t xml:space="preserve">(LPA) (NR) — Gel 1 %, T/30 g</w:t>
      </w:r>
      <w:r>
        <w:t xml:space="preserve"> </w:t>
      </w:r>
      <w:r>
        <w:t xml:space="preserve">-</w:t>
      </w:r>
      <w:r>
        <w:t xml:space="preserve"> </w:t>
      </w:r>
      <w:r>
        <w:rPr>
          <w:b/>
          <w:bCs/>
        </w:rPr>
        <w:t xml:space="preserve">DICLORENE LP 75</w:t>
      </w:r>
      <w:r>
        <w:t xml:space="preserve"> </w:t>
      </w:r>
      <w:r>
        <w:t xml:space="preserve">(Merinal) — Comprimé LP 75 mg, B/30 (Liste II) — ACTIF</w:t>
      </w:r>
      <w:r>
        <w:t xml:space="preserve"> </w:t>
      </w:r>
      <w:r>
        <w:t xml:space="preserve">-</w:t>
      </w:r>
      <w:r>
        <w:t xml:space="preserve"> </w:t>
      </w:r>
      <w:r>
        <w:rPr>
          <w:b/>
          <w:bCs/>
        </w:rPr>
        <w:t xml:space="preserve">DICLOREUM</w:t>
      </w:r>
      <w:r>
        <w:t xml:space="preserve"> </w:t>
      </w:r>
      <w:r>
        <w:t xml:space="preserve">(R) — 50 mg, B/20 et B/30</w:t>
      </w:r>
      <w:r>
        <w:t xml:space="preserve"> </w:t>
      </w:r>
      <w:r>
        <w:t xml:space="preserve">-</w:t>
      </w:r>
      <w:r>
        <w:t xml:space="preserve"> </w:t>
      </w:r>
      <w:r>
        <w:rPr>
          <w:b/>
          <w:bCs/>
        </w:rPr>
        <w:t xml:space="preserve">DYCLOMAX</w:t>
      </w:r>
      <w:r>
        <w:t xml:space="preserve"> </w:t>
      </w:r>
      <w:r>
        <w:t xml:space="preserve">(R) — 50 mg, B/30</w:t>
      </w:r>
      <w:r>
        <w:t xml:space="preserve"> </w:t>
      </w:r>
      <w:r>
        <w:t xml:space="preserve">-</w:t>
      </w:r>
      <w:r>
        <w:t xml:space="preserve"> </w:t>
      </w:r>
      <w:r>
        <w:rPr>
          <w:b/>
          <w:bCs/>
        </w:rPr>
        <w:t xml:space="preserve">DICLOGESIC</w:t>
      </w:r>
      <w:r>
        <w:t xml:space="preserve"> </w:t>
      </w:r>
      <w:r>
        <w:t xml:space="preserve">(Dar Al Dawa) (R) — 25 mg, B/20</w:t>
      </w:r>
      <w:r>
        <w:t xml:space="preserve"> </w:t>
      </w:r>
      <w:r>
        <w:t xml:space="preserve">-</w:t>
      </w:r>
      <w:r>
        <w:t xml:space="preserve"> </w:t>
      </w:r>
      <w:r>
        <w:rPr>
          <w:b/>
          <w:bCs/>
        </w:rPr>
        <w:t xml:space="preserve">DQA DICLO 50</w:t>
      </w:r>
      <w:r>
        <w:t xml:space="preserve"> </w:t>
      </w:r>
      <w:r>
        <w:t xml:space="preserve">(DQA Pharma) (R) — Comprimé enrobé gastro-résistant 50 mg, B/30</w:t>
      </w:r>
      <w:r>
        <w:t xml:space="preserve"> </w:t>
      </w:r>
      <w:r>
        <w:t xml:space="preserve">-</w:t>
      </w:r>
      <w:r>
        <w:t xml:space="preserve"> </w:t>
      </w:r>
      <w:r>
        <w:rPr>
          <w:b/>
          <w:bCs/>
        </w:rPr>
        <w:t xml:space="preserve">EFIRAP</w:t>
      </w:r>
      <w:r>
        <w:t xml:space="preserve"> </w:t>
      </w:r>
      <w:r>
        <w:t xml:space="preserve">(Tabuk Algérie) — Comprimé pelliculé 50 mg, B/20 (Liste II) — ACTIF</w:t>
      </w:r>
      <w:r>
        <w:t xml:space="preserve"> </w:t>
      </w:r>
      <w:r>
        <w:t xml:space="preserve">-</w:t>
      </w:r>
      <w:r>
        <w:t xml:space="preserve"> </w:t>
      </w:r>
      <w:r>
        <w:rPr>
          <w:b/>
          <w:bCs/>
        </w:rPr>
        <w:t xml:space="preserve">EPIFENAC 50</w:t>
      </w:r>
      <w:r>
        <w:t xml:space="preserve"> </w:t>
      </w:r>
      <w:r>
        <w:t xml:space="preserve">(EIPICO) (R) — 50 mg, B/20</w:t>
      </w:r>
      <w:r>
        <w:t xml:space="preserve"> </w:t>
      </w:r>
      <w:r>
        <w:t xml:space="preserve">-</w:t>
      </w:r>
      <w:r>
        <w:t xml:space="preserve"> </w:t>
      </w:r>
      <w:r>
        <w:rPr>
          <w:b/>
          <w:bCs/>
        </w:rPr>
        <w:t xml:space="preserve">GEOFENAC</w:t>
      </w:r>
      <w:r>
        <w:t xml:space="preserve"> </w:t>
      </w:r>
      <w:r>
        <w:t xml:space="preserve">(Geopharm) (R) — Comprimé enrobé LP 100 mg, B/10</w:t>
      </w:r>
      <w:r>
        <w:t xml:space="preserve"> </w:t>
      </w:r>
      <w:r>
        <w:t xml:space="preserve">-</w:t>
      </w:r>
      <w:r>
        <w:t xml:space="preserve"> </w:t>
      </w:r>
      <w:r>
        <w:rPr>
          <w:b/>
          <w:bCs/>
        </w:rPr>
        <w:t xml:space="preserve">GROFENAC</w:t>
      </w:r>
      <w:r>
        <w:t xml:space="preserve"> </w:t>
      </w:r>
      <w:r>
        <w:t xml:space="preserve">(Grosmann) (R) — 50 mg, B/20</w:t>
      </w:r>
      <w:r>
        <w:t xml:space="preserve"> </w:t>
      </w:r>
      <w:r>
        <w:t xml:space="preserve">-</w:t>
      </w:r>
      <w:r>
        <w:t xml:space="preserve"> </w:t>
      </w:r>
      <w:r>
        <w:rPr>
          <w:b/>
          <w:bCs/>
        </w:rPr>
        <w:t xml:space="preserve">INFLA-BAN</w:t>
      </w:r>
      <w:r>
        <w:t xml:space="preserve"> </w:t>
      </w:r>
      <w:r>
        <w:t xml:space="preserve">(Arab Pharm) (R) — 50 mg, B/20</w:t>
      </w:r>
      <w:r>
        <w:t xml:space="preserve"> </w:t>
      </w:r>
      <w:r>
        <w:t xml:space="preserve">-</w:t>
      </w:r>
      <w:r>
        <w:t xml:space="preserve"> </w:t>
      </w:r>
      <w:r>
        <w:rPr>
          <w:b/>
          <w:bCs/>
        </w:rPr>
        <w:t xml:space="preserve">LADOFENAC</w:t>
      </w:r>
      <w:r>
        <w:t xml:space="preserve"> </w:t>
      </w:r>
      <w:r>
        <w:t xml:space="preserve">(LAD) (R) — 50 mg, B/20</w:t>
      </w:r>
      <w:r>
        <w:t xml:space="preserve"> </w:t>
      </w:r>
      <w:r>
        <w:t xml:space="preserve">-</w:t>
      </w:r>
      <w:r>
        <w:t xml:space="preserve"> </w:t>
      </w:r>
      <w:r>
        <w:rPr>
          <w:b/>
          <w:bCs/>
        </w:rPr>
        <w:t xml:space="preserve">OPTIFEN</w:t>
      </w:r>
      <w:r>
        <w:t xml:space="preserve"> </w:t>
      </w:r>
      <w:r>
        <w:t xml:space="preserve">(Hayat) (R) — 50 mg, B/20</w:t>
      </w:r>
      <w:r>
        <w:t xml:space="preserve"> </w:t>
      </w:r>
      <w:r>
        <w:t xml:space="preserve">-</w:t>
      </w:r>
      <w:r>
        <w:t xml:space="preserve"> </w:t>
      </w:r>
      <w:r>
        <w:rPr>
          <w:b/>
          <w:bCs/>
        </w:rPr>
        <w:t xml:space="preserve">PANAMOR AT 50</w:t>
      </w:r>
      <w:r>
        <w:t xml:space="preserve"> </w:t>
      </w:r>
      <w:r>
        <w:t xml:space="preserve">(Pharmacare) (R) — 50 mg, B/30</w:t>
      </w:r>
      <w:r>
        <w:t xml:space="preserve"> </w:t>
      </w:r>
      <w:r>
        <w:t xml:space="preserve">-</w:t>
      </w:r>
      <w:r>
        <w:t xml:space="preserve"> </w:t>
      </w:r>
      <w:r>
        <w:rPr>
          <w:b/>
          <w:bCs/>
        </w:rPr>
        <w:t xml:space="preserve">RAPIDUS</w:t>
      </w:r>
      <w:r>
        <w:t xml:space="preserve"> </w:t>
      </w:r>
      <w:r>
        <w:t xml:space="preserve">(El Kendi) — Comprimé pelliculé 50 mg, B/20 (Liste II) — ACTIF</w:t>
      </w:r>
      <w:r>
        <w:t xml:space="preserve"> </w:t>
      </w:r>
      <w:r>
        <w:t xml:space="preserve">-</w:t>
      </w:r>
      <w:r>
        <w:t xml:space="preserve"> </w:t>
      </w:r>
      <w:r>
        <w:rPr>
          <w:b/>
          <w:bCs/>
        </w:rPr>
        <w:t xml:space="preserve">REFEN</w:t>
      </w:r>
      <w:r>
        <w:t xml:space="preserve"> </w:t>
      </w:r>
      <w:r>
        <w:t xml:space="preserve">(Hemofarm) (R) — Comprimé pelliculé 50 mg, B/20</w:t>
      </w:r>
      <w:r>
        <w:t xml:space="preserve"> </w:t>
      </w:r>
      <w:r>
        <w:t xml:space="preserve">-</w:t>
      </w:r>
      <w:r>
        <w:t xml:space="preserve"> </w:t>
      </w:r>
      <w:r>
        <w:rPr>
          <w:b/>
          <w:bCs/>
        </w:rPr>
        <w:t xml:space="preserve">ROFENAC</w:t>
      </w:r>
      <w:r>
        <w:t xml:space="preserve"> </w:t>
      </w:r>
      <w:r>
        <w:t xml:space="preserve">(Spimaco) (R) — 50 mg, B/20</w:t>
      </w:r>
      <w:r>
        <w:t xml:space="preserve"> </w:t>
      </w:r>
      <w:r>
        <w:t xml:space="preserve">-</w:t>
      </w:r>
      <w:r>
        <w:t xml:space="preserve"> </w:t>
      </w:r>
      <w:r>
        <w:rPr>
          <w:b/>
          <w:bCs/>
        </w:rPr>
        <w:t xml:space="preserve">ROFENAC D</w:t>
      </w:r>
      <w:r>
        <w:t xml:space="preserve"> </w:t>
      </w:r>
      <w:r>
        <w:t xml:space="preserve">(Spimaco) (R) — Comprimé dispersible 50 mg, B/20</w:t>
      </w:r>
      <w:r>
        <w:t xml:space="preserve"> </w:t>
      </w:r>
      <w:r>
        <w:t xml:space="preserve">-</w:t>
      </w:r>
      <w:r>
        <w:t xml:space="preserve"> </w:t>
      </w:r>
      <w:r>
        <w:rPr>
          <w:b/>
          <w:bCs/>
        </w:rPr>
        <w:t xml:space="preserve">RUFENAL</w:t>
      </w:r>
      <w:r>
        <w:t xml:space="preserve"> </w:t>
      </w:r>
      <w:r>
        <w:t xml:space="preserve">(Petra Pharm) (R) — Comprimé enrobé gastro-résistant 50 mg, B/20</w:t>
      </w:r>
      <w:r>
        <w:t xml:space="preserve"> </w:t>
      </w:r>
      <w:r>
        <w:t xml:space="preserve">-</w:t>
      </w:r>
      <w:r>
        <w:t xml:space="preserve"> </w:t>
      </w:r>
      <w:r>
        <w:rPr>
          <w:b/>
          <w:bCs/>
        </w:rPr>
        <w:t xml:space="preserve">VOLTARENE</w:t>
      </w:r>
      <w:r>
        <w:t xml:space="preserve"> </w:t>
      </w:r>
      <w:r>
        <w:t xml:space="preserve">(Novartis) (R) — Comprimé gastro-résistant 50 mg, B/30</w:t>
      </w:r>
      <w:r>
        <w:t xml:space="preserve"> </w:t>
      </w:r>
      <w:r>
        <w:t xml:space="preserve">-</w:t>
      </w:r>
      <w:r>
        <w:t xml:space="preserve"> </w:t>
      </w:r>
      <w:r>
        <w:rPr>
          <w:b/>
          <w:bCs/>
        </w:rPr>
        <w:t xml:space="preserve">VOTREX RAPID</w:t>
      </w:r>
      <w:r>
        <w:t xml:space="preserve"> </w:t>
      </w:r>
      <w:r>
        <w:t xml:space="preserve">(Hikma) — Comprimé enrobé 50 mg, B/20 (Liste II) — ACTIF</w:t>
      </w:r>
      <w:r>
        <w:t xml:space="preserve"> </w:t>
      </w:r>
      <w:r>
        <w:t xml:space="preserve">-</w:t>
      </w:r>
      <w:r>
        <w:t xml:space="preserve"> </w:t>
      </w:r>
      <w:r>
        <w:rPr>
          <w:b/>
          <w:bCs/>
        </w:rPr>
        <w:t xml:space="preserve">VOTREX RAPID</w:t>
      </w:r>
      <w:r>
        <w:t xml:space="preserve"> </w:t>
      </w:r>
      <w:r>
        <w:t xml:space="preserve">(Hikma) — Granulés pour solution buvable en sachet adulte 50 mg/sachet, B/10 (Liste II) — ACTIF</w:t>
      </w:r>
      <w:r>
        <w:t xml:space="preserve"> </w:t>
      </w:r>
      <w:r>
        <w:t xml:space="preserve">-</w:t>
      </w:r>
      <w:r>
        <w:t xml:space="preserve"> </w:t>
      </w:r>
      <w:r>
        <w:rPr>
          <w:b/>
          <w:bCs/>
        </w:rPr>
        <w:t xml:space="preserve">WERAFENAC 50</w:t>
      </w:r>
      <w:r>
        <w:t xml:space="preserve"> </w:t>
      </w:r>
      <w:r>
        <w:t xml:space="preserve">(Weimer Pharma) (R) — 50 mg, B/30</w:t>
      </w:r>
      <w:r>
        <w:t xml:space="preserve"> </w:t>
      </w:r>
      <w:r>
        <w:t xml:space="preserve">-</w:t>
      </w:r>
      <w:r>
        <w:t xml:space="preserve"> </w:t>
      </w:r>
      <w:r>
        <w:rPr>
          <w:b/>
          <w:bCs/>
        </w:rPr>
        <w:t xml:space="preserve">XENID</w:t>
      </w:r>
      <w:r>
        <w:t xml:space="preserve"> </w:t>
      </w:r>
      <w:r>
        <w:t xml:space="preserve">(Biogalenique) (R) — 50 mg, B/30</w:t>
      </w:r>
    </w:p>
    <w:p>
      <w:pPr>
        <w:pStyle w:val="BodyText"/>
      </w:pPr>
      <w:r>
        <w:rPr>
          <w:b/>
          <w:bCs/>
        </w:rPr>
        <w:t xml:space="preserve">Comprimés à libération prolongée (LP) 75 mg :</w:t>
      </w:r>
      <w:r>
        <w:t xml:space="preserve"> </w:t>
      </w:r>
      <w:r>
        <w:t xml:space="preserve">-</w:t>
      </w:r>
      <w:r>
        <w:t xml:space="preserve"> </w:t>
      </w:r>
      <w:r>
        <w:rPr>
          <w:b/>
          <w:bCs/>
        </w:rPr>
        <w:t xml:space="preserve">BIOFENAC LP</w:t>
      </w:r>
      <w:r>
        <w:t xml:space="preserve"> </w:t>
      </w:r>
      <w:r>
        <w:t xml:space="preserve">(Biopharm) — Comprimé pelliculé LP 75 mg, B/30 (Liste II) — ACTIF</w:t>
      </w:r>
      <w:r>
        <w:t xml:space="preserve"> </w:t>
      </w:r>
      <w:r>
        <w:t xml:space="preserve">-</w:t>
      </w:r>
      <w:r>
        <w:t xml:space="preserve"> </w:t>
      </w:r>
      <w:r>
        <w:rPr>
          <w:b/>
          <w:bCs/>
        </w:rPr>
        <w:t xml:space="preserve">CLOFENAL LP</w:t>
      </w:r>
      <w:r>
        <w:t xml:space="preserve"> </w:t>
      </w:r>
      <w:r>
        <w:t xml:space="preserve">(Saidal) — Gélule LP 75 mg, B/30 (Liste II) — ACTIF</w:t>
      </w:r>
      <w:r>
        <w:t xml:space="preserve"> </w:t>
      </w:r>
      <w:r>
        <w:t xml:space="preserve">-</w:t>
      </w:r>
      <w:r>
        <w:t xml:space="preserve"> </w:t>
      </w:r>
      <w:r>
        <w:rPr>
          <w:b/>
          <w:bCs/>
        </w:rPr>
        <w:t xml:space="preserve">DICLOFAL LP</w:t>
      </w:r>
      <w:r>
        <w:t xml:space="preserve"> </w:t>
      </w:r>
      <w:r>
        <w:t xml:space="preserve">(Sophal) — Comprimé pelliculé LP 75 mg, B/20 (Liste II) — ACTIF</w:t>
      </w:r>
      <w:r>
        <w:t xml:space="preserve"> </w:t>
      </w:r>
      <w:r>
        <w:t xml:space="preserve">-</w:t>
      </w:r>
      <w:r>
        <w:t xml:space="preserve"> </w:t>
      </w:r>
      <w:r>
        <w:rPr>
          <w:b/>
          <w:bCs/>
        </w:rPr>
        <w:t xml:space="preserve">DICLOFLEX LP 75</w:t>
      </w:r>
      <w:r>
        <w:t xml:space="preserve"> </w:t>
      </w:r>
      <w:r>
        <w:t xml:space="preserve">(Biogalenic) — Comprimé pelliculé LP 75 mg, B/30 (Liste II) — ACTIF</w:t>
      </w:r>
      <w:r>
        <w:t xml:space="preserve"> </w:t>
      </w:r>
      <w:r>
        <w:t xml:space="preserve">-</w:t>
      </w:r>
      <w:r>
        <w:t xml:space="preserve"> </w:t>
      </w:r>
      <w:r>
        <w:rPr>
          <w:b/>
          <w:bCs/>
        </w:rPr>
        <w:t xml:space="preserve">DICLORENE LP 75</w:t>
      </w:r>
      <w:r>
        <w:t xml:space="preserve"> </w:t>
      </w:r>
      <w:r>
        <w:t xml:space="preserve">(Merinal) — Comprimé pelliculé LP 75 mg, B/30 (Liste II) — ACTIF</w:t>
      </w:r>
      <w:r>
        <w:t xml:space="preserve"> </w:t>
      </w:r>
      <w:r>
        <w:t xml:space="preserve">-</w:t>
      </w:r>
      <w:r>
        <w:t xml:space="preserve"> </w:t>
      </w:r>
      <w:r>
        <w:rPr>
          <w:b/>
          <w:bCs/>
        </w:rPr>
        <w:t xml:space="preserve">DOLAN LP 75</w:t>
      </w:r>
      <w:r>
        <w:t xml:space="preserve"> </w:t>
      </w:r>
      <w:r>
        <w:t xml:space="preserve">(Tassili Arab Pharmaceutical) — Gélule LP 75 mg, B/30 (Liste II) — ACTIF</w:t>
      </w:r>
      <w:r>
        <w:t xml:space="preserve"> </w:t>
      </w:r>
      <w:r>
        <w:t xml:space="preserve">-</w:t>
      </w:r>
      <w:r>
        <w:t xml:space="preserve"> </w:t>
      </w:r>
      <w:r>
        <w:rPr>
          <w:b/>
          <w:bCs/>
        </w:rPr>
        <w:t xml:space="preserve">BIDICLO LP</w:t>
      </w:r>
      <w:r>
        <w:t xml:space="preserve"> </w:t>
      </w:r>
      <w:r>
        <w:t xml:space="preserve">(Novapharm) (R) — Gélule LP 75 mg, B/30</w:t>
      </w:r>
      <w:r>
        <w:t xml:space="preserve"> </w:t>
      </w:r>
      <w:r>
        <w:t xml:space="preserve">-</w:t>
      </w:r>
      <w:r>
        <w:t xml:space="preserve"> </w:t>
      </w:r>
      <w:r>
        <w:rPr>
          <w:b/>
          <w:bCs/>
        </w:rPr>
        <w:t xml:space="preserve">OLFEN-75 RETARD</w:t>
      </w:r>
      <w:r>
        <w:t xml:space="preserve"> </w:t>
      </w:r>
      <w:r>
        <w:t xml:space="preserve">(Mepha) (R) — Comprimé enrobé LP 75 mg, B/30</w:t>
      </w:r>
      <w:r>
        <w:t xml:space="preserve"> </w:t>
      </w:r>
      <w:r>
        <w:t xml:space="preserve">-</w:t>
      </w:r>
      <w:r>
        <w:t xml:space="preserve"> </w:t>
      </w:r>
      <w:r>
        <w:rPr>
          <w:b/>
          <w:bCs/>
        </w:rPr>
        <w:t xml:space="preserve">VOLTARENE LP</w:t>
      </w:r>
      <w:r>
        <w:t xml:space="preserve"> </w:t>
      </w:r>
      <w:r>
        <w:t xml:space="preserve">(Novartis) (R) — Comprimé enrobé LP 75 mg, B/30</w:t>
      </w:r>
    </w:p>
    <w:p>
      <w:pPr>
        <w:pStyle w:val="BodyText"/>
      </w:pPr>
      <w:r>
        <w:rPr>
          <w:b/>
          <w:bCs/>
        </w:rPr>
        <w:t xml:space="preserve">Comprimés / Gélules à libération prolongée 100 mg :</w:t>
      </w:r>
      <w:r>
        <w:t xml:space="preserve"> </w:t>
      </w:r>
      <w:r>
        <w:t xml:space="preserve">-</w:t>
      </w:r>
      <w:r>
        <w:t xml:space="preserve"> </w:t>
      </w:r>
      <w:r>
        <w:rPr>
          <w:b/>
          <w:bCs/>
        </w:rPr>
        <w:t xml:space="preserve">CLOFENAL LP</w:t>
      </w:r>
      <w:r>
        <w:t xml:space="preserve"> </w:t>
      </w:r>
      <w:r>
        <w:t xml:space="preserve">(Saidal) — Gélule gastro-résistante LP 100 mg, B/20 (Liste II) — ACTIF</w:t>
      </w:r>
      <w:r>
        <w:t xml:space="preserve"> </w:t>
      </w:r>
      <w:r>
        <w:t xml:space="preserve">-</w:t>
      </w:r>
      <w:r>
        <w:t xml:space="preserve"> </w:t>
      </w:r>
      <w:r>
        <w:rPr>
          <w:b/>
          <w:bCs/>
        </w:rPr>
        <w:t xml:space="preserve">ROFENAC LP</w:t>
      </w:r>
      <w:r>
        <w:t xml:space="preserve"> </w:t>
      </w:r>
      <w:r>
        <w:t xml:space="preserve">(Spimaco) — Comprimé pelliculé LP 100 mg, B/10 (Liste II) — ACTIF</w:t>
      </w:r>
      <w:r>
        <w:t xml:space="preserve"> </w:t>
      </w:r>
      <w:r>
        <w:t xml:space="preserve">-</w:t>
      </w:r>
      <w:r>
        <w:t xml:space="preserve"> </w:t>
      </w:r>
      <w:r>
        <w:rPr>
          <w:b/>
          <w:bCs/>
        </w:rPr>
        <w:t xml:space="preserve">DICLOGESIC RETARD</w:t>
      </w:r>
      <w:r>
        <w:t xml:space="preserve"> </w:t>
      </w:r>
      <w:r>
        <w:t xml:space="preserve">(Dar Al Dawa) — Comprimé pelliculé LP 100 mg, B/10 (Liste II) — ACTIF</w:t>
      </w:r>
      <w:r>
        <w:t xml:space="preserve"> </w:t>
      </w:r>
      <w:r>
        <w:t xml:space="preserve">-</w:t>
      </w:r>
      <w:r>
        <w:t xml:space="preserve"> </w:t>
      </w:r>
      <w:r>
        <w:rPr>
          <w:b/>
          <w:bCs/>
        </w:rPr>
        <w:t xml:space="preserve">FLOVENAC LP</w:t>
      </w:r>
      <w:r>
        <w:t xml:space="preserve"> </w:t>
      </w:r>
      <w:r>
        <w:t xml:space="preserve">(Biocare) — Microgranules en gélule LP 100 mg, B/10 (Liste II) — ACTIF</w:t>
      </w:r>
      <w:r>
        <w:t xml:space="preserve"> </w:t>
      </w:r>
      <w:r>
        <w:t xml:space="preserve">-</w:t>
      </w:r>
      <w:r>
        <w:t xml:space="preserve"> </w:t>
      </w:r>
      <w:r>
        <w:rPr>
          <w:b/>
          <w:bCs/>
        </w:rPr>
        <w:t xml:space="preserve">BIOFENAC</w:t>
      </w:r>
      <w:r>
        <w:t xml:space="preserve"> </w:t>
      </w:r>
      <w:r>
        <w:t xml:space="preserve">(Unique Pharm) (R) — Comprimé LP 100 mg, B/20</w:t>
      </w:r>
      <w:r>
        <w:t xml:space="preserve"> </w:t>
      </w:r>
      <w:r>
        <w:t xml:space="preserve">-</w:t>
      </w:r>
      <w:r>
        <w:t xml:space="preserve"> </w:t>
      </w:r>
      <w:r>
        <w:rPr>
          <w:b/>
          <w:bCs/>
        </w:rPr>
        <w:t xml:space="preserve">DEDOLOR</w:t>
      </w:r>
      <w:r>
        <w:t xml:space="preserve"> </w:t>
      </w:r>
      <w:r>
        <w:t xml:space="preserve">(Eli Lilly) (R) — Gélule LP 100 mg, B/10</w:t>
      </w:r>
      <w:r>
        <w:t xml:space="preserve"> </w:t>
      </w:r>
      <w:r>
        <w:t xml:space="preserve">-</w:t>
      </w:r>
      <w:r>
        <w:t xml:space="preserve"> </w:t>
      </w:r>
      <w:r>
        <w:rPr>
          <w:b/>
          <w:bCs/>
        </w:rPr>
        <w:t xml:space="preserve">DICLOFENAC 100 STADA RETARD</w:t>
      </w:r>
      <w:r>
        <w:t xml:space="preserve"> </w:t>
      </w:r>
      <w:r>
        <w:t xml:space="preserve">(Stada) (R) — Comprimé LP 100 mg, B/20</w:t>
      </w:r>
      <w:r>
        <w:t xml:space="preserve"> </w:t>
      </w:r>
      <w:r>
        <w:t xml:space="preserve">-</w:t>
      </w:r>
      <w:r>
        <w:t xml:space="preserve"> </w:t>
      </w:r>
      <w:r>
        <w:rPr>
          <w:b/>
          <w:bCs/>
        </w:rPr>
        <w:t xml:space="preserve">DICLOFENAC NOVAGENERICS LP</w:t>
      </w:r>
      <w:r>
        <w:t xml:space="preserve"> </w:t>
      </w:r>
      <w:r>
        <w:t xml:space="preserve">(Novapharm) (R) — Gélule LP 100 mg, B/20</w:t>
      </w:r>
      <w:r>
        <w:t xml:space="preserve"> </w:t>
      </w:r>
      <w:r>
        <w:t xml:space="preserve">-</w:t>
      </w:r>
      <w:r>
        <w:t xml:space="preserve"> </w:t>
      </w:r>
      <w:r>
        <w:rPr>
          <w:b/>
          <w:bCs/>
        </w:rPr>
        <w:t xml:space="preserve">DICLOREUM</w:t>
      </w:r>
      <w:r>
        <w:t xml:space="preserve"> </w:t>
      </w:r>
      <w:r>
        <w:t xml:space="preserve">(Alfa Wassermann) (R) — Comprimé LP 100 mg, B/10</w:t>
      </w:r>
      <w:r>
        <w:t xml:space="preserve"> </w:t>
      </w:r>
      <w:r>
        <w:t xml:space="preserve">-</w:t>
      </w:r>
      <w:r>
        <w:t xml:space="preserve"> </w:t>
      </w:r>
      <w:r>
        <w:rPr>
          <w:b/>
          <w:bCs/>
        </w:rPr>
        <w:t xml:space="preserve">DYCLOMAX</w:t>
      </w:r>
      <w:r>
        <w:t xml:space="preserve"> </w:t>
      </w:r>
      <w:r>
        <w:t xml:space="preserve">(SmithKline Beecham) (R) — Comprimé LP 100 mg, B/15</w:t>
      </w:r>
      <w:r>
        <w:t xml:space="preserve"> </w:t>
      </w:r>
      <w:r>
        <w:t xml:space="preserve">-</w:t>
      </w:r>
      <w:r>
        <w:t xml:space="preserve"> </w:t>
      </w:r>
      <w:r>
        <w:rPr>
          <w:b/>
          <w:bCs/>
        </w:rPr>
        <w:t xml:space="preserve">DQA DICLO LP 100</w:t>
      </w:r>
      <w:r>
        <w:t xml:space="preserve"> </w:t>
      </w:r>
      <w:r>
        <w:t xml:space="preserve">(DQA Pharma) (R) — Comprimé LP 100 mg, B/30</w:t>
      </w:r>
      <w:r>
        <w:t xml:space="preserve"> </w:t>
      </w:r>
      <w:r>
        <w:t xml:space="preserve">-</w:t>
      </w:r>
      <w:r>
        <w:t xml:space="preserve"> </w:t>
      </w:r>
      <w:r>
        <w:rPr>
          <w:b/>
          <w:bCs/>
        </w:rPr>
        <w:t xml:space="preserve">FLOGOFENAC</w:t>
      </w:r>
      <w:r>
        <w:t xml:space="preserve"> </w:t>
      </w:r>
      <w:r>
        <w:t xml:space="preserve">(Ecobi) (R) — Capsule LP 100 mg, B/14</w:t>
      </w:r>
      <w:r>
        <w:t xml:space="preserve"> </w:t>
      </w:r>
      <w:r>
        <w:t xml:space="preserve">-</w:t>
      </w:r>
      <w:r>
        <w:t xml:space="preserve"> </w:t>
      </w:r>
      <w:r>
        <w:rPr>
          <w:b/>
          <w:bCs/>
        </w:rPr>
        <w:t xml:space="preserve">GEOFENAC</w:t>
      </w:r>
      <w:r>
        <w:t xml:space="preserve"> </w:t>
      </w:r>
      <w:r>
        <w:t xml:space="preserve">(Geopharm) (R) — Comprimé enrobé LP 100 mg, B/10</w:t>
      </w:r>
      <w:r>
        <w:t xml:space="preserve"> </w:t>
      </w:r>
      <w:r>
        <w:t xml:space="preserve">-</w:t>
      </w:r>
      <w:r>
        <w:t xml:space="preserve"> </w:t>
      </w:r>
      <w:r>
        <w:rPr>
          <w:b/>
          <w:bCs/>
        </w:rPr>
        <w:t xml:space="preserve">GROFENAC</w:t>
      </w:r>
      <w:r>
        <w:t xml:space="preserve"> </w:t>
      </w:r>
      <w:r>
        <w:t xml:space="preserve">(Grosmann) (R) — Comprimé LP 100 mg, B/10</w:t>
      </w:r>
      <w:r>
        <w:t xml:space="preserve"> </w:t>
      </w:r>
      <w:r>
        <w:t xml:space="preserve">-</w:t>
      </w:r>
      <w:r>
        <w:t xml:space="preserve"> </w:t>
      </w:r>
      <w:r>
        <w:rPr>
          <w:b/>
          <w:bCs/>
        </w:rPr>
        <w:t xml:space="preserve">INFLA-BAN</w:t>
      </w:r>
      <w:r>
        <w:t xml:space="preserve"> </w:t>
      </w:r>
      <w:r>
        <w:t xml:space="preserve">(Arab Pharm) (R) — Comprimé LP 100 mg, B/10</w:t>
      </w:r>
      <w:r>
        <w:t xml:space="preserve"> </w:t>
      </w:r>
      <w:r>
        <w:t xml:space="preserve">-</w:t>
      </w:r>
      <w:r>
        <w:t xml:space="preserve"> </w:t>
      </w:r>
      <w:r>
        <w:rPr>
          <w:b/>
          <w:bCs/>
        </w:rPr>
        <w:t xml:space="preserve">LADOFENAC</w:t>
      </w:r>
      <w:r>
        <w:t xml:space="preserve"> </w:t>
      </w:r>
      <w:r>
        <w:t xml:space="preserve">(LAD) (R) — Comprimé LP 100 mg, B/20</w:t>
      </w:r>
      <w:r>
        <w:t xml:space="preserve"> </w:t>
      </w:r>
      <w:r>
        <w:t xml:space="preserve">-</w:t>
      </w:r>
      <w:r>
        <w:t xml:space="preserve"> </w:t>
      </w:r>
      <w:r>
        <w:rPr>
          <w:b/>
          <w:bCs/>
        </w:rPr>
        <w:t xml:space="preserve">OLFEN-100 SR</w:t>
      </w:r>
      <w:r>
        <w:t xml:space="preserve"> </w:t>
      </w:r>
      <w:r>
        <w:t xml:space="preserve">(Mepha) (R) — Gélule LP 100 mg, B/10</w:t>
      </w:r>
      <w:r>
        <w:t xml:space="preserve"> </w:t>
      </w:r>
      <w:r>
        <w:t xml:space="preserve">-</w:t>
      </w:r>
      <w:r>
        <w:t xml:space="preserve"> </w:t>
      </w:r>
      <w:r>
        <w:rPr>
          <w:b/>
          <w:bCs/>
        </w:rPr>
        <w:t xml:space="preserve">OPTIFEN</w:t>
      </w:r>
      <w:r>
        <w:t xml:space="preserve"> </w:t>
      </w:r>
      <w:r>
        <w:t xml:space="preserve">(Hayat) (R) — Comprimé LP 100 mg, B/10</w:t>
      </w:r>
      <w:r>
        <w:t xml:space="preserve"> </w:t>
      </w:r>
      <w:r>
        <w:t xml:space="preserve">-</w:t>
      </w:r>
      <w:r>
        <w:t xml:space="preserve"> </w:t>
      </w:r>
      <w:r>
        <w:rPr>
          <w:b/>
          <w:bCs/>
        </w:rPr>
        <w:t xml:space="preserve">VOLDAC LP</w:t>
      </w:r>
      <w:r>
        <w:t xml:space="preserve"> </w:t>
      </w:r>
      <w:r>
        <w:t xml:space="preserve">(Medifer) (R) — Comprimé pelliculé LP 100 mg, B/10</w:t>
      </w:r>
      <w:r>
        <w:t xml:space="preserve"> </w:t>
      </w:r>
      <w:r>
        <w:t xml:space="preserve">-</w:t>
      </w:r>
      <w:r>
        <w:t xml:space="preserve"> </w:t>
      </w:r>
      <w:r>
        <w:rPr>
          <w:b/>
          <w:bCs/>
        </w:rPr>
        <w:t xml:space="preserve">VOLTARENE LP</w:t>
      </w:r>
      <w:r>
        <w:t xml:space="preserve"> </w:t>
      </w:r>
      <w:r>
        <w:t xml:space="preserve">(Novartis) (R) — Comprimé enrobé LP 100 mg, B/15</w:t>
      </w:r>
      <w:r>
        <w:t xml:space="preserve"> </w:t>
      </w:r>
      <w:r>
        <w:t xml:space="preserve">-</w:t>
      </w:r>
      <w:r>
        <w:t xml:space="preserve"> </w:t>
      </w:r>
      <w:r>
        <w:rPr>
          <w:b/>
          <w:bCs/>
        </w:rPr>
        <w:t xml:space="preserve">VOLTARILE LP 100</w:t>
      </w:r>
      <w:r>
        <w:t xml:space="preserve"> </w:t>
      </w:r>
      <w:r>
        <w:t xml:space="preserve">(Asia Pharma) (R) — Comprimé enrobé LP 100 mg, B/20</w:t>
      </w:r>
    </w:p>
    <w:p>
      <w:pPr>
        <w:pStyle w:val="BodyText"/>
      </w:pPr>
      <w:r>
        <w:rPr>
          <w:b/>
          <w:bCs/>
        </w:rPr>
        <w:t xml:space="preserve">Gélule à double libération 75 mg :</w:t>
      </w:r>
      <w:r>
        <w:t xml:space="preserve"> </w:t>
      </w:r>
      <w:r>
        <w:t xml:space="preserve">-</w:t>
      </w:r>
      <w:r>
        <w:t xml:space="preserve"> </w:t>
      </w:r>
      <w:r>
        <w:rPr>
          <w:b/>
          <w:bCs/>
        </w:rPr>
        <w:t xml:space="preserve">DIVIDO</w:t>
      </w:r>
      <w:r>
        <w:t xml:space="preserve"> </w:t>
      </w:r>
      <w:r>
        <w:t xml:space="preserve">(Tabuk Algérie) — Gélule à double libération 75 mg, B/20 (Liste II) — ACTIF</w:t>
      </w:r>
    </w:p>
    <w:p>
      <w:pPr>
        <w:pStyle w:val="BodyText"/>
      </w:pPr>
      <w:r>
        <w:rPr>
          <w:b/>
          <w:bCs/>
        </w:rPr>
        <w:t xml:space="preserve">Suppositoires :</w:t>
      </w:r>
      <w:r>
        <w:t xml:space="preserve"> </w:t>
      </w:r>
      <w:r>
        <w:t xml:space="preserve">-</w:t>
      </w:r>
      <w:r>
        <w:t xml:space="preserve"> </w:t>
      </w:r>
      <w:r>
        <w:rPr>
          <w:b/>
          <w:bCs/>
        </w:rPr>
        <w:t xml:space="preserve">12,5 mg</w:t>
      </w:r>
      <w:r>
        <w:t xml:space="preserve"> </w:t>
      </w:r>
      <w:r>
        <w:t xml:space="preserve">: DICLOGESIC (Dar Al Dawa) (R) — B/10</w:t>
      </w:r>
      <w:r>
        <w:t xml:space="preserve"> </w:t>
      </w:r>
      <w:r>
        <w:t xml:space="preserve">-</w:t>
      </w:r>
      <w:r>
        <w:t xml:space="preserve"> </w:t>
      </w:r>
      <w:r>
        <w:rPr>
          <w:b/>
          <w:bCs/>
        </w:rPr>
        <w:t xml:space="preserve">25 mg</w:t>
      </w:r>
      <w:r>
        <w:t xml:space="preserve"> </w:t>
      </w:r>
      <w:r>
        <w:t xml:space="preserve">: CLOFENAL ENFANT (Saidal) — B/10 (Liste II) — ACTIF ; DICLOFAR (4A Santé) — B/10 (Liste II) — ACTIF ; DICLOFENAC TEDEC (R) ; DICLOGESIC (R) ; DIFAL (Galenica) (R) ; DICLOREUM (R) ; DICLOFENACO RATIOPHARM (R) ; DICLO 25 (GPA) (R) ; DICLOREUM (R) ; DYCLOMAX (R) ; PANAMOR (R) ; XENID (R)</w:t>
      </w:r>
      <w:r>
        <w:t xml:space="preserve"> </w:t>
      </w:r>
      <w:r>
        <w:t xml:space="preserve">-</w:t>
      </w:r>
      <w:r>
        <w:t xml:space="preserve"> </w:t>
      </w:r>
      <w:r>
        <w:rPr>
          <w:b/>
          <w:bCs/>
        </w:rPr>
        <w:t xml:space="preserve">50 mg</w:t>
      </w:r>
      <w:r>
        <w:t xml:space="preserve"> </w:t>
      </w:r>
      <w:r>
        <w:t xml:space="preserve">: DICLOFAR (4A Santé) — B/10 (Liste II) — ACTIF</w:t>
      </w:r>
      <w:r>
        <w:t xml:space="preserve"> </w:t>
      </w:r>
      <w:r>
        <w:t xml:space="preserve">-</w:t>
      </w:r>
      <w:r>
        <w:t xml:space="preserve"> </w:t>
      </w:r>
      <w:r>
        <w:rPr>
          <w:b/>
          <w:bCs/>
        </w:rPr>
        <w:t xml:space="preserve">100 mg</w:t>
      </w:r>
      <w:r>
        <w:t xml:space="preserve"> </w:t>
      </w:r>
      <w:r>
        <w:t xml:space="preserve">: CLOFENAL (Saidal) — B/10 (Liste II) — ACTIF ; BIOFENAC (Unique) (R) — B/10 ; DICLOFENAC DBF (D-B-F) — B/10 (Liste II) — ACTIF ; DICLOFENIL (LPA) — Gel, T/30 g (NR) ; DICLOREUM (R) ; DICLOGESIC (R) ; DIFAL (R) ; FLOGOFENAC (R) ; INFLA-BAN (R) ; OPTIFEN (R) ; PANAMOR (R) ; VOLTAMEX (KPMA Biotic) — B/10 (Liste II) — ACTIF ; VOLTARENE (R) ; VOTREX (R) ; WERAFENAC 100 (Weimer) (R) ; XENID (R) ; DICLOFENIL (NR) — VOLTAMED (Medi Pharma) (R)</w:t>
      </w:r>
    </w:p>
    <w:p>
      <w:pPr>
        <w:pStyle w:val="BodyText"/>
      </w:pPr>
      <w:r>
        <w:rPr>
          <w:b/>
          <w:bCs/>
        </w:rPr>
        <w:t xml:space="preserve">Gels dermiques 1 % (0,01) :</w:t>
      </w:r>
      <w:r>
        <w:t xml:space="preserve"> </w:t>
      </w:r>
      <w:r>
        <w:t xml:space="preserve">-</w:t>
      </w:r>
      <w:r>
        <w:t xml:space="preserve"> </w:t>
      </w:r>
      <w:r>
        <w:rPr>
          <w:b/>
          <w:bCs/>
        </w:rPr>
        <w:t xml:space="preserve">CLOGEL</w:t>
      </w:r>
      <w:r>
        <w:t xml:space="preserve"> </w:t>
      </w:r>
      <w:r>
        <w:t xml:space="preserve">(Saidal) — Tube 30 g (Liste II) — ACTIF</w:t>
      </w:r>
      <w:r>
        <w:t xml:space="preserve"> </w:t>
      </w:r>
      <w:r>
        <w:t xml:space="preserve">-</w:t>
      </w:r>
      <w:r>
        <w:t xml:space="preserve"> </w:t>
      </w:r>
      <w:r>
        <w:rPr>
          <w:b/>
          <w:bCs/>
        </w:rPr>
        <w:t xml:space="preserve">DEFLAMAC</w:t>
      </w:r>
      <w:r>
        <w:t xml:space="preserve"> </w:t>
      </w:r>
      <w:r>
        <w:t xml:space="preserve">(Neomedic) — Tube 50 g (Liste II) — ACTIF</w:t>
      </w:r>
      <w:r>
        <w:t xml:space="preserve"> </w:t>
      </w:r>
      <w:r>
        <w:t xml:space="preserve">-</w:t>
      </w:r>
      <w:r>
        <w:t xml:space="preserve"> </w:t>
      </w:r>
      <w:r>
        <w:rPr>
          <w:b/>
          <w:bCs/>
        </w:rPr>
        <w:t xml:space="preserve">BIOFENAC</w:t>
      </w:r>
      <w:r>
        <w:t xml:space="preserve"> </w:t>
      </w:r>
      <w:r>
        <w:t xml:space="preserve">(Unique) (R) — Tube 50 g</w:t>
      </w:r>
      <w:r>
        <w:t xml:space="preserve"> </w:t>
      </w:r>
      <w:r>
        <w:t xml:space="preserve">-</w:t>
      </w:r>
      <w:r>
        <w:t xml:space="preserve"> </w:t>
      </w:r>
      <w:r>
        <w:rPr>
          <w:b/>
          <w:bCs/>
        </w:rPr>
        <w:t xml:space="preserve">DICLOFEN CREMOGEL</w:t>
      </w:r>
      <w:r>
        <w:t xml:space="preserve"> </w:t>
      </w:r>
      <w:r>
        <w:t xml:space="preserve">(UPM) (R) — Tube 50 g</w:t>
      </w:r>
      <w:r>
        <w:t xml:space="preserve"> </w:t>
      </w:r>
      <w:r>
        <w:t xml:space="preserve">-</w:t>
      </w:r>
      <w:r>
        <w:t xml:space="preserve"> </w:t>
      </w:r>
      <w:r>
        <w:rPr>
          <w:b/>
          <w:bCs/>
        </w:rPr>
        <w:t xml:space="preserve">DICLOFENAC NOVA GENERICS</w:t>
      </w:r>
      <w:r>
        <w:t xml:space="preserve"> </w:t>
      </w:r>
      <w:r>
        <w:t xml:space="preserve">(Novapharm) (R) — Tube 50 g</w:t>
      </w:r>
      <w:r>
        <w:t xml:space="preserve"> </w:t>
      </w:r>
      <w:r>
        <w:t xml:space="preserve">-</w:t>
      </w:r>
      <w:r>
        <w:t xml:space="preserve"> </w:t>
      </w:r>
      <w:r>
        <w:rPr>
          <w:b/>
          <w:bCs/>
        </w:rPr>
        <w:t xml:space="preserve">DICLOFENIL</w:t>
      </w:r>
      <w:r>
        <w:t xml:space="preserve"> </w:t>
      </w:r>
      <w:r>
        <w:t xml:space="preserve">(LPA) (NR) — Tube 30 g</w:t>
      </w:r>
      <w:r>
        <w:t xml:space="preserve"> </w:t>
      </w:r>
      <w:r>
        <w:t xml:space="preserve">-</w:t>
      </w:r>
      <w:r>
        <w:t xml:space="preserve"> </w:t>
      </w:r>
      <w:r>
        <w:rPr>
          <w:b/>
          <w:bCs/>
        </w:rPr>
        <w:t xml:space="preserve">DICLOGESIC</w:t>
      </w:r>
      <w:r>
        <w:t xml:space="preserve"> </w:t>
      </w:r>
      <w:r>
        <w:t xml:space="preserve">(Dar Al Dawa) (R) — Tube 30 g</w:t>
      </w:r>
      <w:r>
        <w:t xml:space="preserve"> </w:t>
      </w:r>
      <w:r>
        <w:t xml:space="preserve">-</w:t>
      </w:r>
      <w:r>
        <w:t xml:space="preserve"> </w:t>
      </w:r>
      <w:r>
        <w:rPr>
          <w:b/>
          <w:bCs/>
        </w:rPr>
        <w:t xml:space="preserve">DICLOMEC</w:t>
      </w:r>
      <w:r>
        <w:t xml:space="preserve"> </w:t>
      </w:r>
      <w:r>
        <w:t xml:space="preserve">(Abdi Ibrahim) (R) — Tube 50 g</w:t>
      </w:r>
      <w:r>
        <w:t xml:space="preserve"> </w:t>
      </w:r>
      <w:r>
        <w:t xml:space="preserve">-</w:t>
      </w:r>
      <w:r>
        <w:t xml:space="preserve"> </w:t>
      </w:r>
      <w:r>
        <w:rPr>
          <w:b/>
          <w:bCs/>
        </w:rPr>
        <w:t xml:space="preserve">DICLOREUM</w:t>
      </w:r>
      <w:r>
        <w:t xml:space="preserve"> </w:t>
      </w:r>
      <w:r>
        <w:t xml:space="preserve">(R) — Tube 50 g</w:t>
      </w:r>
      <w:r>
        <w:t xml:space="preserve"> </w:t>
      </w:r>
      <w:r>
        <w:t xml:space="preserve">-</w:t>
      </w:r>
      <w:r>
        <w:t xml:space="preserve"> </w:t>
      </w:r>
      <w:r>
        <w:rPr>
          <w:b/>
          <w:bCs/>
        </w:rPr>
        <w:t xml:space="preserve">FLOGOFENAC</w:t>
      </w:r>
      <w:r>
        <w:t xml:space="preserve"> </w:t>
      </w:r>
      <w:r>
        <w:t xml:space="preserve">(Ecobi) (R) — Tube 50 g</w:t>
      </w:r>
      <w:r>
        <w:t xml:space="preserve"> </w:t>
      </w:r>
      <w:r>
        <w:t xml:space="preserve">-</w:t>
      </w:r>
      <w:r>
        <w:t xml:space="preserve"> </w:t>
      </w:r>
      <w:r>
        <w:rPr>
          <w:b/>
          <w:bCs/>
        </w:rPr>
        <w:t xml:space="preserve">INFLA-BAN</w:t>
      </w:r>
      <w:r>
        <w:t xml:space="preserve"> </w:t>
      </w:r>
      <w:r>
        <w:t xml:space="preserve">(R) — Tube 30 g</w:t>
      </w:r>
      <w:r>
        <w:t xml:space="preserve"> </w:t>
      </w:r>
      <w:r>
        <w:t xml:space="preserve">-</w:t>
      </w:r>
      <w:r>
        <w:t xml:space="preserve"> </w:t>
      </w:r>
      <w:r>
        <w:rPr>
          <w:b/>
          <w:bCs/>
        </w:rPr>
        <w:t xml:space="preserve">LOCAGEL</w:t>
      </w:r>
      <w:r>
        <w:t xml:space="preserve"> </w:t>
      </w:r>
      <w:r>
        <w:t xml:space="preserve">(Hayat) (R) — Tube 50 g</w:t>
      </w:r>
      <w:r>
        <w:t xml:space="preserve"> </w:t>
      </w:r>
      <w:r>
        <w:t xml:space="preserve">-</w:t>
      </w:r>
      <w:r>
        <w:t xml:space="preserve"> </w:t>
      </w:r>
      <w:r>
        <w:rPr>
          <w:b/>
          <w:bCs/>
        </w:rPr>
        <w:t xml:space="preserve">OXYFENAC</w:t>
      </w:r>
      <w:r>
        <w:t xml:space="preserve"> </w:t>
      </w:r>
      <w:r>
        <w:t xml:space="preserve">(Onyx Industrie) — Tube 50 g (Liste II) — ACTIF</w:t>
      </w:r>
      <w:r>
        <w:t xml:space="preserve"> </w:t>
      </w:r>
      <w:r>
        <w:t xml:space="preserve">-</w:t>
      </w:r>
      <w:r>
        <w:t xml:space="preserve"> </w:t>
      </w:r>
      <w:r>
        <w:rPr>
          <w:b/>
          <w:bCs/>
        </w:rPr>
        <w:t xml:space="preserve">PHLOGOREN</w:t>
      </w:r>
      <w:r>
        <w:t xml:space="preserve"> </w:t>
      </w:r>
      <w:r>
        <w:t xml:space="preserve">(Arab Pharm) — Tube 50 g (Liste II) — ACTIF</w:t>
      </w:r>
      <w:r>
        <w:t xml:space="preserve"> </w:t>
      </w:r>
      <w:r>
        <w:t xml:space="preserve">-</w:t>
      </w:r>
      <w:r>
        <w:t xml:space="preserve"> </w:t>
      </w:r>
      <w:r>
        <w:rPr>
          <w:b/>
          <w:bCs/>
        </w:rPr>
        <w:t xml:space="preserve">REFEN</w:t>
      </w:r>
      <w:r>
        <w:t xml:space="preserve"> </w:t>
      </w:r>
      <w:r>
        <w:t xml:space="preserve">(Hemofarm) (R) — Tube 40 g</w:t>
      </w:r>
      <w:r>
        <w:t xml:space="preserve"> </w:t>
      </w:r>
      <w:r>
        <w:t xml:space="preserve">-</w:t>
      </w:r>
      <w:r>
        <w:t xml:space="preserve"> </w:t>
      </w:r>
      <w:r>
        <w:rPr>
          <w:b/>
          <w:bCs/>
        </w:rPr>
        <w:t xml:space="preserve">ROFENAC</w:t>
      </w:r>
      <w:r>
        <w:t xml:space="preserve"> </w:t>
      </w:r>
      <w:r>
        <w:t xml:space="preserve">(Spimaco) (R) — Tube 30 g et 50 g</w:t>
      </w:r>
      <w:r>
        <w:t xml:space="preserve"> </w:t>
      </w:r>
      <w:r>
        <w:t xml:space="preserve">-</w:t>
      </w:r>
      <w:r>
        <w:t xml:space="preserve"> </w:t>
      </w:r>
      <w:r>
        <w:rPr>
          <w:b/>
          <w:bCs/>
        </w:rPr>
        <w:t xml:space="preserve">TABIFLEX COOL</w:t>
      </w:r>
      <w:r>
        <w:t xml:space="preserve"> </w:t>
      </w:r>
      <w:r>
        <w:t xml:space="preserve">(El Kendi) — Emulsion gel 1 %, Tube 50 g (Liste II) — ACTIF</w:t>
      </w:r>
      <w:r>
        <w:t xml:space="preserve"> </w:t>
      </w:r>
      <w:r>
        <w:t xml:space="preserve">-</w:t>
      </w:r>
      <w:r>
        <w:t xml:space="preserve"> </w:t>
      </w:r>
      <w:r>
        <w:rPr>
          <w:b/>
          <w:bCs/>
        </w:rPr>
        <w:t xml:space="preserve">VOLTARENE EMULGEL</w:t>
      </w:r>
      <w:r>
        <w:t xml:space="preserve"> </w:t>
      </w:r>
      <w:r>
        <w:t xml:space="preserve">(GSK) — Tube 50 g (Liste II) — ACTIF</w:t>
      </w:r>
      <w:r>
        <w:t xml:space="preserve"> </w:t>
      </w:r>
      <w:r>
        <w:t xml:space="preserve">-</w:t>
      </w:r>
      <w:r>
        <w:t xml:space="preserve"> </w:t>
      </w:r>
      <w:r>
        <w:rPr>
          <w:b/>
          <w:bCs/>
        </w:rPr>
        <w:t xml:space="preserve">VOLTENAC</w:t>
      </w:r>
      <w:r>
        <w:t xml:space="preserve"> </w:t>
      </w:r>
      <w:r>
        <w:t xml:space="preserve">(Pharmaghreb) — Tube 50 g (Liste II) — ACTIF</w:t>
      </w:r>
      <w:r>
        <w:t xml:space="preserve"> </w:t>
      </w:r>
      <w:r>
        <w:t xml:space="preserve">-</w:t>
      </w:r>
      <w:r>
        <w:t xml:space="preserve"> </w:t>
      </w:r>
      <w:r>
        <w:rPr>
          <w:b/>
          <w:bCs/>
        </w:rPr>
        <w:t xml:space="preserve">VOLTUM</w:t>
      </w:r>
      <w:r>
        <w:t xml:space="preserve"> </w:t>
      </w:r>
      <w:r>
        <w:t xml:space="preserve">(Pharmalliance) (R) — Gel 2 %, Tube 50 g ; Emulsion gel 1 % Tube 50 g</w:t>
      </w:r>
    </w:p>
    <w:p>
      <w:pPr>
        <w:pStyle w:val="BodyText"/>
      </w:pPr>
      <w:r>
        <w:rPr>
          <w:b/>
          <w:bCs/>
        </w:rPr>
        <w:t xml:space="preserve">Gels dermiques 2 % :</w:t>
      </w:r>
      <w:r>
        <w:t xml:space="preserve"> </w:t>
      </w:r>
      <w:r>
        <w:t xml:space="preserve">-</w:t>
      </w:r>
      <w:r>
        <w:t xml:space="preserve"> </w:t>
      </w:r>
      <w:r>
        <w:rPr>
          <w:b/>
          <w:bCs/>
        </w:rPr>
        <w:t xml:space="preserve">VOLTUM</w:t>
      </w:r>
      <w:r>
        <w:t xml:space="preserve"> </w:t>
      </w:r>
      <w:r>
        <w:t xml:space="preserve">(Pharmalliance) — Gel 2 %, Tube 50 g (Liste II) — ACTIF</w:t>
      </w:r>
    </w:p>
    <w:p>
      <w:pPr>
        <w:pStyle w:val="BodyText"/>
      </w:pPr>
      <w:r>
        <w:rPr>
          <w:b/>
          <w:bCs/>
        </w:rPr>
        <w:t xml:space="preserve">Collyres 0,1 % (1 mg/mL) :</w:t>
      </w:r>
      <w:r>
        <w:t xml:space="preserve"> </w:t>
      </w:r>
      <w:r>
        <w:t xml:space="preserve">-</w:t>
      </w:r>
      <w:r>
        <w:t xml:space="preserve"> </w:t>
      </w:r>
      <w:r>
        <w:rPr>
          <w:b/>
          <w:bCs/>
        </w:rPr>
        <w:t xml:space="preserve">DICLOCED</w:t>
      </w:r>
      <w:r>
        <w:t xml:space="preserve"> </w:t>
      </w:r>
      <w:r>
        <w:t xml:space="preserve">(Thea) — FL/10 mL (Liste II) — ACTIF</w:t>
      </w:r>
      <w:r>
        <w:t xml:space="preserve"> </w:t>
      </w:r>
      <w:r>
        <w:t xml:space="preserve">-</w:t>
      </w:r>
      <w:r>
        <w:t xml:space="preserve"> </w:t>
      </w:r>
      <w:r>
        <w:rPr>
          <w:b/>
          <w:bCs/>
        </w:rPr>
        <w:t xml:space="preserve">DICLOGESIC</w:t>
      </w:r>
      <w:r>
        <w:t xml:space="preserve"> </w:t>
      </w:r>
      <w:r>
        <w:t xml:space="preserve">(Dar Al Dawa) — FL compte-goutte 5 mL, 0,1 % (Liste II) — ACTIF</w:t>
      </w:r>
      <w:r>
        <w:t xml:space="preserve"> </w:t>
      </w:r>
      <w:r>
        <w:t xml:space="preserve">-</w:t>
      </w:r>
      <w:r>
        <w:t xml:space="preserve"> </w:t>
      </w:r>
      <w:r>
        <w:rPr>
          <w:b/>
          <w:bCs/>
        </w:rPr>
        <w:t xml:space="preserve">VOLTARENE</w:t>
      </w:r>
      <w:r>
        <w:t xml:space="preserve"> </w:t>
      </w:r>
      <w:r>
        <w:t xml:space="preserve">(Novartis) (R) — FL/5 mL, 0,1 %</w:t>
      </w:r>
      <w:r>
        <w:t xml:space="preserve"> </w:t>
      </w:r>
      <w:r>
        <w:t xml:space="preserve">-</w:t>
      </w:r>
      <w:r>
        <w:t xml:space="preserve"> </w:t>
      </w:r>
      <w:r>
        <w:rPr>
          <w:b/>
          <w:bCs/>
        </w:rPr>
        <w:t xml:space="preserve">XINAC</w:t>
      </w:r>
      <w:r>
        <w:t xml:space="preserve"> </w:t>
      </w:r>
      <w:r>
        <w:t xml:space="preserve">(Generic Lab) — FL/5 mL, 0,1 % (Liste II) — ACTIF</w:t>
      </w:r>
    </w:p>
    <w:p>
      <w:pPr>
        <w:pStyle w:val="BodyText"/>
      </w:pPr>
      <w:r>
        <w:rPr>
          <w:b/>
          <w:bCs/>
        </w:rPr>
        <w:t xml:space="preserve">Comprimé pelliculé 12,5 mg (dose réduite) :</w:t>
      </w:r>
      <w:r>
        <w:t xml:space="preserve"> </w:t>
      </w:r>
      <w:r>
        <w:t xml:space="preserve">-</w:t>
      </w:r>
      <w:r>
        <w:t xml:space="preserve"> </w:t>
      </w:r>
      <w:r>
        <w:rPr>
          <w:b/>
          <w:bCs/>
        </w:rPr>
        <w:t xml:space="preserve">VOLTARENE DOLO</w:t>
      </w:r>
      <w:r>
        <w:t xml:space="preserve"> </w:t>
      </w:r>
      <w:r>
        <w:t xml:space="preserve">(Novartis Santé Familiale) — Comprimé pelliculé 12,5 mg, B/30 (Liste II) — ACTIF</w:t>
      </w:r>
    </w:p>
    <w:p>
      <w:pPr>
        <w:pStyle w:val="BodyText"/>
      </w:pPr>
      <w:r>
        <w:rPr>
          <w:b/>
          <w:bCs/>
        </w:rPr>
        <w:t xml:space="preserve">Emplâtre médicamenteux (146 mg diclofénac épolamine par emplâtre) :</w:t>
      </w:r>
      <w:r>
        <w:t xml:space="preserve"> </w:t>
      </w:r>
      <w:r>
        <w:t xml:space="preserve">-</w:t>
      </w:r>
      <w:r>
        <w:t xml:space="preserve"> </w:t>
      </w:r>
      <w:r>
        <w:rPr>
          <w:b/>
          <w:bCs/>
        </w:rPr>
        <w:t xml:space="preserve">VOTREX TISSUGE 1 %</w:t>
      </w:r>
      <w:r>
        <w:t xml:space="preserve"> </w:t>
      </w:r>
      <w:r>
        <w:t xml:space="preserve">(Hikma) — Emplâtre médicamenteux 146 mg/emplâtre (180 mg diclofénac épolamine), B/02 (R)</w:t>
      </w:r>
    </w:p>
    <w:p>
      <w:pPr>
        <w:pStyle w:val="BodyText"/>
      </w:pPr>
      <w:r>
        <w:rPr>
          <w:b/>
          <w:bCs/>
        </w:rPr>
        <w:t xml:space="preserve">Statut :</w:t>
      </w:r>
      <w:r>
        <w:t xml:space="preserve"> </w:t>
      </w:r>
      <w:r>
        <w:t xml:space="preserve">Le marché algérien du diclofénac est l’un des plus fournis au monde. La grande majorité des spécialités orales, topiques et injectables sont ACTIVES. De nombreuses spécialités importées sont retirées (R) ou non renouvelées (NR), tandis que les laboratoires algériens (Saidal, Sophal, Biopharm, Hupp Pharma, El Kendi, Merinal, Geopharm, LPA, Nadpharmadic, Inpha-Medis, etc.) dominent désormais largement le marché.</w:t>
      </w:r>
    </w:p>
    <w:p>
      <w:pPr>
        <w:pStyle w:val="BodyText"/>
      </w:pPr>
      <w:r>
        <w:rPr>
          <w:b/>
          <w:bCs/>
        </w:rPr>
        <w:t xml:space="preserve">Sous-classe et Mécanisme d’action :</w:t>
      </w:r>
      <w:r>
        <w:t xml:space="preserve"> </w:t>
      </w:r>
      <w:r>
        <w:t xml:space="preserve">- Sous-classe : Dérivé arylacétique (phénylacétique), AINS non sélectif COX-1/COX-2 (avec une légère prédominance COX-2 in vitro, mais non sélectif in vivo).</w:t>
      </w:r>
      <w:r>
        <w:t xml:space="preserve"> </w:t>
      </w:r>
      <w:r>
        <w:t xml:space="preserve">- Mécanisme d’action : Inhibition réversible des COX-1 et COX-2 → blocage de la synthèse des prostanoïdes (PGE2, PGI2, TXA2) à partir de l’acide arachidonique. Effet anti-inflammatoire, antalgique (périphérique et central), antipyrétique. Inhibition plaquettaire modérée et transitoire. Le diclofénac présente également une activité inhibitrice sur la 5-lipoxygénase (à haute dose) et sur l’acide arachidonique (transport transmembranaire), expliquant partiellement son efficacité supérieure dans certaines indications inflammatoires.</w:t>
      </w:r>
    </w:p>
    <w:p>
      <w:pPr>
        <w:pStyle w:val="BodyText"/>
      </w:pPr>
      <w:r>
        <w:rPr>
          <w:b/>
          <w:bCs/>
        </w:rPr>
        <w:t xml:space="preserve">Profil Pharmacologique :</w:t>
      </w:r>
      <w:r>
        <w:t xml:space="preserve"> </w:t>
      </w:r>
      <w:r>
        <w:t xml:space="preserve">- Indications :</w:t>
      </w:r>
      <w:r>
        <w:t xml:space="preserve"> </w:t>
      </w:r>
      <w:r>
        <w:t xml:space="preserve">- Voie orale 25/50 mg (gastro-résistant) : traitement symptomatique de courte durée des douleurs aiguës (céphalées, migraines, dysménorrhée, douleurs dentaires, post-opératoires, coliques néphrétiques en relais de la forme IM, douleurs musculo-squelettiques, arthrose, rhumatismes abarticulaires).</w:t>
      </w:r>
      <w:r>
        <w:t xml:space="preserve"> </w:t>
      </w:r>
      <w:r>
        <w:t xml:space="preserve">- Voie orale LP 75/100 mg : traitement de fond des rhumatismes inflammatoires chroniques (polyarthrite rhumatoïde, spondylarthrite ankylosante), arthrose symptomatique.</w:t>
      </w:r>
      <w:r>
        <w:t xml:space="preserve"> </w:t>
      </w:r>
      <w:r>
        <w:t xml:space="preserve">- Voie orale 12,5 mg (VOLTARENE DOLO) : antalgie courte, automédication.</w:t>
      </w:r>
      <w:r>
        <w:t xml:space="preserve"> </w:t>
      </w:r>
      <w:r>
        <w:t xml:space="preserve">- Voie IM : douleurs aiguës intenses (colique néphrétique, crise de sciatique, post-opératoire, crise de polyarthrite).</w:t>
      </w:r>
      <w:r>
        <w:t xml:space="preserve"> </w:t>
      </w:r>
      <w:r>
        <w:t xml:space="preserve">- Voie rectale : alternative à la voie orale, en cas de vomissements, dysphagie, ou pour le nourrisson/enfant (suppositoire 25 mg).</w:t>
      </w:r>
      <w:r>
        <w:t xml:space="preserve"> </w:t>
      </w:r>
      <w:r>
        <w:t xml:space="preserve">- Voie topique (gel) : douleurs musculo-tendineuses superficielles, tendinites, entorses, cervicalgies, lombalgies communes.</w:t>
      </w:r>
      <w:r>
        <w:t xml:space="preserve"> </w:t>
      </w:r>
      <w:r>
        <w:t xml:space="preserve">- Voie ophtalmique : inflammation post-chirurgicale (cataracte), inflammation oculaire non infectée, prévention de l’œdème maculaire cystoïde post-opératoire.</w:t>
      </w:r>
      <w:r>
        <w:t xml:space="preserve"> </w:t>
      </w:r>
      <w:r>
        <w:t xml:space="preserve">- Voie transdermique (emplâtre) : douleurs localisées (tendinites, entorses).</w:t>
      </w:r>
      <w:r>
        <w:t xml:space="preserve"> </w:t>
      </w:r>
      <w:r>
        <w:t xml:space="preserve">- Contre-indications :</w:t>
      </w:r>
      <w:r>
        <w:t xml:space="preserve"> </w:t>
      </w:r>
      <w:r>
        <w:t xml:space="preserve">- (1) Hypersensibilité au diclofénac ou à un autre AINS (cross-réactivité).</w:t>
      </w:r>
      <w:r>
        <w:t xml:space="preserve"> </w:t>
      </w:r>
      <w:r>
        <w:t xml:space="preserve">- (2) Asthme aspirine-sensible, polypose naso-sinusienne, angio-œdème.</w:t>
      </w:r>
      <w:r>
        <w:t xml:space="preserve"> </w:t>
      </w:r>
      <w:r>
        <w:t xml:space="preserve">- (3) Ulcère gastro-duodénal en évolution ou antécédent récent.</w:t>
      </w:r>
      <w:r>
        <w:t xml:space="preserve"> </w:t>
      </w:r>
      <w:r>
        <w:t xml:space="preserve">- (4) Insuffisance hépatique sévère (l’atteinte hépatique du diclofénac est bien documentée).</w:t>
      </w:r>
      <w:r>
        <w:t xml:space="preserve"> </w:t>
      </w:r>
      <w:r>
        <w:t xml:space="preserve">- (5) Insuffisance rénale sévère (DFG &lt; 30 mL/min).</w:t>
      </w:r>
      <w:r>
        <w:t xml:space="preserve"> </w:t>
      </w:r>
      <w:r>
        <w:t xml:space="preserve">- (6) Insuffisance cardiaque sévère (CI relative, mais à considérer en raison du risque CV élevé du diclofénac).</w:t>
      </w:r>
      <w:r>
        <w:t xml:space="preserve"> </w:t>
      </w:r>
      <w:r>
        <w:t xml:space="preserve">- (7) Maladie thrombotique artérielle évolutive (post-IDM récent, AVC récent, angor instable) — contre-indication relative en raison du profil CV défavorable du diclofénac.</w:t>
      </w:r>
      <w:r>
        <w:t xml:space="preserve"> </w:t>
      </w:r>
      <w:r>
        <w:t xml:space="preserve">- (8) Grossesse 3e trimestre.</w:t>
      </w:r>
      <w:r>
        <w:t xml:space="preserve"> </w:t>
      </w:r>
      <w:r>
        <w:t xml:space="preserve">- (9) Porphyrie hépatique.</w:t>
      </w:r>
      <w:r>
        <w:t xml:space="preserve"> </w:t>
      </w:r>
      <w:r>
        <w:t xml:space="preserve">- (10) Enfant &lt; 6 ans pour les formes orales (et &lt; 15 ans pour la voie IM).</w:t>
      </w:r>
      <w:r>
        <w:t xml:space="preserve"> </w:t>
      </w:r>
      <w:r>
        <w:t xml:space="preserve">- (11) Forme IM : trouble de l’hémostase, traitement anticoagulant en cours.</w:t>
      </w:r>
      <w:r>
        <w:t xml:space="preserve"> </w:t>
      </w:r>
      <w:r>
        <w:t xml:space="preserve">- (12) Forme topique : peau lésée, eczéma.</w:t>
      </w:r>
      <w:r>
        <w:t xml:space="preserve"> </w:t>
      </w:r>
      <w:r>
        <w:t xml:space="preserve">- Effets Indésirables :</w:t>
      </w:r>
      <w:r>
        <w:t xml:space="preserve"> </w:t>
      </w:r>
      <w:r>
        <w:t xml:space="preserve">- Digestifs (&gt;10 %) : dyspepsie, nausées, douleurs épigastriques, ulcère, hémorragie digestive, perforation. Le profil digestif du diclofénac est comparable à celui des autres AINS non sélectifs.</w:t>
      </w:r>
      <w:r>
        <w:t xml:space="preserve"> </w:t>
      </w:r>
      <w:r>
        <w:t xml:space="preserve">- Hépatiques : cytolyse hépatique fréquente (≈ 15 % des patients ont une élévation des transaminases à 2-3× la normale), hépatites cytolytiques ou cholestatiques (rares mais graves), cas d’insuffisance hépatique aiguë. Surveillance systématique des transaminases si traitement &gt; 2 semaines.</w:t>
      </w:r>
      <w:r>
        <w:t xml:space="preserve"> </w:t>
      </w:r>
      <w:r>
        <w:t xml:space="preserve">- Rénaux : insuffisance rénale aiguë fonctionnelle, néphropathie interstitielle, syndrome néphrotique, hyperkaliémie.</w:t>
      </w:r>
      <w:r>
        <w:t xml:space="preserve"> </w:t>
      </w:r>
      <w:r>
        <w:t xml:space="preserve">- Cardiovasculaires (particularité majeure) : majoration significative du risque thrombotique artériel (RR 1,4 selon méta-analyse Trelle 2011). Risque d’IDM, d’AVC, d’insuffisance cardiaque décompensée, d’HTA. Mise en garde EMA niveau 4 : éviter chez les patients à haut risque CV.</w:t>
      </w:r>
      <w:r>
        <w:t xml:space="preserve"> </w:t>
      </w:r>
      <w:r>
        <w:t xml:space="preserve">- Neurologiques : céphalées, vertiges, somnolence, fatigue, confusion (surtout sujet âgé).</w:t>
      </w:r>
      <w:r>
        <w:t xml:space="preserve"> </w:t>
      </w:r>
      <w:r>
        <w:t xml:space="preserve">- Cutanés : éruptions, prurit, urticaire ; très rarement Stevens-Johnson, Lyell, DRESS, PEAG.</w:t>
      </w:r>
      <w:r>
        <w:t xml:space="preserve"> </w:t>
      </w:r>
      <w:r>
        <w:t xml:space="preserve">- Hématologiques : thrombopénie, leucopénie, agranulocytose, anémie hémolytique auto-immune (rares).</w:t>
      </w:r>
      <w:r>
        <w:t xml:space="preserve"> </w:t>
      </w:r>
      <w:r>
        <w:t xml:space="preserve">- Respiratoires : bronchospasme chez le sujet aspirine-sensible.</w:t>
      </w:r>
      <w:r>
        <w:t xml:space="preserve"> </w:t>
      </w:r>
      <w:r>
        <w:t xml:space="preserve">- Au point d’injection IM : douleur, induration, hématome, abcès stérile.</w:t>
      </w:r>
    </w:p>
    <w:p>
      <w:pPr>
        <w:pStyle w:val="BodyText"/>
      </w:pPr>
      <w:r>
        <w:rPr>
          <w:b/>
          <w:bCs/>
        </w:rPr>
        <w:t xml:space="preserve">Prévention et Gestion des Effets Indésirables :</w:t>
      </w:r>
      <w:r>
        <w:t xml:space="preserve"> </w:t>
      </w:r>
      <w:r>
        <w:t xml:space="preserve">- Mesures Préventives :</w:t>
      </w:r>
      <w:r>
        <w:t xml:space="preserve"> </w:t>
      </w:r>
      <w:r>
        <w:t xml:space="preserve">- Posologie minimale efficace, durée la plus courte possible.</w:t>
      </w:r>
      <w:r>
        <w:t xml:space="preserve"> </w:t>
      </w:r>
      <w:r>
        <w:t xml:space="preserve">- Prise pendant les repas (voie orale), avec un grand verre d’eau.</w:t>
      </w:r>
      <w:r>
        <w:t xml:space="preserve"> </w:t>
      </w:r>
      <w:r>
        <w:t xml:space="preserve">- Co-prescription d’IPP (oméprazole 20 mg ou pantoprazole 20 mg) si terrain à risque digestif (âge &gt; 65 ans, antécédent ulcèreux, corticothérapie ou anticoagulant associé).</w:t>
      </w:r>
      <w:r>
        <w:t xml:space="preserve"> </w:t>
      </w:r>
      <w:r>
        <w:t xml:space="preserve">- Surveillance de la fonction hépatique (ASAT, ALAT) si traitement &gt; 2 semaines : contrôle à J7, J14, puis mensuel.</w:t>
      </w:r>
      <w:r>
        <w:t xml:space="preserve"> </w:t>
      </w:r>
      <w:r>
        <w:t xml:space="preserve">- Surveillance de la fonction rénale (créatinine, urée) et de la TA si traitement prolongé ou terrain à risque.</w:t>
      </w:r>
      <w:r>
        <w:t xml:space="preserve"> </w:t>
      </w:r>
      <w:r>
        <w:t xml:space="preserve">- Éviter chez les patients à haut risque cardiovasculaire (post-IDM, post-AVC, angor instable, insuffisance cardiaque). Préférer le naproxène ou l’ibuprofène à faible dose.</w:t>
      </w:r>
      <w:r>
        <w:t xml:space="preserve"> </w:t>
      </w:r>
      <w:r>
        <w:t xml:space="preserve">- Hydratation adéquate, surtout chez le sujet âgé ou déshydraté.</w:t>
      </w:r>
      <w:r>
        <w:t xml:space="preserve"> </w:t>
      </w:r>
      <w:r>
        <w:t xml:space="preserve">- Conduite à Tenir :</w:t>
      </w:r>
      <w:r>
        <w:t xml:space="preserve"> </w:t>
      </w:r>
      <w:r>
        <w:t xml:space="preserve">- Arrêt immédiat en cas de douleur épigastrique intense, hématémèse, melæna, vomissements, ictère, éruption cutanée, vertiges intenses, oligurie, dyspnée.</w:t>
      </w:r>
      <w:r>
        <w:t xml:space="preserve"> </w:t>
      </w:r>
      <w:r>
        <w:t xml:space="preserve">- Consultation urgente pour bilan biologique (NFS, plaquettes, transaminases, créatinine, ionogramme, CRP) en cas d’événement indésirable.</w:t>
      </w:r>
      <w:r>
        <w:t xml:space="preserve"> </w:t>
      </w:r>
      <w:r>
        <w:t xml:space="preserve">- Surveillance ECG si trouble du rythme ou douleur thoracique.</w:t>
      </w:r>
    </w:p>
    <w:p>
      <w:pPr>
        <w:pStyle w:val="BodyText"/>
      </w:pPr>
      <w:r>
        <w:rPr>
          <w:b/>
          <w:bCs/>
        </w:rPr>
        <w:t xml:space="preserve">Interactions Importantes :</w:t>
      </w:r>
      <w:r>
        <w:t xml:space="preserve"> </w:t>
      </w:r>
      <w:r>
        <w:t xml:space="preserve">-</w:t>
      </w:r>
      <w:r>
        <w:t xml:space="preserve"> </w:t>
      </w:r>
      <w:r>
        <w:rPr>
          <w:b/>
          <w:bCs/>
        </w:rPr>
        <w:t xml:space="preserve">Diclofénac + AVK (warfarine, acénocoumarol)</w:t>
      </w:r>
      <w:r>
        <w:t xml:space="preserve"> </w:t>
      </w:r>
      <w:r>
        <w:t xml:space="preserve">: majoration du risque hémorragique (effet anticoagulant majoré et toxicité digestive). Surveillance INR, contrôle 3-4 jours après début/fin.</w:t>
      </w:r>
      <w:r>
        <w:t xml:space="preserve"> </w:t>
      </w:r>
      <w:r>
        <w:t xml:space="preserve">-</w:t>
      </w:r>
      <w:r>
        <w:t xml:space="preserve"> </w:t>
      </w:r>
      <w:r>
        <w:rPr>
          <w:b/>
          <w:bCs/>
        </w:rPr>
        <w:t xml:space="preserve">Diclofénac + Aspirine à dose antiagrégante</w:t>
      </w:r>
      <w:r>
        <w:t xml:space="preserve"> </w:t>
      </w:r>
      <w:r>
        <w:t xml:space="preserve">: addition toxicité digestive, baisse de l’effet cardioprotecteur de l’aspirine (compétition au site de liaison COX-1 plaquettaire). À éviter.</w:t>
      </w:r>
      <w:r>
        <w:t xml:space="preserve"> </w:t>
      </w:r>
      <w:r>
        <w:t xml:space="preserve">-</w:t>
      </w:r>
      <w:r>
        <w:t xml:space="preserve"> </w:t>
      </w:r>
      <w:r>
        <w:rPr>
          <w:b/>
          <w:bCs/>
        </w:rPr>
        <w:t xml:space="preserve">Diclofénac + Clopidogrel, Ticagrelor</w:t>
      </w:r>
      <w:r>
        <w:t xml:space="preserve"> </w:t>
      </w:r>
      <w:r>
        <w:t xml:space="preserve">: majoration du risque hémorragique digestif.</w:t>
      </w:r>
      <w:r>
        <w:t xml:space="preserve"> </w:t>
      </w:r>
      <w:r>
        <w:t xml:space="preserve">-</w:t>
      </w:r>
      <w:r>
        <w:t xml:space="preserve"> </w:t>
      </w:r>
      <w:r>
        <w:rPr>
          <w:b/>
          <w:bCs/>
        </w:rPr>
        <w:t xml:space="preserve">Diclofénac + IEC/ARA2 + diurétiques</w:t>
      </w:r>
      <w:r>
        <w:t xml:space="preserve"> </w:t>
      </w:r>
      <w:r>
        <w:t xml:space="preserve">: effet triade néphrotoxique → IRA fonctionnelle. Surveillance stricte de la créatinine, kaliémie, TA.</w:t>
      </w:r>
      <w:r>
        <w:t xml:space="preserve"> </w:t>
      </w:r>
      <w:r>
        <w:t xml:space="preserve">-</w:t>
      </w:r>
      <w:r>
        <w:t xml:space="preserve"> </w:t>
      </w:r>
      <w:r>
        <w:rPr>
          <w:b/>
          <w:bCs/>
        </w:rPr>
        <w:t xml:space="preserve">Diclofénac + Lithium</w:t>
      </w:r>
      <w:r>
        <w:t xml:space="preserve"> </w:t>
      </w:r>
      <w:r>
        <w:t xml:space="preserve">: baisse de la clairance rénale → toxicité (tremblements, confusion, polyurie). Contrôle lithémie.</w:t>
      </w:r>
      <w:r>
        <w:t xml:space="preserve"> </w:t>
      </w:r>
      <w:r>
        <w:t xml:space="preserve">-</w:t>
      </w:r>
      <w:r>
        <w:t xml:space="preserve"> </w:t>
      </w:r>
      <w:r>
        <w:rPr>
          <w:b/>
          <w:bCs/>
        </w:rPr>
        <w:t xml:space="preserve">Diclofénac + Méthotrexate (hautes doses)</w:t>
      </w:r>
      <w:r>
        <w:t xml:space="preserve"> </w:t>
      </w:r>
      <w:r>
        <w:t xml:space="preserve">: baisse de l’élimination → toxicité hématologique.</w:t>
      </w:r>
      <w:r>
        <w:t xml:space="preserve"> </w:t>
      </w:r>
      <w:r>
        <w:t xml:space="preserve">-</w:t>
      </w:r>
      <w:r>
        <w:t xml:space="preserve"> </w:t>
      </w:r>
      <w:r>
        <w:rPr>
          <w:b/>
          <w:bCs/>
        </w:rPr>
        <w:t xml:space="preserve">Diclofénac + Ciclosporine, Tacrolimus</w:t>
      </w:r>
      <w:r>
        <w:t xml:space="preserve"> </w:t>
      </w:r>
      <w:r>
        <w:t xml:space="preserve">: néphrotoxicité additive.</w:t>
      </w:r>
      <w:r>
        <w:t xml:space="preserve"> </w:t>
      </w:r>
      <w:r>
        <w:t xml:space="preserve">-</w:t>
      </w:r>
      <w:r>
        <w:t xml:space="preserve"> </w:t>
      </w:r>
      <w:r>
        <w:rPr>
          <w:b/>
          <w:bCs/>
        </w:rPr>
        <w:t xml:space="preserve">Diclofénac + Inhibiteurs CYP2C9 (fluconazole, voriconazole, amiodarone, sulfaméthoxazole)</w:t>
      </w:r>
      <w:r>
        <w:t xml:space="preserve"> </w:t>
      </w:r>
      <w:r>
        <w:t xml:space="preserve">: augmentation des concentrations de diclofénac → majoration toxicité.</w:t>
      </w:r>
      <w:r>
        <w:t xml:space="preserve"> </w:t>
      </w:r>
      <w:r>
        <w:t xml:space="preserve">-</w:t>
      </w:r>
      <w:r>
        <w:t xml:space="preserve"> </w:t>
      </w:r>
      <w:r>
        <w:rPr>
          <w:b/>
          <w:bCs/>
        </w:rPr>
        <w:t xml:space="preserve">Diclofénac + Inducteurs CYP2C9 (rifampicine, phénytoïne, carbamazépine, millepertuis)</w:t>
      </w:r>
      <w:r>
        <w:t xml:space="preserve"> </w:t>
      </w:r>
      <w:r>
        <w:t xml:space="preserve">: baisse des concentrations de diclofénac → inefficacité.</w:t>
      </w:r>
      <w:r>
        <w:t xml:space="preserve"> </w:t>
      </w:r>
      <w:r>
        <w:t xml:space="preserve">-</w:t>
      </w:r>
      <w:r>
        <w:t xml:space="preserve"> </w:t>
      </w:r>
      <w:r>
        <w:rPr>
          <w:b/>
          <w:bCs/>
        </w:rPr>
        <w:t xml:space="preserve">Diclofénac + Diurétiques (furosémide, HCTZ)</w:t>
      </w:r>
      <w:r>
        <w:t xml:space="preserve"> </w:t>
      </w:r>
      <w:r>
        <w:t xml:space="preserve">: baisse de l’effet diurétique, IRA.</w:t>
      </w:r>
      <w:r>
        <w:t xml:space="preserve"> </w:t>
      </w:r>
      <w:r>
        <w:t xml:space="preserve">-</w:t>
      </w:r>
      <w:r>
        <w:t xml:space="preserve"> </w:t>
      </w:r>
      <w:r>
        <w:rPr>
          <w:b/>
          <w:bCs/>
        </w:rPr>
        <w:t xml:space="preserve">Diclofénac + ISRS</w:t>
      </w:r>
      <w:r>
        <w:t xml:space="preserve"> </w:t>
      </w:r>
      <w:r>
        <w:t xml:space="preserve">: majoration du risque hémorragique.</w:t>
      </w:r>
      <w:r>
        <w:t xml:space="preserve"> </w:t>
      </w:r>
      <w:r>
        <w:t xml:space="preserve">-</w:t>
      </w:r>
      <w:r>
        <w:t xml:space="preserve"> </w:t>
      </w:r>
      <w:r>
        <w:rPr>
          <w:b/>
          <w:bCs/>
        </w:rPr>
        <w:t xml:space="preserve">Diclofénac + Alcool</w:t>
      </w:r>
      <w:r>
        <w:t xml:space="preserve"> </w:t>
      </w:r>
      <w:r>
        <w:t xml:space="preserve">: potentialisation de la toxicité digestive et hépatique.</w:t>
      </w:r>
      <w:r>
        <w:t xml:space="preserve"> </w:t>
      </w:r>
      <w:r>
        <w:t xml:space="preserve">-</w:t>
      </w:r>
      <w:r>
        <w:t xml:space="preserve"> </w:t>
      </w:r>
      <w:r>
        <w:rPr>
          <w:b/>
          <w:bCs/>
        </w:rPr>
        <w:t xml:space="preserve">Diclofénac + Hypoglycémiants (sulfamides)</w:t>
      </w:r>
      <w:r>
        <w:t xml:space="preserve"> </w:t>
      </w:r>
      <w:r>
        <w:t xml:space="preserve">: hypoglycémie (rare).</w:t>
      </w:r>
      <w:r>
        <w:t xml:space="preserve"> </w:t>
      </w:r>
      <w:r>
        <w:t xml:space="preserve">-</w:t>
      </w:r>
      <w:r>
        <w:t xml:space="preserve"> </w:t>
      </w:r>
      <w:r>
        <w:rPr>
          <w:b/>
          <w:bCs/>
        </w:rPr>
        <w:t xml:space="preserve">Diclofénac topique + Anticoagulants</w:t>
      </w:r>
      <w:r>
        <w:t xml:space="preserve"> </w:t>
      </w:r>
      <w:r>
        <w:t xml:space="preserve">: passage systémique possible, surveillance.</w:t>
      </w:r>
    </w:p>
    <w:p>
      <w:pPr>
        <w:pStyle w:val="BodyText"/>
      </w:pPr>
      <w:r>
        <w:rPr>
          <w:b/>
          <w:bCs/>
        </w:rPr>
        <w:t xml:space="preserve">Grossesse et Allaitement :</w:t>
      </w:r>
      <w:r>
        <w:t xml:space="preserve"> </w:t>
      </w:r>
      <w:r>
        <w:t xml:space="preserve">- Grossesse : (selon CRAT)</w:t>
      </w:r>
      <w:r>
        <w:t xml:space="preserve"> </w:t>
      </w:r>
      <w:r>
        <w:t xml:space="preserve">- 1er et 2e trimestres : à éviter par prudence (en raison du risque CV maternel et fœtal, et de l’existence d’alternatives plus sûres comme l’ibuprofène ou le paracétamol). Utilisation ponctuelle possible en cas de nécessité absolue.</w:t>
      </w:r>
      <w:r>
        <w:t xml:space="preserve"> </w:t>
      </w:r>
      <w:r>
        <w:t xml:space="preserve">- 3e trimestre (≥ 24 SA) : CI absolue (fermeture prématurée du canal artériel, oligoamnios, inhibition des contractions, allongement du travail).</w:t>
      </w:r>
      <w:r>
        <w:t xml:space="preserve"> </w:t>
      </w:r>
      <w:r>
        <w:t xml:space="preserve">- Fertilité : altération possible de la fertilité féminine (inhibition de l’ovulation), réversible à l’arrêt.</w:t>
      </w:r>
      <w:r>
        <w:t xml:space="preserve"> </w:t>
      </w:r>
      <w:r>
        <w:t xml:space="preserve">- Allaitement : Compatible dose unique, mais à éviter en traitement prolongé (passage faible mais réel dans le lait, M/P = 0,01–0,03). Préférer l’ibuprofène en traitement prolongé.</w:t>
      </w:r>
      <w:r>
        <w:t xml:space="preserve"> </w:t>
      </w:r>
      <w:r>
        <w:t xml:space="preserve">- Précisions : Le diclofénac topique (gel) est considéré comme compatible pendant la grossesse (passage systémique faible), à condition de ne pas appliquer sur une surface importante ou sur peau lésée.</w:t>
      </w:r>
    </w:p>
    <w:p>
      <w:pPr>
        <w:pStyle w:val="BodyText"/>
      </w:pPr>
      <w:r>
        <w:rPr>
          <w:b/>
          <w:bCs/>
        </w:rPr>
        <w:t xml:space="preserve">Posologie et Mode d’administration (Standard) :</w:t>
      </w:r>
      <w:r>
        <w:t xml:space="preserve"> </w:t>
      </w:r>
      <w:r>
        <w:t xml:space="preserve">- Adulte :</w:t>
      </w:r>
      <w:r>
        <w:t xml:space="preserve"> </w:t>
      </w:r>
      <w:r>
        <w:t xml:space="preserve">- Voie orale 50 mg gastro-résistant : 1 comprimé x 2 à 3/j (100–150 mg/j max en antalgique, 150–200 mg/j max en anti-inflammatoire). Prise avant ou pendant les repas, à avaler entier (ne pas croquer ni écraser).</w:t>
      </w:r>
      <w:r>
        <w:t xml:space="preserve"> </w:t>
      </w:r>
      <w:r>
        <w:t xml:space="preserve">- Voie orale 25 mg gastro-résistant : 1 à 2 comprimés x 2 à 3/j (50–150 mg/j).</w:t>
      </w:r>
      <w:r>
        <w:t xml:space="preserve"> </w:t>
      </w:r>
      <w:r>
        <w:t xml:space="preserve">- Voie orale LP 75 mg : 1 comprimé x 2/j (150 mg/j), ou x 1/j le soir (75 mg/j) en traitement d’entretien.</w:t>
      </w:r>
      <w:r>
        <w:t xml:space="preserve"> </w:t>
      </w:r>
      <w:r>
        <w:t xml:space="preserve">- Voie orale LP 100 mg : 1 comprimé x 1/j le soir (100 mg/j) en traitement anti-inflammatoire prolongé.</w:t>
      </w:r>
      <w:r>
        <w:t xml:space="preserve"> </w:t>
      </w:r>
      <w:r>
        <w:t xml:space="preserve">- Voie orale 12,5 mg (VOLTARENE DOLO) : 1 à 2 comprimés, à renouveler si nécessaire toutes les 4–6 h, sans dépasser 75 mg/j (6 comprimés) en automédication.</w:t>
      </w:r>
      <w:r>
        <w:t xml:space="preserve"> </w:t>
      </w:r>
      <w:r>
        <w:t xml:space="preserve">- Voie orale sachet 50 mg (BIOFENAC FAST, VOTREX RAPID) : 1 sachet x 2 à 3/j, à dissoudre dans un verre d’eau. Délai d’action plus court.</w:t>
      </w:r>
      <w:r>
        <w:t xml:space="preserve"> </w:t>
      </w:r>
      <w:r>
        <w:t xml:space="preserve">- Voie IM 75 mg/3 mL : 1 ampoule IM profonde x 1 à 2/j (espacées de 8–12 h), max 150 mg/24 h. Durée maximale 2 à 5 jours, relais oral rapide. Jamais en IV.</w:t>
      </w:r>
      <w:r>
        <w:t xml:space="preserve"> </w:t>
      </w:r>
      <w:r>
        <w:t xml:space="preserve">- Voie rectale 100 mg : 1 suppositoire x 1/j le soir, ou x 2/j. Pour la femme enceinte ou l’enfant (suppositoire 25 mg) : posologie adaptée.</w:t>
      </w:r>
      <w:r>
        <w:t xml:space="preserve"> </w:t>
      </w:r>
      <w:r>
        <w:t xml:space="preserve">- Voie rectale 50 mg : 1 suppositoire x 1 à 2/j.</w:t>
      </w:r>
      <w:r>
        <w:t xml:space="preserve"> </w:t>
      </w:r>
      <w:r>
        <w:t xml:space="preserve">- Voie rectale 25 mg (enfant) : 1 suppositoire x 1 à 3/j selon l’âge.</w:t>
      </w:r>
      <w:r>
        <w:t xml:space="preserve"> </w:t>
      </w:r>
      <w:r>
        <w:t xml:space="preserve">- Voie rectale 12,5 mg (nourrisson) : 1 suppositoire x 1 à 3/j.</w:t>
      </w:r>
      <w:r>
        <w:t xml:space="preserve"> </w:t>
      </w:r>
      <w:r>
        <w:t xml:space="preserve">- Voie topique gel 1 % : 1 à 2 applications/j en massage doux sur zone douloureuse. Ne pas dépasser 3 semaines d’application. Ne pas appliquer sur peau lésée, ne pas recouvrir d’un pansement occlusif.</w:t>
      </w:r>
      <w:r>
        <w:t xml:space="preserve"> </w:t>
      </w:r>
      <w:r>
        <w:t xml:space="preserve">- Voie ophtalmique 0,1 % : 1 goutte x 4 à 6/j dans l’œil atteint. Durée selon prescription.</w:t>
      </w:r>
      <w:r>
        <w:t xml:space="preserve"> </w:t>
      </w:r>
      <w:r>
        <w:t xml:space="preserve">- Voie transdermique (emplâtre) : 1 emplâtre/j sur zone douloureuse, à changer toutes les 24 h. Durée maximale 7 jours.</w:t>
      </w:r>
      <w:r>
        <w:t xml:space="preserve"> </w:t>
      </w:r>
      <w:r>
        <w:t xml:space="preserve">- Enfant &gt; 6 ans (voie orale) : 1 à 2 mg/kg/j en 2 à 3 prises (max 3 mg/kg/j).</w:t>
      </w:r>
      <w:r>
        <w:t xml:space="preserve"> </w:t>
      </w:r>
      <w:r>
        <w:t xml:space="preserve">- Enfant &gt; 1 an (voie rectale suppositoire 25 mg) : 1 mg/kg/j en 2 à 3 prises.</w:t>
      </w:r>
      <w:r>
        <w:t xml:space="preserve"> </w:t>
      </w:r>
      <w:r>
        <w:t xml:space="preserve">- Sujet âgé : réduire la posologie initiale de 25 à 50 %, surveillance accrue (digestive, rénale, hépatique, CV). Ne pas dépasser 100 mg/j en traitement prolongé.</w:t>
      </w:r>
      <w:r>
        <w:t xml:space="preserve"> </w:t>
      </w:r>
      <w:r>
        <w:t xml:space="preserve">- Durée : 3 à 5 jours en antalgique court ; 7 à 14 jours en anti-inflammatoire ; traitement prolongé sous surveillance stricte (ASAT/ALAT, créatinine, TA) mensuelle.</w:t>
      </w:r>
      <w:r>
        <w:t xml:space="preserve"> </w:t>
      </w:r>
      <w:r>
        <w:t xml:space="preserve">- Moment de prise : pendant les repas (voie orale), avec un grand verre d’eau. Pour la forme IM : injection lente et profonde, en position assise ou couchée. Pour la forme topique : application sur peau sèche, propre, intacte.</w:t>
      </w:r>
    </w:p>
    <w:p>
      <w:pPr>
        <w:pStyle w:val="BodyText"/>
      </w:pPr>
      <w:r>
        <w:rPr>
          <w:b/>
          <w:bCs/>
        </w:rPr>
        <w:t xml:space="preserve">Arbitrage et Bénéfices des Formes Galéniques :</w:t>
      </w:r>
      <w:r>
        <w:t xml:space="preserve"> </w:t>
      </w:r>
      <w:r>
        <w:t xml:space="preserve">- Comprimés gastro-résistants 25/50 mg : forme de référence pour douleur aiguë. La gastro-résistance protège la muqueuse gastrique lors du transit, mais le diclofénac est ensuite libéré dans le duodénum, absorbé et le principe actif systémique expose toujours la muqueuse gastrique à l’inhibition des PG cytoprotectrices (la gastro-résistance ne fait que différer le contact, ne supprime pas la toxicité systémique).</w:t>
      </w:r>
      <w:r>
        <w:t xml:space="preserve"> </w:t>
      </w:r>
      <w:r>
        <w:t xml:space="preserve">- Comprimés LP 75/100 mg : indiqués pour le traitement anti-inflammatoire prolongé. Une ou deux prises/j, compliance améliorée, pics sériques réduits, tolérance gastrique meilleure.</w:t>
      </w:r>
      <w:r>
        <w:t xml:space="preserve"> </w:t>
      </w:r>
      <w:r>
        <w:t xml:space="preserve">- Comprimés 12,5 mg (VOLTARENE DOLO) : indiqués pour l’automédication de la douleur aiguë modérée, à dose réduite pour limiter la toxicité.</w:t>
      </w:r>
      <w:r>
        <w:t xml:space="preserve"> </w:t>
      </w:r>
      <w:r>
        <w:t xml:space="preserve">- Forme sachet (BIOFENAC FAST, VOTREX RAPID) : intérêt pour un délai d’action court (le diclofénac potassique est plus rapidement absorbé que le sodique). Pratique en cas de dysphagie ou de vomissements.</w:t>
      </w:r>
      <w:r>
        <w:t xml:space="preserve"> </w:t>
      </w:r>
      <w:r>
        <w:t xml:space="preserve">- Injectable IM : indiqué pour douleur aiguë intense (colique néphrétique, post-opératoire, crise sévère). Délai d’action 15–30 min. Alternative au kétoprofène IM (avantage : moins de photosensibilité ; inconvénient : plus de toxicité hépatique).</w:t>
      </w:r>
      <w:r>
        <w:t xml:space="preserve"> </w:t>
      </w:r>
      <w:r>
        <w:t xml:space="preserve">- Suppositoires : alternative en cas d’impossibilité de voie orale, mais tolérance rectale médiocre (rectite, érosions muqueuses). Tendance au retrait du marché.</w:t>
      </w:r>
      <w:r>
        <w:t xml:space="preserve"> </w:t>
      </w:r>
      <w:r>
        <w:t xml:space="preserve">- Gels dermiques 1 % : indiqués dans les douleurs musculo-tendineuses superficielles. Passage systémique faible (≈ 5–10 %), réduisant le risque digestif, hépatique et CV. Avantage de la voie topique : concentration locale élevée, exposition systémique faible.</w:t>
      </w:r>
      <w:r>
        <w:t xml:space="preserve"> </w:t>
      </w:r>
      <w:r>
        <w:t xml:space="preserve">- Collyres 0,1 % : indiqués en ophtalmologie pour inflammation post-opératoire (cataracte), inflammation oculaire non infectée, prévention de l’œdème maculaire cystoïde.</w:t>
      </w:r>
      <w:r>
        <w:t xml:space="preserve"> </w:t>
      </w:r>
      <w:r>
        <w:t xml:space="preserve">- Emplâtre transdermique : indiqué pour douleurs localisées (tendinites, entorses). Application unique/j, observance excellente.</w:t>
      </w:r>
      <w:r>
        <w:t xml:space="preserve"> </w:t>
      </w:r>
      <w:r>
        <w:t xml:space="preserve">- Gels 2 % (VOLTUM) : concentration plus élevée pour effet local renforcé.</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C’est un anti-inflammatoire non stéroïdien. Vous le prendrez pendant les repas, avec un grand verre d’eau. Avalez le comprimé gastro-résistant entier, ne le croquez pas.</w:t>
      </w:r>
      <w:r>
        <w:t xml:space="preserve">”</w:t>
      </w:r>
      <w:r>
        <w:t xml:space="preserve"> </w:t>
      </w:r>
      <w:r>
        <w:t xml:space="preserve">-</w:t>
      </w:r>
      <w:r>
        <w:t xml:space="preserve"> </w:t>
      </w:r>
      <w:r>
        <w:t xml:space="preserve">“</w:t>
      </w:r>
      <w:r>
        <w:t xml:space="preserve">Ne l’associez pas à un autre AINS (aspirine, ibuprofène, kétoprofène) ni avec de l’alcool.</w:t>
      </w:r>
      <w:r>
        <w:t xml:space="preserve">”</w:t>
      </w:r>
      <w:r>
        <w:t xml:space="preserve"> </w:t>
      </w:r>
      <w:r>
        <w:t xml:space="preserve">-</w:t>
      </w:r>
      <w:r>
        <w:t xml:space="preserve"> </w:t>
      </w:r>
      <w:r>
        <w:t xml:space="preserve">“</w:t>
      </w:r>
      <w:r>
        <w:t xml:space="preserve">Si vous avez des douleurs au ventre, des selles noires, des nausées persistantes, de la fatigue intense, des éruptions cutanées, arrêtez et consultez immédiatement.</w:t>
      </w:r>
      <w:r>
        <w:t xml:space="preserve">”</w:t>
      </w:r>
      <w:r>
        <w:t xml:space="preserve"> </w:t>
      </w:r>
      <w:r>
        <w:t xml:space="preserve">-</w:t>
      </w:r>
      <w:r>
        <w:t xml:space="preserve"> </w:t>
      </w:r>
      <w:r>
        <w:t xml:space="preserve">“</w:t>
      </w:r>
      <w:r>
        <w:t xml:space="preserve">Prévenez votre médecin si vous avez des problèmes cardiaques, hépatiques, rénaux, ou si vous êtes enceinte.</w:t>
      </w:r>
      <w:r>
        <w:t xml:space="preserve">”</w:t>
      </w:r>
      <w:r>
        <w:t xml:space="preserve"> </w:t>
      </w:r>
      <w:r>
        <w:t xml:space="preserve">-</w:t>
      </w:r>
      <w:r>
        <w:t xml:space="preserve"> </w:t>
      </w:r>
      <w:r>
        <w:t xml:space="preserve">“</w:t>
      </w:r>
      <w:r>
        <w:t xml:space="preserve">Pour la forme IM, l’injection doit être faite par un professionnel de santé.</w:t>
      </w:r>
      <w:r>
        <w:t xml:space="preserve">”</w:t>
      </w:r>
      <w:r>
        <w:t xml:space="preserve"> </w:t>
      </w:r>
      <w:r>
        <w:t xml:space="preserve">-</w:t>
      </w:r>
      <w:r>
        <w:t xml:space="preserve"> </w:t>
      </w:r>
      <w:r>
        <w:t xml:space="preserve">“</w:t>
      </w:r>
      <w:r>
        <w:t xml:space="preserve">Pour le gel dermique, appliquez sur peau saine, sans lésion, sans pansement occlusif. Lavez-vous les mains après application.</w:t>
      </w:r>
      <w:r>
        <w:t xml:space="preserve">”</w:t>
      </w:r>
      <w:r>
        <w:t xml:space="preserve"> </w:t>
      </w:r>
      <w:r>
        <w:t xml:space="preserve">-</w:t>
      </w:r>
      <w:r>
        <w:t xml:space="preserve"> </w:t>
      </w:r>
      <w:r>
        <w:t xml:space="preserve">“</w:t>
      </w:r>
      <w:r>
        <w:t xml:space="preserve">Pour le collyre, lavez-vous les mains avant instillation, ne touchez pas l’œil avec l’embout du flacon.</w:t>
      </w:r>
      <w:r>
        <w:t xml:space="preserve">”</w:t>
      </w:r>
      <w:r>
        <w:t xml:space="preserve"> </w:t>
      </w:r>
      <w:r>
        <w:t xml:space="preserve">- Mode d’utilisation pratique :</w:t>
      </w:r>
      <w:r>
        <w:t xml:space="preserve"> </w:t>
      </w:r>
      <w:r>
        <w:t xml:space="preserve">- Comprimé gastro-résistant : avaler entier avec un grand verre d’eau, pendant le repas. Ne pas croquer ni écraser.</w:t>
      </w:r>
      <w:r>
        <w:t xml:space="preserve"> </w:t>
      </w:r>
      <w:r>
        <w:t xml:space="preserve">- Comprimé LP : avaler entier, pendant le repas. Ne pas croquer ni écraser.</w:t>
      </w:r>
      <w:r>
        <w:t xml:space="preserve"> </w:t>
      </w:r>
      <w:r>
        <w:t xml:space="preserve">- Sachet : dissoudre dans un verre d’eau, boire immédiatement, pendant le repas.</w:t>
      </w:r>
      <w:r>
        <w:t xml:space="preserve"> </w:t>
      </w:r>
      <w:r>
        <w:t xml:space="preserve">- Solution injectable IM : injection lente et profonde (3 mL en 1 min), dans le quadrant supéro-externe de la fesse. Vérifier l’absence de reflux sanguin avant injection.</w:t>
      </w:r>
      <w:r>
        <w:t xml:space="preserve"> </w:t>
      </w:r>
      <w:r>
        <w:t xml:space="preserve">- Suppositoire : à utiliser de préférence après défécation, à température ambiante.</w:t>
      </w:r>
      <w:r>
        <w:t xml:space="preserve"> </w:t>
      </w:r>
      <w:r>
        <w:t xml:space="preserve">- Gel dermique : appliquer une noisette 1 à 2 fois/j sur zone douloureuse, masser doucement. Ne pas recouvrir d’un pansement occlusif. Se laver les mains après application.</w:t>
      </w:r>
      <w:r>
        <w:t xml:space="preserve"> </w:t>
      </w:r>
      <w:r>
        <w:t xml:space="preserve">- Collyre : instiller 1 goutte dans le cul-de-sac conjonctival inférieur en regardant vers le haut, paupières fermées, masser doucement. Ne pas toucher l’œil avec l’embout.</w:t>
      </w:r>
      <w:r>
        <w:t xml:space="preserve"> </w:t>
      </w:r>
      <w:r>
        <w:t xml:space="preserve">- En cas d’oubli, ne pas doubler la dose, prendre la suivante à l’heure prévue.</w:t>
      </w:r>
    </w:p>
    <w:p>
      <w:pPr>
        <w:pStyle w:val="BodyText"/>
      </w:pPr>
      <w:r>
        <w:rPr>
          <w:b/>
          <w:bCs/>
        </w:rPr>
        <w:t xml:space="preserve">Notes, Règles d’Or &amp; Pièges au Comptoir :</w:t>
      </w:r>
      <w:r>
        <w:t xml:space="preserve"> </w:t>
      </w:r>
      <w:r>
        <w:t xml:space="preserve">- Piège classique du risque cardiovasculaire : patient post-IDM ou ayant un angor qui demande du diclofénac pour douleur articulaire → refuser ou orienter vers le médecin pour discussion du rapport bénéfice/risque. Préférer le naproxène, l’ibuprofène à faible dose, ou le paracétamol.</w:t>
      </w:r>
      <w:r>
        <w:t xml:space="preserve"> </w:t>
      </w:r>
      <w:r>
        <w:t xml:space="preserve">- Piège de la toxicité hépatique : patient sous traitement prolongé &gt; 2 semaines → surveillance ASAT/ALAT mensuelle obligatoire.</w:t>
      </w:r>
      <w:r>
        <w:t xml:space="preserve"> </w:t>
      </w:r>
      <w:r>
        <w:t xml:space="preserve">- Piège de l’association à l’aspirine : patient sous aspirine cardioprotectrice qui demande du diclofénac → interaction + sur-risque digestif + possible baisse de l’effet aspirine.</w:t>
      </w:r>
      <w:r>
        <w:t xml:space="preserve"> </w:t>
      </w:r>
      <w:r>
        <w:t xml:space="preserve">- Piège de la femme enceinte au 3e trimestre : CI absolue, refuser la délivrance.</w:t>
      </w:r>
      <w:r>
        <w:t xml:space="preserve"> </w:t>
      </w:r>
      <w:r>
        <w:t xml:space="preserve">- Piège de l’injection IM chez le patient sous anticoagulant : risque d’hématome profond, d’hématome compressif du psoas.</w:t>
      </w:r>
      <w:r>
        <w:t xml:space="preserve"> </w:t>
      </w:r>
      <w:r>
        <w:t xml:space="preserve">- Piège du surdosage : aux doses massives (&gt; 300 mg/j en chronique ou &gt; 500 mg en aigu), risque d’insuffisance rénale aiguë, d’acidose métabolique, d’hépatite cytolytique sévère.</w:t>
      </w:r>
      <w:r>
        <w:t xml:space="preserve"> </w:t>
      </w:r>
      <w:r>
        <w:t xml:space="preserve">- Règle de prise : jamais d’injection IV (IM stricte).</w:t>
      </w:r>
      <w:r>
        <w:t xml:space="preserve"> </w:t>
      </w:r>
      <w:r>
        <w:t xml:space="preserve">- Préparation et Conservation :</w:t>
      </w:r>
      <w:r>
        <w:t xml:space="preserve"> </w:t>
      </w:r>
      <w:r>
        <w:t xml:space="preserve">- Comprimés : conservation à T &lt; 25 °C, à l’abri de la lumière et de l’humidité. Ne pas conserver dans la salle de bain.</w:t>
      </w:r>
      <w:r>
        <w:t xml:space="preserve"> </w:t>
      </w:r>
      <w:r>
        <w:t xml:space="preserve">- Solutions injectables : conservation à T &lt; 25 °C, à l’abri de la lumière. Ne pas congeler.</w:t>
      </w:r>
      <w:r>
        <w:t xml:space="preserve"> </w:t>
      </w:r>
      <w:r>
        <w:t xml:space="preserve">- Gels dermiques : conservation à T &lt; 25 °C, tube bien refermé après usage. Ne pas appliquer sur peau lésée.</w:t>
      </w:r>
      <w:r>
        <w:t xml:space="preserve"> </w:t>
      </w:r>
      <w:r>
        <w:t xml:space="preserve">- Collyres : conservation à T &lt; 25 °C après ouverture : 1 mois maximum. Ne pas toucher l’œil avec l’embout.</w:t>
      </w:r>
      <w:r>
        <w:t xml:space="preserve"> </w:t>
      </w:r>
      <w:r>
        <w:t xml:space="preserve">- Suppositoires : conservation à T &lt; 25 °C, à l’abri de la chaleur.</w:t>
      </w:r>
      <w:r>
        <w:t xml:space="preserve"> </w:t>
      </w:r>
      <w:r>
        <w:t xml:space="preserve">- Piège de la substitution : la substitution générique est autorisée mais doit être effectuée avec discernement. Préférer une forme gastro-résistante si le patient était sous gastro-résistant. Préférer une forme LP si le patient était sous LP (un comprimé LP ne peut être substitué par un comprimé classique sans modification de la posologie). Vérifier le sel (sodique vs potassique) en cas de restriction sodée.</w:t>
      </w:r>
    </w:p>
    <w:p>
      <w:r>
        <w:pict>
          <v:rect style="width:0;height:1.5pt" o:hralign="center" o:hrstd="t" o:hr="t"/>
        </w:pict>
      </w:r>
    </w:p>
    <w:bookmarkEnd w:id="131"/>
    <w:bookmarkEnd w:id="132"/>
    <w:bookmarkStart w:id="135" w:name="Xd9430bc21c9726c65917f3665e65520952952d4"/>
    <w:p>
      <w:pPr>
        <w:pStyle w:val="Heading2"/>
      </w:pPr>
      <w:r>
        <w:t xml:space="preserve">III. Sous-classe : AINS - Dérivés indoliques</w:t>
      </w:r>
    </w:p>
    <w:bookmarkStart w:id="133" w:name="introduction-à-la-sous-classe-2"/>
    <w:p>
      <w:pPr>
        <w:pStyle w:val="Heading3"/>
      </w:pPr>
      <w:r>
        <w:t xml:space="preserve">Introduction à la sous-classe</w:t>
      </w:r>
    </w:p>
    <w:p>
      <w:pPr>
        <w:pStyle w:val="FirstParagraph"/>
      </w:pPr>
      <w:r>
        <w:t xml:space="preserve">Les dérivés indoliques constituent une sous-classe d’AINS structuralement caractérisée par un noyau indole (noyau bicyclique aromatique azoté). Le chef de file en est l’indométacine, dont la structure est dérivée de l’indoleacétique. D’autres molécules appartiennent à cette famille : le sulindac (prodrogue métabolisée en sulindac sulfide actif), l’étodolac (dérivé indolacétique à structure pyrano-indole). Seule l’indométacine est commercialisée en Algérie à ce jour, principalement sous forme de gélules 25 mg et de collyre 0,1 % (INDOCOLLYRE). Les suppositoires 50 et 100 mg sont non renouvelés ou retirés.</w:t>
      </w:r>
    </w:p>
    <w:p>
      <w:pPr>
        <w:pStyle w:val="BodyText"/>
      </w:pPr>
      <w:r>
        <w:rPr>
          <w:b/>
          <w:bCs/>
        </w:rPr>
        <w:t xml:space="preserve">Pharmacocinétique commune :</w:t>
      </w:r>
      <w:r>
        <w:t xml:space="preserve"> </w:t>
      </w:r>
      <w:r>
        <w:t xml:space="preserve">- Résorption digestive rapide et complète (biodisponibilité ~ 100 %).</w:t>
      </w:r>
      <w:r>
        <w:t xml:space="preserve"> </w:t>
      </w:r>
      <w:r>
        <w:t xml:space="preserve">- Liaison protéique élevée (&gt; 90 %).</w:t>
      </w:r>
      <w:r>
        <w:t xml:space="preserve"> </w:t>
      </w:r>
      <w:r>
        <w:t xml:space="preserve">- Métabolisme hépatique par O-déméthylation (CYP2C9) puis conjugaison.</w:t>
      </w:r>
      <w:r>
        <w:t xml:space="preserve"> </w:t>
      </w:r>
      <w:r>
        <w:t xml:space="preserve">- Demi-vie d’élimination courte à intermédiaire (2–4 h pour l’indométacine), mais avec un effet entéro-hépatique qui prolonge l’action.</w:t>
      </w:r>
      <w:r>
        <w:t xml:space="preserve"> </w:t>
      </w:r>
      <w:r>
        <w:t xml:space="preserve">- Excrétion rénale et biliaire.</w:t>
      </w:r>
    </w:p>
    <w:p>
      <w:pPr>
        <w:pStyle w:val="BodyText"/>
      </w:pPr>
      <w:r>
        <w:rPr>
          <w:b/>
          <w:bCs/>
        </w:rPr>
        <w:t xml:space="preserve">Tolérance spécifique :</w:t>
      </w:r>
      <w:r>
        <w:t xml:space="preserve"> </w:t>
      </w:r>
      <w:r>
        <w:t xml:space="preserve">Les dérivés indoliques sont connus pour leur toxicité digestive marquée (l’indométacine est l’un des AINS les plus ulcérogènes) et surtout pour leur neurotoxicité centrale (céphalées, vertiges, confusion, hallucinations). L’indométacine reste néanmoins un AINS de choix dans certaines indications spécifiques : crise de goutte, accès aigus de spondylarthrite ankylosante, crises de polyarthrite rhumatoïde résistantes, traitement curatif du反思us patent du canal artériel chez le prématuré (indication hospitalière néonatale), prévention de l’œdème maculaire cystoïde post-opératoire en ophtalmologie (voie locale). Son usage oral est aujourd’hui restreint du fait de sa mauvaise tolérance, et il est principalement utilisé en collyre en Algérie.</w:t>
      </w:r>
    </w:p>
    <w:bookmarkEnd w:id="133"/>
    <w:bookmarkStart w:id="134" w:name="dci-indométacine-seule"/>
    <w:p>
      <w:pPr>
        <w:pStyle w:val="Heading3"/>
      </w:pPr>
      <w:r>
        <w:t xml:space="preserve">8. DCI : Indométacine (Seule)</w:t>
      </w:r>
    </w:p>
    <w:p>
      <w:pPr>
        <w:pStyle w:val="FirstParagraph"/>
      </w:pPr>
      <w:r>
        <w:rPr>
          <w:b/>
          <w:bCs/>
        </w:rPr>
        <w:t xml:space="preserve">Liste des Catégories :</w:t>
      </w:r>
      <w:r>
        <w:t xml:space="preserve"> </w:t>
      </w:r>
      <w:r>
        <w:t xml:space="preserve">Liste I (toutes formes).</w:t>
      </w:r>
    </w:p>
    <w:p>
      <w:pPr>
        <w:pStyle w:val="BodyText"/>
      </w:pPr>
      <w:r>
        <w:t xml:space="preserve">L’indométacine (acide 1-[4-chlorobenzoyl]-5-méthoxy-2-méthyl-1H-indol-3-yl]acétique) est un AINS de la sous-classe des dérivés indoliques. Synthétisée en 1963 par les laboratoires Merck, elle fut longtemps considérée comme l’AINS de référence en raison de sa puissance anti-inflammatoire élevée, supérieure à celle de l’aspirine et comparable à la phénylbutazone. Cependant, sa toxicité digestive (ulcère, perforation) et surtout sa neurotoxicité centrale (céphalées, vertiges, confusion, hallucinations, dépression) ont rapidement limité son usage. Aujourd’hui, l’indométacine orale est principalement indiquée en seconde intention dans les accès aigus de goutte, les poussées de spondylarthrite ankylosante et la maladie de Still de l’adulte. En Algérie, l’indométacine est principalement disponible en collyre (INDOCOLLYRE, XINAC) pour le traitement de l’inflammation oculaire post-opératoire (cataracte) et de l’œdème maculaire cystoïde ; la forme orale (INDOMET 25 mg, Saidal) reste disponible mais peu prescrite, et les formes suppositoires (FIRMACIN 50 et 100 mg, Menarini) sont non renouvelées. Le collyre INDOCOLLYRE reste une référence incontournable de la pharmacopée ophtalmologique algérienne.</w:t>
      </w:r>
    </w:p>
    <w:p>
      <w:pPr>
        <w:pStyle w:val="BodyText"/>
      </w:pPr>
      <w:r>
        <w:rPr>
          <w:b/>
          <w:bCs/>
        </w:rPr>
        <w:t xml:space="preserve">Médicaments disponibles en Algérie (Marques, Laboratoires, Formes et Dosages) :</w:t>
      </w:r>
    </w:p>
    <w:p>
      <w:pPr>
        <w:pStyle w:val="BodyText"/>
      </w:pPr>
      <w:r>
        <w:rPr>
          <w:b/>
          <w:bCs/>
        </w:rPr>
        <w:t xml:space="preserve">Gélules 25 mg :</w:t>
      </w:r>
      <w:r>
        <w:t xml:space="preserve"> </w:t>
      </w:r>
      <w:r>
        <w:t xml:space="preserve">-</w:t>
      </w:r>
      <w:r>
        <w:t xml:space="preserve"> </w:t>
      </w:r>
      <w:r>
        <w:rPr>
          <w:b/>
          <w:bCs/>
        </w:rPr>
        <w:t xml:space="preserve">INDOMET</w:t>
      </w:r>
      <w:r>
        <w:t xml:space="preserve"> </w:t>
      </w:r>
      <w:r>
        <w:t xml:space="preserve">(Groupe Saidal) — Gélule 25 mg, B/30 (Liste I) — ACTIF</w:t>
      </w:r>
      <w:r>
        <w:t xml:space="preserve"> </w:t>
      </w:r>
      <w:r>
        <w:t xml:space="preserve">-</w:t>
      </w:r>
      <w:r>
        <w:t xml:space="preserve"> </w:t>
      </w:r>
      <w:r>
        <w:rPr>
          <w:b/>
          <w:bCs/>
        </w:rPr>
        <w:t xml:space="preserve">ARTROLIFE</w:t>
      </w:r>
      <w:r>
        <w:t xml:space="preserve"> </w:t>
      </w:r>
      <w:r>
        <w:t xml:space="preserve">(Lifepharma) (R) — Gélule 25 mg, B/30 (Liste I)</w:t>
      </w:r>
      <w:r>
        <w:t xml:space="preserve"> </w:t>
      </w:r>
      <w:r>
        <w:t xml:space="preserve">-</w:t>
      </w:r>
      <w:r>
        <w:t xml:space="preserve"> </w:t>
      </w:r>
      <w:r>
        <w:rPr>
          <w:b/>
          <w:bCs/>
        </w:rPr>
        <w:t xml:space="preserve">INDOMIN</w:t>
      </w:r>
      <w:r>
        <w:t xml:space="preserve"> </w:t>
      </w:r>
      <w:r>
        <w:t xml:space="preserve">(Hikma Pharmaceuticals) (R) — Gélule 25 mg, B/30 (Liste I)</w:t>
      </w:r>
      <w:r>
        <w:t xml:space="preserve"> </w:t>
      </w:r>
      <w:r>
        <w:t xml:space="preserve">-</w:t>
      </w:r>
      <w:r>
        <w:t xml:space="preserve"> </w:t>
      </w:r>
      <w:r>
        <w:rPr>
          <w:b/>
          <w:bCs/>
        </w:rPr>
        <w:t xml:space="preserve">INDOMETACINE E.C</w:t>
      </w:r>
      <w:r>
        <w:t xml:space="preserve"> </w:t>
      </w:r>
      <w:r>
        <w:t xml:space="preserve">(Pharco Egypte) (R) — Gélule 25 mg, B/24 (Liste I)</w:t>
      </w:r>
    </w:p>
    <w:p>
      <w:pPr>
        <w:pStyle w:val="BodyText"/>
      </w:pPr>
      <w:r>
        <w:rPr>
          <w:b/>
          <w:bCs/>
        </w:rPr>
        <w:t xml:space="preserve">Collyre en solution 0,1 % (1 mg/mL) :</w:t>
      </w:r>
      <w:r>
        <w:t xml:space="preserve"> </w:t>
      </w:r>
      <w:r>
        <w:t xml:space="preserve">-</w:t>
      </w:r>
      <w:r>
        <w:t xml:space="preserve"> </w:t>
      </w:r>
      <w:r>
        <w:rPr>
          <w:b/>
          <w:bCs/>
        </w:rPr>
        <w:t xml:space="preserve">INDOCOLLYRE</w:t>
      </w:r>
      <w:r>
        <w:t xml:space="preserve"> </w:t>
      </w:r>
      <w:r>
        <w:t xml:space="preserve">(Chauvin S.A, France) — Collyre 0,1 %, B/01 flacon 5 mL (Liste I) — ACTIF</w:t>
      </w:r>
      <w:r>
        <w:t xml:space="preserve"> </w:t>
      </w:r>
      <w:r>
        <w:t xml:space="preserve">-</w:t>
      </w:r>
      <w:r>
        <w:t xml:space="preserve"> </w:t>
      </w:r>
      <w:r>
        <w:rPr>
          <w:b/>
          <w:bCs/>
        </w:rPr>
        <w:t xml:space="preserve">INDOCOLLYRE</w:t>
      </w:r>
      <w:r>
        <w:t xml:space="preserve"> </w:t>
      </w:r>
      <w:r>
        <w:t xml:space="preserve">(Chauvin S.A) — Collyre 0,1 %, Boîte de 20 récipients unidoses (Liste I) — ACTIF</w:t>
      </w:r>
      <w:r>
        <w:t xml:space="preserve"> </w:t>
      </w:r>
      <w:r>
        <w:t xml:space="preserve">-</w:t>
      </w:r>
      <w:r>
        <w:t xml:space="preserve"> </w:t>
      </w:r>
      <w:r>
        <w:rPr>
          <w:b/>
          <w:bCs/>
        </w:rPr>
        <w:t xml:space="preserve">INDOCID</w:t>
      </w:r>
      <w:r>
        <w:t xml:space="preserve"> </w:t>
      </w:r>
      <w:r>
        <w:t xml:space="preserve">(Merck Sharp &amp; Dhome Chibret) (R) — Collyre 0,1 %, FL 3 mL (Liste I)</w:t>
      </w:r>
    </w:p>
    <w:p>
      <w:pPr>
        <w:pStyle w:val="BodyText"/>
      </w:pPr>
      <w:r>
        <w:rPr>
          <w:b/>
          <w:bCs/>
        </w:rPr>
        <w:t xml:space="preserve">Suppositoires :</w:t>
      </w:r>
      <w:r>
        <w:t xml:space="preserve"> </w:t>
      </w:r>
      <w:r>
        <w:t xml:space="preserve">-</w:t>
      </w:r>
      <w:r>
        <w:t xml:space="preserve"> </w:t>
      </w:r>
      <w:r>
        <w:rPr>
          <w:b/>
          <w:bCs/>
        </w:rPr>
        <w:t xml:space="preserve">FIRMACIN</w:t>
      </w:r>
      <w:r>
        <w:t xml:space="preserve"> </w:t>
      </w:r>
      <w:r>
        <w:t xml:space="preserve">(Menarini) — Suppositoire 50 mg, B/10 (Liste I) — NON_RENOUVELABLE</w:t>
      </w:r>
      <w:r>
        <w:t xml:space="preserve"> </w:t>
      </w:r>
      <w:r>
        <w:t xml:space="preserve">-</w:t>
      </w:r>
      <w:r>
        <w:t xml:space="preserve"> </w:t>
      </w:r>
      <w:r>
        <w:rPr>
          <w:b/>
          <w:bCs/>
        </w:rPr>
        <w:t xml:space="preserve">FIRMACIN</w:t>
      </w:r>
      <w:r>
        <w:t xml:space="preserve"> </w:t>
      </w:r>
      <w:r>
        <w:t xml:space="preserve">(Menarini) — Suppositoire 100 mg, B/10 (Liste I) — NON_RENOUVELABLE</w:t>
      </w:r>
      <w:r>
        <w:t xml:space="preserve"> </w:t>
      </w:r>
      <w:r>
        <w:t xml:space="preserve">-</w:t>
      </w:r>
      <w:r>
        <w:t xml:space="preserve"> </w:t>
      </w:r>
      <w:r>
        <w:rPr>
          <w:b/>
          <w:bCs/>
        </w:rPr>
        <w:t xml:space="preserve">INDOCID</w:t>
      </w:r>
      <w:r>
        <w:t xml:space="preserve"> </w:t>
      </w:r>
      <w:r>
        <w:t xml:space="preserve">(Merck Sharp &amp; Dhome Chibret) (R) — Suppositoire 50 mg, B/10 (Liste I)</w:t>
      </w:r>
      <w:r>
        <w:t xml:space="preserve"> </w:t>
      </w:r>
      <w:r>
        <w:t xml:space="preserve">-</w:t>
      </w:r>
      <w:r>
        <w:t xml:space="preserve"> </w:t>
      </w:r>
      <w:r>
        <w:rPr>
          <w:b/>
          <w:bCs/>
        </w:rPr>
        <w:t xml:space="preserve">INDOCID</w:t>
      </w:r>
      <w:r>
        <w:t xml:space="preserve"> </w:t>
      </w:r>
      <w:r>
        <w:t xml:space="preserve">(Merck Sharp &amp; Dhome Chibret) (R) — Suppositoire 100 mg, B/10 (Liste I)</w:t>
      </w:r>
    </w:p>
    <w:p>
      <w:pPr>
        <w:pStyle w:val="BodyText"/>
      </w:pPr>
      <w:r>
        <w:rPr>
          <w:b/>
          <w:bCs/>
        </w:rPr>
        <w:t xml:space="preserve">Statut :</w:t>
      </w:r>
      <w:r>
        <w:t xml:space="preserve"> </w:t>
      </w:r>
      <w:r>
        <w:t xml:space="preserve">Le marché actif de l’indométacine en Algérie se réduit aujourd’hui à deux formes : la gélule orale (INDOMET 25 mg, Saidal) et le collyre (INDOCOLLYRE, Chauvin). Les suppositoires sont non renouvelés ou retirés. La molécule reste néanmoins essentielle en ophtalmologie (collyre) et comme AINS de seconde intention en rhumatologie (forme orale).</w:t>
      </w:r>
    </w:p>
    <w:p>
      <w:pPr>
        <w:pStyle w:val="BodyText"/>
      </w:pPr>
      <w:r>
        <w:rPr>
          <w:b/>
          <w:bCs/>
        </w:rPr>
        <w:t xml:space="preserve">Sous-classe et Mécanisme d’action :</w:t>
      </w:r>
      <w:r>
        <w:t xml:space="preserve"> </w:t>
      </w:r>
      <w:r>
        <w:t xml:space="preserve">- Sous-classe : Dérivé indolique (indole-acétique), AINS non sélectif COX-1/COX-2, puissant inhibiteur.</w:t>
      </w:r>
      <w:r>
        <w:t xml:space="preserve"> </w:t>
      </w:r>
      <w:r>
        <w:t xml:space="preserve">- Mécanisme d’action : Inhibition réversible et puissante des COX-1 et COX-2 → blocage de la synthèse des prostanoïdes. L’indométacine est l’un des AINS les plus puissants in vitro (IC50 COX-1 ~ 0,1 µM). Elle présente également une activité inhibitrice de la phosphodiestérase (à haute dose), de la 5-lipoxygénase, et des polypeptides inflammatoires. L’effet anti-inflammatoire est marqué, supérieur à celui de l’aspirine à dose équimolaire.</w:t>
      </w:r>
    </w:p>
    <w:p>
      <w:pPr>
        <w:pStyle w:val="BodyText"/>
      </w:pPr>
      <w:r>
        <w:rPr>
          <w:b/>
          <w:bCs/>
        </w:rPr>
        <w:t xml:space="preserve">Profil Pharmacologique :</w:t>
      </w:r>
      <w:r>
        <w:t xml:space="preserve"> </w:t>
      </w:r>
      <w:r>
        <w:t xml:space="preserve">- Indications :</w:t>
      </w:r>
      <w:r>
        <w:t xml:space="preserve"> </w:t>
      </w:r>
      <w:r>
        <w:t xml:space="preserve">- Voie orale : crises aiguës de goutte (en seconde intention, en cas d’échec ou de CI à la colchicine et aux autres AINS) ; accès aigus de spondylarthrite ankylosante ; poussées de polyarthrite rhumatoïde résistantes ; maladie de Still de l’adulte ; bursite, tendinite sévère. AINS de seconde intention en raison de sa toxicité.</w:t>
      </w:r>
      <w:r>
        <w:t xml:space="preserve"> </w:t>
      </w:r>
      <w:r>
        <w:t xml:space="preserve">- Voie ophtalmique : prévention et traitement de l’inflammation post-opératoire (cataracte, chirurgie réfractive, vitrectomie) ; prévention de l’œdème maculaire cystoïde post-opératoire ; traitement des inflammationes oculaires non infectieuses (épiscérite, sclérite, uvéite antérieure).</w:t>
      </w:r>
      <w:r>
        <w:t xml:space="preserve"> </w:t>
      </w:r>
      <w:r>
        <w:t xml:space="preserve">- Voie rectale (suppositoire, retiré) : alternative à la voie orale, en particulier chez l’enfant (suppositoire 50/100 mg).</w:t>
      </w:r>
      <w:r>
        <w:t xml:space="preserve"> </w:t>
      </w:r>
      <w:r>
        <w:t xml:space="preserve">- Usage hospitalier néonatal (indication hors AMM Algérie) : traitement curatif du rétrécissement du canal artériel persistant chez le prématuré (alternative à l’ibuprofène néonatal).</w:t>
      </w:r>
      <w:r>
        <w:t xml:space="preserve"> </w:t>
      </w:r>
      <w:r>
        <w:t xml:space="preserve">- Contre-indications :</w:t>
      </w:r>
      <w:r>
        <w:t xml:space="preserve"> </w:t>
      </w:r>
      <w:r>
        <w:t xml:space="preserve">- (1) Hypersensibilité à l’indométacine ou à un autre AINS.</w:t>
      </w:r>
      <w:r>
        <w:t xml:space="preserve"> </w:t>
      </w:r>
      <w:r>
        <w:t xml:space="preserve">- (2) Asthme aspirine-sensible, polypose naso-sinusienne, angio-œdème.</w:t>
      </w:r>
      <w:r>
        <w:t xml:space="preserve"> </w:t>
      </w:r>
      <w:r>
        <w:t xml:space="preserve">- (3) Ulcère gastro-duodénal en évolution ou antécédent récent.</w:t>
      </w:r>
      <w:r>
        <w:t xml:space="preserve"> </w:t>
      </w:r>
      <w:r>
        <w:t xml:space="preserve">- (4) Insuffisance hépatique sévère.</w:t>
      </w:r>
      <w:r>
        <w:t xml:space="preserve"> </w:t>
      </w:r>
      <w:r>
        <w:t xml:space="preserve">- (5) Insuffisance rénale sévère.</w:t>
      </w:r>
      <w:r>
        <w:t xml:space="preserve"> </w:t>
      </w:r>
      <w:r>
        <w:t xml:space="preserve">- (6) Insuffisance cardiaque sévère (l’indométacine peut décompenser une IC par rétention hydrosodée).</w:t>
      </w:r>
      <w:r>
        <w:t xml:space="preserve"> </w:t>
      </w:r>
      <w:r>
        <w:t xml:space="preserve">- (7) Maladie neurologique évolutive (épilepsie, maladie de Parkinson, troubles psychiatriques) — en raison de la neurotoxicité centrale.</w:t>
      </w:r>
      <w:r>
        <w:t xml:space="preserve"> </w:t>
      </w:r>
      <w:r>
        <w:t xml:space="preserve">- (8) Grossesse 3e trimestre. À éviter pendant toute la grossesse par prudence (toxicité fœtale).</w:t>
      </w:r>
      <w:r>
        <w:t xml:space="preserve"> </w:t>
      </w:r>
      <w:r>
        <w:t xml:space="preserve">- (9) Enfant &lt; 14 ans (forme orale et rectale) sauf indications spécifiques.</w:t>
      </w:r>
      <w:r>
        <w:t xml:space="preserve"> </w:t>
      </w:r>
      <w:r>
        <w:t xml:space="preserve">- (10) Troubles de la coagulation.</w:t>
      </w:r>
      <w:r>
        <w:t xml:space="preserve"> </w:t>
      </w:r>
      <w:r>
        <w:t xml:space="preserve">- (11) Forme ophtalmique : infection oculaire, herpès oculaire.</w:t>
      </w:r>
      <w:r>
        <w:t xml:space="preserve"> </w:t>
      </w:r>
      <w:r>
        <w:t xml:space="preserve">- Effets Indésirables :</w:t>
      </w:r>
      <w:r>
        <w:t xml:space="preserve"> </w:t>
      </w:r>
      <w:r>
        <w:t xml:space="preserve">- Neurologiques (particularité majeure, &gt; 25 % des patients) : céphalées (souvent intenses, frontales, pulsatiles), vertiges, somnolence, confusion, dépression, hallucinations, cauchemars, asthénie. Ces effets sont dose-dépendants et souvent régressifs à la baisse de dose, mais peuvent imposer l’arrêt.</w:t>
      </w:r>
      <w:r>
        <w:t xml:space="preserve"> </w:t>
      </w:r>
      <w:r>
        <w:t xml:space="preserve">- Digestifs : ulcère, hémorragie, perforation. L’indométacine est l’un des AINS les plus ulcérogènes.</w:t>
      </w:r>
      <w:r>
        <w:t xml:space="preserve"> </w:t>
      </w:r>
      <w:r>
        <w:t xml:space="preserve">- Rénaux : insuffisance rénale aiguë, néphropathie interstitielle, hyperkaliémie.</w:t>
      </w:r>
      <w:r>
        <w:t xml:space="preserve"> </w:t>
      </w:r>
      <w:r>
        <w:t xml:space="preserve">- Cardiovasculaires : majoration du risque thrombotique, HTA, décompensation cardiaque.</w:t>
      </w:r>
      <w:r>
        <w:t xml:space="preserve"> </w:t>
      </w:r>
      <w:r>
        <w:t xml:space="preserve">- Hématologiques : thrombopénie, neutropénie, anémie aplastique (rare mais grave).</w:t>
      </w:r>
      <w:r>
        <w:t xml:space="preserve"> </w:t>
      </w:r>
      <w:r>
        <w:t xml:space="preserve">- Cutanés : éruptions, prurit. Stevens-Johnson, Lyell (très rares).</w:t>
      </w:r>
      <w:r>
        <w:t xml:space="preserve"> </w:t>
      </w:r>
      <w:r>
        <w:t xml:space="preserve">- Ophtalmiques (forme collyre) : brûlure locale, vision floue transitoire, kératite, allergie locale.</w:t>
      </w:r>
      <w:r>
        <w:t xml:space="preserve"> </w:t>
      </w:r>
      <w:r>
        <w:t xml:space="preserve">- Voie IM : douleur au point d’injection.</w:t>
      </w:r>
    </w:p>
    <w:p>
      <w:pPr>
        <w:pStyle w:val="BodyText"/>
      </w:pPr>
      <w:r>
        <w:rPr>
          <w:b/>
          <w:bCs/>
        </w:rPr>
        <w:t xml:space="preserve">Prévention et Gestion des Effets Indésirables :</w:t>
      </w:r>
      <w:r>
        <w:t xml:space="preserve"> </w:t>
      </w:r>
      <w:r>
        <w:t xml:space="preserve">- Mesures Préventives :</w:t>
      </w:r>
      <w:r>
        <w:t xml:space="preserve"> </w:t>
      </w:r>
      <w:r>
        <w:t xml:space="preserve">- Posologie minimale efficace, durée la plus courte possible.</w:t>
      </w:r>
      <w:r>
        <w:t xml:space="preserve"> </w:t>
      </w:r>
      <w:r>
        <w:t xml:space="preserve">- Prise pendant les repas (voie orale), avec un grand verre d’eau.</w:t>
      </w:r>
      <w:r>
        <w:t xml:space="preserve"> </w:t>
      </w:r>
      <w:r>
        <w:t xml:space="preserve">- Co-prescription d’IPP si terrain à risque digestif.</w:t>
      </w:r>
      <w:r>
        <w:t xml:space="preserve"> </w:t>
      </w:r>
      <w:r>
        <w:t xml:space="preserve">- Surveillance neurologique : informer le patient du risque de céphalées, vertiges ; éviter la conduite automobile en début de traitement.</w:t>
      </w:r>
      <w:r>
        <w:t xml:space="preserve"> </w:t>
      </w:r>
      <w:r>
        <w:t xml:space="preserve">- Surveillance de la fonction rénale, hépatique, et NFS si traitement prolongé.</w:t>
      </w:r>
      <w:r>
        <w:t xml:space="preserve"> </w:t>
      </w:r>
      <w:r>
        <w:t xml:space="preserve">- Forme collyre : surveillance ophtalmologique (kératite), ne pas prolonger l’administration au-delà de 15 jours sans avis.</w:t>
      </w:r>
      <w:r>
        <w:t xml:space="preserve"> </w:t>
      </w:r>
      <w:r>
        <w:t xml:space="preserve">- Conduite à Tenir :</w:t>
      </w:r>
      <w:r>
        <w:t xml:space="preserve"> </w:t>
      </w:r>
      <w:r>
        <w:t xml:space="preserve">- Arrêt immédiat en cas de céphalées intenses, vertiges importants, confusion, hallucinations, troubles de l’humeur.</w:t>
      </w:r>
      <w:r>
        <w:t xml:space="preserve"> </w:t>
      </w:r>
      <w:r>
        <w:t xml:space="preserve">- Arrêt en cas de douleur épigastrique, melæna, hématémèse.</w:t>
      </w:r>
      <w:r>
        <w:t xml:space="preserve"> </w:t>
      </w:r>
      <w:r>
        <w:t xml:space="preserve">- Consultation urgente en cas de signes neurologiques persistants.</w:t>
      </w:r>
    </w:p>
    <w:p>
      <w:pPr>
        <w:pStyle w:val="BodyText"/>
      </w:pPr>
      <w:r>
        <w:rPr>
          <w:b/>
          <w:bCs/>
        </w:rPr>
        <w:t xml:space="preserve">Interactions Importantes :</w:t>
      </w:r>
      <w:r>
        <w:t xml:space="preserve"> </w:t>
      </w:r>
      <w:r>
        <w:t xml:space="preserve">-</w:t>
      </w:r>
      <w:r>
        <w:t xml:space="preserve"> </w:t>
      </w:r>
      <w:r>
        <w:rPr>
          <w:b/>
          <w:bCs/>
        </w:rPr>
        <w:t xml:space="preserve">Indométacine + AVK</w:t>
      </w:r>
      <w:r>
        <w:t xml:space="preserve"> </w:t>
      </w:r>
      <w:r>
        <w:t xml:space="preserve">: majoration du risque hémorragique.</w:t>
      </w:r>
      <w:r>
        <w:t xml:space="preserve"> </w:t>
      </w:r>
      <w:r>
        <w:t xml:space="preserve">-</w:t>
      </w:r>
      <w:r>
        <w:t xml:space="preserve"> </w:t>
      </w:r>
      <w:r>
        <w:rPr>
          <w:b/>
          <w:bCs/>
        </w:rPr>
        <w:t xml:space="preserve">Indométacine + Aspirine</w:t>
      </w:r>
      <w:r>
        <w:t xml:space="preserve"> </w:t>
      </w:r>
      <w:r>
        <w:t xml:space="preserve">: addition toxicité digestive, baisse de l’effet cardioprotecteur de l’aspirine.</w:t>
      </w:r>
      <w:r>
        <w:t xml:space="preserve"> </w:t>
      </w:r>
      <w:r>
        <w:t xml:space="preserve">-</w:t>
      </w:r>
      <w:r>
        <w:t xml:space="preserve"> </w:t>
      </w:r>
      <w:r>
        <w:rPr>
          <w:b/>
          <w:bCs/>
        </w:rPr>
        <w:t xml:space="preserve">Indométacine + IEC/ARA2/diurétiques</w:t>
      </w:r>
      <w:r>
        <w:t xml:space="preserve"> </w:t>
      </w:r>
      <w:r>
        <w:t xml:space="preserve">: effet triade néphrotoxique → IRA fonctionnelle.</w:t>
      </w:r>
      <w:r>
        <w:t xml:space="preserve"> </w:t>
      </w:r>
      <w:r>
        <w:t xml:space="preserve">-</w:t>
      </w:r>
      <w:r>
        <w:t xml:space="preserve"> </w:t>
      </w:r>
      <w:r>
        <w:rPr>
          <w:b/>
          <w:bCs/>
        </w:rPr>
        <w:t xml:space="preserve">Indométacine + Lithium</w:t>
      </w:r>
      <w:r>
        <w:t xml:space="preserve"> </w:t>
      </w:r>
      <w:r>
        <w:t xml:space="preserve">: baisse de la clairance rénale → toxicité.</w:t>
      </w:r>
      <w:r>
        <w:t xml:space="preserve"> </w:t>
      </w:r>
      <w:r>
        <w:t xml:space="preserve">-</w:t>
      </w:r>
      <w:r>
        <w:t xml:space="preserve"> </w:t>
      </w:r>
      <w:r>
        <w:rPr>
          <w:b/>
          <w:bCs/>
        </w:rPr>
        <w:t xml:space="preserve">Indométacine + Méthotrexate</w:t>
      </w:r>
      <w:r>
        <w:t xml:space="preserve"> </w:t>
      </w:r>
      <w:r>
        <w:t xml:space="preserve">: baisse de l’élimination → toxicité hématologique.</w:t>
      </w:r>
      <w:r>
        <w:t xml:space="preserve"> </w:t>
      </w:r>
      <w:r>
        <w:t xml:space="preserve">-</w:t>
      </w:r>
      <w:r>
        <w:t xml:space="preserve"> </w:t>
      </w:r>
      <w:r>
        <w:rPr>
          <w:b/>
          <w:bCs/>
        </w:rPr>
        <w:t xml:space="preserve">Indométacine + Probenécide</w:t>
      </w:r>
      <w:r>
        <w:t xml:space="preserve"> </w:t>
      </w:r>
      <w:r>
        <w:t xml:space="preserve">: inhibition de la sécrétion tubulaire → augmentation de l’exposition (historiquement utilisé pour réduire la dose).</w:t>
      </w:r>
      <w:r>
        <w:t xml:space="preserve"> </w:t>
      </w:r>
      <w:r>
        <w:t xml:space="preserve">-</w:t>
      </w:r>
      <w:r>
        <w:t xml:space="preserve"> </w:t>
      </w:r>
      <w:r>
        <w:rPr>
          <w:b/>
          <w:bCs/>
        </w:rPr>
        <w:t xml:space="preserve">Indométacine + Digitaliques (digoxine)</w:t>
      </w:r>
      <w:r>
        <w:t xml:space="preserve"> </w:t>
      </w:r>
      <w:r>
        <w:t xml:space="preserve">: augmentation des concentrations de digoxine (baisse de la clairance rénale).</w:t>
      </w:r>
      <w:r>
        <w:t xml:space="preserve"> </w:t>
      </w:r>
      <w:r>
        <w:t xml:space="preserve">-</w:t>
      </w:r>
      <w:r>
        <w:t xml:space="preserve"> </w:t>
      </w:r>
      <w:r>
        <w:rPr>
          <w:b/>
          <w:bCs/>
        </w:rPr>
        <w:t xml:space="preserve">Indométacine + Diurétiques</w:t>
      </w:r>
      <w:r>
        <w:t xml:space="preserve"> </w:t>
      </w:r>
      <w:r>
        <w:t xml:space="preserve">: baisse de l’effet diurétique et antihypertenseur.</w:t>
      </w:r>
      <w:r>
        <w:t xml:space="preserve"> </w:t>
      </w:r>
      <w:r>
        <w:t xml:space="preserve">-</w:t>
      </w:r>
      <w:r>
        <w:t xml:space="preserve"> </w:t>
      </w:r>
      <w:r>
        <w:rPr>
          <w:b/>
          <w:bCs/>
        </w:rPr>
        <w:t xml:space="preserve">Indométacine + Antihypertenseurs (bêtabloquants, IEC, ARA2)</w:t>
      </w:r>
      <w:r>
        <w:t xml:space="preserve"> </w:t>
      </w:r>
      <w:r>
        <w:t xml:space="preserve">: antagonisme de l’effet antihypertenseur.</w:t>
      </w:r>
      <w:r>
        <w:t xml:space="preserve"> </w:t>
      </w:r>
      <w:r>
        <w:t xml:space="preserve">-</w:t>
      </w:r>
      <w:r>
        <w:t xml:space="preserve"> </w:t>
      </w:r>
      <w:r>
        <w:rPr>
          <w:b/>
          <w:bCs/>
        </w:rPr>
        <w:t xml:space="preserve">Indométacine + Antidéresseurs tricycliques, ISRS</w:t>
      </w:r>
      <w:r>
        <w:t xml:space="preserve"> </w:t>
      </w:r>
      <w:r>
        <w:t xml:space="preserve">: majoration des effets indésirables neurologiques.</w:t>
      </w:r>
      <w:r>
        <w:t xml:space="preserve"> </w:t>
      </w:r>
      <w:r>
        <w:t xml:space="preserve">-</w:t>
      </w:r>
      <w:r>
        <w:t xml:space="preserve"> </w:t>
      </w:r>
      <w:r>
        <w:rPr>
          <w:b/>
          <w:bCs/>
        </w:rPr>
        <w:t xml:space="preserve">Indométacine + Phénytoïne</w:t>
      </w:r>
      <w:r>
        <w:t xml:space="preserve"> </w:t>
      </w:r>
      <w:r>
        <w:t xml:space="preserve">: augmentation des concentrations de phénytoïne.</w:t>
      </w:r>
    </w:p>
    <w:p>
      <w:pPr>
        <w:pStyle w:val="BodyText"/>
      </w:pPr>
      <w:r>
        <w:rPr>
          <w:b/>
          <w:bCs/>
        </w:rPr>
        <w:t xml:space="preserve">Grossesse et Allaitement :</w:t>
      </w:r>
      <w:r>
        <w:t xml:space="preserve"> </w:t>
      </w:r>
      <w:r>
        <w:t xml:space="preserve">- Grossesse : (selon CRAT)</w:t>
      </w:r>
      <w:r>
        <w:t xml:space="preserve"> </w:t>
      </w:r>
      <w:r>
        <w:t xml:space="preserve">- CI absolue à partir de 24 SA (3e trimestre) : fermeture prématurée du canal artériel, oligoamnios, inhibition des contractions.</w:t>
      </w:r>
      <w:r>
        <w:t xml:space="preserve"> </w:t>
      </w:r>
      <w:r>
        <w:t xml:space="preserve">- 1er et 2e trimestres : à éviter par prudence (l’indométacine est l’AINS le plus toxique pour le fœtus selon les données animales, avec risque d’effet malformatif et de toxicité neurologique fœtale). Préférer l’ibuprofène si AINS indispensable.</w:t>
      </w:r>
      <w:r>
        <w:t xml:space="preserve"> </w:t>
      </w:r>
      <w:r>
        <w:t xml:space="preserve">- Usage néonatal hospitalier (canal artériel) : indication très spécifique, sous stricte surveillance échographique et néonatale.</w:t>
      </w:r>
      <w:r>
        <w:t xml:space="preserve"> </w:t>
      </w:r>
      <w:r>
        <w:t xml:space="preserve">- Allaitement : À éviter (l’indométacine passe dans le lait, avec un ratio M/P élevé, et a été associée à des convulsions chez le nourrisson allaité). Préférer l’ibuprofène.</w:t>
      </w:r>
      <w:r>
        <w:t xml:space="preserve"> </w:t>
      </w:r>
      <w:r>
        <w:t xml:space="preserve">- Précisions : La forme collyre est considérée comme compatible pendant la grossesse (passage systémique négligeable).</w:t>
      </w:r>
    </w:p>
    <w:p>
      <w:pPr>
        <w:pStyle w:val="BodyText"/>
      </w:pPr>
      <w:r>
        <w:rPr>
          <w:b/>
          <w:bCs/>
        </w:rPr>
        <w:t xml:space="preserve">Posologie et Mode d’administration (Standard) :</w:t>
      </w:r>
      <w:r>
        <w:t xml:space="preserve"> </w:t>
      </w:r>
      <w:r>
        <w:t xml:space="preserve">- Adulte :</w:t>
      </w:r>
      <w:r>
        <w:t xml:space="preserve"> </w:t>
      </w:r>
      <w:r>
        <w:t xml:space="preserve">- Voie orale 25 mg (gélule) : 1 gélule x 2 à 3/j (50–75 mg/j), en commençant par 25 mg x 2/j et en augmentant progressivement si nécessaire. Dose maximale : 150 mg/j (200 mg/j en rhumatologie sévère). Prise pendant ou après les repas, avec un grand verre d’eau. À avaler en position assise ou debout (éviter le décubitus immédiat).</w:t>
      </w:r>
      <w:r>
        <w:t xml:space="preserve"> </w:t>
      </w:r>
      <w:r>
        <w:t xml:space="preserve">- Voie rectale (suppositoire, retiré) : 50 à 100 mg x 1 à 2/j.</w:t>
      </w:r>
      <w:r>
        <w:t xml:space="preserve"> </w:t>
      </w:r>
      <w:r>
        <w:t xml:space="preserve">- Voie ophtalmique (collyre 0,1 %) : 1 goutte x 4 à 6/j dans l’œil atteint. Prévention post-opératoire cataracte : 1 goutte x 4/j pendant 2 à 4 semaines. Traitement inflammation oculaire : 1 goutte x 3 à 4/j pendant 7 à 15 jours.</w:t>
      </w:r>
      <w:r>
        <w:t xml:space="preserve"> </w:t>
      </w:r>
      <w:r>
        <w:t xml:space="preserve">- Crise de goutte : 50 mg x 3/j pendant 3 à 5 jours, puis 25 mg x 3/j pendant 3 jours, puis arrêt progressif.</w:t>
      </w:r>
      <w:r>
        <w:t xml:space="preserve"> </w:t>
      </w:r>
      <w:r>
        <w:t xml:space="preserve">- Enfant &gt; 14 ans : 1 à 2 mg/kg/j en 2 à 4 prises, sans dépasser 150 mg/j.</w:t>
      </w:r>
      <w:r>
        <w:t xml:space="preserve"> </w:t>
      </w:r>
      <w:r>
        <w:t xml:space="preserve">- Enfant &lt; 14 ans : CI pour la forme orale et rectale.</w:t>
      </w:r>
      <w:r>
        <w:t xml:space="preserve"> </w:t>
      </w:r>
      <w:r>
        <w:t xml:space="preserve">- Sujet âgé : réduire la posologie initiale de moitié (25 mg x 1 à 2/j max), surveillance neurologique et digestive accrue. Éviter en pratique.</w:t>
      </w:r>
      <w:r>
        <w:t xml:space="preserve"> </w:t>
      </w:r>
      <w:r>
        <w:t xml:space="preserve">- Durée : 3 à 7 jours en crise aiguë ; traitement prolongé rarement indiqué (sauf spondylarthrite ankylosante résistante) sous surveillance étroite.</w:t>
      </w:r>
      <w:r>
        <w:t xml:space="preserve"> </w:t>
      </w:r>
      <w:r>
        <w:t xml:space="preserve">- Moment de prise : pendant les repas (voie orale). Pour la forme collyre : instiller dans le cul-de-sac conjonctival inférieur en regardant vers le haut, paupières fermées, masser doucement.</w:t>
      </w:r>
    </w:p>
    <w:p>
      <w:pPr>
        <w:pStyle w:val="BodyText"/>
      </w:pPr>
      <w:r>
        <w:rPr>
          <w:b/>
          <w:bCs/>
        </w:rPr>
        <w:t xml:space="preserve">Arbitrage et Bénéfices des Formes Galéniques :</w:t>
      </w:r>
      <w:r>
        <w:t xml:space="preserve"> </w:t>
      </w:r>
      <w:r>
        <w:t xml:space="preserve">- Gélules 25 mg : forme de référence pour la voie orale. Dose unitaire faible autorisant une titration progressive. Inconvénient : 2 à 3 prises/j.</w:t>
      </w:r>
      <w:r>
        <w:t xml:space="preserve"> </w:t>
      </w:r>
      <w:r>
        <w:t xml:space="preserve">- Suppositoires (retirés) : alternative en cas d’impossibilité de voie orale, ou pour le nourrisson/enfant. Tolérance rectale médiocre.</w:t>
      </w:r>
      <w:r>
        <w:t xml:space="preserve"> </w:t>
      </w:r>
      <w:r>
        <w:t xml:space="preserve">- Collyre 0,1 % : indication majeure en ophtalmologie. Forme de référence pour la prévention et le traitement de l’inflammation post-opératoire en chirurgie de la cataracte. Disponible en flacon multidoses (5 mL) ou en récipients unidoses (boîte de 20).</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anti-inflammatoire puissant. Vous le prendrez pendant les repas avec un grand verre d’eau.</w:t>
      </w:r>
      <w:r>
        <w:t xml:space="preserve">”</w:t>
      </w:r>
      <w:r>
        <w:t xml:space="preserve"> </w:t>
      </w:r>
      <w:r>
        <w:t xml:space="preserve">-</w:t>
      </w:r>
      <w:r>
        <w:t xml:space="preserve"> </w:t>
      </w:r>
      <w:r>
        <w:t xml:space="preserve">“</w:t>
      </w:r>
      <w:r>
        <w:t xml:space="preserve">Attention, ce médicament peut provoquer des maux de tête, des vertiges, une somnolence. Ne conduisez pas si vous avez ces symptômes.</w:t>
      </w:r>
      <w:r>
        <w:t xml:space="preserve">”</w:t>
      </w:r>
      <w:r>
        <w:t xml:space="preserve"> </w:t>
      </w:r>
      <w:r>
        <w:t xml:space="preserve">-</w:t>
      </w:r>
      <w:r>
        <w:t xml:space="preserve"> </w:t>
      </w:r>
      <w:r>
        <w:t xml:space="preserve">“</w:t>
      </w:r>
      <w:r>
        <w:t xml:space="preserve">Ne l’associez pas à un autre AINS ni avec de l’alcool.</w:t>
      </w:r>
      <w:r>
        <w:t xml:space="preserve">”</w:t>
      </w:r>
      <w:r>
        <w:t xml:space="preserve"> </w:t>
      </w:r>
      <w:r>
        <w:t xml:space="preserve">-</w:t>
      </w:r>
      <w:r>
        <w:t xml:space="preserve"> </w:t>
      </w:r>
      <w:r>
        <w:t xml:space="preserve">“</w:t>
      </w:r>
      <w:r>
        <w:t xml:space="preserve">Si vous avez des maux de tête intenses, des vertiges, des troubles de l’humeur, des douleurs au ventre, arrêtez et consultez immédiatement.</w:t>
      </w:r>
      <w:r>
        <w:t xml:space="preserve">”</w:t>
      </w:r>
      <w:r>
        <w:t xml:space="preserve"> </w:t>
      </w:r>
      <w:r>
        <w:t xml:space="preserve">-</w:t>
      </w:r>
      <w:r>
        <w:t xml:space="preserve"> </w:t>
      </w:r>
      <w:r>
        <w:t xml:space="preserve">“</w:t>
      </w:r>
      <w:r>
        <w:t xml:space="preserve">Pour le collyre, lavez-vous les mains avant instillation, ne touchez pas l’œil avec l’embout du flacon, ne portez pas de lentilles pendant le traitement.</w:t>
      </w:r>
      <w:r>
        <w:t xml:space="preserve">”</w:t>
      </w:r>
      <w:r>
        <w:t xml:space="preserve"> </w:t>
      </w:r>
      <w:r>
        <w:t xml:space="preserve">- Mode d’utilisation pratique :</w:t>
      </w:r>
      <w:r>
        <w:t xml:space="preserve"> </w:t>
      </w:r>
      <w:r>
        <w:t xml:space="preserve">- Gélule : avaler entière pendant le repas, avec un grand verre d’eau, en position assise ou debout.</w:t>
      </w:r>
      <w:r>
        <w:t xml:space="preserve"> </w:t>
      </w:r>
      <w:r>
        <w:t xml:space="preserve">- Collyre : instiller 1 goutte dans le cul-de-sac conjonctival inférieur en regardant vers le haut, paupières fermées, masser doucement. Ne pas toucher l’œil avec l’embout. Retirer les lentilles de contact avant instillation (les remettre 15 min après).</w:t>
      </w:r>
      <w:r>
        <w:t xml:space="preserve"> </w:t>
      </w:r>
      <w:r>
        <w:t xml:space="preserve">- En cas d’oubli, ne pas doubler la dose, prendre la suivante à l’heure prévue.</w:t>
      </w:r>
    </w:p>
    <w:p>
      <w:pPr>
        <w:pStyle w:val="BodyText"/>
      </w:pPr>
      <w:r>
        <w:rPr>
          <w:b/>
          <w:bCs/>
        </w:rPr>
        <w:t xml:space="preserve">Notes, Règles d’Or &amp; Pièges au Comptoir :</w:t>
      </w:r>
      <w:r>
        <w:t xml:space="preserve"> </w:t>
      </w:r>
      <w:r>
        <w:t xml:space="preserve">- Piège classique de la neurotoxicité : patient qui signale des céphalées persistantes sous indométacine → arrêter le traitement, ne pas majorer la dose (les céphalées peuvent être confondues avec une céphalée migraineuse conduisant à augmenter la dose).</w:t>
      </w:r>
      <w:r>
        <w:t xml:space="preserve"> </w:t>
      </w:r>
      <w:r>
        <w:t xml:space="preserve">- Piège de la toxicité digestive : l’indométacine est l’un des AINS les plus ulcérogènes, à utiliser avec prudence chez le sujet à risque digestif.</w:t>
      </w:r>
      <w:r>
        <w:t xml:space="preserve"> </w:t>
      </w:r>
      <w:r>
        <w:t xml:space="preserve">- Piège de l’association à l’aspirine : patient sous aspirine cardioprotectrice qui demande de l’indométacine → refuser, risque de baisse de l’effet aspirine et de sur-risque digestif.</w:t>
      </w:r>
      <w:r>
        <w:t xml:space="preserve"> </w:t>
      </w:r>
      <w:r>
        <w:t xml:space="preserve">- Piège femme enceinte : CI stricte à partir de 24 SA ; à éviter pendant toute la grossesse par prudence.</w:t>
      </w:r>
      <w:r>
        <w:t xml:space="preserve"> </w:t>
      </w:r>
      <w:r>
        <w:t xml:space="preserve">- Piège du patient sous diurétique ou IEC : risque majeur d’IRA fonctionnelle.</w:t>
      </w:r>
      <w:r>
        <w:t xml:space="preserve"> </w:t>
      </w:r>
      <w:r>
        <w:t xml:space="preserve">- Règle de prise : jamais plus de 150 mg/j, jamais plus de 7 jours sans avis médical.</w:t>
      </w:r>
      <w:r>
        <w:t xml:space="preserve"> </w:t>
      </w:r>
      <w:r>
        <w:t xml:space="preserve">- Préparation et Conservation :</w:t>
      </w:r>
      <w:r>
        <w:t xml:space="preserve"> </w:t>
      </w:r>
      <w:r>
        <w:t xml:space="preserve">- Gélules : conservation à T &lt; 25 °C, à l’abri de la lumière et de l’humidité.</w:t>
      </w:r>
      <w:r>
        <w:t xml:space="preserve"> </w:t>
      </w:r>
      <w:r>
        <w:t xml:space="preserve">- Collyre : conservation à T &lt; 25 °C, après ouverture : 1 mois maximum. Ne pas toucher l’œil avec l’embout.</w:t>
      </w:r>
      <w:r>
        <w:t xml:space="preserve"> </w:t>
      </w:r>
      <w:r>
        <w:t xml:space="preserve">- Suppositoires : conservation à T &lt; 25 °C, à l’abri de la chaleur.</w:t>
      </w:r>
      <w:r>
        <w:t xml:space="preserve"> </w:t>
      </w:r>
      <w:r>
        <w:t xml:space="preserve">- Piège du surdosage : aux doses massives, risque d’insuffisance rénale aiguë, d’acidose métabolique, de convulsions, de coma.</w:t>
      </w:r>
    </w:p>
    <w:p>
      <w:r>
        <w:pict>
          <v:rect style="width:0;height:1.5pt" o:hralign="center" o:hrstd="t" o:hr="t"/>
        </w:pict>
      </w:r>
    </w:p>
    <w:bookmarkEnd w:id="134"/>
    <w:bookmarkEnd w:id="135"/>
    <w:bookmarkStart w:id="138" w:name="X04e1eeb377a338eb543a42dd02892ccb6332dd1"/>
    <w:p>
      <w:pPr>
        <w:pStyle w:val="Heading2"/>
      </w:pPr>
      <w:r>
        <w:t xml:space="preserve">IV. Sous-classe : AINS - Dérivés hétérocycliques</w:t>
      </w:r>
    </w:p>
    <w:bookmarkStart w:id="136" w:name="introduction-à-la-sous-classe-3"/>
    <w:p>
      <w:pPr>
        <w:pStyle w:val="Heading3"/>
      </w:pPr>
      <w:r>
        <w:t xml:space="preserve">Introduction à la sous-classe</w:t>
      </w:r>
    </w:p>
    <w:p>
      <w:pPr>
        <w:pStyle w:val="FirstParagraph"/>
      </w:pPr>
      <w:r>
        <w:t xml:space="preserve">Les AINS dérivés hétérocycliques (également appelés</w:t>
      </w:r>
      <w:r>
        <w:t xml:space="preserve"> </w:t>
      </w:r>
      <w:r>
        <w:t xml:space="preserve">“</w:t>
      </w:r>
      <w:r>
        <w:t xml:space="preserve">enolic acids</w:t>
      </w:r>
      <w:r>
        <w:t xml:space="preserve">”</w:t>
      </w:r>
      <w:r>
        <w:t xml:space="preserve"> </w:t>
      </w:r>
      <w:r>
        <w:t xml:space="preserve">ou AINS à noyau hétérocyclique) regroupent plusieurs sous-familles structurales : les oxicams (piroxicam, méloxicam, ténoxicam — traités dans une autre section), les pyrrolo-pyrroles (kétorolac), et les pyrazolés (phénylbutazone, métamizole — traité dans une autre section). Le kétorolac est le seul représentant de la sous-classe</w:t>
      </w:r>
      <w:r>
        <w:t xml:space="preserve"> </w:t>
      </w:r>
      <w:r>
        <w:t xml:space="preserve">“</w:t>
      </w:r>
      <w:r>
        <w:t xml:space="preserve">dérivés hétérocycliques</w:t>
      </w:r>
      <w:r>
        <w:t xml:space="preserve">”</w:t>
      </w:r>
      <w:r>
        <w:t xml:space="preserve"> </w:t>
      </w:r>
      <w:r>
        <w:t xml:space="preserve">au sens strict traité dans cette section. Il se distingue fondamentalement des autres AINS par son profil pharmacologique particulier : il est utilisé quasi-exclusivement comme antalgique pur (et non comme anti-inflammatoire), en raison de son exceptionnelle puissance antalgique (comparable à la morphine 10 mg IM) et de sa faible activité anti-inflammatoire à dose thérapeutique. Le kétorolac est en effet l’un des rares AINS disponibles en forme injectable IM/IV, indiqué dans la douleur aiguë intense post-opératoire. Sa commercialisation en Algérie est limitée à un seul produit en collyre (MEDROLGIN 0,5 mg/mL), la forme injectable n’étant pas disponible dans la nomenclature d’avril 2026.</w:t>
      </w:r>
    </w:p>
    <w:bookmarkEnd w:id="136"/>
    <w:bookmarkStart w:id="137" w:name="dci-kétorolac-seule"/>
    <w:p>
      <w:pPr>
        <w:pStyle w:val="Heading3"/>
      </w:pPr>
      <w:r>
        <w:t xml:space="preserve">9. DCI : Kétorolac (Seule)</w:t>
      </w:r>
    </w:p>
    <w:p>
      <w:pPr>
        <w:pStyle w:val="FirstParagraph"/>
      </w:pPr>
      <w:r>
        <w:rPr>
          <w:b/>
          <w:bCs/>
        </w:rPr>
        <w:t xml:space="preserve">Liste des Catégories :</w:t>
      </w:r>
      <w:r>
        <w:t xml:space="preserve"> </w:t>
      </w:r>
      <w:r>
        <w:t xml:space="preserve">Liste I (collyre).</w:t>
      </w:r>
    </w:p>
    <w:p>
      <w:pPr>
        <w:pStyle w:val="BodyText"/>
      </w:pPr>
      <w:r>
        <w:t xml:space="preserve">Le kétorolac (acide 5-benzoyl-2,3-dihydro-1H-pyrrolizine-1-carboxylique) est un AINS de la sous-classe des dérivés hétérocycliques (pyrrolo-pyrrole), caractérisé par une activité antalgique remarquable, supérieure à celle de la plupart des autres AINS et comparable à celle des morphiniques faibles (et même à 10 mg de morphine IM selon certaines études). Cette puissance antalgique s’explique par sa forte lipophilie et sa bonne pénétration centrale, ainsi que par une affinité élevée pour la COX-1 et la COX-2. En revanche, son activité anti-inflammatoire est modeste à dose antalgique (probablement parce que l’inhibition de la COX-2 requiert des concentrations plus élevées que l’inhibition de la COX-1, et que le kétorolac a un ratio COX-1/COX-2 moins favorable à l’effet anti-inflammatoire). Le kétorolac est disponible en Algérie uniquement sous forme de collyre ophtalmique 0,5 mg/mL (MEDROLGIN, World Medecine, Turquie). La forme injectable IM/IV (historiquement TORADOL aux États-Unis, KETOROLAC EG en Europe) n’est pas commercialisée en Algérie à ce jour. Le collyre de kétorolac est indiqué dans le traitement symptomatique de la douleur oculaire post-opératoire (après chirurgie réfractive, PKR, LASIK), de la douleur oculaire traumatique, et des inflammations oculaires non infectieuses. Il est également utilisé hors AMM dans la prévention de l’œdème maculaire cystoïde post-opératoire.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MEDROLGIN</w:t>
      </w:r>
      <w:r>
        <w:t xml:space="preserve"> </w:t>
      </w:r>
      <w:r>
        <w:t xml:space="preserve">(World Medecine Ilac San.ve Tic.AS, Turquie)</w:t>
      </w:r>
      <w:r>
        <w:t xml:space="preserve"> </w:t>
      </w:r>
      <w:r>
        <w:t xml:space="preserve">- Forme : Collyre en solution</w:t>
      </w:r>
      <w:r>
        <w:t xml:space="preserve"> </w:t>
      </w:r>
      <w:r>
        <w:t xml:space="preserve">- Dosage : 0,5 mg/mL</w:t>
      </w:r>
      <w:r>
        <w:t xml:space="preserve"> </w:t>
      </w:r>
      <w:r>
        <w:t xml:space="preserve">- Conditionnement : 1 flacon 5 mL</w:t>
      </w:r>
      <w:r>
        <w:t xml:space="preserve"> </w:t>
      </w:r>
      <w:r>
        <w:t xml:space="preserve">- Liste : Liste I</w:t>
      </w:r>
      <w:r>
        <w:t xml:space="preserve"> </w:t>
      </w:r>
      <w:r>
        <w:t xml:space="preserve">- Statut : ACTIF</w:t>
      </w:r>
    </w:p>
    <w:p>
      <w:pPr>
        <w:pStyle w:val="BodyText"/>
      </w:pPr>
      <w:r>
        <w:rPr>
          <w:b/>
          <w:bCs/>
        </w:rPr>
        <w:t xml:space="preserve">Statut :</w:t>
      </w:r>
      <w:r>
        <w:t xml:space="preserve"> </w:t>
      </w:r>
      <w:r>
        <w:t xml:space="preserve">Une seule spécialité active en Algérie. La forme injectable IM/IV n’est pas disponible dans la nomenclature algérienne. Le marché du kétorolac est donc limité à l’indication ophtalmologique.</w:t>
      </w:r>
    </w:p>
    <w:p>
      <w:pPr>
        <w:pStyle w:val="BodyText"/>
      </w:pPr>
      <w:r>
        <w:rPr>
          <w:b/>
          <w:bCs/>
        </w:rPr>
        <w:t xml:space="preserve">Sous-classe et Mécanisme d’action :</w:t>
      </w:r>
      <w:r>
        <w:t xml:space="preserve"> </w:t>
      </w:r>
      <w:r>
        <w:t xml:space="preserve">- Sous-classe : Dérivé hétérocyclique (pyrrolo-pyrrole), AINS non sélectif COX-1/COX-2.</w:t>
      </w:r>
      <w:r>
        <w:t xml:space="preserve"> </w:t>
      </w:r>
      <w:r>
        <w:t xml:space="preserve">- Mécanisme d’action : Inhibition réversible des COX-1 et COX-2 → blocage de la synthèse des prostanoïdes. Le kétorolac présente une affinité élevée pour la COX-1 (IC50 = 0,1 µM) et une bonne affinité pour la COX-2 (IC50 = 0,2 µM), ce qui explique son activité antalgique (prostaglandines périphériques et centrales) et son activité anti-inflammatoire modeste (concentrations tissulaires insuffisantes à dose antalgique pour inhiber efficacement la COX-2 in situ). Le kétorolac est un mélange racémique, mais seul l’énantiomère S est actif.</w:t>
      </w:r>
    </w:p>
    <w:p>
      <w:pPr>
        <w:pStyle w:val="BodyText"/>
      </w:pPr>
      <w:r>
        <w:rPr>
          <w:b/>
          <w:bCs/>
        </w:rPr>
        <w:t xml:space="preserve">Profil Pharmacologique :</w:t>
      </w:r>
      <w:r>
        <w:t xml:space="preserve"> </w:t>
      </w:r>
      <w:r>
        <w:t xml:space="preserve">- Indications :</w:t>
      </w:r>
      <w:r>
        <w:t xml:space="preserve"> </w:t>
      </w:r>
      <w:r>
        <w:t xml:space="preserve">- Collyre 0,5 mg/mL : traitement symptomatique de la douleur oculaire post-opératoire (chirurgie réfractive : LASIK, PKR ; chirurgie de la cataracte ; chirurgie du glaucome) ; douleur oculaire post-traumatique ; prurit oculaire allergique (en association). Usage hors AMM : prévention de l’œdème maculaire cystoïde post-opératoire.</w:t>
      </w:r>
      <w:r>
        <w:t xml:space="preserve"> </w:t>
      </w:r>
      <w:r>
        <w:t xml:space="preserve">- Forme injectable (non disponible en Algérie) : douleur aiguë intense post-opératoire, en alternative aux morphiniques, en échelle analgésique OMS palier 2-3.</w:t>
      </w:r>
      <w:r>
        <w:t xml:space="preserve"> </w:t>
      </w:r>
      <w:r>
        <w:t xml:space="preserve">- Contre-indications :</w:t>
      </w:r>
      <w:r>
        <w:t xml:space="preserve"> </w:t>
      </w:r>
      <w:r>
        <w:t xml:space="preserve">- (1) Hypersensibilité au kétorolac ou à un autre AINS.</w:t>
      </w:r>
      <w:r>
        <w:t xml:space="preserve"> </w:t>
      </w:r>
      <w:r>
        <w:t xml:space="preserve">- (2) Asthme aspirine-sensible, polypose naso-sinusienne, angio-œdème.</w:t>
      </w:r>
      <w:r>
        <w:t xml:space="preserve"> </w:t>
      </w:r>
      <w:r>
        <w:t xml:space="preserve">- (3) Ulcère gastro-duodénal en évolution ou antécédent récent.</w:t>
      </w:r>
      <w:r>
        <w:t xml:space="preserve"> </w:t>
      </w:r>
      <w:r>
        <w:t xml:space="preserve">- (4) Insuffisance rénale sévère (DFG &lt; 30 mL/min).</w:t>
      </w:r>
      <w:r>
        <w:t xml:space="preserve"> </w:t>
      </w:r>
      <w:r>
        <w:t xml:space="preserve">- (5) Insuffisance hépatique sévère.</w:t>
      </w:r>
      <w:r>
        <w:t xml:space="preserve"> </w:t>
      </w:r>
      <w:r>
        <w:t xml:space="preserve">- (6) Insuffisance cardiaque sévère.</w:t>
      </w:r>
      <w:r>
        <w:t xml:space="preserve"> </w:t>
      </w:r>
      <w:r>
        <w:t xml:space="preserve">- (7) Troubles de la coagulation.</w:t>
      </w:r>
      <w:r>
        <w:t xml:space="preserve"> </w:t>
      </w:r>
      <w:r>
        <w:t xml:space="preserve">- (8) Grossesse 3e trimestre. À éviter pendant toute la grossesse par prudence.</w:t>
      </w:r>
      <w:r>
        <w:t xml:space="preserve"> </w:t>
      </w:r>
      <w:r>
        <w:t xml:space="preserve">- (9) Enfant &lt; 3 ans pour la forme collyre ; enfant &lt; 16 ans pour la forme injectable.</w:t>
      </w:r>
      <w:r>
        <w:t xml:space="preserve"> </w:t>
      </w:r>
      <w:r>
        <w:t xml:space="preserve">- (10) Forme collyre : infection oculaire, herpès oculaire, port de lentilles de contact (retirer avant instillation, remettre 15 min après).</w:t>
      </w:r>
      <w:r>
        <w:t xml:space="preserve"> </w:t>
      </w:r>
      <w:r>
        <w:t xml:space="preserve">- Effets Indésirables :</w:t>
      </w:r>
      <w:r>
        <w:t xml:space="preserve"> </w:t>
      </w:r>
      <w:r>
        <w:t xml:space="preserve">- Ophtalmiques (forme collyre) : brûlure locale transitoire, vision floue transitoire, kératite, allergie locale, sécheresse oculaire. Risque accru de syndrome sec oculaire en cas d’usage prolongé.</w:t>
      </w:r>
      <w:r>
        <w:t xml:space="preserve"> </w:t>
      </w:r>
      <w:r>
        <w:t xml:space="preserve">- Systémiques (en cas d’usage prolongé ou de surface importante d’instillation) : passage systémique possible, risque de toxicité digestive, rénale, CV, identique aux autres AINS.</w:t>
      </w:r>
      <w:r>
        <w:t xml:space="preserve"> </w:t>
      </w:r>
      <w:r>
        <w:t xml:space="preserve">- Forme injectable (référence bibliographique) : toxicité digestive, rénale, neurologique (somnolence, vertiges), hémorragie, hypersensibilité. Risque accru par rapport aux AINS oraux en raison de la dose élevée et de l’administration parentérale.</w:t>
      </w:r>
    </w:p>
    <w:p>
      <w:pPr>
        <w:pStyle w:val="BodyText"/>
      </w:pPr>
      <w:r>
        <w:rPr>
          <w:b/>
          <w:bCs/>
        </w:rPr>
        <w:t xml:space="preserve">Prévention et Gestion des Effets Indésirables :</w:t>
      </w:r>
      <w:r>
        <w:t xml:space="preserve"> </w:t>
      </w:r>
      <w:r>
        <w:t xml:space="preserve">- Mesures Préventives : ne pas prolonger l’usage du collyre au-delà de 7 à 14 jours sans avis ophtalmologique. Surveillance ophtalmologique régulière (cornée). Ne pas associer à un autre AINS topique ou systémique sans avis.</w:t>
      </w:r>
      <w:r>
        <w:t xml:space="preserve"> </w:t>
      </w:r>
      <w:r>
        <w:t xml:space="preserve">- Conduite à Tenir : arrêt en cas de kératite, d’allergie locale, de vision floue persistante, de douleur oculaire augmentée.</w:t>
      </w:r>
    </w:p>
    <w:p>
      <w:pPr>
        <w:pStyle w:val="BodyText"/>
      </w:pPr>
      <w:r>
        <w:rPr>
          <w:b/>
          <w:bCs/>
        </w:rPr>
        <w:t xml:space="preserve">Interactions Importantes :</w:t>
      </w:r>
      <w:r>
        <w:t xml:space="preserve"> </w:t>
      </w:r>
      <w:r>
        <w:t xml:space="preserve">-</w:t>
      </w:r>
      <w:r>
        <w:t xml:space="preserve"> </w:t>
      </w:r>
      <w:r>
        <w:rPr>
          <w:b/>
          <w:bCs/>
        </w:rPr>
        <w:t xml:space="preserve">Kétorolac collyre + AINS systémiques</w:t>
      </w:r>
      <w:r>
        <w:t xml:space="preserve"> </w:t>
      </w:r>
      <w:r>
        <w:t xml:space="preserve">: risque de majoration de la toxicité (passage systémique faible mais non négligeable en cas d’usage prolongé).</w:t>
      </w:r>
      <w:r>
        <w:t xml:space="preserve"> </w:t>
      </w:r>
      <w:r>
        <w:t xml:space="preserve">-</w:t>
      </w:r>
      <w:r>
        <w:t xml:space="preserve"> </w:t>
      </w:r>
      <w:r>
        <w:rPr>
          <w:b/>
          <w:bCs/>
        </w:rPr>
        <w:t xml:space="preserve">Kétorolac collyre + Anticoagulants oraux</w:t>
      </w:r>
      <w:r>
        <w:t xml:space="preserve"> </w:t>
      </w:r>
      <w:r>
        <w:t xml:space="preserve">: surveillance (risque hémorragique majoré).</w:t>
      </w:r>
      <w:r>
        <w:t xml:space="preserve"> </w:t>
      </w:r>
      <w:r>
        <w:t xml:space="preserve">-</w:t>
      </w:r>
      <w:r>
        <w:t xml:space="preserve"> </w:t>
      </w:r>
      <w:r>
        <w:rPr>
          <w:b/>
          <w:bCs/>
        </w:rPr>
        <w:t xml:space="preserve">Forme injectable (référence) : Kétorolac + Lithium, Méthotrexate, IEC/ARA2/diurétiques, AVK, Aspirine</w:t>
      </w:r>
      <w:r>
        <w:t xml:space="preserve"> </w:t>
      </w:r>
      <w:r>
        <w:t xml:space="preserve">: interactions identiques à la classe.</w:t>
      </w:r>
    </w:p>
    <w:p>
      <w:pPr>
        <w:pStyle w:val="BodyText"/>
      </w:pPr>
      <w:r>
        <w:rPr>
          <w:b/>
          <w:bCs/>
        </w:rPr>
        <w:t xml:space="preserve">Grossesse et Allaitement :</w:t>
      </w:r>
      <w:r>
        <w:t xml:space="preserve"> </w:t>
      </w:r>
      <w:r>
        <w:t xml:space="preserve">- Grossesse : À éviter pendant toute la grossesse par prudence. CI absolue 3e trimestre. Préférer l’ibuprofène si AINS nécessaire.</w:t>
      </w:r>
      <w:r>
        <w:t xml:space="preserve"> </w:t>
      </w:r>
      <w:r>
        <w:t xml:space="preserve">- Allaitement : Compatible dose unique (forme collyre : passage systémique négligeable).</w:t>
      </w:r>
      <w:r>
        <w:t xml:space="preserve"> </w:t>
      </w:r>
      <w:r>
        <w:t xml:space="preserve">- Précisions : La forme collyre est considérée comme compatible pendant la grossesse (passage systémique très faible).</w:t>
      </w:r>
    </w:p>
    <w:p>
      <w:pPr>
        <w:pStyle w:val="BodyText"/>
      </w:pPr>
      <w:r>
        <w:rPr>
          <w:b/>
          <w:bCs/>
        </w:rPr>
        <w:t xml:space="preserve">Posologie et Mode d’administration (Standard) :</w:t>
      </w:r>
      <w:r>
        <w:t xml:space="preserve"> </w:t>
      </w:r>
      <w:r>
        <w:t xml:space="preserve">- Adulte (collyre 0,5 mg/mL) :</w:t>
      </w:r>
      <w:r>
        <w:t xml:space="preserve"> </w:t>
      </w:r>
      <w:r>
        <w:t xml:space="preserve">- Traitement de la douleur post-opératoire : 1 goutte x 4/j dans l’œil atteint, pendant 2 à 14 jours selon la prescription.</w:t>
      </w:r>
      <w:r>
        <w:t xml:space="preserve"> </w:t>
      </w:r>
      <w:r>
        <w:t xml:space="preserve">- Traitement de l’inflammation oculaire : 1 goutte x 3 à 4/j.</w:t>
      </w:r>
      <w:r>
        <w:t xml:space="preserve"> </w:t>
      </w:r>
      <w:r>
        <w:t xml:space="preserve">- Prévention de l’œdème maculaire cystoïde post-opératoire : 1 goutte x 4/j en association avec un corticoïde local, pendant 4 semaines.</w:t>
      </w:r>
      <w:r>
        <w:t xml:space="preserve"> </w:t>
      </w:r>
      <w:r>
        <w:t xml:space="preserve">- Enfant &gt; 3 ans : 1 goutte x 3/j.</w:t>
      </w:r>
      <w:r>
        <w:t xml:space="preserve"> </w:t>
      </w:r>
      <w:r>
        <w:t xml:space="preserve">- Sujet âgé : pas d’adaptation posologique pour la forme collyre.</w:t>
      </w:r>
      <w:r>
        <w:t xml:space="preserve"> </w:t>
      </w:r>
      <w:r>
        <w:t xml:space="preserve">- Durée : 7 à 14 jours pour la douleur post-opératoire ; 4 semaines pour la prévention de l’œdème maculaire.</w:t>
      </w:r>
      <w:r>
        <w:t xml:space="preserve"> </w:t>
      </w:r>
      <w:r>
        <w:t xml:space="preserve">- Moment de prise : instiller dans le cul-de-sac conjonctival inférieur en regardant vers le haut, paupières fermées, masser doucement. Retirer les lentilles de contact avant instillation, les remettre 15 min après.</w:t>
      </w:r>
    </w:p>
    <w:p>
      <w:pPr>
        <w:pStyle w:val="BodyText"/>
      </w:pPr>
      <w:r>
        <w:rPr>
          <w:b/>
          <w:bCs/>
        </w:rPr>
        <w:t xml:space="preserve">Arbitrage et Bénéfices des Formes Galéniques :</w:t>
      </w:r>
      <w:r>
        <w:t xml:space="preserve"> </w:t>
      </w:r>
      <w:r>
        <w:t xml:space="preserve">- Collyre 0,5 mg/mL : seule forme disponible en Algérie. Indication principale : douleur post-opératoire en ophtalmologie. Avantage : passage systémique négligeable, action locale rapide (délai 30 min), bonne tolérance locale. Inconvénient : brûlure locale initiale fréquente.</w:t>
      </w:r>
      <w:r>
        <w:t xml:space="preserve"> </w:t>
      </w:r>
      <w:r>
        <w:t xml:space="preserve">- Forme injectable (indisponible) : indiquée dans la douleur aiguë post-opératoire intense, en alternative aux morphiniques. Usage hospitalier strict.</w:t>
      </w:r>
      <w:r>
        <w:t xml:space="preserve"> </w:t>
      </w:r>
      <w:r>
        <w:t xml:space="preserve">- Forme orale (indisponible) : indiquée dans le relais de la forme injectable. Usage limité à 5–7 jours.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collyre est un antalgique anti-inflammatoire. Vous l’instillerez dans l’œil atteint, selon la prescription, pendant maximum 14 jours.</w:t>
      </w:r>
      <w:r>
        <w:t xml:space="preserve">”</w:t>
      </w:r>
      <w:r>
        <w:t xml:space="preserve"> </w:t>
      </w:r>
      <w:r>
        <w:t xml:space="preserve">-</w:t>
      </w:r>
      <w:r>
        <w:t xml:space="preserve"> </w:t>
      </w:r>
      <w:r>
        <w:t xml:space="preserve">“</w:t>
      </w:r>
      <w:r>
        <w:t xml:space="preserve">Lavez-vous les mains avant instillation. Ne touchez pas l’œil avec l’embout du flacon.</w:t>
      </w:r>
      <w:r>
        <w:t xml:space="preserve">”</w:t>
      </w:r>
      <w:r>
        <w:t xml:space="preserve"> </w:t>
      </w:r>
      <w:r>
        <w:t xml:space="preserve">-</w:t>
      </w:r>
      <w:r>
        <w:t xml:space="preserve"> </w:t>
      </w:r>
      <w:r>
        <w:t xml:space="preserve">“</w:t>
      </w:r>
      <w:r>
        <w:t xml:space="preserve">Retirez vos lentilles de contact avant l’instillation, ne les remettez que 15 minutes après.</w:t>
      </w:r>
      <w:r>
        <w:t xml:space="preserve">”</w:t>
      </w:r>
      <w:r>
        <w:t xml:space="preserve"> </w:t>
      </w:r>
      <w:r>
        <w:t xml:space="preserve">-</w:t>
      </w:r>
      <w:r>
        <w:t xml:space="preserve"> </w:t>
      </w:r>
      <w:r>
        <w:t xml:space="preserve">“</w:t>
      </w:r>
      <w:r>
        <w:t xml:space="preserve">Si vous avez une vision floue persistante, une douleur oculaire augmentée, une rougeur importante, arrêtez et consultez votre ophtalmologiste.</w:t>
      </w:r>
      <w:r>
        <w:t xml:space="preserve">”</w:t>
      </w:r>
      <w:r>
        <w:t xml:space="preserve"> </w:t>
      </w:r>
      <w:r>
        <w:t xml:space="preserve">- Mode d’utilisation pratique : instiller 1 goutte dans le cul-de-sac conjonctival inférieur en regardant vers le haut, paupières fermées, masser doucement, essuyer l’excédent. Ne pas toucher l’œil avec l’embout. Refermer le flacon immédiatement après usage. En cas d’oubli, ne pas doubler la dose, instiller la suivante à l’heure prévue.</w:t>
      </w:r>
    </w:p>
    <w:p>
      <w:pPr>
        <w:pStyle w:val="BodyText"/>
      </w:pPr>
      <w:r>
        <w:rPr>
          <w:b/>
          <w:bCs/>
        </w:rPr>
        <w:t xml:space="preserve">Notes, Règles d’Or &amp; Pièges au Comptoir :</w:t>
      </w:r>
      <w:r>
        <w:t xml:space="preserve"> </w:t>
      </w:r>
      <w:r>
        <w:t xml:space="preserve">- Piège classique du port de lentilles : patient porteur de lentilles qui demande du kétorolac collyre → informer de la nécessité de retirer les lentilles avant instillation, de ne les remettre qu’après 15 min.</w:t>
      </w:r>
      <w:r>
        <w:t xml:space="preserve"> </w:t>
      </w:r>
      <w:r>
        <w:t xml:space="preserve">- Piège de l’association à un autre AINS topique (diclofénac, indométacine collyre) : risque d’effets additifs locaux (kératite, ulcère cornéen) et systémiques. À éviter.</w:t>
      </w:r>
      <w:r>
        <w:t xml:space="preserve"> </w:t>
      </w:r>
      <w:r>
        <w:t xml:space="preserve">- Piège de l’infection oculaire : le kétorolac collyre masque les signes d’infection et peut aggraver une infection bactérienne ou virale (herpès). Vérifier l’absence d’infection avant prescription.</w:t>
      </w:r>
      <w:r>
        <w:t xml:space="preserve"> </w:t>
      </w:r>
      <w:r>
        <w:t xml:space="preserve">- Règle de prise : pas plus de 14 jours sans avis ophtalmologique.</w:t>
      </w:r>
      <w:r>
        <w:t xml:space="preserve"> </w:t>
      </w:r>
      <w:r>
        <w:t xml:space="preserve">- Préparation et Conservation : conservation à T &lt; 25 °C, après ouverture : 1 mois maximum. Ne pas toucher l’œil avec l’embout. Conserver en emballage d’origine à l’abri de la lumière.</w:t>
      </w:r>
      <w:r>
        <w:t xml:space="preserve"> </w:t>
      </w:r>
      <w:r>
        <w:t xml:space="preserve">- Piège du surdosage : en cas d’instillation excessive, risque de brûlure locale intense, de kératite. Rincer à l’eau ou au sérum physiologique.</w:t>
      </w:r>
    </w:p>
    <w:p>
      <w:r>
        <w:pict>
          <v:rect style="width:0;height:1.5pt" o:hralign="center" o:hrstd="t" o:hr="t"/>
        </w:pict>
      </w:r>
    </w:p>
    <w:bookmarkEnd w:id="137"/>
    <w:bookmarkEnd w:id="138"/>
    <w:bookmarkStart w:id="143" w:name="Xf86073c7a44c6b6482b00f5088636c23675f014"/>
    <w:p>
      <w:pPr>
        <w:pStyle w:val="Heading2"/>
      </w:pPr>
      <w:r>
        <w:t xml:space="preserve">V. Sous-classe : AINS - Anthraniliques (Acides fénamiques)</w:t>
      </w:r>
    </w:p>
    <w:bookmarkStart w:id="139" w:name="introduction-à-la-sous-classe-4"/>
    <w:p>
      <w:pPr>
        <w:pStyle w:val="Heading3"/>
      </w:pPr>
      <w:r>
        <w:t xml:space="preserve">Introduction à la sous-classe</w:t>
      </w:r>
    </w:p>
    <w:p>
      <w:pPr>
        <w:pStyle w:val="FirstParagraph"/>
      </w:pPr>
      <w:r>
        <w:t xml:space="preserve">Les acides fénamiques (ou dérivés de l’acide anthranilique) constituent une sous-classe d’AINS caractérisée par une structure chimique dérivée de l’acide N-aryl-anthranilique (acide 2-(arylamino)benzoïque). Le chef de file en est l’acide méfénamique, suivi de l’acide niflumique et de l’acide flufénamique (non commercialisé en Algérie). Le morniflumate est en réalité une prodrogue de l’acide niflumique (ester morpholino-éthylique), hydrolysé in vivo en acide niflumique actif. Cette sous-classe a longtemps été considérée comme une alternative intéressante aux autres AINS en raison d’un mécanisme d’action élargi (inhibition COX + inhibition de la 5-lipoxygénase et des leucotriènes), mais l’expérience clinique a montré que leur tolérance digestive et rénale n’était pas meilleure que celle des autres AINS, et que leur profil hépatique était plus préoccupant (l’acide niflumique a été associé à plusieurs cas d’hépatites cytolytiques sévères). Aujourd’hui, les acides fénamiques sont principalement utilisés en Algérie comme antalgiques de courte durée dans les douleurs viscérales et pelviennes, sous forme orale (gélules 250 mg) et rectale (suppositoires 200/400/700 mg), ainsi qu’en topique (gels dermiques à 2,5-3 %) pour les douleurs musculo-articulaires superficielles.</w:t>
      </w:r>
    </w:p>
    <w:p>
      <w:pPr>
        <w:pStyle w:val="BodyText"/>
      </w:pPr>
      <w:r>
        <w:rPr>
          <w:b/>
          <w:bCs/>
        </w:rPr>
        <w:t xml:space="preserve">Pharmacocinétique commune :</w:t>
      </w:r>
      <w:r>
        <w:t xml:space="preserve"> </w:t>
      </w:r>
      <w:r>
        <w:t xml:space="preserve">- Résorption digestive rapide et complète (biodisponibilité ~ 90 %).</w:t>
      </w:r>
      <w:r>
        <w:t xml:space="preserve"> </w:t>
      </w:r>
      <w:r>
        <w:t xml:space="preserve">- Liaison protéique élevée (&gt; 95 %).</w:t>
      </w:r>
      <w:r>
        <w:t xml:space="preserve"> </w:t>
      </w:r>
      <w:r>
        <w:t xml:space="preserve">- Métabolisme hépatique par hydroxylation, puis conjugaison. Le morniflumate est hydrolysé en acide niflumique par les estérases plasmatiques et hépatiques.</w:t>
      </w:r>
      <w:r>
        <w:t xml:space="preserve"> </w:t>
      </w:r>
      <w:r>
        <w:t xml:space="preserve">- Demi-vie d’élimination : 2–4 h pour l’acide méfénamique, 3–5 h pour l’acide niflumique.</w:t>
      </w:r>
      <w:r>
        <w:t xml:space="preserve"> </w:t>
      </w:r>
      <w:r>
        <w:t xml:space="preserve">- Excrétion rénale (75 %) et biliaire (25 %).</w:t>
      </w:r>
    </w:p>
    <w:p>
      <w:pPr>
        <w:pStyle w:val="BodyText"/>
      </w:pPr>
      <w:r>
        <w:rPr>
          <w:b/>
          <w:bCs/>
        </w:rPr>
        <w:t xml:space="preserve">Tolérance spécifique :</w:t>
      </w:r>
      <w:r>
        <w:t xml:space="preserve"> </w:t>
      </w:r>
      <w:r>
        <w:t xml:space="preserve">- Digestive : profil comparable aux autres AINS, parfois plus marqué pour la diarrhée (l’acide méfénamique est connu pour provoquer des diarrhées sévères).</w:t>
      </w:r>
      <w:r>
        <w:t xml:space="preserve"> </w:t>
      </w:r>
      <w:r>
        <w:t xml:space="preserve">- Hépatique : toxicité hépatique documentée, surtout avec l’acide niflumique. Surveillance transaminases si traitement &gt; 7 jours.</w:t>
      </w:r>
      <w:r>
        <w:t xml:space="preserve"> </w:t>
      </w:r>
      <w:r>
        <w:t xml:space="preserve">- Rénale : profil identique à la classe.</w:t>
      </w:r>
      <w:r>
        <w:t xml:space="preserve"> </w:t>
      </w:r>
      <w:r>
        <w:t xml:space="preserve">- Allergique : fréquence plus élevée que pour les autres AINS, surtout avec l’acide niflumique (rash, urticaire, asthme).</w:t>
      </w:r>
      <w:r>
        <w:t xml:space="preserve"> </w:t>
      </w:r>
      <w:r>
        <w:t xml:space="preserve">- Cutanée : éruptions plus fréquentes.</w:t>
      </w:r>
    </w:p>
    <w:bookmarkEnd w:id="139"/>
    <w:bookmarkStart w:id="140" w:name="dci-acide-méfénamique-seule"/>
    <w:p>
      <w:pPr>
        <w:pStyle w:val="Heading3"/>
      </w:pPr>
      <w:r>
        <w:t xml:space="preserve">10. DCI : Acide méfénamique (Seule)</w:t>
      </w:r>
    </w:p>
    <w:p>
      <w:pPr>
        <w:pStyle w:val="FirstParagraph"/>
      </w:pPr>
      <w:r>
        <w:rPr>
          <w:b/>
          <w:bCs/>
        </w:rPr>
        <w:t xml:space="preserve">Liste des Catégories :</w:t>
      </w:r>
      <w:r>
        <w:t xml:space="preserve"> </w:t>
      </w:r>
      <w:r>
        <w:t xml:space="preserve">Liste II.</w:t>
      </w:r>
    </w:p>
    <w:p>
      <w:pPr>
        <w:pStyle w:val="BodyText"/>
      </w:pPr>
      <w:r>
        <w:t xml:space="preserve">L’acide méfénamique (acide N-[2,3-xylyl]anthranilique ou acide 2-(2,3-diméthylanilino)benzoïque) est un AINS de la sous-classe des acides fénamiques, commercialisé en Algérie principalement sous forme de comprimés enrobés sécables 500 mg (MAFEPAIN, Spimaco). Historiquement, l’acide méfénamique a été commercialisé sous les marques MEFESTAN (Salem) en gélules 250 mg, en suppositoires 125 mg (nourrisson-enfant) et 500 mg (enfant-adulte), et en suspension buvable 50 mg/5 mL (FENDOL, Hikma) — toutes ces formes sont désormais non renouvelées ou retirées du marché algérien. Seule la forme comprimé 500 mg reste active. L’acide méfénamique est indiqué dans le traitement symptomatique de courte durée des douleurs aiguës modérées (douleurs articulaires, musculaires, dentaires, céphalées, dysménorrhée), et a longtemps été utilisé comme antalgique pédiatrique avant d’être supplanté par l’ibuprofène. Sa toxicité digestive (en particulier la diarrhée) et son profil allergique limitent aujourd’hui son usage.</w:t>
      </w:r>
    </w:p>
    <w:p>
      <w:pPr>
        <w:pStyle w:val="BodyText"/>
      </w:pPr>
      <w:r>
        <w:rPr>
          <w:b/>
          <w:bCs/>
        </w:rPr>
        <w:t xml:space="preserve">Médicaments disponibles en Algérie (Marques, Laboratoires, Formes et Dosages) :</w:t>
      </w:r>
    </w:p>
    <w:p>
      <w:pPr>
        <w:pStyle w:val="BodyText"/>
      </w:pPr>
      <w:r>
        <w:rPr>
          <w:b/>
          <w:bCs/>
        </w:rPr>
        <w:t xml:space="preserve">Comprimés enrobés sécables 500 mg :</w:t>
      </w:r>
      <w:r>
        <w:t xml:space="preserve"> </w:t>
      </w:r>
      <w:r>
        <w:t xml:space="preserve">-</w:t>
      </w:r>
      <w:r>
        <w:t xml:space="preserve"> </w:t>
      </w:r>
      <w:r>
        <w:rPr>
          <w:b/>
          <w:bCs/>
        </w:rPr>
        <w:t xml:space="preserve">MAFEPAIN</w:t>
      </w:r>
      <w:r>
        <w:t xml:space="preserve"> </w:t>
      </w:r>
      <w:r>
        <w:t xml:space="preserve">(Spimaco Addwaeih, Arab Saoudite) — Comprimé enrobé sécable 500 mg, B/20 (Liste II) — ACTIF</w:t>
      </w:r>
    </w:p>
    <w:p>
      <w:pPr>
        <w:pStyle w:val="BodyText"/>
      </w:pPr>
      <w:r>
        <w:rPr>
          <w:b/>
          <w:bCs/>
        </w:rPr>
        <w:t xml:space="preserve">Formes non renouvelées ou retirées :</w:t>
      </w:r>
      <w:r>
        <w:t xml:space="preserve"> </w:t>
      </w:r>
      <w:r>
        <w:t xml:space="preserve">-</w:t>
      </w:r>
      <w:r>
        <w:t xml:space="preserve"> </w:t>
      </w:r>
      <w:r>
        <w:rPr>
          <w:b/>
          <w:bCs/>
        </w:rPr>
        <w:t xml:space="preserve">FENDOL</w:t>
      </w:r>
      <w:r>
        <w:t xml:space="preserve"> </w:t>
      </w:r>
      <w:r>
        <w:t xml:space="preserve">(Hikma Pharma Algeria) (NR) — Suspension buvable 50 mg/5 mL, FL 120 mL + gobelet 15 mL (Liste II)</w:t>
      </w:r>
      <w:r>
        <w:t xml:space="preserve"> </w:t>
      </w:r>
      <w:r>
        <w:t xml:space="preserve">-</w:t>
      </w:r>
      <w:r>
        <w:t xml:space="preserve"> </w:t>
      </w:r>
      <w:r>
        <w:rPr>
          <w:b/>
          <w:bCs/>
        </w:rPr>
        <w:t xml:space="preserve">MEFESTAN</w:t>
      </w:r>
      <w:r>
        <w:t xml:space="preserve"> </w:t>
      </w:r>
      <w:r>
        <w:t xml:space="preserve">(Salem) (R) — Suppositoire nourrisson et enfant 125 mg, B/06 (Liste II)</w:t>
      </w:r>
      <w:r>
        <w:t xml:space="preserve"> </w:t>
      </w:r>
      <w:r>
        <w:t xml:space="preserve">-</w:t>
      </w:r>
      <w:r>
        <w:t xml:space="preserve"> </w:t>
      </w:r>
      <w:r>
        <w:rPr>
          <w:b/>
          <w:bCs/>
        </w:rPr>
        <w:t xml:space="preserve">MEFESTAN</w:t>
      </w:r>
      <w:r>
        <w:t xml:space="preserve"> </w:t>
      </w:r>
      <w:r>
        <w:t xml:space="preserve">(Salem) (R) — Suppositoire enfant et adulte 500 mg, B/06 (Liste II)</w:t>
      </w:r>
      <w:r>
        <w:t xml:space="preserve"> </w:t>
      </w:r>
      <w:r>
        <w:t xml:space="preserve">-</w:t>
      </w:r>
      <w:r>
        <w:t xml:space="preserve"> </w:t>
      </w:r>
      <w:r>
        <w:rPr>
          <w:b/>
          <w:bCs/>
        </w:rPr>
        <w:t xml:space="preserve">MEFESTAN</w:t>
      </w:r>
      <w:r>
        <w:t xml:space="preserve"> </w:t>
      </w:r>
      <w:r>
        <w:t xml:space="preserve">(Salem) (R) — Gélule 250 mg, B/20 (Liste II)</w:t>
      </w:r>
    </w:p>
    <w:p>
      <w:pPr>
        <w:pStyle w:val="BodyText"/>
      </w:pPr>
      <w:r>
        <w:rPr>
          <w:b/>
          <w:bCs/>
        </w:rPr>
        <w:t xml:space="preserve">Statut :</w:t>
      </w:r>
      <w:r>
        <w:t xml:space="preserve"> </w:t>
      </w:r>
      <w:r>
        <w:t xml:space="preserve">Une seule spécialité active en Algérie (MAFEPAIN 500 mg). Le marché de l’acide méfénamique est en forte régression, supplanté par l’ibuprofène, le diclofénac et le paracétamol.</w:t>
      </w:r>
    </w:p>
    <w:p>
      <w:pPr>
        <w:pStyle w:val="BodyText"/>
      </w:pPr>
      <w:r>
        <w:rPr>
          <w:b/>
          <w:bCs/>
        </w:rPr>
        <w:t xml:space="preserve">Sous-classe et Mécanisme d’action :</w:t>
      </w:r>
      <w:r>
        <w:t xml:space="preserve"> </w:t>
      </w:r>
      <w:r>
        <w:t xml:space="preserve">- Sous-classe : Acide fénamique (anthranilique), AINS non sélectif COX-1/COX-2.</w:t>
      </w:r>
      <w:r>
        <w:t xml:space="preserve"> </w:t>
      </w:r>
      <w:r>
        <w:t xml:space="preserve">- Mécanisme d’action : Inhibition réversible des COX-1 et COX-2 → blocage de la synthèse des prostanoïdes. L’acide méfénamique présente également une activité inhibitrice de la 5-lipoxygénase (à haute dose), de la phosphodiestérase, et des récepteurs NMDA (à concentration élevée), ce qui pourrait expliquer une partie de son effet antalgique central. Effet anti-inflammatoire modéré, effet antalgique périphérique et central, effet antipyrétique.</w:t>
      </w:r>
    </w:p>
    <w:p>
      <w:pPr>
        <w:pStyle w:val="BodyText"/>
      </w:pPr>
      <w:r>
        <w:rPr>
          <w:b/>
          <w:bCs/>
        </w:rPr>
        <w:t xml:space="preserve">Profil Pharmacologique :</w:t>
      </w:r>
      <w:r>
        <w:t xml:space="preserve"> </w:t>
      </w:r>
      <w:r>
        <w:t xml:space="preserve">- Indications :</w:t>
      </w:r>
      <w:r>
        <w:t xml:space="preserve"> </w:t>
      </w:r>
      <w:r>
        <w:t xml:space="preserve">- Traitement symptomatique de courte durée des douleurs aiguës modérées (céphalées, douleurs dentaires, dysménorrhée, douleurs musculo-squelettiques, douleurs post-traumatiques).</w:t>
      </w:r>
      <w:r>
        <w:t xml:space="preserve"> </w:t>
      </w:r>
      <w:r>
        <w:t xml:space="preserve">- Hors AMM : traitement adjuvant de la douleur neuropathique (en raison de l’activité anti-NMDA).</w:t>
      </w:r>
      <w:r>
        <w:t xml:space="preserve"> </w:t>
      </w:r>
      <w:r>
        <w:t xml:space="preserve">- Contre-indications :</w:t>
      </w:r>
      <w:r>
        <w:t xml:space="preserve"> </w:t>
      </w:r>
      <w:r>
        <w:t xml:space="preserve">- (1) Hypersensibilité à l’acide méfénamique ou à un autre AINS.</w:t>
      </w:r>
      <w:r>
        <w:t xml:space="preserve"> </w:t>
      </w:r>
      <w:r>
        <w:t xml:space="preserve">- (2) Asthme aspirine-sensible, polypose naso-sinusienne, angio-œdème.</w:t>
      </w:r>
      <w:r>
        <w:t xml:space="preserve"> </w:t>
      </w:r>
      <w:r>
        <w:t xml:space="preserve">- (3) Ulcère gastro-duodénal en évolution.</w:t>
      </w:r>
      <w:r>
        <w:t xml:space="preserve"> </w:t>
      </w:r>
      <w:r>
        <w:t xml:space="preserve">- (4) Diarrhée chronique ou antécédents de diarrhée induite par l’acide méfénamique.</w:t>
      </w:r>
      <w:r>
        <w:t xml:space="preserve"> </w:t>
      </w:r>
      <w:r>
        <w:t xml:space="preserve">- (5) Insuffisance hépatique sévère.</w:t>
      </w:r>
      <w:r>
        <w:t xml:space="preserve"> </w:t>
      </w:r>
      <w:r>
        <w:t xml:space="preserve">- (6) Insuffisance rénale sévère.</w:t>
      </w:r>
      <w:r>
        <w:t xml:space="preserve"> </w:t>
      </w:r>
      <w:r>
        <w:t xml:space="preserve">- (7) Insuffisance cardiaque sévère.</w:t>
      </w:r>
      <w:r>
        <w:t xml:space="preserve"> </w:t>
      </w:r>
      <w:r>
        <w:t xml:space="preserve">- (8) Inflammation intestinale (maladie de Crohn, RCH).</w:t>
      </w:r>
      <w:r>
        <w:t xml:space="preserve"> </w:t>
      </w:r>
      <w:r>
        <w:t xml:space="preserve">- (9) Grossesse 3e trimestre.</w:t>
      </w:r>
      <w:r>
        <w:t xml:space="preserve"> </w:t>
      </w:r>
      <w:r>
        <w:t xml:space="preserve">- (10) Enfant &lt; 12 ans (forme comprimé).</w:t>
      </w:r>
      <w:r>
        <w:t xml:space="preserve"> </w:t>
      </w:r>
      <w:r>
        <w:t xml:space="preserve">- Effets Indésirables :</w:t>
      </w:r>
      <w:r>
        <w:t xml:space="preserve"> </w:t>
      </w:r>
      <w:r>
        <w:t xml:space="preserve">- Digestifs : diarrhée (particularité de l’acide méfénamique, parfois sévère et nécessitant l’arrêt), dyspepsie, nausées, douleurs épigastriques, ulcère, hémorragie.</w:t>
      </w:r>
      <w:r>
        <w:t xml:space="preserve"> </w:t>
      </w:r>
      <w:r>
        <w:t xml:space="preserve">- Rénaux : insuffisance rénale aiguë, néphropathie interstitielle, hyperkaliémie.</w:t>
      </w:r>
      <w:r>
        <w:t xml:space="preserve"> </w:t>
      </w:r>
      <w:r>
        <w:t xml:space="preserve">- Cardiovasculaires : majoration du risque thrombotique (comparable au diclofénac selon certaines études).</w:t>
      </w:r>
      <w:r>
        <w:t xml:space="preserve"> </w:t>
      </w:r>
      <w:r>
        <w:t xml:space="preserve">- Hépatiques : cytolyse, cholestase (rares).</w:t>
      </w:r>
      <w:r>
        <w:t xml:space="preserve"> </w:t>
      </w:r>
      <w:r>
        <w:t xml:space="preserve">- Allergiques : éruptions, urticaire, asthme (fréquence plus élevée que pour les autres AINS).</w:t>
      </w:r>
      <w:r>
        <w:t xml:space="preserve"> </w:t>
      </w:r>
      <w:r>
        <w:t xml:space="preserve">- Neurologiques : céphalées, vertiges, somnolence.</w:t>
      </w:r>
      <w:r>
        <w:t xml:space="preserve"> </w:t>
      </w:r>
      <w:r>
        <w:t xml:space="preserve">- Hématologiques : thrombopénie, agranulocytose (rares).</w:t>
      </w:r>
    </w:p>
    <w:p>
      <w:pPr>
        <w:pStyle w:val="BodyText"/>
      </w:pPr>
      <w:r>
        <w:rPr>
          <w:b/>
          <w:bCs/>
        </w:rPr>
        <w:t xml:space="preserve">Prévention et Gestion des Effets Indésirables :</w:t>
      </w:r>
      <w:r>
        <w:t xml:space="preserve"> </w:t>
      </w:r>
      <w:r>
        <w:t xml:space="preserve">- Mesures Préventives : prise pendant les repas, hydratation adéquate, durée courte (7 jours max), pas d’association à un autre AINS, surveillance digestive (surtout diarrhée).</w:t>
      </w:r>
      <w:r>
        <w:t xml:space="preserve"> </w:t>
      </w:r>
      <w:r>
        <w:t xml:space="preserve">- Conduite à Tenir : arrêt immédiat en cas de diarrhée sévère (l’acide méfénamique provoque une entérocolyte sévère possible), de douleurs épigastriques persistantes, d’éruption cutanée, d’ictère, de vomissements.</w:t>
      </w:r>
    </w:p>
    <w:p>
      <w:pPr>
        <w:pStyle w:val="BodyText"/>
      </w:pPr>
      <w:r>
        <w:rPr>
          <w:b/>
          <w:bCs/>
        </w:rPr>
        <w:t xml:space="preserve">Interactions Importantes :</w:t>
      </w:r>
      <w:r>
        <w:t xml:space="preserve"> </w:t>
      </w:r>
      <w:r>
        <w:t xml:space="preserve">- Identiques à la classe des AINS (AVK, aspirine, IEC/ARA2/diurétiques, lithium, méthotrexate, ISRS, alcool).</w:t>
      </w:r>
      <w:r>
        <w:t xml:space="preserve"> </w:t>
      </w:r>
      <w:r>
        <w:t xml:space="preserve">- Acide méfénamique + Lithium : majoration de la toxicité.</w:t>
      </w:r>
      <w:r>
        <w:t xml:space="preserve"> </w:t>
      </w:r>
      <w:r>
        <w:t xml:space="preserve">- Acide méfénamique + Méthotrexate : toxicité hématologique.</w:t>
      </w:r>
    </w:p>
    <w:p>
      <w:pPr>
        <w:pStyle w:val="BodyText"/>
      </w:pPr>
      <w:r>
        <w:rPr>
          <w:b/>
          <w:bCs/>
        </w:rPr>
        <w:t xml:space="preserve">Grossesse et Allaitement :</w:t>
      </w:r>
      <w:r>
        <w:t xml:space="preserve"> </w:t>
      </w:r>
      <w:r>
        <w:t xml:space="preserve">- Grossesse : (selon CRAT) — CI 3e trimestre. Aux 1er et 2e trimestres, à éviter par prudence (profil hépatique et digestif moins favorable que l’ibuprofène). Préférer l’ibuprofène si AINS nécessaire.</w:t>
      </w:r>
      <w:r>
        <w:t xml:space="preserve"> </w:t>
      </w:r>
      <w:r>
        <w:t xml:space="preserve">- Allaitement : Compatible dose unique, mais à éviter en traitement prolongé (profil digestif maternel et diarrhée possible chez le nourrisson).</w:t>
      </w:r>
      <w:r>
        <w:t xml:space="preserve"> </w:t>
      </w:r>
      <w:r>
        <w:t xml:space="preserve">- Précisions : En raison de sa toxicité digestive (diarrhée), l’acide méfénamique est déconseillé pendant l’allaitement en traitement prolongé.</w:t>
      </w:r>
    </w:p>
    <w:p>
      <w:pPr>
        <w:pStyle w:val="BodyText"/>
      </w:pPr>
      <w:r>
        <w:rPr>
          <w:b/>
          <w:bCs/>
        </w:rPr>
        <w:t xml:space="preserve">Posologie et Mode d’administration (Standard) :</w:t>
      </w:r>
      <w:r>
        <w:t xml:space="preserve"> </w:t>
      </w:r>
      <w:r>
        <w:t xml:space="preserve">- Adulte : 500 mg x 2 à 3/j (1000–1500 mg/j), max 1500 mg/j. Prise pendant les repas, avec un grand verre d’eau. Durée maximale 7 jours.</w:t>
      </w:r>
      <w:r>
        <w:t xml:space="preserve"> </w:t>
      </w:r>
      <w:r>
        <w:t xml:space="preserve">- Enfant &gt; 12 ans : 6,5 mg/kg x 3/j, sans dépasser 1500 mg/j.</w:t>
      </w:r>
      <w:r>
        <w:t xml:space="preserve"> </w:t>
      </w:r>
      <w:r>
        <w:t xml:space="preserve">- Enfant &lt; 12 ans : CI pour la forme comprimé.</w:t>
      </w:r>
      <w:r>
        <w:t xml:space="preserve"> </w:t>
      </w:r>
      <w:r>
        <w:t xml:space="preserve">- Sujet âgé : réduire à 500 mg x 1 à 2/j, surveillance accrue.</w:t>
      </w:r>
      <w:r>
        <w:t xml:space="preserve"> </w:t>
      </w:r>
      <w:r>
        <w:t xml:space="preserve">- Durée : 5 à 7 jours en antalgique court.</w:t>
      </w:r>
      <w:r>
        <w:t xml:space="preserve"> </w:t>
      </w:r>
      <w:r>
        <w:t xml:space="preserve">- Moment de prise : pendant les repas, avec un grand verre d’eau.</w:t>
      </w:r>
    </w:p>
    <w:p>
      <w:pPr>
        <w:pStyle w:val="BodyText"/>
      </w:pPr>
      <w:r>
        <w:rPr>
          <w:b/>
          <w:bCs/>
        </w:rPr>
        <w:t xml:space="preserve">Arbitrage et Bénéfices des Formes Galéniques :</w:t>
      </w:r>
      <w:r>
        <w:t xml:space="preserve"> </w:t>
      </w:r>
      <w:r>
        <w:t xml:space="preserve">- Comprimés 500 mg : seule forme active. Posologie biquotidienne ou triquotidienne. Inconvénient : pas de forme pédiatrique active.</w:t>
      </w:r>
      <w:r>
        <w:t xml:space="preserve"> </w:t>
      </w:r>
      <w:r>
        <w:t xml:space="preserve">- Formes non renouvelées : suspension buvable (FENDOL, historiquement indiquée chez l’enfant), suppositoires (125 et 500 mg), gélules 250 mg.</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anti-inflammatoire antalgique. Vous le prendrez pendant les repas avec un grand verre d’eau.</w:t>
      </w:r>
      <w:r>
        <w:t xml:space="preserve">”</w:t>
      </w:r>
      <w:r>
        <w:t xml:space="preserve"> </w:t>
      </w:r>
      <w:r>
        <w:t xml:space="preserve">-</w:t>
      </w:r>
      <w:r>
        <w:t xml:space="preserve"> </w:t>
      </w:r>
      <w:r>
        <w:t xml:space="preserve">“</w:t>
      </w:r>
      <w:r>
        <w:t xml:space="preserve">Attention, ce médicament peut provoquer une diarrhée. Si cela arrive, arrêtez le traitement et consultez.</w:t>
      </w:r>
      <w:r>
        <w:t xml:space="preserve">”</w:t>
      </w:r>
      <w:r>
        <w:t xml:space="preserve"> </w:t>
      </w:r>
      <w:r>
        <w:t xml:space="preserve">-</w:t>
      </w:r>
      <w:r>
        <w:t xml:space="preserve"> </w:t>
      </w:r>
      <w:r>
        <w:t xml:space="preserve">“</w:t>
      </w:r>
      <w:r>
        <w:t xml:space="preserve">Ne l’associez pas à un autre AINS ni avec de l’alcool.</w:t>
      </w:r>
      <w:r>
        <w:t xml:space="preserve">”</w:t>
      </w:r>
      <w:r>
        <w:t xml:space="preserve"> </w:t>
      </w:r>
      <w:r>
        <w:t xml:space="preserve">-</w:t>
      </w:r>
      <w:r>
        <w:t xml:space="preserve"> </w:t>
      </w:r>
      <w:r>
        <w:t xml:space="preserve">“</w:t>
      </w:r>
      <w:r>
        <w:t xml:space="preserve">Si vous avez des douleurs au ventre, des éruptions cutanées, des vertiges, arrêtez et consultez.</w:t>
      </w:r>
      <w:r>
        <w:t xml:space="preserve">”</w:t>
      </w:r>
      <w:r>
        <w:t xml:space="preserve"> </w:t>
      </w:r>
      <w:r>
        <w:t xml:space="preserve">- Mode d’utilisation pratique : prise pendant les repas, avec un grand verre d’eau. En cas d’oubli, ne pas doubler la dose, prendre la suivante à l’heure prévue.</w:t>
      </w:r>
    </w:p>
    <w:p>
      <w:pPr>
        <w:pStyle w:val="BodyText"/>
      </w:pPr>
      <w:r>
        <w:rPr>
          <w:b/>
          <w:bCs/>
        </w:rPr>
        <w:t xml:space="preserve">Notes, Règles d’Or &amp; Pièges au Comptoir :</w:t>
      </w:r>
      <w:r>
        <w:t xml:space="preserve"> </w:t>
      </w:r>
      <w:r>
        <w:t xml:space="preserve">- Piège classique de la diarrhée : patient qui signale une diarrhée sous acide méfénamique → arrêter immédiatement, ne pas réadministrer (risque d’entérocolute sévère).</w:t>
      </w:r>
      <w:r>
        <w:t xml:space="preserve"> </w:t>
      </w:r>
      <w:r>
        <w:t xml:space="preserve">- Piège de l’allergie croisée : patient allergique à l’aspirine ou à un autre AINS → éviter l’acide méfénamique.</w:t>
      </w:r>
      <w:r>
        <w:t xml:space="preserve"> </w:t>
      </w:r>
      <w:r>
        <w:t xml:space="preserve">- Piège femme enceinte : CI 3e trimestre.</w:t>
      </w:r>
      <w:r>
        <w:t xml:space="preserve"> </w:t>
      </w:r>
      <w:r>
        <w:t xml:space="preserve">- Règle de prise : pas plus de 7 jours sans avis médical.</w:t>
      </w:r>
      <w:r>
        <w:t xml:space="preserve"> </w:t>
      </w:r>
      <w:r>
        <w:t xml:space="preserve">- Préparation et Conservation : conservation à T &lt; 25 °C, à l’abri de la lumière et de l’humidité.</w:t>
      </w:r>
    </w:p>
    <w:p>
      <w:r>
        <w:pict>
          <v:rect style="width:0;height:1.5pt" o:hralign="center" o:hrstd="t" o:hr="t"/>
        </w:pict>
      </w:r>
    </w:p>
    <w:bookmarkEnd w:id="140"/>
    <w:bookmarkStart w:id="141" w:name="dci-acide-niflumique-seule"/>
    <w:p>
      <w:pPr>
        <w:pStyle w:val="Heading3"/>
      </w:pPr>
      <w:r>
        <w:t xml:space="preserve">11. DCI : Acide niflumique (Seule)</w:t>
      </w:r>
    </w:p>
    <w:p>
      <w:pPr>
        <w:pStyle w:val="FirstParagraph"/>
      </w:pPr>
      <w:r>
        <w:rPr>
          <w:b/>
          <w:bCs/>
        </w:rPr>
        <w:t xml:space="preserve">Liste des Catégories :</w:t>
      </w:r>
      <w:r>
        <w:t xml:space="preserve"> </w:t>
      </w:r>
      <w:r>
        <w:t xml:space="preserve">Liste II (gélules, gels dermiques, pommades).</w:t>
      </w:r>
    </w:p>
    <w:p>
      <w:pPr>
        <w:pStyle w:val="BodyText"/>
      </w:pPr>
      <w:r>
        <w:t xml:space="preserve">L’acide niflumique (acide 2-[3-(trifluorométhyl)anilino]nicotinique) est un AINS de la sous-classe des acides fénamiques, dérivé de l’acide anthranilique comportant un groupement trifluorométhyle sur le cycle aniline et un atome d’azote en position 2 du cycle benzoïque (acide nicotinique substitué). Il se distingue de l’acide méfénamique par une meilleure lipophilie (présence du groupement CF3) qui explique son excellente diffusion tissulaire et son utilisation particulièrement répandue en topique (gels dermiques à 2,5-3 %). L’acide niflumique est commercialisé en Algérie sous forme de gélules 250 mg (FLUCIDAL, INFLAMINE, NIFLUMENE) et de formes topiques (gels et pommades à 2,5-3 %). La forme suppositoire 400/700 mg historique (NIFLURIL, UPSA) est retirée du marché. L’acide niflumique est largement utilisé en Algérie en pratique courante, notamment en gériatrie (douleurs articulaires) et en pédatrie (otites, douleurs dentaires modérées, sous surveillance). Il a longtemps été utilisé pour le traitement des coliques néphrétiques (forme suppositoire retirée). Sa tolérance digestive est comparable aux autres AINS, mais son profil hépatique (hépatites cytolytiques) et allergique (rash, asthme) est plus marqué.</w:t>
      </w:r>
    </w:p>
    <w:p>
      <w:pPr>
        <w:pStyle w:val="BodyText"/>
      </w:pPr>
      <w:r>
        <w:rPr>
          <w:b/>
          <w:bCs/>
        </w:rPr>
        <w:t xml:space="preserve">Médicaments disponibles en Algérie (Marques, Laboratoires, Formes et Dosages) :</w:t>
      </w:r>
    </w:p>
    <w:p>
      <w:pPr>
        <w:pStyle w:val="BodyText"/>
      </w:pPr>
      <w:r>
        <w:rPr>
          <w:b/>
          <w:bCs/>
        </w:rPr>
        <w:t xml:space="preserve">Gélules 250 mg :</w:t>
      </w:r>
      <w:r>
        <w:t xml:space="preserve"> </w:t>
      </w:r>
      <w:r>
        <w:t xml:space="preserve">-</w:t>
      </w:r>
      <w:r>
        <w:t xml:space="preserve"> </w:t>
      </w:r>
      <w:r>
        <w:rPr>
          <w:b/>
          <w:bCs/>
        </w:rPr>
        <w:t xml:space="preserve">FLUCIDAL</w:t>
      </w:r>
      <w:r>
        <w:t xml:space="preserve"> </w:t>
      </w:r>
      <w:r>
        <w:t xml:space="preserve">(Groupe Saidal) — Gélule 250 mg, B/30 (Liste II) — ACTIF</w:t>
      </w:r>
      <w:r>
        <w:t xml:space="preserve"> </w:t>
      </w:r>
      <w:r>
        <w:t xml:space="preserve">-</w:t>
      </w:r>
      <w:r>
        <w:t xml:space="preserve"> </w:t>
      </w:r>
      <w:r>
        <w:rPr>
          <w:b/>
          <w:bCs/>
        </w:rPr>
        <w:t xml:space="preserve">INFLAMINE</w:t>
      </w:r>
      <w:r>
        <w:t xml:space="preserve"> </w:t>
      </w:r>
      <w:r>
        <w:t xml:space="preserve">(Somedial) — Gélule 250 mg, B/30 (Liste II) — ACTIF</w:t>
      </w:r>
      <w:r>
        <w:t xml:space="preserve"> </w:t>
      </w:r>
      <w:r>
        <w:t xml:space="preserve">-</w:t>
      </w:r>
      <w:r>
        <w:t xml:space="preserve"> </w:t>
      </w:r>
      <w:r>
        <w:rPr>
          <w:b/>
          <w:bCs/>
        </w:rPr>
        <w:t xml:space="preserve">NIFLUMENE</w:t>
      </w:r>
      <w:r>
        <w:t xml:space="preserve"> </w:t>
      </w:r>
      <w:r>
        <w:t xml:space="preserve">(Laboratoires Salem) — Gélule 250 mg, B/30 (Liste II) — ACTIF</w:t>
      </w:r>
      <w:r>
        <w:t xml:space="preserve"> </w:t>
      </w:r>
      <w:r>
        <w:t xml:space="preserve">-</w:t>
      </w:r>
      <w:r>
        <w:t xml:space="preserve"> </w:t>
      </w:r>
      <w:r>
        <w:rPr>
          <w:b/>
          <w:bCs/>
        </w:rPr>
        <w:t xml:space="preserve">NIFLURIL</w:t>
      </w:r>
      <w:r>
        <w:t xml:space="preserve"> </w:t>
      </w:r>
      <w:r>
        <w:t xml:space="preserve">(Bristol Myers Squibb) (R) — Gélule 250 mg, B/30 (Liste II)</w:t>
      </w:r>
    </w:p>
    <w:p>
      <w:pPr>
        <w:pStyle w:val="BodyText"/>
      </w:pPr>
      <w:r>
        <w:rPr>
          <w:b/>
          <w:bCs/>
        </w:rPr>
        <w:t xml:space="preserve">Pommades dermiques 3 % :</w:t>
      </w:r>
      <w:r>
        <w:t xml:space="preserve"> </w:t>
      </w:r>
      <w:r>
        <w:t xml:space="preserve">-</w:t>
      </w:r>
      <w:r>
        <w:t xml:space="preserve"> </w:t>
      </w:r>
      <w:r>
        <w:rPr>
          <w:b/>
          <w:bCs/>
        </w:rPr>
        <w:t xml:space="preserve">FLUCIDAL</w:t>
      </w:r>
      <w:r>
        <w:t xml:space="preserve"> </w:t>
      </w:r>
      <w:r>
        <w:t xml:space="preserve">(Groupe Saidal) — Pommade dermique 3 %, Tube 40 g — ACTIF</w:t>
      </w:r>
      <w:r>
        <w:t xml:space="preserve"> </w:t>
      </w:r>
      <w:r>
        <w:t xml:space="preserve">-</w:t>
      </w:r>
      <w:r>
        <w:t xml:space="preserve"> </w:t>
      </w:r>
      <w:r>
        <w:rPr>
          <w:b/>
          <w:bCs/>
        </w:rPr>
        <w:t xml:space="preserve">NIFLURIC</w:t>
      </w:r>
      <w:r>
        <w:t xml:space="preserve"> </w:t>
      </w:r>
      <w:r>
        <w:t xml:space="preserve">(4A Santé Industrie) — Pommade dermique 3 %, Tube 40 g — ACTIF</w:t>
      </w:r>
    </w:p>
    <w:p>
      <w:pPr>
        <w:pStyle w:val="BodyText"/>
      </w:pPr>
      <w:r>
        <w:rPr>
          <w:b/>
          <w:bCs/>
        </w:rPr>
        <w:t xml:space="preserve">Gels dermiques 2,5 % :</w:t>
      </w:r>
      <w:r>
        <w:t xml:space="preserve"> </w:t>
      </w:r>
      <w:r>
        <w:t xml:space="preserve">-</w:t>
      </w:r>
      <w:r>
        <w:t xml:space="preserve"> </w:t>
      </w:r>
      <w:r>
        <w:rPr>
          <w:b/>
          <w:bCs/>
        </w:rPr>
        <w:t xml:space="preserve">GEMATE GEL</w:t>
      </w:r>
      <w:r>
        <w:t xml:space="preserve"> </w:t>
      </w:r>
      <w:r>
        <w:t xml:space="preserve">(Arab Pharm) — Gel dermique 2,5 %, Tube 60 g — ACTIF</w:t>
      </w:r>
      <w:r>
        <w:t xml:space="preserve"> </w:t>
      </w:r>
      <w:r>
        <w:t xml:space="preserve">-</w:t>
      </w:r>
      <w:r>
        <w:t xml:space="preserve"> </w:t>
      </w:r>
      <w:r>
        <w:rPr>
          <w:b/>
          <w:bCs/>
        </w:rPr>
        <w:t xml:space="preserve">NIFLUGEL</w:t>
      </w:r>
      <w:r>
        <w:t xml:space="preserve"> </w:t>
      </w:r>
      <w:r>
        <w:t xml:space="preserve">(Bristol Myers Squibb Pharma EEIG) — Gel dermique 2,5 %, Tube 60 g — ACTIF</w:t>
      </w:r>
      <w:r>
        <w:t xml:space="preserve"> </w:t>
      </w:r>
      <w:r>
        <w:t xml:space="preserve">-</w:t>
      </w:r>
      <w:r>
        <w:t xml:space="preserve"> </w:t>
      </w:r>
      <w:r>
        <w:rPr>
          <w:b/>
          <w:bCs/>
        </w:rPr>
        <w:t xml:space="preserve">NIFLUMEX</w:t>
      </w:r>
      <w:r>
        <w:t xml:space="preserve"> </w:t>
      </w:r>
      <w:r>
        <w:t xml:space="preserve">(KPMA Biotic) — Gel dermique 2,5 %, Tube 50 g — ACTIF</w:t>
      </w:r>
      <w:r>
        <w:t xml:space="preserve"> </w:t>
      </w:r>
      <w:r>
        <w:t xml:space="preserve">-</w:t>
      </w:r>
      <w:r>
        <w:t xml:space="preserve"> </w:t>
      </w:r>
      <w:r>
        <w:rPr>
          <w:b/>
          <w:bCs/>
        </w:rPr>
        <w:t xml:space="preserve">NIFLURIC</w:t>
      </w:r>
      <w:r>
        <w:t xml:space="preserve"> </w:t>
      </w:r>
      <w:r>
        <w:t xml:space="preserve">(4A Santé Industrie) — Gel dermique 2,5 %, Tube 40 g — ACTIF</w:t>
      </w:r>
      <w:r>
        <w:t xml:space="preserve"> </w:t>
      </w:r>
      <w:r>
        <w:t xml:space="preserve">-</w:t>
      </w:r>
      <w:r>
        <w:t xml:space="preserve"> </w:t>
      </w:r>
      <w:r>
        <w:rPr>
          <w:b/>
          <w:bCs/>
        </w:rPr>
        <w:t xml:space="preserve">NIFLURIL</w:t>
      </w:r>
      <w:r>
        <w:t xml:space="preserve"> </w:t>
      </w:r>
      <w:r>
        <w:t xml:space="preserve">(UPSA) (R) — Pommade dermique 3 %, Tube 60 g</w:t>
      </w:r>
    </w:p>
    <w:p>
      <w:pPr>
        <w:pStyle w:val="BodyText"/>
      </w:pPr>
      <w:r>
        <w:rPr>
          <w:b/>
          <w:bCs/>
        </w:rPr>
        <w:t xml:space="preserve">Formes non renouvelées ou retirées :</w:t>
      </w:r>
      <w:r>
        <w:t xml:space="preserve"> </w:t>
      </w:r>
      <w:r>
        <w:t xml:space="preserve">-</w:t>
      </w:r>
      <w:r>
        <w:t xml:space="preserve"> </w:t>
      </w:r>
      <w:r>
        <w:rPr>
          <w:b/>
          <w:bCs/>
        </w:rPr>
        <w:t xml:space="preserve">NEFRAXIL</w:t>
      </w:r>
      <w:r>
        <w:t xml:space="preserve"> </w:t>
      </w:r>
      <w:r>
        <w:t xml:space="preserve">(LPA) (NR) — Pommade dermique 3 %, Tube 40 g</w:t>
      </w:r>
      <w:r>
        <w:t xml:space="preserve"> </w:t>
      </w:r>
      <w:r>
        <w:t xml:space="preserve">-</w:t>
      </w:r>
      <w:r>
        <w:t xml:space="preserve"> </w:t>
      </w:r>
      <w:r>
        <w:rPr>
          <w:b/>
          <w:bCs/>
        </w:rPr>
        <w:t xml:space="preserve">NIFLURIL</w:t>
      </w:r>
      <w:r>
        <w:t xml:space="preserve"> </w:t>
      </w:r>
      <w:r>
        <w:t xml:space="preserve">(UPSA) (R) — Gélule 250 mg, B/30 (Liste II)</w:t>
      </w:r>
      <w:r>
        <w:t xml:space="preserve"> </w:t>
      </w:r>
      <w:r>
        <w:t xml:space="preserve">-</w:t>
      </w:r>
      <w:r>
        <w:t xml:space="preserve"> </w:t>
      </w:r>
      <w:r>
        <w:rPr>
          <w:b/>
          <w:bCs/>
        </w:rPr>
        <w:t xml:space="preserve">NIFLURIL</w:t>
      </w:r>
      <w:r>
        <w:t xml:space="preserve"> </w:t>
      </w:r>
      <w:r>
        <w:t xml:space="preserve">(UPSA) (R) — Suppositoire 700 mg, B/08 (Liste II)</w:t>
      </w:r>
      <w:r>
        <w:t xml:space="preserve"> </w:t>
      </w:r>
      <w:r>
        <w:t xml:space="preserve">-</w:t>
      </w:r>
      <w:r>
        <w:t xml:space="preserve"> </w:t>
      </w:r>
      <w:r>
        <w:rPr>
          <w:b/>
          <w:bCs/>
        </w:rPr>
        <w:t xml:space="preserve">NIFLURIL</w:t>
      </w:r>
      <w:r>
        <w:t xml:space="preserve"> </w:t>
      </w:r>
      <w:r>
        <w:t xml:space="preserve">(UPSA) (R) — Suppositoire sécable 400 mg, B/08 (Liste II)</w:t>
      </w:r>
    </w:p>
    <w:p>
      <w:pPr>
        <w:pStyle w:val="BodyText"/>
      </w:pPr>
      <w:r>
        <w:rPr>
          <w:b/>
          <w:bCs/>
        </w:rPr>
        <w:t xml:space="preserve">Statut :</w:t>
      </w:r>
      <w:r>
        <w:t xml:space="preserve"> </w:t>
      </w:r>
      <w:r>
        <w:t xml:space="preserve">Les formes orales (gélules 250 mg) et topiques (gels et pommades 2,5-3 %) sont majoritairement actives. Les suppositoires (historiquement NIFLURIL 400 et 700 mg) sont retirés du marché algérien. Le marché est dominé par les laboratoires algériens (Saidal, 4A Santé Industrie, Arab Pharm, KPMA Biotic, Somedial, Salem).</w:t>
      </w:r>
    </w:p>
    <w:p>
      <w:pPr>
        <w:pStyle w:val="BodyText"/>
      </w:pPr>
      <w:r>
        <w:rPr>
          <w:b/>
          <w:bCs/>
        </w:rPr>
        <w:t xml:space="preserve">Sous-classe et Mécanisme d’action :</w:t>
      </w:r>
      <w:r>
        <w:t xml:space="preserve"> </w:t>
      </w:r>
      <w:r>
        <w:t xml:space="preserve">- Sous-classe : Acide fénamique (anthranilique), AINS non sélectif COX-1/COX-2.</w:t>
      </w:r>
      <w:r>
        <w:t xml:space="preserve"> </w:t>
      </w:r>
      <w:r>
        <w:t xml:space="preserve">- Mécanisme d’action : Inhibition réversible des COX-1 et COX-2 → blocage de la synthèse des prostanoïdes. Activité inhibitrice de la 5-lipoxygénase (à haute dose) et antagoniste des récepteurs NMDA (à concentration plus élevée), expliquant un effet antalgique central. Effet anti-inflammatoire périphérique, antalgique périphérique et central, antipyrétique.</w:t>
      </w:r>
    </w:p>
    <w:p>
      <w:pPr>
        <w:pStyle w:val="BodyText"/>
      </w:pPr>
      <w:r>
        <w:rPr>
          <w:b/>
          <w:bCs/>
        </w:rPr>
        <w:t xml:space="preserve">Profil Pharmacologique :</w:t>
      </w:r>
      <w:r>
        <w:t xml:space="preserve"> </w:t>
      </w:r>
      <w:r>
        <w:t xml:space="preserve">- Indications :</w:t>
      </w:r>
      <w:r>
        <w:t xml:space="preserve"> </w:t>
      </w:r>
      <w:r>
        <w:t xml:space="preserve">- Voie orale 250 mg : traitement symptomatique de courte durée des douleurs aiguës modérées (douleurs articulaires, musculaires, dentaires, céphalées, dysménorrhée, douleurs post-traumatiques, otites, douleurs des coccyx, sciatiques aiguës). Hors AMM : coliques néphrétiques (historique, avant retrait du suppositoire).</w:t>
      </w:r>
      <w:r>
        <w:t xml:space="preserve"> </w:t>
      </w:r>
      <w:r>
        <w:t xml:space="preserve">- Voie topique (gel, pommade) : douleurs musculo-tendineuses superficielles (entorses, tendinites, contusions, cervicalgies, lombalgies communes, arthrose périphérique modérée).</w:t>
      </w:r>
      <w:r>
        <w:t xml:space="preserve"> </w:t>
      </w:r>
      <w:r>
        <w:t xml:space="preserve">- Contre-indications :</w:t>
      </w:r>
      <w:r>
        <w:t xml:space="preserve"> </w:t>
      </w:r>
      <w:r>
        <w:t xml:space="preserve">- (1) Hypersensibilité à l’acide niflumique ou à un autre AINS (fréquence élevée d’allergie croisée).</w:t>
      </w:r>
      <w:r>
        <w:t xml:space="preserve"> </w:t>
      </w:r>
      <w:r>
        <w:t xml:space="preserve">- (2) Asthme aspirine-sensible, polypose naso-sinusienne, angio-œdème.</w:t>
      </w:r>
      <w:r>
        <w:t xml:space="preserve"> </w:t>
      </w:r>
      <w:r>
        <w:t xml:space="preserve">- (3) Ulcère gastro-duodénal en évolution.</w:t>
      </w:r>
      <w:r>
        <w:t xml:space="preserve"> </w:t>
      </w:r>
      <w:r>
        <w:t xml:space="preserve">- (4) Insuffisance hépatique sévère.</w:t>
      </w:r>
      <w:r>
        <w:t xml:space="preserve"> </w:t>
      </w:r>
      <w:r>
        <w:t xml:space="preserve">- (5) Insuffisance rénale sévère.</w:t>
      </w:r>
      <w:r>
        <w:t xml:space="preserve"> </w:t>
      </w:r>
      <w:r>
        <w:t xml:space="preserve">- (6) Insuffisance cardiaque sévère.</w:t>
      </w:r>
      <w:r>
        <w:t xml:space="preserve"> </w:t>
      </w:r>
      <w:r>
        <w:t xml:space="preserve">- (7) Grossesse 3e trimestre.</w:t>
      </w:r>
      <w:r>
        <w:t xml:space="preserve"> </w:t>
      </w:r>
      <w:r>
        <w:t xml:space="preserve">- (8) Enfant &lt; 12 ans (forme orale).</w:t>
      </w:r>
      <w:r>
        <w:t xml:space="preserve"> </w:t>
      </w:r>
      <w:r>
        <w:t xml:space="preserve">- (9) Forme topique : peau lésée, eczéma.</w:t>
      </w:r>
      <w:r>
        <w:t xml:space="preserve"> </w:t>
      </w:r>
      <w:r>
        <w:t xml:space="preserve">- Effets Indésirables :</w:t>
      </w:r>
      <w:r>
        <w:t xml:space="preserve"> </w:t>
      </w:r>
      <w:r>
        <w:t xml:space="preserve">- Digestifs : dyspepsie, nausées, douleurs épigastriques, ulcère, hémorragie. Profil comparable à l’ibuprofène.</w:t>
      </w:r>
      <w:r>
        <w:t xml:space="preserve"> </w:t>
      </w:r>
      <w:r>
        <w:t xml:space="preserve">- Hépatiques (particularité) : cytolyse hépatique fréquente (≈ 10 % des patients ont une élévation des transaminases), hépatites cytolytiques ou cholestatiques (rares mais graves). Surveillance des transaminases si traitement &gt; 7 jours.</w:t>
      </w:r>
      <w:r>
        <w:t xml:space="preserve"> </w:t>
      </w:r>
      <w:r>
        <w:t xml:space="preserve">- Rénaux : insuffisance rénale aiguë fonctionnelle, néphropathie interstitielle.</w:t>
      </w:r>
      <w:r>
        <w:t xml:space="preserve"> </w:t>
      </w:r>
      <w:r>
        <w:t xml:space="preserve">- Cardiovasculaires : majoration du risque thrombotique (comparable au diclofénac).</w:t>
      </w:r>
      <w:r>
        <w:t xml:space="preserve"> </w:t>
      </w:r>
      <w:r>
        <w:t xml:space="preserve">- Allergiques : éruptions, urticaire, asthme (fréquence plus élevée que pour les autres AINS). Photosensibilité possible.</w:t>
      </w:r>
      <w:r>
        <w:t xml:space="preserve"> </w:t>
      </w:r>
      <w:r>
        <w:t xml:space="preserve">- Neurologiques : céphalées, vertiges, somnolence.</w:t>
      </w:r>
      <w:r>
        <w:t xml:space="preserve"> </w:t>
      </w:r>
      <w:r>
        <w:t xml:space="preserve">- Hématologiques : thrombopénie, agranulocytose (rares).</w:t>
      </w:r>
      <w:r>
        <w:t xml:space="preserve"> </w:t>
      </w:r>
      <w:r>
        <w:t xml:space="preserve">- Forme topique : irritation locale, eczéma de contact, photosensibilité.</w:t>
      </w:r>
    </w:p>
    <w:p>
      <w:pPr>
        <w:pStyle w:val="BodyText"/>
      </w:pPr>
      <w:r>
        <w:rPr>
          <w:b/>
          <w:bCs/>
        </w:rPr>
        <w:t xml:space="preserve">Prévention et Gestion des Effets Indésirables :</w:t>
      </w:r>
      <w:r>
        <w:t xml:space="preserve"> </w:t>
      </w:r>
      <w:r>
        <w:t xml:space="preserve">- Mesures Préventives : prise pendant les repas (voie orale), hydratation adéquate, durée courte (7 jours max en oral), pas d’association à un autre AINS, surveillance hépatique (ASAT, ALAT) si traitement &gt; 7 jours.</w:t>
      </w:r>
      <w:r>
        <w:t xml:space="preserve"> </w:t>
      </w:r>
      <w:r>
        <w:t xml:space="preserve">- Conduite à Tenir : arrêt en cas de douleur épigastrique, ictère, éruption cutanée, vertiges intenses. Surveillance des transaminases en cas de traitement prolongé.</w:t>
      </w:r>
    </w:p>
    <w:p>
      <w:pPr>
        <w:pStyle w:val="BodyText"/>
      </w:pPr>
      <w:r>
        <w:rPr>
          <w:b/>
          <w:bCs/>
        </w:rPr>
        <w:t xml:space="preserve">Interactions Importantes :</w:t>
      </w:r>
      <w:r>
        <w:t xml:space="preserve"> </w:t>
      </w:r>
      <w:r>
        <w:t xml:space="preserve">- Identiques à la classe des AINS (AVK, aspirine, IEC/ARA2/diurétiques, lithium, méthotrexate, ISRS, alcool).</w:t>
      </w:r>
      <w:r>
        <w:t xml:space="preserve"> </w:t>
      </w:r>
      <w:r>
        <w:t xml:space="preserve">- Acide niflumique + Anticoagulants oraux : majoration du risque hémorragique.</w:t>
      </w:r>
      <w:r>
        <w:t xml:space="preserve"> </w:t>
      </w:r>
      <w:r>
        <w:t xml:space="preserve">- Acide niflumique topique + Anticoagulants : surveillance (passage systémique possible en cas d’application prolongée ou sur peau lésée).</w:t>
      </w:r>
    </w:p>
    <w:p>
      <w:pPr>
        <w:pStyle w:val="BodyText"/>
      </w:pPr>
      <w:r>
        <w:rPr>
          <w:b/>
          <w:bCs/>
        </w:rPr>
        <w:t xml:space="preserve">Grossesse et Allaitement :</w:t>
      </w:r>
      <w:r>
        <w:t xml:space="preserve"> </w:t>
      </w:r>
      <w:r>
        <w:t xml:space="preserve">- Grossesse : (selon CRAT) — CI 3e trimestre. Aux 1er et 2e trimestres, à éviter par prudence (profil hépatique et allergique moins favorable que l’ibuprofène). Préférer l’ibuprofène si AINS nécessaire. Forme topique : compatible par prudence (passage systémique faible).</w:t>
      </w:r>
      <w:r>
        <w:t xml:space="preserve"> </w:t>
      </w:r>
      <w:r>
        <w:t xml:space="preserve">- Allaitement : Compatible dose unique (forme topique : passage négligeable). Forme orale : à éviter en traitement prolongé.</w:t>
      </w:r>
      <w:r>
        <w:t xml:space="preserve"> </w:t>
      </w:r>
      <w:r>
        <w:t xml:space="preserve">- Précisions : En raison de sa toxicité hépatique, l’acide niflumique est déconseillé pendant l’allaitement en traitement prolongé.</w:t>
      </w:r>
    </w:p>
    <w:p>
      <w:pPr>
        <w:pStyle w:val="BodyText"/>
      </w:pPr>
      <w:r>
        <w:rPr>
          <w:b/>
          <w:bCs/>
        </w:rPr>
        <w:t xml:space="preserve">Posologie et Mode d’administration (Standard) :</w:t>
      </w:r>
      <w:r>
        <w:t xml:space="preserve"> </w:t>
      </w:r>
      <w:r>
        <w:t xml:space="preserve">- Adulte :</w:t>
      </w:r>
      <w:r>
        <w:t xml:space="preserve"> </w:t>
      </w:r>
      <w:r>
        <w:t xml:space="preserve">- Voie orale 250 mg (gélule) : 1 gélule x 2 à 3/j (500–750 mg/j), max 750 mg/j. Prise pendant les repas, avec un grand verre d’eau.</w:t>
      </w:r>
      <w:r>
        <w:t xml:space="preserve"> </w:t>
      </w:r>
      <w:r>
        <w:t xml:space="preserve">- Voie topique gel 2,5 % ou pommade 3 % : 1 à 2 applications/j en massage doux sur zone douloureuse. Ne pas dépasser 3 semaines d’application.</w:t>
      </w:r>
      <w:r>
        <w:t xml:space="preserve"> </w:t>
      </w:r>
      <w:r>
        <w:t xml:space="preserve">- Enfant &gt; 12 ans : 250 mg x 2/j (max 500 mg/j).</w:t>
      </w:r>
      <w:r>
        <w:t xml:space="preserve"> </w:t>
      </w:r>
      <w:r>
        <w:t xml:space="preserve">- Enfant &lt; 12 ans : CI pour la forme orale.</w:t>
      </w:r>
      <w:r>
        <w:t xml:space="preserve"> </w:t>
      </w:r>
      <w:r>
        <w:t xml:space="preserve">- Sujet âgé : réduire à 250 mg x 1 à 2/j, surveillance hépatique et rénale accrue.</w:t>
      </w:r>
      <w:r>
        <w:t xml:space="preserve"> </w:t>
      </w:r>
      <w:r>
        <w:t xml:space="preserve">- Durée : 5 à 7 jours en antalgique oral ; 3 semaines max en topique.</w:t>
      </w:r>
      <w:r>
        <w:t xml:space="preserve"> </w:t>
      </w:r>
      <w:r>
        <w:t xml:space="preserve">- Moment de prise : pendant les repas (voie orale). Pour la forme topique : application sur peau sèche, propre, intacte.</w:t>
      </w:r>
    </w:p>
    <w:p>
      <w:pPr>
        <w:pStyle w:val="BodyText"/>
      </w:pPr>
      <w:r>
        <w:rPr>
          <w:b/>
          <w:bCs/>
        </w:rPr>
        <w:t xml:space="preserve">Arbitrage et Bénéfices des Formes Galéniques :</w:t>
      </w:r>
      <w:r>
        <w:t xml:space="preserve"> </w:t>
      </w:r>
      <w:r>
        <w:t xml:space="preserve">- Gélules 250 mg : forme de référence pour antalgie modérée. Posologie biquotidienne ou triquotidienne. Inconvénient : pas de forme LP, pas de forme pédiatrique active.</w:t>
      </w:r>
      <w:r>
        <w:t xml:space="preserve"> </w:t>
      </w:r>
      <w:r>
        <w:t xml:space="preserve">- Suppositoires 400/700 mg (retirés) : historiquement utilisés en pédiatrie et pour la colique néphrétique.</w:t>
      </w:r>
      <w:r>
        <w:t xml:space="preserve"> </w:t>
      </w:r>
      <w:r>
        <w:t xml:space="preserve">- Gels dermiques 2,5 % : indiqués dans les douleurs musculo-tendineuses superficielles. Avantage : passage systémique faible, tolérance locale. Inconvénient : photosensibilité possible.</w:t>
      </w:r>
      <w:r>
        <w:t xml:space="preserve"> </w:t>
      </w:r>
      <w:r>
        <w:t xml:space="preserve">- Pommades 3 % : indiquées pour les douleurs articulaires superficielles (arthrose périphérique). Texture plus occlusive que le gel, pénétration plus lente mais prolongée.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anti-inflammatoire antalgique. Vous le prendrez pendant les repas avec un grand verre d’eau.</w:t>
      </w:r>
      <w:r>
        <w:t xml:space="preserve">”</w:t>
      </w:r>
      <w:r>
        <w:t xml:space="preserve"> </w:t>
      </w:r>
      <w:r>
        <w:t xml:space="preserve">-</w:t>
      </w:r>
      <w:r>
        <w:t xml:space="preserve"> </w:t>
      </w:r>
      <w:r>
        <w:t xml:space="preserve">“</w:t>
      </w:r>
      <w:r>
        <w:t xml:space="preserve">Ne l’associez pas à un autre AINS (aspirine, ibuprofène, diclofénac).</w:t>
      </w:r>
      <w:r>
        <w:t xml:space="preserve">”</w:t>
      </w:r>
      <w:r>
        <w:t xml:space="preserve"> </w:t>
      </w:r>
      <w:r>
        <w:t xml:space="preserve">-</w:t>
      </w:r>
      <w:r>
        <w:t xml:space="preserve"> </w:t>
      </w:r>
      <w:r>
        <w:t xml:space="preserve">“</w:t>
      </w:r>
      <w:r>
        <w:t xml:space="preserve">Si vous avez des douleurs au ventre, des nausées, des éruptions cutanées, de la fatigue, des urines foncées, arrêtez et consultez immédiatement.</w:t>
      </w:r>
      <w:r>
        <w:t xml:space="preserve">”</w:t>
      </w:r>
      <w:r>
        <w:t xml:space="preserve"> </w:t>
      </w:r>
      <w:r>
        <w:t xml:space="preserve">-</w:t>
      </w:r>
      <w:r>
        <w:t xml:space="preserve"> </w:t>
      </w:r>
      <w:r>
        <w:t xml:space="preserve">“</w:t>
      </w:r>
      <w:r>
        <w:t xml:space="preserve">Pour le gel dermique, appliquez sur peau saine, sans lésion, sans pansement occlusif. Lavez-vous les mains après application. Évitez l’exposition au soleil.</w:t>
      </w:r>
      <w:r>
        <w:t xml:space="preserve">”</w:t>
      </w:r>
      <w:r>
        <w:t xml:space="preserve"> </w:t>
      </w:r>
      <w:r>
        <w:t xml:space="preserve">- Mode d’utilisation pratique : prise pendant les repas (voie orale). Pour la forme topique : appliquer une noisette 1 à 2 fois/j sur zone douloureuse, masser doucement. En cas d’oubli, ne pas doubler la dose, prendre la suivante à l’heure prévue.</w:t>
      </w:r>
    </w:p>
    <w:p>
      <w:pPr>
        <w:pStyle w:val="BodyText"/>
      </w:pPr>
      <w:r>
        <w:rPr>
          <w:b/>
          <w:bCs/>
        </w:rPr>
        <w:t xml:space="preserve">Notes, Règles d’Or &amp; Pièges au Comptoir :</w:t>
      </w:r>
      <w:r>
        <w:t xml:space="preserve"> </w:t>
      </w:r>
      <w:r>
        <w:t xml:space="preserve">- Piège classique de la toxicité hépatique : patient sous traitement &gt; 7 jours → surveillance ASAT/ALAT.</w:t>
      </w:r>
      <w:r>
        <w:t xml:space="preserve"> </w:t>
      </w:r>
      <w:r>
        <w:t xml:space="preserve">- Piège de l’allergie croisée : patient allergique à l’aspirine ou à un autre AINS → éviter l’acide niflumique (fréquence élevée d’allergie croisée).</w:t>
      </w:r>
      <w:r>
        <w:t xml:space="preserve"> </w:t>
      </w:r>
      <w:r>
        <w:t xml:space="preserve">- Piège femme enceinte : CI 3e trimestre.</w:t>
      </w:r>
      <w:r>
        <w:t xml:space="preserve"> </w:t>
      </w:r>
      <w:r>
        <w:t xml:space="preserve">- Piège de l’association à la forme topique et à un AINS oral : risque de majoration de la toxicité (passage systémique de la forme topique non négligeable en cas d’application prolongée sur grande surface).</w:t>
      </w:r>
      <w:r>
        <w:t xml:space="preserve"> </w:t>
      </w:r>
      <w:r>
        <w:t xml:space="preserve">- Règle de prise : pas plus de 7 jours en oral sans avis médical.</w:t>
      </w:r>
      <w:r>
        <w:t xml:space="preserve"> </w:t>
      </w:r>
      <w:r>
        <w:t xml:space="preserve">- Préparation et Conservation : gélules à T &lt; 25 °C, à l’abri de l’humidité. Gel/pommade à T &lt; 25 °C, tube bien refermé après usage. Ne pas appliquer sur peau lésée.</w:t>
      </w:r>
    </w:p>
    <w:p>
      <w:r>
        <w:pict>
          <v:rect style="width:0;height:1.5pt" o:hralign="center" o:hrstd="t" o:hr="t"/>
        </w:pict>
      </w:r>
    </w:p>
    <w:bookmarkEnd w:id="141"/>
    <w:bookmarkStart w:id="142" w:name="dci-morniflumate-seule"/>
    <w:p>
      <w:pPr>
        <w:pStyle w:val="Heading3"/>
      </w:pPr>
      <w:r>
        <w:t xml:space="preserve">12. DCI : Morniflumate (Seule)</w:t>
      </w:r>
    </w:p>
    <w:p>
      <w:pPr>
        <w:pStyle w:val="FirstParagraph"/>
      </w:pPr>
      <w:r>
        <w:rPr>
          <w:b/>
          <w:bCs/>
        </w:rPr>
        <w:t xml:space="preserve">Liste des Catégories :</w:t>
      </w:r>
      <w:r>
        <w:t xml:space="preserve"> </w:t>
      </w:r>
      <w:r>
        <w:t xml:space="preserve">Liste II.</w:t>
      </w:r>
    </w:p>
    <w:p>
      <w:pPr>
        <w:pStyle w:val="BodyText"/>
      </w:pPr>
      <w:r>
        <w:t xml:space="preserve">Le morniflumate (ester morpholino-éthylique de l’acide niflumique) est une prodrogue de l’acide niflumique, hydrolysée in vivo par les estérases plasmatiques et hépatiques en acide niflumique actif. Sa structure chimique de prodrogue présente plusieurs avantages pharmacologiques : (1) meilleure tolérance digestive locale (le composé ester n’est pas acide et ne lèse pas la muqueuse gastrique au contact direct), (2) meilleure résorption intestinale (la forme ester est plus lipophile), (3) démarrage d’action plus progressif et prolongé (libération prolongée d’acide niflumique après hydrolyse), (4) profil de tolérance globale légèrement supérieur à l’acide niflumique direct. Le morniflumate est commercialisé en Algérie exclusivement sous forme de suppositoires à 200 mg (nourrisson-enfant), 400 mg (enfant-adulte) et 700 mg (adulte). Cette forme galénique est intéressante en pédiatrie (alternative à l’ibuprofène sirop) et chez le patient incapable d’avaler une gélule. Plusieurs marques sont actives : NIFLUMATE et NIFLUMATE ADULTES (Saidal), NIFLURIC (4A Santé Industrie). La majorité des autres marques (NIFLUMENE, USENIL, GEMATE, NEFRAXIL) sont non renouvelées ou retirées.</w:t>
      </w:r>
    </w:p>
    <w:p>
      <w:pPr>
        <w:pStyle w:val="BodyText"/>
      </w:pPr>
      <w:r>
        <w:rPr>
          <w:b/>
          <w:bCs/>
        </w:rPr>
        <w:t xml:space="preserve">Médicaments disponibles en Algérie (Marques, Laboratoires, Formes et Dosages) :</w:t>
      </w:r>
    </w:p>
    <w:p>
      <w:pPr>
        <w:pStyle w:val="BodyText"/>
      </w:pPr>
      <w:r>
        <w:rPr>
          <w:b/>
          <w:bCs/>
        </w:rPr>
        <w:t xml:space="preserve">Suppositoires 700 mg (adulte) :</w:t>
      </w:r>
      <w:r>
        <w:t xml:space="preserve"> </w:t>
      </w:r>
      <w:r>
        <w:t xml:space="preserve">-</w:t>
      </w:r>
      <w:r>
        <w:t xml:space="preserve"> </w:t>
      </w:r>
      <w:r>
        <w:rPr>
          <w:b/>
          <w:bCs/>
        </w:rPr>
        <w:t xml:space="preserve">NIFLUMATE ADULTES</w:t>
      </w:r>
      <w:r>
        <w:t xml:space="preserve"> </w:t>
      </w:r>
      <w:r>
        <w:t xml:space="preserve">(Groupe Saidal) — Suppositoire 700 mg, B/10 (Liste II) — ACTIF</w:t>
      </w:r>
      <w:r>
        <w:t xml:space="preserve"> </w:t>
      </w:r>
      <w:r>
        <w:t xml:space="preserve">-</w:t>
      </w:r>
      <w:r>
        <w:t xml:space="preserve"> </w:t>
      </w:r>
      <w:r>
        <w:rPr>
          <w:b/>
          <w:bCs/>
        </w:rPr>
        <w:t xml:space="preserve">NIFLURIC</w:t>
      </w:r>
      <w:r>
        <w:t xml:space="preserve"> </w:t>
      </w:r>
      <w:r>
        <w:t xml:space="preserve">(4A Santé Industrie) — Suppositoire 400 mg, B/10 (Liste II) — ACTIF (forme 700 mg non renouvelée)</w:t>
      </w:r>
      <w:r>
        <w:t xml:space="preserve"> </w:t>
      </w:r>
      <w:r>
        <w:t xml:space="preserve">-</w:t>
      </w:r>
      <w:r>
        <w:t xml:space="preserve"> </w:t>
      </w:r>
      <w:r>
        <w:rPr>
          <w:b/>
          <w:bCs/>
        </w:rPr>
        <w:t xml:space="preserve">NIFLUMENE</w:t>
      </w:r>
      <w:r>
        <w:t xml:space="preserve"> </w:t>
      </w:r>
      <w:r>
        <w:t xml:space="preserve">(Salem) (NR) — Suppositoire 700 mg, B/08 (Liste II)</w:t>
      </w:r>
      <w:r>
        <w:t xml:space="preserve"> </w:t>
      </w:r>
      <w:r>
        <w:t xml:space="preserve">-</w:t>
      </w:r>
      <w:r>
        <w:t xml:space="preserve"> </w:t>
      </w:r>
      <w:r>
        <w:rPr>
          <w:b/>
          <w:bCs/>
        </w:rPr>
        <w:t xml:space="preserve">NIFLURIC</w:t>
      </w:r>
      <w:r>
        <w:t xml:space="preserve"> </w:t>
      </w:r>
      <w:r>
        <w:t xml:space="preserve">(4A Santé Industrie SARL) (NR) — Suppositoire 700 mg, B/10 (Liste II)</w:t>
      </w:r>
      <w:r>
        <w:t xml:space="preserve"> </w:t>
      </w:r>
      <w:r>
        <w:t xml:space="preserve">-</w:t>
      </w:r>
      <w:r>
        <w:t xml:space="preserve"> </w:t>
      </w:r>
      <w:r>
        <w:rPr>
          <w:b/>
          <w:bCs/>
        </w:rPr>
        <w:t xml:space="preserve">USENIL</w:t>
      </w:r>
      <w:r>
        <w:t xml:space="preserve"> </w:t>
      </w:r>
      <w:r>
        <w:t xml:space="preserve">(Pharmalliance) (NR) — Suppositoire adulte 700 mg, B/08 (Liste II)</w:t>
      </w:r>
      <w:r>
        <w:t xml:space="preserve"> </w:t>
      </w:r>
      <w:r>
        <w:t xml:space="preserve">-</w:t>
      </w:r>
      <w:r>
        <w:t xml:space="preserve"> </w:t>
      </w:r>
      <w:r>
        <w:rPr>
          <w:b/>
          <w:bCs/>
        </w:rPr>
        <w:t xml:space="preserve">NEFRAXIL</w:t>
      </w:r>
      <w:r>
        <w:t xml:space="preserve"> </w:t>
      </w:r>
      <w:r>
        <w:t xml:space="preserve">(LPA) (R) — Suppositoire 700 mg, B/10 (Liste II)</w:t>
      </w:r>
    </w:p>
    <w:p>
      <w:pPr>
        <w:pStyle w:val="BodyText"/>
      </w:pPr>
      <w:r>
        <w:rPr>
          <w:b/>
          <w:bCs/>
        </w:rPr>
        <w:t xml:space="preserve">Suppositoires 400 mg (enfant-adulte) :</w:t>
      </w:r>
      <w:r>
        <w:t xml:space="preserve"> </w:t>
      </w:r>
      <w:r>
        <w:t xml:space="preserve">-</w:t>
      </w:r>
      <w:r>
        <w:t xml:space="preserve"> </w:t>
      </w:r>
      <w:r>
        <w:rPr>
          <w:b/>
          <w:bCs/>
        </w:rPr>
        <w:t xml:space="preserve">NIFLUMATE</w:t>
      </w:r>
      <w:r>
        <w:t xml:space="preserve"> </w:t>
      </w:r>
      <w:r>
        <w:t xml:space="preserve">(Groupe Saidal) — Suppositoire 400 mg, B/10 (Liste II) — ACTIF</w:t>
      </w:r>
      <w:r>
        <w:t xml:space="preserve"> </w:t>
      </w:r>
      <w:r>
        <w:t xml:space="preserve">-</w:t>
      </w:r>
      <w:r>
        <w:t xml:space="preserve"> </w:t>
      </w:r>
      <w:r>
        <w:rPr>
          <w:b/>
          <w:bCs/>
        </w:rPr>
        <w:t xml:space="preserve">NIFLURIC</w:t>
      </w:r>
      <w:r>
        <w:t xml:space="preserve"> </w:t>
      </w:r>
      <w:r>
        <w:t xml:space="preserve">(4A Santé Industrie) — Suppositoire 400 mg, B/10 (Liste II) — ACTIF</w:t>
      </w:r>
      <w:r>
        <w:t xml:space="preserve"> </w:t>
      </w:r>
      <w:r>
        <w:t xml:space="preserve">-</w:t>
      </w:r>
      <w:r>
        <w:t xml:space="preserve"> </w:t>
      </w:r>
      <w:r>
        <w:rPr>
          <w:b/>
          <w:bCs/>
        </w:rPr>
        <w:t xml:space="preserve">GEMATE</w:t>
      </w:r>
      <w:r>
        <w:t xml:space="preserve"> </w:t>
      </w:r>
      <w:r>
        <w:t xml:space="preserve">(Arab Pharm) (NR) — Suppositoire 400 mg, B/10 (Liste II)</w:t>
      </w:r>
      <w:r>
        <w:t xml:space="preserve"> </w:t>
      </w:r>
      <w:r>
        <w:t xml:space="preserve">-</w:t>
      </w:r>
      <w:r>
        <w:t xml:space="preserve"> </w:t>
      </w:r>
      <w:r>
        <w:rPr>
          <w:b/>
          <w:bCs/>
        </w:rPr>
        <w:t xml:space="preserve">NIFLUMENE</w:t>
      </w:r>
      <w:r>
        <w:t xml:space="preserve"> </w:t>
      </w:r>
      <w:r>
        <w:t xml:space="preserve">(Salem) (NR) — Suppositoire 400 mg, B/08 (Liste II)</w:t>
      </w:r>
      <w:r>
        <w:t xml:space="preserve"> </w:t>
      </w:r>
      <w:r>
        <w:t xml:space="preserve">-</w:t>
      </w:r>
      <w:r>
        <w:t xml:space="preserve"> </w:t>
      </w:r>
      <w:r>
        <w:rPr>
          <w:b/>
          <w:bCs/>
        </w:rPr>
        <w:t xml:space="preserve">USENIL</w:t>
      </w:r>
      <w:r>
        <w:t xml:space="preserve"> </w:t>
      </w:r>
      <w:r>
        <w:t xml:space="preserve">(Pharmalliance) (NR) — Suppositoire sécable enfant 400 mg, B/08 (Liste II)</w:t>
      </w:r>
      <w:r>
        <w:t xml:space="preserve"> </w:t>
      </w:r>
      <w:r>
        <w:t xml:space="preserve">-</w:t>
      </w:r>
      <w:r>
        <w:t xml:space="preserve"> </w:t>
      </w:r>
      <w:r>
        <w:rPr>
          <w:b/>
          <w:bCs/>
        </w:rPr>
        <w:t xml:space="preserve">NEFRAXIL</w:t>
      </w:r>
      <w:r>
        <w:t xml:space="preserve"> </w:t>
      </w:r>
      <w:r>
        <w:t xml:space="preserve">(LPA) (R) — Suppositoire 400 mg, B/10 (Liste II)</w:t>
      </w:r>
    </w:p>
    <w:p>
      <w:pPr>
        <w:pStyle w:val="BodyText"/>
      </w:pPr>
      <w:r>
        <w:rPr>
          <w:b/>
          <w:bCs/>
        </w:rPr>
        <w:t xml:space="preserve">Suppositoires 200 mg (nourrisson-enfant) :</w:t>
      </w:r>
      <w:r>
        <w:t xml:space="preserve"> </w:t>
      </w:r>
      <w:r>
        <w:t xml:space="preserve">-</w:t>
      </w:r>
      <w:r>
        <w:t xml:space="preserve"> </w:t>
      </w:r>
      <w:r>
        <w:rPr>
          <w:b/>
          <w:bCs/>
        </w:rPr>
        <w:t xml:space="preserve">NIFLUMENE</w:t>
      </w:r>
      <w:r>
        <w:t xml:space="preserve"> </w:t>
      </w:r>
      <w:r>
        <w:t xml:space="preserve">(Salem) (NR) — Suppositoire 200 mg, B/08 (Liste II)</w:t>
      </w:r>
      <w:r>
        <w:t xml:space="preserve"> </w:t>
      </w:r>
      <w:r>
        <w:t xml:space="preserve">-</w:t>
      </w:r>
      <w:r>
        <w:t xml:space="preserve"> </w:t>
      </w:r>
      <w:r>
        <w:rPr>
          <w:b/>
          <w:bCs/>
        </w:rPr>
        <w:t xml:space="preserve">NIFLURIC</w:t>
      </w:r>
      <w:r>
        <w:t xml:space="preserve"> </w:t>
      </w:r>
      <w:r>
        <w:t xml:space="preserve">(4A Santé Industrie SARL) (NR) — Suppositoire 200 mg, B/10 (Liste II)</w:t>
      </w:r>
    </w:p>
    <w:p>
      <w:pPr>
        <w:pStyle w:val="BodyText"/>
      </w:pPr>
      <w:r>
        <w:rPr>
          <w:b/>
          <w:bCs/>
        </w:rPr>
        <w:t xml:space="preserve">Statut :</w:t>
      </w:r>
      <w:r>
        <w:t xml:space="preserve"> </w:t>
      </w:r>
      <w:r>
        <w:t xml:space="preserve">Les spécialités actives sont les suppositoires 400 et 700 mg des laboratoires Saidal et 4A Santé Industrie. La grande majorité des autres marques sont non renouvelées ou retirées. La forme 200 mg nourrisson n’est plus disponible en actif.</w:t>
      </w:r>
    </w:p>
    <w:p>
      <w:pPr>
        <w:pStyle w:val="BodyText"/>
      </w:pPr>
      <w:r>
        <w:rPr>
          <w:b/>
          <w:bCs/>
        </w:rPr>
        <w:t xml:space="preserve">Sous-classe et Mécanisme d’action :</w:t>
      </w:r>
      <w:r>
        <w:t xml:space="preserve"> </w:t>
      </w:r>
      <w:r>
        <w:t xml:space="preserve">- Sous-classe : Acide fénamique (anthranilique), prodrogue de l’acide niflumique, AINS non sélectif COX-1/COX-2.</w:t>
      </w:r>
      <w:r>
        <w:t xml:space="preserve"> </w:t>
      </w:r>
      <w:r>
        <w:t xml:space="preserve">- Mécanisme d’action : Le morniflumate est une prodrogue hydrolysée in vivo par les estérases plasmatiques et hépatiques en acide niflumique actif. L’acide niflumique libéré inhibe réversiblement les COX-1 et COX-2 → blocage de la synthèse des prostanoïdes. Activité anti-inflammatoire, antalgique, antipyrétique identique à celle de l’acide niflumique.</w:t>
      </w:r>
    </w:p>
    <w:p>
      <w:pPr>
        <w:pStyle w:val="BodyText"/>
      </w:pPr>
      <w:r>
        <w:rPr>
          <w:b/>
          <w:bCs/>
        </w:rPr>
        <w:t xml:space="preserve">Profil Pharmacologique :</w:t>
      </w:r>
      <w:r>
        <w:t xml:space="preserve"> </w:t>
      </w:r>
      <w:r>
        <w:t xml:space="preserve">- Indications :</w:t>
      </w:r>
      <w:r>
        <w:t xml:space="preserve"> </w:t>
      </w:r>
      <w:r>
        <w:t xml:space="preserve">- Traitement symptomatique de courte durée des douleurs aiguës modérées (douleurs articulaires, musculaires, dentaires, céphalées, dysménorrhée, douleurs post-traumatiques, otites).</w:t>
      </w:r>
      <w:r>
        <w:t xml:space="preserve"> </w:t>
      </w:r>
      <w:r>
        <w:t xml:space="preserve">- Hors AMM : colique néphrétique (alternative au diclofénac IM, kétoprofène IM), crise de migraine.</w:t>
      </w:r>
      <w:r>
        <w:t xml:space="preserve"> </w:t>
      </w:r>
      <w:r>
        <w:t xml:space="preserve">- Pédiatrie (forme 200 mg, retirée) : traitement symptomatique de la fièvre et des douleurs (otites, poussées dentaires).</w:t>
      </w:r>
      <w:r>
        <w:t xml:space="preserve"> </w:t>
      </w:r>
      <w:r>
        <w:t xml:space="preserve">- Contre-indications :</w:t>
      </w:r>
      <w:r>
        <w:t xml:space="preserve"> </w:t>
      </w:r>
      <w:r>
        <w:t xml:space="preserve">- (1) Hypersensibilité au morniflumate, à l’acide niflumique ou à un autre AINS.</w:t>
      </w:r>
      <w:r>
        <w:t xml:space="preserve"> </w:t>
      </w:r>
      <w:r>
        <w:t xml:space="preserve">- (2) Asthme aspirine-sensible, polypose naso-sinusienne, angio-œdème.</w:t>
      </w:r>
      <w:r>
        <w:t xml:space="preserve"> </w:t>
      </w:r>
      <w:r>
        <w:t xml:space="preserve">- (3) Ulcère gastro-duodénal en évolution.</w:t>
      </w:r>
      <w:r>
        <w:t xml:space="preserve"> </w:t>
      </w:r>
      <w:r>
        <w:t xml:space="preserve">- (4) Insuffisance hépatique sévère.</w:t>
      </w:r>
      <w:r>
        <w:t xml:space="preserve"> </w:t>
      </w:r>
      <w:r>
        <w:t xml:space="preserve">- (5) Insuffisance rénale sévère.</w:t>
      </w:r>
      <w:r>
        <w:t xml:space="preserve"> </w:t>
      </w:r>
      <w:r>
        <w:t xml:space="preserve">- (6) Insuffisance cardiaque sévère.</w:t>
      </w:r>
      <w:r>
        <w:t xml:space="preserve"> </w:t>
      </w:r>
      <w:r>
        <w:t xml:space="preserve">- (7) Grossesse 3e trimestre.</w:t>
      </w:r>
      <w:r>
        <w:t xml:space="preserve"> </w:t>
      </w:r>
      <w:r>
        <w:t xml:space="preserve">- (8) Rectite évolutive, rectorragies, hémorroïdes saignantes (CI de la voie rectale).</w:t>
      </w:r>
      <w:r>
        <w:t xml:space="preserve"> </w:t>
      </w:r>
      <w:r>
        <w:t xml:space="preserve">- (9) Enfant &lt; 6 mois (forme nourrisson).</w:t>
      </w:r>
      <w:r>
        <w:t xml:space="preserve"> </w:t>
      </w:r>
      <w:r>
        <w:t xml:space="preserve">- Effets Indésirables :</w:t>
      </w:r>
      <w:r>
        <w:t xml:space="preserve"> </w:t>
      </w:r>
      <w:r>
        <w:t xml:space="preserve">- Rectaux (particularité de la voie) : brûlure rectale, ténesme, rectorragies, rectite, ulcération rectale, exacerbation d’hémorroïdes.</w:t>
      </w:r>
      <w:r>
        <w:t xml:space="preserve"> </w:t>
      </w:r>
      <w:r>
        <w:t xml:space="preserve">- Digestifs systémiques : ulcère, hémorragie (profil comparable à l’acide niflumique).</w:t>
      </w:r>
      <w:r>
        <w:t xml:space="preserve"> </w:t>
      </w:r>
      <w:r>
        <w:t xml:space="preserve">- Hépatiques : cytolyse hépatique, hépatites (rares mais graves). Surveillance transaminases si traitement &gt; 7 jours.</w:t>
      </w:r>
      <w:r>
        <w:t xml:space="preserve"> </w:t>
      </w:r>
      <w:r>
        <w:t xml:space="preserve">- Rénaux : insuffisance rénale aiguë, néphropathie interstitielle.</w:t>
      </w:r>
      <w:r>
        <w:t xml:space="preserve"> </w:t>
      </w:r>
      <w:r>
        <w:t xml:space="preserve">- Allergiques : éruptions, urticaire, asthme (fréquence élevée d’allergie croisée avec les autres AINS).</w:t>
      </w:r>
      <w:r>
        <w:t xml:space="preserve"> </w:t>
      </w:r>
      <w:r>
        <w:t xml:space="preserve">- Neurologiques : céphalées, vertiges, somnolence.</w:t>
      </w:r>
    </w:p>
    <w:p>
      <w:pPr>
        <w:pStyle w:val="BodyText"/>
      </w:pPr>
      <w:r>
        <w:rPr>
          <w:b/>
          <w:bCs/>
        </w:rPr>
        <w:t xml:space="preserve">Prévention et Gestion des Effets Indésirables :</w:t>
      </w:r>
      <w:r>
        <w:t xml:space="preserve"> </w:t>
      </w:r>
      <w:r>
        <w:t xml:space="preserve">- Mesures Préventives : utilisation de la voie rectale sur une durée courte (5–7 jours), pas d’association à un autre AINS, surveillance hépatique si traitement prolongé.</w:t>
      </w:r>
      <w:r>
        <w:t xml:space="preserve"> </w:t>
      </w:r>
      <w:r>
        <w:t xml:space="preserve">- Conduite à Tenir : arrêt en cas de brûlure rectale, rectorragies, douleur épigastrique, ictère, éruption cutanée.</w:t>
      </w:r>
    </w:p>
    <w:p>
      <w:pPr>
        <w:pStyle w:val="BodyText"/>
      </w:pPr>
      <w:r>
        <w:rPr>
          <w:b/>
          <w:bCs/>
        </w:rPr>
        <w:t xml:space="preserve">Interactions Importantes :</w:t>
      </w:r>
      <w:r>
        <w:t xml:space="preserve"> </w:t>
      </w:r>
      <w:r>
        <w:t xml:space="preserve">- Identiques à la classe des AINS (AVK, aspirine, IEC/ARA2/diurétiques, lithium, méthotrexate, ISRS, alcool).</w:t>
      </w:r>
      <w:r>
        <w:t xml:space="preserve"> </w:t>
      </w:r>
      <w:r>
        <w:t xml:space="preserve">- Morniflumate + Anticoagulants oraux : majoration du risque hémorragique (surtout en cas de rectorragies concomitantes).</w:t>
      </w:r>
    </w:p>
    <w:p>
      <w:pPr>
        <w:pStyle w:val="BodyText"/>
      </w:pPr>
      <w:r>
        <w:rPr>
          <w:b/>
          <w:bCs/>
        </w:rPr>
        <w:t xml:space="preserve">Grossesse et Allaitement :</w:t>
      </w:r>
      <w:r>
        <w:t xml:space="preserve"> </w:t>
      </w:r>
      <w:r>
        <w:t xml:space="preserve">- Grossesse : (selon CRAT) — CI 3e trimestre. Aux 1er et 2e trimestres, à éviter par prudence. Préférer l’ibuprofène si AINS nécessaire.</w:t>
      </w:r>
      <w:r>
        <w:t xml:space="preserve"> </w:t>
      </w:r>
      <w:r>
        <w:t xml:space="preserve">- Allaitement : Compatible dose unique, mais à éviter en traitement prolongé (profil hépatique et allergique moins favorable que l’ibuprofène).</w:t>
      </w:r>
      <w:r>
        <w:t xml:space="preserve"> </w:t>
      </w:r>
      <w:r>
        <w:t xml:space="preserve">- Précisions : La voie rectale ne doit pas être utilisée en cas de lésion rectale (hémorroïdes saignantes, rectite).</w:t>
      </w:r>
    </w:p>
    <w:p>
      <w:pPr>
        <w:pStyle w:val="BodyText"/>
      </w:pPr>
      <w:r>
        <w:rPr>
          <w:b/>
          <w:bCs/>
        </w:rPr>
        <w:t xml:space="preserve">Posologie et Mode d’administration (Standard) :</w:t>
      </w:r>
      <w:r>
        <w:t xml:space="preserve"> </w:t>
      </w:r>
      <w:r>
        <w:t xml:space="preserve">- Adulte :</w:t>
      </w:r>
      <w:r>
        <w:t xml:space="preserve"> </w:t>
      </w:r>
      <w:r>
        <w:t xml:space="preserve">- Suppositoire 700 mg : 1 suppositoire x 1 à 2/j (matin et soir), max 1400 mg/j. Voie rectale.</w:t>
      </w:r>
      <w:r>
        <w:t xml:space="preserve"> </w:t>
      </w:r>
      <w:r>
        <w:t xml:space="preserve">- Suppositoire 400 mg : 1 suppositoire x 2 à 3/j, max 1200 mg/j.</w:t>
      </w:r>
      <w:r>
        <w:t xml:space="preserve"> </w:t>
      </w:r>
      <w:r>
        <w:t xml:space="preserve">- Enfant &gt; 30 mois (suppositoire 400 mg) : 1 suppositoire x 2/j (10–15 mg/kg/jour).</w:t>
      </w:r>
      <w:r>
        <w:t xml:space="preserve"> </w:t>
      </w:r>
      <w:r>
        <w:t xml:space="preserve">- Enfant 6 mois à 30 mois (suppositoire 200 mg, retiré) : 1 suppositoire x 2 à 3/j.</w:t>
      </w:r>
      <w:r>
        <w:t xml:space="preserve"> </w:t>
      </w:r>
      <w:r>
        <w:t xml:space="preserve">- Sujet âgé : réduire la posologie de moitié, surveillance hépatique et rénale accrue.</w:t>
      </w:r>
      <w:r>
        <w:t xml:space="preserve"> </w:t>
      </w:r>
      <w:r>
        <w:t xml:space="preserve">- Durée : 5 à 7 jours max.</w:t>
      </w:r>
      <w:r>
        <w:t xml:space="preserve"> </w:t>
      </w:r>
      <w:r>
        <w:t xml:space="preserve">- Moment de prise : suppositoire à utiliser de préférence après défécation, à température ambiante (réfrigérer avant usage si trop mou).</w:t>
      </w:r>
    </w:p>
    <w:p>
      <w:pPr>
        <w:pStyle w:val="BodyText"/>
      </w:pPr>
      <w:r>
        <w:rPr>
          <w:b/>
          <w:bCs/>
        </w:rPr>
        <w:t xml:space="preserve">Arbitrage et Bénéfices des Formes Galéniques :</w:t>
      </w:r>
      <w:r>
        <w:t xml:space="preserve"> </w:t>
      </w:r>
      <w:r>
        <w:t xml:space="preserve">- Suppositoires (unique forme active) : alternative à la voie orale en cas de vomissements, dysphagie, ou pour l’enfant. Avantage : démarrage d’action rapide (30 min), passage hépatique évité (first pass). Inconvénient : tolérance rectale médiocre (rectite, rectorragies), Acceptabilité variable selon les patients.</w:t>
      </w:r>
      <w:r>
        <w:t xml:space="preserve"> </w:t>
      </w:r>
      <w:r>
        <w:t xml:space="preserve">- Forme orale historique (gélule de morniflumate) : non disponible en Algérie.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anti-inflammatoire antalgique à utiliser par voie rectale (suppositoire).</w:t>
      </w:r>
      <w:r>
        <w:t xml:space="preserve">”</w:t>
      </w:r>
      <w:r>
        <w:t xml:space="preserve"> </w:t>
      </w:r>
      <w:r>
        <w:t xml:space="preserve">-</w:t>
      </w:r>
      <w:r>
        <w:t xml:space="preserve"> </w:t>
      </w:r>
      <w:r>
        <w:t xml:space="preserve">“</w:t>
      </w:r>
      <w:r>
        <w:t xml:space="preserve">Ne l’associez pas à un autre AINS.</w:t>
      </w:r>
      <w:r>
        <w:t xml:space="preserve">”</w:t>
      </w:r>
      <w:r>
        <w:t xml:space="preserve"> </w:t>
      </w:r>
      <w:r>
        <w:t xml:space="preserve">-</w:t>
      </w:r>
      <w:r>
        <w:t xml:space="preserve"> </w:t>
      </w:r>
      <w:r>
        <w:t xml:space="preserve">“</w:t>
      </w:r>
      <w:r>
        <w:t xml:space="preserve">Si vous avez des brûlures rectales, des saignements, des douleurs au ventre, des éruptions cutanées, arrêtez et consultez.</w:t>
      </w:r>
      <w:r>
        <w:t xml:space="preserve">”</w:t>
      </w:r>
      <w:r>
        <w:t xml:space="preserve"> </w:t>
      </w:r>
      <w:r>
        <w:t xml:space="preserve">-</w:t>
      </w:r>
      <w:r>
        <w:t xml:space="preserve"> </w:t>
      </w:r>
      <w:r>
        <w:t xml:space="preserve">“</w:t>
      </w:r>
      <w:r>
        <w:t xml:space="preserve">Prévenez votre médecin si vous avez des hémorroïdes ou des saignements rectaux avant utilisation.</w:t>
      </w:r>
      <w:r>
        <w:t xml:space="preserve">”</w:t>
      </w:r>
      <w:r>
        <w:t xml:space="preserve"> </w:t>
      </w:r>
      <w:r>
        <w:t xml:space="preserve">- Mode d’utilisation pratique : le suppositoire s’utilise par voie rectale. Le matin et/ou le soir, après défécation, à température ambiante. Si le suppositoire est trop mou, le passer sous l’eau froide ou le placer 30 min au réfrigérateur avant usage. Introduire profondément dans le rectum, en position allongée latérale. Rester couché 10 min après insertion. En cas d’oubli, ne pas doubler la dose.</w:t>
      </w:r>
    </w:p>
    <w:p>
      <w:pPr>
        <w:pStyle w:val="BodyText"/>
      </w:pPr>
      <w:r>
        <w:rPr>
          <w:b/>
          <w:bCs/>
        </w:rPr>
        <w:t xml:space="preserve">Notes, Règles d’Or &amp; Pièges au Comptoir :</w:t>
      </w:r>
      <w:r>
        <w:t xml:space="preserve"> </w:t>
      </w:r>
      <w:r>
        <w:t xml:space="preserve">- Piège classique de la voie rectale chez le patient hémorroïdaire : risque de saignement majoré. Refuser la délivrance et orienter vers une forme orale.</w:t>
      </w:r>
      <w:r>
        <w:t xml:space="preserve"> </w:t>
      </w:r>
      <w:r>
        <w:t xml:space="preserve">- Piège de la toxicité hépatique : surveillance des transaminases si traitement &gt; 7 jours.</w:t>
      </w:r>
      <w:r>
        <w:t xml:space="preserve"> </w:t>
      </w:r>
      <w:r>
        <w:t xml:space="preserve">- Piège femme enceinte : CI 3e trimestre.</w:t>
      </w:r>
      <w:r>
        <w:t xml:space="preserve"> </w:t>
      </w:r>
      <w:r>
        <w:t xml:space="preserve">- Règle de prise : pas plus de 7 jours sans avis médical.</w:t>
      </w:r>
      <w:r>
        <w:t xml:space="preserve"> </w:t>
      </w:r>
      <w:r>
        <w:t xml:space="preserve">- Préparation et Conservation : conservation à T &lt; 25 °C, à l’abri de la chaleur. Si le suppositoire est trop mou, le réfrigérer avant usage.</w:t>
      </w:r>
    </w:p>
    <w:p>
      <w:r>
        <w:pict>
          <v:rect style="width:0;height:1.5pt" o:hralign="center" o:hrstd="t" o:hr="t"/>
        </w:pict>
      </w:r>
    </w:p>
    <w:bookmarkEnd w:id="142"/>
    <w:bookmarkEnd w:id="143"/>
    <w:bookmarkStart w:id="146" w:name="vi.-sous-classe-ains---pyrazolés"/>
    <w:p>
      <w:pPr>
        <w:pStyle w:val="Heading2"/>
      </w:pPr>
      <w:r>
        <w:t xml:space="preserve">VI. Sous-classe : AINS - Pyrazolés</w:t>
      </w:r>
    </w:p>
    <w:bookmarkStart w:id="144" w:name="introduction-à-la-sous-classe-5"/>
    <w:p>
      <w:pPr>
        <w:pStyle w:val="Heading3"/>
      </w:pPr>
      <w:r>
        <w:t xml:space="preserve">Introduction à la sous-classe</w:t>
      </w:r>
    </w:p>
    <w:p>
      <w:pPr>
        <w:pStyle w:val="FirstParagraph"/>
      </w:pPr>
      <w:r>
        <w:t xml:space="preserve">Les dérivés pyrazolés constituent une sous-classe d’AINS structuralement caractérisée par un noyau pyrazolé (noyau hétérocyclique à 5 atomes contenant 2 atomes d’azote adjacents). Historiquement, cette classe comportait plusieurs molécules : la phénylbutazone (retirée du marché mondial pour toxicité hématologique), l’oxyphénylbutazone (retirée), le métamizole (noramidopyrine, encore commercialisé), le propyphénazone (encore utilisée dans certaines associations). Seul le métamizole reste commercialisé en Algérie, mais il est actuellement retiré du marché algérien sous ses formes injectables historiques (VISCERALGINE FORTE, AVAFORTAN). Le métamizole est une molécule particulière : son activité anti-inflammatoire est faible (comparable à l’aspirine), mais son activité antalgique est puissante (proche des morphiniques faibles) et son activité antipyrétique est remarquable. Il est surtout connu pour son risque d’agranulocytose, effet indésirable rare (≈ 1/100 000 à 1/1 000 000) mais potentiellement mortel, qui a conduit à son retrait du marché dans plusieurs pays (États-Unis, Royaume-Uni, Suède) mais son maintien dans d’autres (Allemagne, Espagne, France sous surveillance stricte, Algérie).</w:t>
      </w:r>
    </w:p>
    <w:bookmarkEnd w:id="144"/>
    <w:bookmarkStart w:id="145" w:name="dci-metamizole-noramidopyrine-seule"/>
    <w:p>
      <w:pPr>
        <w:pStyle w:val="Heading3"/>
      </w:pPr>
      <w:r>
        <w:t xml:space="preserve">13. DCI : Metamizole (Noramidopyrine) (Seule)</w:t>
      </w:r>
    </w:p>
    <w:p>
      <w:pPr>
        <w:pStyle w:val="FirstParagraph"/>
      </w:pPr>
      <w:r>
        <w:rPr>
          <w:b/>
          <w:bCs/>
        </w:rPr>
        <w:t xml:space="preserve">Liste des Catégories :</w:t>
      </w:r>
      <w:r>
        <w:t xml:space="preserve"> </w:t>
      </w:r>
      <w:r>
        <w:t xml:space="preserve">Liste I (formes injectables).</w:t>
      </w:r>
    </w:p>
    <w:p>
      <w:pPr>
        <w:pStyle w:val="BodyText"/>
      </w:pPr>
      <w:r>
        <w:t xml:space="preserve">Le métamizole (noramidopyrine, dipyrone) est un AINS de la sous-classe des pyrazolés, dérivé de la pyrazolone. Sa structure chimique correspond à un dérivé N-méthyl-4-aminophénazone. Il se distingue fondamentalement des autres AINS acides par plusieurs caractéristiques : (1) une activité antalgique particulièrement puissante, comparable à celle de la morphine 10 mg IM, faisant du métamizole un antalgique de palier 2-3 OMS, (2) une activité antipyrétique remarquable, utilisée en cas de fièvre résistante aux autres antipyrétiques, (3) une activité anti-inflammatoire modeste (plus faible que les autres AINS), (4) un mécanisme d’action original combinant inhibition des COX (mais de manière atypique, avec une faible affinité pour la COX-1 plaquettaire) et action centrale sur les voies descendantes de la douleur (cannabinergiques et opioidergiques), (5) un profil de tolérance particulier dominé par le risque d’agranulocytose et d’hypersensibilité (choc anaphylactique). Le métamizole est commercialisé en Algérie historiquement sous les marques VISCERALGINE FORTE (Organon) et AVAFORTAN (Therabel Lucien Pharma), toutes deux retirées du marché algérien à ce jour (selon la nomenclature d’avril 2026). Il reste néanmoins disponible dans plusieurs pays (Allemagne, Espagne, Portugal, Amérique Latine) et peut faire l’objet d’importations exceptionnelles. Il était historiquement indiqué dans les douleurs aiguës intenses (coliques néphrétiques, biliaires, post-opératoires), les douleurs néoplasiques (alternative à la morphine), et les fièvres résistantes aux autres antipyrétiques (fièvres hyperthermiques).</w:t>
      </w:r>
    </w:p>
    <w:p>
      <w:pPr>
        <w:pStyle w:val="BodyText"/>
      </w:pPr>
      <w:r>
        <w:rPr>
          <w:b/>
          <w:bCs/>
        </w:rPr>
        <w:t xml:space="preserve">Médicaments disponibles en Algérie (Marques, Laboratoires, Formes et Dosages) :</w:t>
      </w:r>
    </w:p>
    <w:p>
      <w:pPr>
        <w:pStyle w:val="BodyText"/>
      </w:pPr>
      <w:r>
        <w:rPr>
          <w:b/>
          <w:bCs/>
        </w:rPr>
        <w:t xml:space="preserve">Solutions injectables (retirées) :</w:t>
      </w:r>
      <w:r>
        <w:t xml:space="preserve"> </w:t>
      </w:r>
      <w:r>
        <w:t xml:space="preserve">-</w:t>
      </w:r>
      <w:r>
        <w:t xml:space="preserve"> </w:t>
      </w:r>
      <w:r>
        <w:rPr>
          <w:b/>
          <w:bCs/>
        </w:rPr>
        <w:t xml:space="preserve">VISCERALGINE FORTE à la noramydopyrine</w:t>
      </w:r>
      <w:r>
        <w:t xml:space="preserve"> </w:t>
      </w:r>
      <w:r>
        <w:t xml:space="preserve">(Organon S.A.) (R)</w:t>
      </w:r>
      <w:r>
        <w:t xml:space="preserve"> </w:t>
      </w:r>
      <w:r>
        <w:t xml:space="preserve">- Forme : Solution injectable</w:t>
      </w:r>
      <w:r>
        <w:t xml:space="preserve"> </w:t>
      </w:r>
      <w:r>
        <w:t xml:space="preserve">- Dosage : 1 g/2 g/5 mL</w:t>
      </w:r>
      <w:r>
        <w:t xml:space="preserve"> </w:t>
      </w:r>
      <w:r>
        <w:t xml:space="preserve">- Conditionnement : B/10 ampoules de 5 mL</w:t>
      </w:r>
      <w:r>
        <w:t xml:space="preserve"> </w:t>
      </w:r>
      <w:r>
        <w:t xml:space="preserve">- Liste : Liste I</w:t>
      </w:r>
      <w:r>
        <w:t xml:space="preserve"> </w:t>
      </w:r>
      <w:r>
        <w:t xml:space="preserve">- Statut : RETRAIT</w:t>
      </w:r>
      <w:r>
        <w:t xml:space="preserve"> </w:t>
      </w:r>
      <w:r>
        <w:t xml:space="preserve">-</w:t>
      </w:r>
      <w:r>
        <w:t xml:space="preserve"> </w:t>
      </w:r>
      <w:r>
        <w:rPr>
          <w:b/>
          <w:bCs/>
        </w:rPr>
        <w:t xml:space="preserve">AVAFORTAN</w:t>
      </w:r>
      <w:r>
        <w:t xml:space="preserve"> </w:t>
      </w:r>
      <w:r>
        <w:t xml:space="preserve">(Therabel Lucien Pharma) (R)</w:t>
      </w:r>
      <w:r>
        <w:t xml:space="preserve"> </w:t>
      </w:r>
      <w:r>
        <w:t xml:space="preserve">- Forme : Solution injectable</w:t>
      </w:r>
      <w:r>
        <w:t xml:space="preserve"> </w:t>
      </w:r>
      <w:r>
        <w:t xml:space="preserve">- Dosage : 1,2 g/120 mg/5 mL (association noramidopyrine 1,2 g + pitofénone 120 mg)</w:t>
      </w:r>
      <w:r>
        <w:t xml:space="preserve"> </w:t>
      </w:r>
      <w:r>
        <w:t xml:space="preserve">- Conditionnement : B/5</w:t>
      </w:r>
      <w:r>
        <w:t xml:space="preserve"> </w:t>
      </w:r>
      <w:r>
        <w:t xml:space="preserve">- Liste : Liste I</w:t>
      </w:r>
      <w:r>
        <w:t xml:space="preserve"> </w:t>
      </w:r>
      <w:r>
        <w:t xml:space="preserve">- Statut : RETRAIT</w:t>
      </w:r>
    </w:p>
    <w:p>
      <w:pPr>
        <w:pStyle w:val="BodyText"/>
      </w:pPr>
      <w:r>
        <w:rPr>
          <w:b/>
          <w:bCs/>
        </w:rPr>
        <w:t xml:space="preserve">Statut :</w:t>
      </w:r>
      <w:r>
        <w:t xml:space="preserve"> </w:t>
      </w:r>
      <w:r>
        <w:t xml:space="preserve">Aucune spécialité active de métamizole n’est recensée dans la nomenclature algérienne d’avril 2026. Les deux spécialités historiques (VISCERALGINE FORTE et AVAFORTAN) sont retirées du marché algérien. Le métamizole reste néanmoins mentionné dans la pharmacopée algérienne et peut faire l’objet d’importations exceptionnelles sur autorisation. Il est par ailleurs disponible dans plusieurs pays voisins (Tunisie, Maroc, Égypte, Turquie) et importé occasionnellement. La fiche ci-dessous décrit le médicament tel qu’il est utilisé, en cas d’importation ou dans les pays voisins.</w:t>
      </w:r>
    </w:p>
    <w:p>
      <w:pPr>
        <w:pStyle w:val="BodyText"/>
      </w:pPr>
      <w:r>
        <w:rPr>
          <w:b/>
          <w:bCs/>
        </w:rPr>
        <w:t xml:space="preserve">Sous-classe et Mécanisme d’action :</w:t>
      </w:r>
      <w:r>
        <w:t xml:space="preserve"> </w:t>
      </w:r>
      <w:r>
        <w:t xml:space="preserve">- Sous-classe : Dérivé pyrazolé (pyrazolone), AINS non sélectif COX-1/COX-2, antalgique central et périphérique.</w:t>
      </w:r>
      <w:r>
        <w:t xml:space="preserve"> </w:t>
      </w:r>
      <w:r>
        <w:t xml:space="preserve">- Mécanisme d’action : Le métamizole est une prodrogue hydrolysée in vivo en 4-méthyl-amino-antipyrine (4-MAA), puis en 4-amino-antipyrine (4-AA) et 4-formyl-amino-antipyrine (4-FAA), qui sont les métabolites actifs. Le mécanisme d’action est pluriel :</w:t>
      </w:r>
      <w:r>
        <w:t xml:space="preserve"> </w:t>
      </w:r>
      <w:r>
        <w:t xml:space="preserve">- Inhibition faible des COX-1 et COX-2 (plus faible que les autres AINS, mais dans le SNC, l’inhibition de la COX-2 centrale est marquée), conduisant à un effet antipyrétique et antalgique central.</w:t>
      </w:r>
      <w:r>
        <w:t xml:space="preserve"> </w:t>
      </w:r>
      <w:r>
        <w:t xml:space="preserve">- Inhibition de la COX-3 (isoforme décrite chez l’animal, pertinence humaine controversée).</w:t>
      </w:r>
      <w:r>
        <w:t xml:space="preserve"> </w:t>
      </w:r>
      <w:r>
        <w:t xml:space="preserve">- Action sur le système cannabinoïde et opioidergique endogène (activation des voies descendantes de la douleur).</w:t>
      </w:r>
      <w:r>
        <w:t xml:space="preserve"> </w:t>
      </w:r>
      <w:r>
        <w:t xml:space="preserve">- Effet spasmolytique par inhibition de la phosphodiestérase et antagonisme des prostaglandines au niveau du muscle lisse viscéral (intestin, voies biliaires, urinaires).</w:t>
      </w:r>
      <w:r>
        <w:t xml:space="preserve"> </w:t>
      </w:r>
      <w:r>
        <w:t xml:space="preserve">- L’effet antalgique est central et périphérique, avec une efficacité comparable à la morphine 10 mg IM. L’effet antipyrétique est remarquable, supérieur au paracétamol dans les fièvres résistantes. L’effet anti-inflammatoire est modeste. Pas d’effet antiagrégant plaquettaire significatif (faible affinité pour la COX-1 plaquettaire).</w:t>
      </w:r>
    </w:p>
    <w:p>
      <w:pPr>
        <w:pStyle w:val="BodyText"/>
      </w:pPr>
      <w:r>
        <w:rPr>
          <w:b/>
          <w:bCs/>
        </w:rPr>
        <w:t xml:space="preserve">Profil Pharmacologique :</w:t>
      </w:r>
      <w:r>
        <w:t xml:space="preserve"> </w:t>
      </w:r>
      <w:r>
        <w:t xml:space="preserve">- Indications (lorsqu’il est disponible, en pays voisins ou par importation exceptionnelle) :</w:t>
      </w:r>
      <w:r>
        <w:t xml:space="preserve"> </w:t>
      </w:r>
      <w:r>
        <w:t xml:space="preserve">- Douleurs aiguës intenses : colique néphrétique, colique biliaire, douleur post-opératoire, crise drépanocytaire, douleur néoplasique (alternative à la morphine en cas d’insuffisance rénale).</w:t>
      </w:r>
      <w:r>
        <w:t xml:space="preserve"> </w:t>
      </w:r>
      <w:r>
        <w:t xml:space="preserve">- Fièvres hyperthermiques résistantes au paracétamol et aux AINS classiques.</w:t>
      </w:r>
      <w:r>
        <w:t xml:space="preserve"> </w:t>
      </w:r>
      <w:r>
        <w:t xml:space="preserve">- Spasmes douloureux des voies biliaires, urinaires, intestinales (effet spasmolytique).</w:t>
      </w:r>
      <w:r>
        <w:t xml:space="preserve"> </w:t>
      </w:r>
      <w:r>
        <w:t xml:space="preserve">- Contre-indications :</w:t>
      </w:r>
      <w:r>
        <w:t xml:space="preserve"> </w:t>
      </w:r>
      <w:r>
        <w:t xml:space="preserve">- (1) Hypersensibilité au métamizole ou à un autre dérivé pyrazolé (phénylbutazone, propyphénazone).</w:t>
      </w:r>
      <w:r>
        <w:t xml:space="preserve"> </w:t>
      </w:r>
      <w:r>
        <w:t xml:space="preserve">- (2) Antécédent d’agranulocytose induite par le métamizole ou un autre pyrazolé.</w:t>
      </w:r>
      <w:r>
        <w:t xml:space="preserve"> </w:t>
      </w:r>
      <w:r>
        <w:t xml:space="preserve">- (3) Insuffisance hépatique sévère.</w:t>
      </w:r>
      <w:r>
        <w:t xml:space="preserve"> </w:t>
      </w:r>
      <w:r>
        <w:t xml:space="preserve">- (4) Insuffisance rénale sévère.</w:t>
      </w:r>
      <w:r>
        <w:t xml:space="preserve"> </w:t>
      </w:r>
      <w:r>
        <w:t xml:space="preserve">- (5) Porphyrie hépatique.</w:t>
      </w:r>
      <w:r>
        <w:t xml:space="preserve"> </w:t>
      </w:r>
      <w:r>
        <w:t xml:space="preserve">- (6) Déficit en G6PD (risque d’hémolyse).</w:t>
      </w:r>
      <w:r>
        <w:t xml:space="preserve"> </w:t>
      </w:r>
      <w:r>
        <w:t xml:space="preserve">- (7) Asthme aspirine-sensible (CI relative).</w:t>
      </w:r>
      <w:r>
        <w:t xml:space="preserve"> </w:t>
      </w:r>
      <w:r>
        <w:t xml:space="preserve">- (8) Grossesse 3e trimestre. À éviter pendant toute la grossesse par prudence.</w:t>
      </w:r>
      <w:r>
        <w:t xml:space="preserve"> </w:t>
      </w:r>
      <w:r>
        <w:t xml:space="preserve">- (9) Allaitement (à suspendre pendant 48 h après administration).</w:t>
      </w:r>
      <w:r>
        <w:t xml:space="preserve"> </w:t>
      </w:r>
      <w:r>
        <w:t xml:space="preserve">- (10) Enfant &lt; 6 mois (ou &lt; 8 kg).</w:t>
      </w:r>
      <w:r>
        <w:t xml:space="preserve"> </w:t>
      </w:r>
      <w:r>
        <w:t xml:space="preserve">- (11) Forme injectable : trouble de l’hémostase, traitement anticoagulant.</w:t>
      </w:r>
      <w:r>
        <w:t xml:space="preserve"> </w:t>
      </w:r>
      <w:r>
        <w:t xml:space="preserve">- Effets Indésirables :</w:t>
      </w:r>
      <w:r>
        <w:t xml:space="preserve"> </w:t>
      </w:r>
      <w:r>
        <w:t xml:space="preserve">- Hématologiques (particularité majeure) : agranulocytose médicamenteuse (incidence estimée à 1/100 000 à 1/1 000 000 selon les études, mais potentiellement mortelle). Survenue brutale, 1 à 2 semaines après le début du traitement, avec fièvre, angine, ulcérations buccales, sepsis. Arrêt immédiat, hospitalisation, antibiothérapie, G-CSF. Leucopénie, thrombopénie, anémie hémolytique (surtout chez le sujet déficitaire en G6PD).</w:t>
      </w:r>
      <w:r>
        <w:t xml:space="preserve"> </w:t>
      </w:r>
      <w:r>
        <w:t xml:space="preserve">- Hypersensibilité (particularité majeure) : choc anaphylactique (rare mais potentiellement mortel), urticaire, angio-œdème, bronchospasme, éruptions cutanées. Risque accru en cas d’asthme aspirine-sensible. Le choc anaphylactique peut survenir dès la première prise (réaction non dépendante des anticorps IgE, médiée par les leucotriènes).</w:t>
      </w:r>
      <w:r>
        <w:t xml:space="preserve"> </w:t>
      </w:r>
      <w:r>
        <w:t xml:space="preserve">- Digestifs : peu marqués (avantage du métamizole par rapport aux autres AINS). Pas d’ulcère ni d’hémorragie digestive significative.</w:t>
      </w:r>
      <w:r>
        <w:t xml:space="preserve"> </w:t>
      </w:r>
      <w:r>
        <w:t xml:space="preserve">- Rénaux : néphropathie interstitielle aiguë (rare), surtout en cas d’usage prolongé ou de doses élevées.</w:t>
      </w:r>
      <w:r>
        <w:t xml:space="preserve"> </w:t>
      </w:r>
      <w:r>
        <w:t xml:space="preserve">- Cardiovasculaires (forme injectable) : hypotension (surtout en IV rapide), bradycardie. Effet proarythmique possible.</w:t>
      </w:r>
      <w:r>
        <w:t xml:space="preserve"> </w:t>
      </w:r>
      <w:r>
        <w:t xml:space="preserve">- Neurologiques : somnolence, vertiges, confusion (aux doses élevées).</w:t>
      </w:r>
      <w:r>
        <w:t xml:space="preserve"> </w:t>
      </w:r>
      <w:r>
        <w:t xml:space="preserve">- Cutanés : éruptions, syndrome de Stevens-Johnson, Lyell (très rares).</w:t>
      </w:r>
      <w:r>
        <w:t xml:space="preserve"> </w:t>
      </w:r>
      <w:r>
        <w:t xml:space="preserve">- Au point d’injection : douleur locale, irritation veineuse (voie IV).</w:t>
      </w:r>
    </w:p>
    <w:p>
      <w:pPr>
        <w:pStyle w:val="BodyText"/>
      </w:pPr>
      <w:r>
        <w:rPr>
          <w:b/>
          <w:bCs/>
        </w:rPr>
        <w:t xml:space="preserve">Prévention et Gestion des Effets Indésirables :</w:t>
      </w:r>
      <w:r>
        <w:t xml:space="preserve"> </w:t>
      </w:r>
      <w:r>
        <w:t xml:space="preserve">- Mesures Préventives :</w:t>
      </w:r>
      <w:r>
        <w:t xml:space="preserve"> </w:t>
      </w:r>
      <w:r>
        <w:t xml:space="preserve">- Posologie minimale efficace, durée la plus courte possible (ne pas dépasser 3 à 5 jours).</w:t>
      </w:r>
      <w:r>
        <w:t xml:space="preserve"> </w:t>
      </w:r>
      <w:r>
        <w:t xml:space="preserve">- Information du patient sur les signes d’agranulocytose (fièvre, angine, ulcérations buccales) → arrêt immédiat et consultation urgente.</w:t>
      </w:r>
      <w:r>
        <w:t xml:space="preserve"> </w:t>
      </w:r>
      <w:r>
        <w:t xml:space="preserve">- Surveillance NFS en cas de traitement prolongé (&gt; 3 jours) : à J0, J3, J7.</w:t>
      </w:r>
      <w:r>
        <w:t xml:space="preserve"> </w:t>
      </w:r>
      <w:r>
        <w:t xml:space="preserve">- Voie injectable : injection lente (IV) pour éviter l’hypotension, surveillance tensionnelle et ECG, environnement de réanimation disponible (risque de choc anaphylactique).</w:t>
      </w:r>
      <w:r>
        <w:t xml:space="preserve"> </w:t>
      </w:r>
      <w:r>
        <w:t xml:space="preserve">- Éviter l’association à un autre AINS ou à un autre antalgique puissant.</w:t>
      </w:r>
      <w:r>
        <w:t xml:space="preserve"> </w:t>
      </w:r>
      <w:r>
        <w:t xml:space="preserve">- Vérifier l’absence d’antécédent d’agranulocytose, d’hypersensibilité aux pyrazolés, de porphyrie, de déficit en G6PD.</w:t>
      </w:r>
      <w:r>
        <w:t xml:space="preserve"> </w:t>
      </w:r>
      <w:r>
        <w:t xml:space="preserve">- Conduite à Tenir :</w:t>
      </w:r>
      <w:r>
        <w:t xml:space="preserve"> </w:t>
      </w:r>
      <w:r>
        <w:t xml:space="preserve">- Arrêt immédiat en cas de fièvre, angine, ulcérations buccales, signes d’infection (rechercher agranulocytose par NFS urgente).</w:t>
      </w:r>
      <w:r>
        <w:t xml:space="preserve"> </w:t>
      </w:r>
      <w:r>
        <w:t xml:space="preserve">- Arrêt en cas d’éruption cutanée, urticaire, dyspnée, malaise (risque d’anaphylaxie).</w:t>
      </w:r>
      <w:r>
        <w:t xml:space="preserve"> </w:t>
      </w:r>
      <w:r>
        <w:t xml:space="preserve">- En cas de choc anaphylactique : adrenaline IM, antihistaminiques, corticoïdes, réanimation.</w:t>
      </w:r>
    </w:p>
    <w:p>
      <w:pPr>
        <w:pStyle w:val="BodyText"/>
      </w:pPr>
      <w:r>
        <w:rPr>
          <w:b/>
          <w:bCs/>
        </w:rPr>
        <w:t xml:space="preserve">Interactions Importantes :</w:t>
      </w:r>
      <w:r>
        <w:t xml:space="preserve"> </w:t>
      </w:r>
      <w:r>
        <w:t xml:space="preserve">-</w:t>
      </w:r>
      <w:r>
        <w:t xml:space="preserve"> </w:t>
      </w:r>
      <w:r>
        <w:rPr>
          <w:b/>
          <w:bCs/>
        </w:rPr>
        <w:t xml:space="preserve">Métamizole + Autres dérivés pyrazolés (phénylbutazone, propyphénazone)</w:t>
      </w:r>
      <w:r>
        <w:t xml:space="preserve"> </w:t>
      </w:r>
      <w:r>
        <w:t xml:space="preserve">: CI absolue (risque d’agranulocytose additive, d’allergie croisée).</w:t>
      </w:r>
      <w:r>
        <w:t xml:space="preserve"> </w:t>
      </w:r>
      <w:r>
        <w:t xml:space="preserve">-</w:t>
      </w:r>
      <w:r>
        <w:t xml:space="preserve"> </w:t>
      </w:r>
      <w:r>
        <w:rPr>
          <w:b/>
          <w:bCs/>
        </w:rPr>
        <w:t xml:space="preserve">Métamizole + Anticoagulants oraux (AVK)</w:t>
      </w:r>
      <w:r>
        <w:t xml:space="preserve"> </w:t>
      </w:r>
      <w:r>
        <w:t xml:space="preserve">: potentialisation de l’effet anticoagulant (le métamizole n’est pas antiagrégant mais peut interagir avec le métabolisme des AVK). Surveillance INR.</w:t>
      </w:r>
      <w:r>
        <w:t xml:space="preserve"> </w:t>
      </w:r>
      <w:r>
        <w:t xml:space="preserve">-</w:t>
      </w:r>
      <w:r>
        <w:t xml:space="preserve"> </w:t>
      </w:r>
      <w:r>
        <w:rPr>
          <w:b/>
          <w:bCs/>
        </w:rPr>
        <w:t xml:space="preserve">Métamizole + Lithium</w:t>
      </w:r>
      <w:r>
        <w:t xml:space="preserve"> </w:t>
      </w:r>
      <w:r>
        <w:t xml:space="preserve">: baisse de la clairance rénale (rare, mais possible).</w:t>
      </w:r>
      <w:r>
        <w:t xml:space="preserve"> </w:t>
      </w:r>
      <w:r>
        <w:t xml:space="preserve">-</w:t>
      </w:r>
      <w:r>
        <w:t xml:space="preserve"> </w:t>
      </w:r>
      <w:r>
        <w:rPr>
          <w:b/>
          <w:bCs/>
        </w:rPr>
        <w:t xml:space="preserve">Métamizole + Ciclosporine</w:t>
      </w:r>
      <w:r>
        <w:t xml:space="preserve"> </w:t>
      </w:r>
      <w:r>
        <w:t xml:space="preserve">: baisse des concentrations de ciclosporine (induction enzymatique).</w:t>
      </w:r>
      <w:r>
        <w:t xml:space="preserve"> </w:t>
      </w:r>
      <w:r>
        <w:t xml:space="preserve">-</w:t>
      </w:r>
      <w:r>
        <w:t xml:space="preserve"> </w:t>
      </w:r>
      <w:r>
        <w:rPr>
          <w:b/>
          <w:bCs/>
        </w:rPr>
        <w:t xml:space="preserve">Métamizole + Méthotrexate</w:t>
      </w:r>
      <w:r>
        <w:t xml:space="preserve"> </w:t>
      </w:r>
      <w:r>
        <w:t xml:space="preserve">: potentialisation de la toxicité hématologique (risque d’agranulocytose additive).</w:t>
      </w:r>
      <w:r>
        <w:t xml:space="preserve"> </w:t>
      </w:r>
      <w:r>
        <w:t xml:space="preserve">-</w:t>
      </w:r>
      <w:r>
        <w:t xml:space="preserve"> </w:t>
      </w:r>
      <w:r>
        <w:rPr>
          <w:b/>
          <w:bCs/>
        </w:rPr>
        <w:t xml:space="preserve">Métamizole + Alcool</w:t>
      </w:r>
      <w:r>
        <w:t xml:space="preserve"> </w:t>
      </w:r>
      <w:r>
        <w:t xml:space="preserve">: potentialisation des effets indésirables neurologiques.</w:t>
      </w:r>
      <w:r>
        <w:t xml:space="preserve"> </w:t>
      </w:r>
      <w:r>
        <w:t xml:space="preserve">-</w:t>
      </w:r>
      <w:r>
        <w:t xml:space="preserve"> </w:t>
      </w:r>
      <w:r>
        <w:rPr>
          <w:b/>
          <w:bCs/>
        </w:rPr>
        <w:t xml:space="preserve">Métamizole + ISRS, antidépresseurs tricycliques</w:t>
      </w:r>
      <w:r>
        <w:t xml:space="preserve"> </w:t>
      </w:r>
      <w:r>
        <w:t xml:space="preserve">: pas d’interaction majeure documentée (le métamizole n’est pas antiagrégant).</w:t>
      </w:r>
      <w:r>
        <w:t xml:space="preserve"> </w:t>
      </w:r>
      <w:r>
        <w:t xml:space="preserve">-</w:t>
      </w:r>
      <w:r>
        <w:t xml:space="preserve"> </w:t>
      </w:r>
      <w:r>
        <w:rPr>
          <w:b/>
          <w:bCs/>
        </w:rPr>
        <w:t xml:space="preserve">Métamizole + Inhibiteurs de la recapture de la sérotonine</w:t>
      </w:r>
      <w:r>
        <w:t xml:space="preserve"> </w:t>
      </w:r>
      <w:r>
        <w:t xml:space="preserve">: pas d’interaction hémorragique significative (avantage par rapport aux autres AINS).</w:t>
      </w:r>
      <w:r>
        <w:t xml:space="preserve"> </w:t>
      </w:r>
      <w:r>
        <w:t xml:space="preserve">-</w:t>
      </w:r>
      <w:r>
        <w:t xml:space="preserve"> </w:t>
      </w:r>
      <w:r>
        <w:rPr>
          <w:b/>
          <w:bCs/>
        </w:rPr>
        <w:t xml:space="preserve">Métamizole + Chlorpromazine</w:t>
      </w:r>
      <w:r>
        <w:t xml:space="preserve"> </w:t>
      </w:r>
      <w:r>
        <w:t xml:space="preserve">: hypothermie (rare).</w:t>
      </w:r>
    </w:p>
    <w:p>
      <w:pPr>
        <w:pStyle w:val="BodyText"/>
      </w:pPr>
      <w:r>
        <w:rPr>
          <w:b/>
          <w:bCs/>
        </w:rPr>
        <w:t xml:space="preserve">Grossesse et Allaitement :</w:t>
      </w:r>
      <w:r>
        <w:t xml:space="preserve"> </w:t>
      </w:r>
      <w:r>
        <w:t xml:space="preserve">- Grossesse : (selon CRAT) — CI 3e trimestre. Aux 1er et 2e trimestres, à éviter par prudence (données limitées, risque d’hypotension maternelle et fœtale, risque théorique de fermeture prématurée du canal artériel). Préférer le paracétamol ou l’ibuprofène si AINS nécessaire.</w:t>
      </w:r>
      <w:r>
        <w:t xml:space="preserve"> </w:t>
      </w:r>
      <w:r>
        <w:t xml:space="preserve">- Allaitement : Contre-indiqué pendant 48 h après administration (le métamizole et ses métabolites passent dans le lait). Tirer et jeter le lait pendant 48 h après la prise. Préférer le paracétamol ou l’ibuprofène.</w:t>
      </w:r>
      <w:r>
        <w:t xml:space="preserve"> </w:t>
      </w:r>
      <w:r>
        <w:t xml:space="preserve">- Précisions : En raison du risque d’agranulocytose et d’anaphylaxie, le métamizole est généralement évité pendant la grossesse et l’allaitement, sauf nécessité absolue (fièvre résistante, douleur néoplasique).</w:t>
      </w:r>
    </w:p>
    <w:p>
      <w:pPr>
        <w:pStyle w:val="BodyText"/>
      </w:pPr>
      <w:r>
        <w:rPr>
          <w:b/>
          <w:bCs/>
        </w:rPr>
        <w:t xml:space="preserve">Posologie et Mode d’administration (Standard) :</w:t>
      </w:r>
      <w:r>
        <w:t xml:space="preserve"> </w:t>
      </w:r>
      <w:r>
        <w:t xml:space="preserve">- Adulte :</w:t>
      </w:r>
      <w:r>
        <w:t xml:space="preserve"> </w:t>
      </w:r>
      <w:r>
        <w:t xml:space="preserve">- Voie orale (lorsqu’elle est disponible dans les pays voisins) : 500 à 1000 mg par prise, à renouveler si nécessaire toutes les 6–8 h, sans dépasser 4000 mg/j (4 g/j).</w:t>
      </w:r>
      <w:r>
        <w:t xml:space="preserve"> </w:t>
      </w:r>
      <w:r>
        <w:t xml:space="preserve">- Voie injectable IM : 1 g (1 ampoule) IM profonde x 1 à 3/j, max 4 g/j.</w:t>
      </w:r>
      <w:r>
        <w:t xml:space="preserve"> </w:t>
      </w:r>
      <w:r>
        <w:t xml:space="preserve">- Voie injectable IV lente : 1 g (1 ampoule) IV lente (sur 5 min) x 1 à 3/j, max 4 g/j. Surveillance tensionnelle et ECG pendant l’injection (risque d’hypotension, de bradycardie).</w:t>
      </w:r>
      <w:r>
        <w:t xml:space="preserve"> </w:t>
      </w:r>
      <w:r>
        <w:t xml:space="preserve">- Perfusions IV : 2,5 à 5 g dans 250 mL de G5% ou NaCl 0,9%, à passer en 1 h, x 1 à 2/j (usage hospitalier pour douleur post-opératoire intense, néoplasique).</w:t>
      </w:r>
      <w:r>
        <w:t xml:space="preserve"> </w:t>
      </w:r>
      <w:r>
        <w:t xml:space="preserve">- Enfant &gt; 6 mois (ou &gt; 8 kg) : 10 à 25 mg/kg/dose x 3 à 4/j, max 60 mg/kg/j (ou 4 g/j). Voie orale, IM ou IV.</w:t>
      </w:r>
      <w:r>
        <w:t xml:space="preserve"> </w:t>
      </w:r>
      <w:r>
        <w:t xml:space="preserve">- Enfant &lt; 6 mois : CI.</w:t>
      </w:r>
      <w:r>
        <w:t xml:space="preserve"> </w:t>
      </w:r>
      <w:r>
        <w:t xml:space="preserve">- Sujet âgé : réduire la posologie de moitié (risque d’hypotension, d’insuffisance rénale), surveillance accrue.</w:t>
      </w:r>
      <w:r>
        <w:t xml:space="preserve"> </w:t>
      </w:r>
      <w:r>
        <w:t xml:space="preserve">- Durée : 3 à 5 jours max en traitement antalgique aigu. Traitement prolongé possible (douleur néoplasique) sous surveillance NFS hebdomadaire.</w:t>
      </w:r>
      <w:r>
        <w:t xml:space="preserve"> </w:t>
      </w:r>
      <w:r>
        <w:t xml:space="preserve">- Moment de prise : pendant les repas (voie orale), avec un grand verre d’eau. Pour la voie IV : injection lente (5 min) ou perfusion (1 h), surveillance tensionnelle, ECG, environnement de réanimation.</w:t>
      </w:r>
    </w:p>
    <w:p>
      <w:pPr>
        <w:pStyle w:val="BodyText"/>
      </w:pPr>
      <w:r>
        <w:rPr>
          <w:b/>
          <w:bCs/>
        </w:rPr>
        <w:t xml:space="preserve">Arbitrage et Bénéfices des Formes Galéniques :</w:t>
      </w:r>
      <w:r>
        <w:t xml:space="preserve"> </w:t>
      </w:r>
      <w:r>
        <w:t xml:space="preserve">- Forme orale (comprimés 500 mg, gouttes 500 mg/mL) : indiquée dans la douleur aiguë modérée à intense. Disponibilité variable selon les pays (non disponible en Algérie actuellement).</w:t>
      </w:r>
      <w:r>
        <w:t xml:space="preserve"> </w:t>
      </w:r>
      <w:r>
        <w:t xml:space="preserve">- Forme injectable IM : indiquée dans la douleur aiguë intense (colique néphrétique, post-opératoire). Délai d’action 15–30 min.</w:t>
      </w:r>
      <w:r>
        <w:t xml:space="preserve"> </w:t>
      </w:r>
      <w:r>
        <w:t xml:space="preserve">- Forme injectable IV lente ou en perfusion : indiquée dans la douleur aiguë très intense (post-opératoire, néoplasique). Délai d’action court (5–15 min).</w:t>
      </w:r>
      <w:r>
        <w:t xml:space="preserve"> </w:t>
      </w:r>
      <w:r>
        <w:t xml:space="preserve">- Forme suppositoire (500 mg) : alternative en pédiatrie ou en cas d’impossibilité de voie orale (disponibilité variable).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un antalgique puissant et un antipyrétique. Vous le prendrez selon la prescription, pendant une durée courte.</w:t>
      </w:r>
      <w:r>
        <w:t xml:space="preserve">”</w:t>
      </w:r>
      <w:r>
        <w:t xml:space="preserve"> </w:t>
      </w:r>
      <w:r>
        <w:t xml:space="preserve">-</w:t>
      </w:r>
      <w:r>
        <w:t xml:space="preserve"> </w:t>
      </w:r>
      <w:r>
        <w:t xml:space="preserve">“</w:t>
      </w:r>
      <w:r>
        <w:t xml:space="preserve">Attention, ce médicament peut provoquer une baisse des globules blancs (agranulocytose), ce qui vous rend vulnérable aux infections. Si vous avez de la fièvre, des maux de gorge, des ulcérations dans la bouche, des signes d’infection, arrêtez le traitement et consultez immédiatement un médecin.</w:t>
      </w:r>
      <w:r>
        <w:t xml:space="preserve">”</w:t>
      </w:r>
      <w:r>
        <w:t xml:space="preserve"> </w:t>
      </w:r>
      <w:r>
        <w:t xml:space="preserve">-</w:t>
      </w:r>
      <w:r>
        <w:t xml:space="preserve"> </w:t>
      </w:r>
      <w:r>
        <w:t xml:space="preserve">“</w:t>
      </w:r>
      <w:r>
        <w:t xml:space="preserve">Signalez immédiatement tout essoufflement, malaise, urticaire, gonflement du visage (risque d’allergie grave).</w:t>
      </w:r>
      <w:r>
        <w:t xml:space="preserve">”</w:t>
      </w:r>
      <w:r>
        <w:t xml:space="preserve"> </w:t>
      </w:r>
      <w:r>
        <w:t xml:space="preserve">-</w:t>
      </w:r>
      <w:r>
        <w:t xml:space="preserve"> </w:t>
      </w:r>
      <w:r>
        <w:t xml:space="preserve">“</w:t>
      </w:r>
      <w:r>
        <w:t xml:space="preserve">Ne l’associez pas à un autre AINS, à un autre antalgique puissant, ou à de l’alcool.</w:t>
      </w:r>
      <w:r>
        <w:t xml:space="preserve">”</w:t>
      </w:r>
      <w:r>
        <w:t xml:space="preserve"> </w:t>
      </w:r>
      <w:r>
        <w:t xml:space="preserve">-</w:t>
      </w:r>
      <w:r>
        <w:t xml:space="preserve"> </w:t>
      </w:r>
      <w:r>
        <w:t xml:space="preserve">“</w:t>
      </w:r>
      <w:r>
        <w:t xml:space="preserve">Pour la forme injectable, l’injection doit être faite par un professionnel de santé, en milieu médicalisé.</w:t>
      </w:r>
      <w:r>
        <w:t xml:space="preserve">”</w:t>
      </w:r>
      <w:r>
        <w:t xml:space="preserve"> </w:t>
      </w:r>
      <w:r>
        <w:t xml:space="preserve">- Mode d’utilisation pratique : prise pendant les repas (voie orale), avec un grand verre d’eau. Respecter un intervalle de 6–8 h entre les prises. Ne pas dépasser 4 g/j. Pour la forme injectable, faire pratiquer l’injection par un professionnel de santé, en milieu médicalisé.</w:t>
      </w:r>
    </w:p>
    <w:p>
      <w:pPr>
        <w:pStyle w:val="BodyText"/>
      </w:pPr>
      <w:r>
        <w:rPr>
          <w:b/>
          <w:bCs/>
        </w:rPr>
        <w:t xml:space="preserve">Notes, Règles d’Or &amp; Pièges au Comptoir :</w:t>
      </w:r>
      <w:r>
        <w:t xml:space="preserve"> </w:t>
      </w:r>
      <w:r>
        <w:t xml:space="preserve">- Piège classique de l’agranulocytose : patient qui signale une fièvre, une angine, des ulcérations buccales sous métamizole → arrêt immédiat, NFS urgente, hospitalisation.</w:t>
      </w:r>
      <w:r>
        <w:t xml:space="preserve"> </w:t>
      </w:r>
      <w:r>
        <w:t xml:space="preserve">- Piège du choc anaphylactique : le métamizole peut provoquer un choc anaphylactique dès la première prise. Disposer d’adrénaline IM et d’un environnement de réanimation pour la voie injectable.</w:t>
      </w:r>
      <w:r>
        <w:t xml:space="preserve"> </w:t>
      </w:r>
      <w:r>
        <w:t xml:space="preserve">- Piège de l’hypotension (voie IV) : injection IV trop rapide → hypotension sévère, bradycardie. Toujours injecter lentement (5 min pour 1 g) ou en perfusion (1 h pour 2,5–5 g).</w:t>
      </w:r>
      <w:r>
        <w:t xml:space="preserve"> </w:t>
      </w:r>
      <w:r>
        <w:t xml:space="preserve">- Piège de l’association aux autres AINS : bien que le métamizole ait un profil digestif meilleur, son association à un autre AINS majore les risques rénaux et hématologiques.</w:t>
      </w:r>
      <w:r>
        <w:t xml:space="preserve"> </w:t>
      </w:r>
      <w:r>
        <w:t xml:space="preserve">- Piège femme enceinte : CI 3e trimestre ; à éviter pendant toute la grossesse.</w:t>
      </w:r>
      <w:r>
        <w:t xml:space="preserve"> </w:t>
      </w:r>
      <w:r>
        <w:t xml:space="preserve">- Piège allaitement : suspendre 48 h après la dernière prise.</w:t>
      </w:r>
      <w:r>
        <w:t xml:space="preserve"> </w:t>
      </w:r>
      <w:r>
        <w:t xml:space="preserve">- Règle de prise : pas plus de 3 à 5 jours sans avis médical.</w:t>
      </w:r>
      <w:r>
        <w:t xml:space="preserve"> </w:t>
      </w:r>
      <w:r>
        <w:t xml:space="preserve">- Préparation et Conservation : conservation à T &lt; 25 °C, à l’abri de la lumière. Solutions injectables : ne pas congeler. Comprimés : conserver en emballage d’origine, à l’abri de l’humidité.</w:t>
      </w:r>
      <w:r>
        <w:t xml:space="preserve"> </w:t>
      </w:r>
      <w:r>
        <w:t xml:space="preserve">- Piège du surdosage : aux doses massives, risque d’hypotension sévère, de convulsions, d’insuffisance rénale aiguë, d’acidose métabolique. Traitement symptomatique, charbon activé si prise récente.</w:t>
      </w:r>
    </w:p>
    <w:p>
      <w:r>
        <w:pict>
          <v:rect style="width:0;height:1.5pt" o:hralign="center" o:hrstd="t" o:hr="t"/>
        </w:pict>
      </w:r>
    </w:p>
    <w:bookmarkEnd w:id="145"/>
    <w:bookmarkEnd w:id="146"/>
    <w:bookmarkStart w:id="147" w:name="Xdc428d1f6e24032709b0fc668797dbf7fcc8aca"/>
    <w:p>
      <w:pPr>
        <w:pStyle w:val="Heading2"/>
      </w:pPr>
      <w:r>
        <w:t xml:space="preserve">Tableau comparatif synthétique des AINS classiques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DCI</w:t>
            </w:r>
          </w:p>
        </w:tc>
        <w:tc>
          <w:tcPr/>
          <w:p>
            <w:pPr>
              <w:pStyle w:val="Compact"/>
              <w:jc w:val="left"/>
            </w:pPr>
            <w:r>
              <w:t xml:space="preserve">Sous-classe chimique</w:t>
            </w:r>
          </w:p>
        </w:tc>
        <w:tc>
          <w:tcPr/>
          <w:p>
            <w:pPr>
              <w:pStyle w:val="Compact"/>
              <w:jc w:val="left"/>
            </w:pPr>
            <w:r>
              <w:t xml:space="preserve">Demi-vie</w:t>
            </w:r>
          </w:p>
        </w:tc>
        <w:tc>
          <w:tcPr/>
          <w:p>
            <w:pPr>
              <w:pStyle w:val="Compact"/>
              <w:jc w:val="left"/>
            </w:pPr>
            <w:r>
              <w:t xml:space="preserve">Posologie adulte (anti-inflammatoire)</w:t>
            </w:r>
          </w:p>
        </w:tc>
        <w:tc>
          <w:tcPr/>
          <w:p>
            <w:pPr>
              <w:pStyle w:val="Compact"/>
              <w:jc w:val="left"/>
            </w:pPr>
            <w:r>
              <w:t xml:space="preserve">Formes galéniques disponibles en Algérie</w:t>
            </w:r>
          </w:p>
        </w:tc>
        <w:tc>
          <w:tcPr/>
          <w:p>
            <w:pPr>
              <w:pStyle w:val="Compact"/>
              <w:jc w:val="left"/>
            </w:pPr>
            <w:r>
              <w:t xml:space="preserve">EI digestif</w:t>
            </w:r>
          </w:p>
        </w:tc>
        <w:tc>
          <w:tcPr/>
          <w:p>
            <w:pPr>
              <w:pStyle w:val="Compact"/>
              <w:jc w:val="left"/>
            </w:pPr>
            <w:r>
              <w:t xml:space="preserve">CI principales</w:t>
            </w:r>
          </w:p>
        </w:tc>
        <w:tc>
          <w:tcPr/>
          <w:p>
            <w:pPr>
              <w:pStyle w:val="Compact"/>
              <w:jc w:val="left"/>
            </w:pPr>
            <w:r>
              <w:t xml:space="preserve">Grossesse (CRAT)</w:t>
            </w:r>
          </w:p>
        </w:tc>
        <w:tc>
          <w:tcPr/>
          <w:p>
            <w:pPr>
              <w:pStyle w:val="Compact"/>
              <w:jc w:val="left"/>
            </w:pPr>
            <w:r>
              <w:t xml:space="preserve">Spécificités</w:t>
            </w:r>
          </w:p>
        </w:tc>
      </w:tr>
      <w:tr>
        <w:tc>
          <w:tcPr/>
          <w:p>
            <w:pPr>
              <w:pStyle w:val="Compact"/>
              <w:jc w:val="left"/>
            </w:pPr>
            <w:r>
              <w:rPr>
                <w:b/>
                <w:bCs/>
              </w:rPr>
              <w:t xml:space="preserve">Ibuprofène</w:t>
            </w:r>
          </w:p>
        </w:tc>
        <w:tc>
          <w:tcPr/>
          <w:p>
            <w:pPr>
              <w:pStyle w:val="Compact"/>
              <w:jc w:val="left"/>
            </w:pPr>
            <w:r>
              <w:t xml:space="preserve">Arylpropionique (profène, racémique)</w:t>
            </w:r>
          </w:p>
        </w:tc>
        <w:tc>
          <w:tcPr/>
          <w:p>
            <w:pPr>
              <w:pStyle w:val="Compact"/>
              <w:jc w:val="left"/>
            </w:pPr>
            <w:r>
              <w:t xml:space="preserve">Courte (2 h)</w:t>
            </w:r>
          </w:p>
        </w:tc>
        <w:tc>
          <w:tcPr/>
          <w:p>
            <w:pPr>
              <w:pStyle w:val="Compact"/>
              <w:jc w:val="left"/>
            </w:pPr>
            <w:r>
              <w:t xml:space="preserve">1200–2400 mg/j en 3-4 prises ; 200-400 mg x 3-4/j</w:t>
            </w:r>
          </w:p>
        </w:tc>
        <w:tc>
          <w:tcPr/>
          <w:p>
            <w:pPr>
              <w:pStyle w:val="Compact"/>
              <w:jc w:val="left"/>
            </w:pPr>
            <w:r>
              <w:t xml:space="preserve">Comprimés 200/400/600 mg, susp. buvable 20 mg/mL, gels 5 %, suppositoires 500 mg, sachets 600 mg</w:t>
            </w:r>
          </w:p>
        </w:tc>
        <w:tc>
          <w:tcPr/>
          <w:p>
            <w:pPr>
              <w:pStyle w:val="Compact"/>
              <w:jc w:val="left"/>
            </w:pPr>
            <w:r>
              <w:t xml:space="preserve">Modéré (profil favorable)</w:t>
            </w:r>
          </w:p>
        </w:tc>
        <w:tc>
          <w:tcPr/>
          <w:p>
            <w:pPr>
              <w:pStyle w:val="Compact"/>
              <w:jc w:val="left"/>
            </w:pPr>
            <w:r>
              <w:t xml:space="preserve">Ulcère actif, IRC sévère, grossesse 3e T, allergy AINS</w:t>
            </w:r>
          </w:p>
        </w:tc>
        <w:tc>
          <w:tcPr/>
          <w:p>
            <w:pPr>
              <w:pStyle w:val="Compact"/>
              <w:jc w:val="left"/>
            </w:pPr>
            <w:r>
              <w:t xml:space="preserve">1er/2e T : ponctuel OK ; 3e T : CI</w:t>
            </w:r>
          </w:p>
        </w:tc>
        <w:tc>
          <w:tcPr/>
          <w:p>
            <w:pPr>
              <w:pStyle w:val="Compact"/>
              <w:jc w:val="left"/>
            </w:pPr>
            <w:r>
              <w:t xml:space="preserve">Profène de référence, sécurité pédiatrique &gt; 3 mois, profil favorable en grossesse/allaitement</w:t>
            </w:r>
          </w:p>
        </w:tc>
      </w:tr>
      <w:tr>
        <w:tc>
          <w:tcPr/>
          <w:p>
            <w:pPr>
              <w:pStyle w:val="Compact"/>
              <w:jc w:val="left"/>
            </w:pPr>
            <w:r>
              <w:rPr>
                <w:b/>
                <w:bCs/>
              </w:rPr>
              <w:t xml:space="preserve">Ibuprofène lysinate</w:t>
            </w:r>
          </w:p>
        </w:tc>
        <w:tc>
          <w:tcPr/>
          <w:p>
            <w:pPr>
              <w:pStyle w:val="Compact"/>
              <w:jc w:val="left"/>
            </w:pPr>
            <w:r>
              <w:t xml:space="preserve">Arylpropionique (sel de lysine)</w:t>
            </w:r>
          </w:p>
        </w:tc>
        <w:tc>
          <w:tcPr/>
          <w:p>
            <w:pPr>
              <w:pStyle w:val="Compact"/>
              <w:jc w:val="left"/>
            </w:pPr>
            <w:r>
              <w:t xml:space="preserve">Courte (2 h)</w:t>
            </w:r>
          </w:p>
        </w:tc>
        <w:tc>
          <w:tcPr/>
          <w:p>
            <w:pPr>
              <w:pStyle w:val="Compact"/>
              <w:jc w:val="left"/>
            </w:pPr>
            <w:r>
              <w:t xml:space="preserve">400 mg x 3/j (IM : 400 mg x 1-2/j)</w:t>
            </w:r>
          </w:p>
        </w:tc>
        <w:tc>
          <w:tcPr/>
          <w:p>
            <w:pPr>
              <w:pStyle w:val="Compact"/>
              <w:jc w:val="left"/>
            </w:pPr>
            <w:r>
              <w:t xml:space="preserve">Comprimé flash 400 mg (684 mg lysinate), solution IM 400 mg/3 mL</w:t>
            </w:r>
          </w:p>
        </w:tc>
        <w:tc>
          <w:tcPr/>
          <w:p>
            <w:pPr>
              <w:pStyle w:val="Compact"/>
              <w:jc w:val="left"/>
            </w:pPr>
            <w:r>
              <w:t xml:space="preserve">Modéré</w:t>
            </w:r>
          </w:p>
        </w:tc>
        <w:tc>
          <w:tcPr/>
          <w:p>
            <w:pPr>
              <w:pStyle w:val="Compact"/>
              <w:jc w:val="left"/>
            </w:pPr>
            <w:r>
              <w:t xml:space="preserve">Idem ibuprofène + CI voie IM (hémostase)</w:t>
            </w:r>
          </w:p>
        </w:tc>
        <w:tc>
          <w:tcPr/>
          <w:p>
            <w:pPr>
              <w:pStyle w:val="Compact"/>
              <w:jc w:val="left"/>
            </w:pPr>
            <w:r>
              <w:t xml:space="preserve">Idem ibuprofène</w:t>
            </w:r>
          </w:p>
        </w:tc>
        <w:tc>
          <w:tcPr/>
          <w:p>
            <w:pPr>
              <w:pStyle w:val="Compact"/>
              <w:jc w:val="left"/>
            </w:pPr>
            <w:r>
              <w:t xml:space="preserve">Forme IM (alternative au diclofénac IM), forme flash orale (délai d’action court)</w:t>
            </w:r>
          </w:p>
        </w:tc>
      </w:tr>
      <w:tr>
        <w:tc>
          <w:tcPr/>
          <w:p>
            <w:pPr>
              <w:pStyle w:val="Compact"/>
              <w:jc w:val="left"/>
            </w:pPr>
            <w:r>
              <w:rPr>
                <w:b/>
                <w:bCs/>
              </w:rPr>
              <w:t xml:space="preserve">Kétoprofène</w:t>
            </w:r>
          </w:p>
        </w:tc>
        <w:tc>
          <w:tcPr/>
          <w:p>
            <w:pPr>
              <w:pStyle w:val="Compact"/>
              <w:jc w:val="left"/>
            </w:pPr>
            <w:r>
              <w:t xml:space="preserve">Arylpropionique (profène, racémique)</w:t>
            </w:r>
          </w:p>
        </w:tc>
        <w:tc>
          <w:tcPr/>
          <w:p>
            <w:pPr>
              <w:pStyle w:val="Compact"/>
              <w:jc w:val="left"/>
            </w:pPr>
            <w:r>
              <w:t xml:space="preserve">Courte (2 h)</w:t>
            </w:r>
          </w:p>
        </w:tc>
        <w:tc>
          <w:tcPr/>
          <w:p>
            <w:pPr>
              <w:pStyle w:val="Compact"/>
              <w:jc w:val="left"/>
            </w:pPr>
            <w:r>
              <w:t xml:space="preserve">100-200 mg/j en 2-3 prises ; 100 mg x 2-3/j ou 200 mg LP x 1/j</w:t>
            </w:r>
          </w:p>
        </w:tc>
        <w:tc>
          <w:tcPr/>
          <w:p>
            <w:pPr>
              <w:pStyle w:val="Compact"/>
              <w:jc w:val="left"/>
            </w:pPr>
            <w:r>
              <w:t xml:space="preserve">Comprimés 100 mg, comprimés LP 200 mg, suppositoires 100 mg, IM 100 mg/2 mL, gels 2,5 %, patches 30 mg</w:t>
            </w:r>
          </w:p>
        </w:tc>
        <w:tc>
          <w:tcPr/>
          <w:p>
            <w:pPr>
              <w:pStyle w:val="Compact"/>
              <w:jc w:val="left"/>
            </w:pPr>
            <w:r>
              <w:t xml:space="preserve">Modéré</w:t>
            </w:r>
          </w:p>
        </w:tc>
        <w:tc>
          <w:tcPr/>
          <w:p>
            <w:pPr>
              <w:pStyle w:val="Compact"/>
              <w:jc w:val="left"/>
            </w:pPr>
            <w:r>
              <w:t xml:space="preserve">Idem + CI exposition solaire</w:t>
            </w:r>
          </w:p>
        </w:tc>
        <w:tc>
          <w:tcPr/>
          <w:p>
            <w:pPr>
              <w:pStyle w:val="Compact"/>
              <w:jc w:val="left"/>
            </w:pPr>
            <w:r>
              <w:t xml:space="preserve">Idem ibuprofène (préférer ibuprofène)</w:t>
            </w:r>
          </w:p>
        </w:tc>
        <w:tc>
          <w:tcPr/>
          <w:p>
            <w:pPr>
              <w:pStyle w:val="Compact"/>
              <w:jc w:val="left"/>
            </w:pPr>
            <w:r>
              <w:t xml:space="preserve">Photosensibilité majeure (CI exposition solaire/UV), forme LP pour compliance</w:t>
            </w:r>
          </w:p>
        </w:tc>
      </w:tr>
      <w:tr>
        <w:tc>
          <w:tcPr/>
          <w:p>
            <w:pPr>
              <w:pStyle w:val="Compact"/>
              <w:jc w:val="left"/>
            </w:pPr>
            <w:r>
              <w:rPr>
                <w:b/>
                <w:bCs/>
              </w:rPr>
              <w:t xml:space="preserve">Dexkétoprofène</w:t>
            </w:r>
          </w:p>
        </w:tc>
        <w:tc>
          <w:tcPr/>
          <w:p>
            <w:pPr>
              <w:pStyle w:val="Compact"/>
              <w:jc w:val="left"/>
            </w:pPr>
            <w:r>
              <w:t xml:space="preserve">Arylpropionique (énantiomère S pur)</w:t>
            </w:r>
          </w:p>
        </w:tc>
        <w:tc>
          <w:tcPr/>
          <w:p>
            <w:pPr>
              <w:pStyle w:val="Compact"/>
              <w:jc w:val="left"/>
            </w:pPr>
            <w:r>
              <w:t xml:space="preserve">Courte (1-3 h)</w:t>
            </w:r>
          </w:p>
        </w:tc>
        <w:tc>
          <w:tcPr/>
          <w:p>
            <w:pPr>
              <w:pStyle w:val="Compact"/>
              <w:jc w:val="left"/>
            </w:pPr>
            <w:r>
              <w:t xml:space="preserve">25 mg x 1-3/j (max 75 mg/j)</w:t>
            </w:r>
          </w:p>
        </w:tc>
        <w:tc>
          <w:tcPr/>
          <w:p>
            <w:pPr>
              <w:pStyle w:val="Compact"/>
              <w:jc w:val="left"/>
            </w:pPr>
            <w:r>
              <w:t xml:space="preserve">Comprimés 25 mg, sachets 25 mg/10 mL</w:t>
            </w:r>
          </w:p>
        </w:tc>
        <w:tc>
          <w:tcPr/>
          <w:p>
            <w:pPr>
              <w:pStyle w:val="Compact"/>
              <w:jc w:val="left"/>
            </w:pPr>
            <w:r>
              <w:t xml:space="preserve">Modéré (profil favorable à dose réduite)</w:t>
            </w:r>
          </w:p>
        </w:tc>
        <w:tc>
          <w:tcPr/>
          <w:p>
            <w:pPr>
              <w:pStyle w:val="Compact"/>
              <w:jc w:val="left"/>
            </w:pPr>
            <w:r>
              <w:t xml:space="preserve">Idem ibuprofène</w:t>
            </w:r>
          </w:p>
        </w:tc>
        <w:tc>
          <w:tcPr/>
          <w:p>
            <w:pPr>
              <w:pStyle w:val="Compact"/>
              <w:jc w:val="left"/>
            </w:pPr>
            <w:r>
              <w:t xml:space="preserve">Idem (préférer ibuprofène)</w:t>
            </w:r>
          </w:p>
        </w:tc>
        <w:tc>
          <w:tcPr/>
          <w:p>
            <w:pPr>
              <w:pStyle w:val="Compact"/>
              <w:jc w:val="left"/>
            </w:pPr>
            <w:r>
              <w:t xml:space="preserve">Moitié de dose vs kétoprofène racémique, meilleure tolérance, délai d’action court</w:t>
            </w:r>
          </w:p>
        </w:tc>
      </w:tr>
      <w:tr>
        <w:tc>
          <w:tcPr/>
          <w:p>
            <w:pPr>
              <w:pStyle w:val="Compact"/>
              <w:jc w:val="left"/>
            </w:pPr>
            <w:r>
              <w:rPr>
                <w:b/>
                <w:bCs/>
              </w:rPr>
              <w:t xml:space="preserve">Flurbiprofène</w:t>
            </w:r>
          </w:p>
        </w:tc>
        <w:tc>
          <w:tcPr/>
          <w:p>
            <w:pPr>
              <w:pStyle w:val="Compact"/>
              <w:jc w:val="left"/>
            </w:pPr>
            <w:r>
              <w:t xml:space="preserve">Arylpropionique (profène, racémique)</w:t>
            </w:r>
          </w:p>
        </w:tc>
        <w:tc>
          <w:tcPr/>
          <w:p>
            <w:pPr>
              <w:pStyle w:val="Compact"/>
              <w:jc w:val="left"/>
            </w:pPr>
            <w:r>
              <w:t xml:space="preserve">Intermédiaire (4-6 h)</w:t>
            </w:r>
          </w:p>
        </w:tc>
        <w:tc>
          <w:tcPr/>
          <w:p>
            <w:pPr>
              <w:pStyle w:val="Compact"/>
              <w:jc w:val="left"/>
            </w:pPr>
            <w:r>
              <w:t xml:space="preserve">100-200 mg/j en 2 prises ; 100 mg x 2-3/j</w:t>
            </w:r>
          </w:p>
        </w:tc>
        <w:tc>
          <w:tcPr/>
          <w:p>
            <w:pPr>
              <w:pStyle w:val="Compact"/>
              <w:jc w:val="left"/>
            </w:pPr>
            <w:r>
              <w:t xml:space="preserve">Comprimés 100 mg</w:t>
            </w:r>
          </w:p>
        </w:tc>
        <w:tc>
          <w:tcPr/>
          <w:p>
            <w:pPr>
              <w:pStyle w:val="Compact"/>
              <w:jc w:val="left"/>
            </w:pPr>
            <w:r>
              <w:t xml:space="preserve">Modéré</w:t>
            </w:r>
          </w:p>
        </w:tc>
        <w:tc>
          <w:tcPr/>
          <w:p>
            <w:pPr>
              <w:pStyle w:val="Compact"/>
              <w:jc w:val="left"/>
            </w:pPr>
            <w:r>
              <w:t xml:space="preserve">Idem</w:t>
            </w:r>
          </w:p>
        </w:tc>
        <w:tc>
          <w:tcPr/>
          <w:p>
            <w:pPr>
              <w:pStyle w:val="Compact"/>
              <w:jc w:val="left"/>
            </w:pPr>
            <w:r>
              <w:t xml:space="preserve">Idem (préférer ibuprofène)</w:t>
            </w:r>
          </w:p>
        </w:tc>
        <w:tc>
          <w:tcPr/>
          <w:p>
            <w:pPr>
              <w:pStyle w:val="Compact"/>
              <w:jc w:val="left"/>
            </w:pPr>
            <w:r>
              <w:t xml:space="preserve">Indication spécifique dysménorrhée, puissance × 2 ibuprofène</w:t>
            </w:r>
          </w:p>
        </w:tc>
      </w:tr>
      <w:tr>
        <w:tc>
          <w:tcPr/>
          <w:p>
            <w:pPr>
              <w:pStyle w:val="Compact"/>
              <w:jc w:val="left"/>
            </w:pPr>
            <w:r>
              <w:rPr>
                <w:b/>
                <w:bCs/>
              </w:rPr>
              <w:t xml:space="preserve">Naproxène</w:t>
            </w:r>
          </w:p>
        </w:tc>
        <w:tc>
          <w:tcPr/>
          <w:p>
            <w:pPr>
              <w:pStyle w:val="Compact"/>
              <w:jc w:val="left"/>
            </w:pPr>
            <w:r>
              <w:t xml:space="preserve">Arylpropionique (énantiomère S pur)</w:t>
            </w:r>
          </w:p>
        </w:tc>
        <w:tc>
          <w:tcPr/>
          <w:p>
            <w:pPr>
              <w:pStyle w:val="Compact"/>
              <w:jc w:val="left"/>
            </w:pPr>
            <w:r>
              <w:t xml:space="preserve">Longue (12-15 h)</w:t>
            </w:r>
          </w:p>
        </w:tc>
        <w:tc>
          <w:tcPr/>
          <w:p>
            <w:pPr>
              <w:pStyle w:val="Compact"/>
              <w:jc w:val="left"/>
            </w:pPr>
            <w:r>
              <w:t xml:space="preserve">500-1000 mg/j en 1-2 prises ; 250-500 mg x 2/j</w:t>
            </w:r>
          </w:p>
        </w:tc>
        <w:tc>
          <w:tcPr/>
          <w:p>
            <w:pPr>
              <w:pStyle w:val="Compact"/>
              <w:jc w:val="left"/>
            </w:pPr>
            <w:r>
              <w:t xml:space="preserve">Comprimés 275/550 mg, sirop 125 mg/5 mL (retiré)</w:t>
            </w:r>
          </w:p>
        </w:tc>
        <w:tc>
          <w:tcPr/>
          <w:p>
            <w:pPr>
              <w:pStyle w:val="Compact"/>
              <w:jc w:val="left"/>
            </w:pPr>
            <w:r>
              <w:t xml:space="preserve">Modéré (léger sur-risque vs ibuprofène)</w:t>
            </w:r>
          </w:p>
        </w:tc>
        <w:tc>
          <w:tcPr/>
          <w:p>
            <w:pPr>
              <w:pStyle w:val="Compact"/>
              <w:jc w:val="left"/>
            </w:pPr>
            <w:r>
              <w:t xml:space="preserve">Idem + sujet à risque CV</w:t>
            </w:r>
          </w:p>
        </w:tc>
        <w:tc>
          <w:tcPr/>
          <w:p>
            <w:pPr>
              <w:pStyle w:val="Compact"/>
              <w:jc w:val="left"/>
            </w:pPr>
            <w:r>
              <w:t xml:space="preserve">Idem (préférer ibuprofène)</w:t>
            </w:r>
          </w:p>
        </w:tc>
        <w:tc>
          <w:tcPr/>
          <w:p>
            <w:pPr>
              <w:pStyle w:val="Compact"/>
              <w:jc w:val="left"/>
            </w:pPr>
            <w:r>
              <w:t xml:space="preserve">AINS classique au meilleur profil CV, monoprise/biprise, indication de préférence en cas de risque CV</w:t>
            </w:r>
          </w:p>
        </w:tc>
      </w:tr>
      <w:tr>
        <w:tc>
          <w:tcPr/>
          <w:p>
            <w:pPr>
              <w:pStyle w:val="Compact"/>
              <w:jc w:val="left"/>
            </w:pPr>
            <w:r>
              <w:rPr>
                <w:b/>
                <w:bCs/>
              </w:rPr>
              <w:t xml:space="preserve">Diclofénac</w:t>
            </w:r>
          </w:p>
        </w:tc>
        <w:tc>
          <w:tcPr/>
          <w:p>
            <w:pPr>
              <w:pStyle w:val="Compact"/>
              <w:jc w:val="left"/>
            </w:pPr>
            <w:r>
              <w:t xml:space="preserve">Arylacétique</w:t>
            </w:r>
          </w:p>
        </w:tc>
        <w:tc>
          <w:tcPr/>
          <w:p>
            <w:pPr>
              <w:pStyle w:val="Compact"/>
              <w:jc w:val="left"/>
            </w:pPr>
            <w:r>
              <w:t xml:space="preserve">Courte (1-2 h)</w:t>
            </w:r>
          </w:p>
        </w:tc>
        <w:tc>
          <w:tcPr/>
          <w:p>
            <w:pPr>
              <w:pStyle w:val="Compact"/>
              <w:jc w:val="left"/>
            </w:pPr>
            <w:r>
              <w:t xml:space="preserve">75-150 mg/j en 2-3 prises ; 50 mg x 2-3/j ou 75-100 mg LP x 1-2/j</w:t>
            </w:r>
          </w:p>
        </w:tc>
        <w:tc>
          <w:tcPr/>
          <w:p>
            <w:pPr>
              <w:pStyle w:val="Compact"/>
              <w:jc w:val="left"/>
            </w:pPr>
            <w:r>
              <w:t xml:space="preserve">Comprimés 25/50 mg, comprimés LP 75/100 mg, suppositoires 12,5/25/50/100 mg, IM 75 mg/3 mL, gels 1-2 %, collyres 0,1 %, emplâtre</w:t>
            </w:r>
          </w:p>
        </w:tc>
        <w:tc>
          <w:tcPr/>
          <w:p>
            <w:pPr>
              <w:pStyle w:val="Compact"/>
              <w:jc w:val="left"/>
            </w:pPr>
            <w:r>
              <w:t xml:space="preserve">Modéré</w:t>
            </w:r>
          </w:p>
        </w:tc>
        <w:tc>
          <w:tcPr/>
          <w:p>
            <w:pPr>
              <w:pStyle w:val="Compact"/>
              <w:jc w:val="left"/>
            </w:pPr>
            <w:r>
              <w:t xml:space="preserve">Idem + CI risque CV, surveillance hépatique</w:t>
            </w:r>
          </w:p>
        </w:tc>
        <w:tc>
          <w:tcPr/>
          <w:p>
            <w:pPr>
              <w:pStyle w:val="Compact"/>
              <w:jc w:val="left"/>
            </w:pPr>
            <w:r>
              <w:t xml:space="preserve">1er/2e T : à éviter ; 3e T : CI</w:t>
            </w:r>
          </w:p>
        </w:tc>
        <w:tc>
          <w:tcPr/>
          <w:p>
            <w:pPr>
              <w:pStyle w:val="Compact"/>
              <w:jc w:val="left"/>
            </w:pPr>
            <w:r>
              <w:t xml:space="preserve">AINS le plus prescrit au monde, mais risque CV le plus élevé (EMA niveau 4), toxicité hépatique, vaste choix galénique</w:t>
            </w:r>
          </w:p>
        </w:tc>
      </w:tr>
      <w:tr>
        <w:tc>
          <w:tcPr/>
          <w:p>
            <w:pPr>
              <w:pStyle w:val="Compact"/>
              <w:jc w:val="left"/>
            </w:pPr>
            <w:r>
              <w:rPr>
                <w:b/>
                <w:bCs/>
              </w:rPr>
              <w:t xml:space="preserve">Indométacine</w:t>
            </w:r>
          </w:p>
        </w:tc>
        <w:tc>
          <w:tcPr/>
          <w:p>
            <w:pPr>
              <w:pStyle w:val="Compact"/>
              <w:jc w:val="left"/>
            </w:pPr>
            <w:r>
              <w:t xml:space="preserve">Indolique (indole-acétique)</w:t>
            </w:r>
          </w:p>
        </w:tc>
        <w:tc>
          <w:tcPr/>
          <w:p>
            <w:pPr>
              <w:pStyle w:val="Compact"/>
              <w:jc w:val="left"/>
            </w:pPr>
            <w:r>
              <w:t xml:space="preserve">Intermédiaire (2-4 h)</w:t>
            </w:r>
          </w:p>
        </w:tc>
        <w:tc>
          <w:tcPr/>
          <w:p>
            <w:pPr>
              <w:pStyle w:val="Compact"/>
              <w:jc w:val="left"/>
            </w:pPr>
            <w:r>
              <w:t xml:space="preserve">50-150 mg/j en 2-3 prises ; 25 mg x 2-3/j</w:t>
            </w:r>
          </w:p>
        </w:tc>
        <w:tc>
          <w:tcPr/>
          <w:p>
            <w:pPr>
              <w:pStyle w:val="Compact"/>
              <w:jc w:val="left"/>
            </w:pPr>
            <w:r>
              <w:t xml:space="preserve">Gélules 25 mg, collyre 0,1 %, suppositoires (retirés)</w:t>
            </w:r>
          </w:p>
        </w:tc>
        <w:tc>
          <w:tcPr/>
          <w:p>
            <w:pPr>
              <w:pStyle w:val="Compact"/>
              <w:jc w:val="left"/>
            </w:pPr>
            <w:r>
              <w:t xml:space="preserve">Élevé (ulcérogène)</w:t>
            </w:r>
          </w:p>
        </w:tc>
        <w:tc>
          <w:tcPr/>
          <w:p>
            <w:pPr>
              <w:pStyle w:val="Compact"/>
              <w:jc w:val="left"/>
            </w:pPr>
            <w:r>
              <w:t xml:space="preserve">Idem + CI neurologique, grossesse toute durée</w:t>
            </w:r>
          </w:p>
        </w:tc>
        <w:tc>
          <w:tcPr/>
          <w:p>
            <w:pPr>
              <w:pStyle w:val="Compact"/>
              <w:jc w:val="left"/>
            </w:pPr>
            <w:r>
              <w:t xml:space="preserve">1er/2e T : à éviter ; 3e T : CI</w:t>
            </w:r>
          </w:p>
        </w:tc>
        <w:tc>
          <w:tcPr/>
          <w:p>
            <w:pPr>
              <w:pStyle w:val="Compact"/>
              <w:jc w:val="left"/>
            </w:pPr>
            <w:r>
              <w:t xml:space="preserve">Puissant mais neurotoxique (céphalées, vertiges, hallucinations), indiqué en crise de goutte, spondylarthrite, collyre ophtalmologique</w:t>
            </w:r>
          </w:p>
        </w:tc>
      </w:tr>
      <w:tr>
        <w:tc>
          <w:tcPr/>
          <w:p>
            <w:pPr>
              <w:pStyle w:val="Compact"/>
              <w:jc w:val="left"/>
            </w:pPr>
            <w:r>
              <w:rPr>
                <w:b/>
                <w:bCs/>
              </w:rPr>
              <w:t xml:space="preserve">Kétorolac</w:t>
            </w:r>
          </w:p>
        </w:tc>
        <w:tc>
          <w:tcPr/>
          <w:p>
            <w:pPr>
              <w:pStyle w:val="Compact"/>
              <w:jc w:val="left"/>
            </w:pPr>
            <w:r>
              <w:t xml:space="preserve">Hétérocyclique (pyrrolo-pyrrole)</w:t>
            </w:r>
          </w:p>
        </w:tc>
        <w:tc>
          <w:tcPr/>
          <w:p>
            <w:pPr>
              <w:pStyle w:val="Compact"/>
              <w:jc w:val="left"/>
            </w:pPr>
            <w:r>
              <w:t xml:space="preserve">Courte (4-6 h)</w:t>
            </w:r>
          </w:p>
        </w:tc>
        <w:tc>
          <w:tcPr/>
          <w:p>
            <w:pPr>
              <w:pStyle w:val="Compact"/>
              <w:jc w:val="left"/>
            </w:pPr>
            <w:r>
              <w:t xml:space="preserve">(forme injectable indisponible en Algérie) ; collyre 0,5 mg/mL x 4/j</w:t>
            </w:r>
          </w:p>
        </w:tc>
        <w:tc>
          <w:tcPr/>
          <w:p>
            <w:pPr>
              <w:pStyle w:val="Compact"/>
              <w:jc w:val="left"/>
            </w:pPr>
            <w:r>
              <w:t xml:space="preserve">Collyre 0,5 mg/mL</w:t>
            </w:r>
          </w:p>
        </w:tc>
        <w:tc>
          <w:tcPr/>
          <w:p>
            <w:pPr>
              <w:pStyle w:val="Compact"/>
              <w:jc w:val="left"/>
            </w:pPr>
            <w:r>
              <w:t xml:space="preserve">Faible à dose antalgique</w:t>
            </w:r>
          </w:p>
        </w:tc>
        <w:tc>
          <w:tcPr/>
          <w:p>
            <w:pPr>
              <w:pStyle w:val="Compact"/>
              <w:jc w:val="left"/>
            </w:pPr>
            <w:r>
              <w:t xml:space="preserve">Idem ; collyre : infection oculaire</w:t>
            </w:r>
          </w:p>
        </w:tc>
        <w:tc>
          <w:tcPr/>
          <w:p>
            <w:pPr>
              <w:pStyle w:val="Compact"/>
              <w:jc w:val="left"/>
            </w:pPr>
            <w:r>
              <w:t xml:space="preserve">À éviter pendant toute la grossesse</w:t>
            </w:r>
          </w:p>
        </w:tc>
        <w:tc>
          <w:tcPr/>
          <w:p>
            <w:pPr>
              <w:pStyle w:val="Compact"/>
              <w:jc w:val="left"/>
            </w:pPr>
            <w:r>
              <w:t xml:space="preserve">Antalgique pur (proche morphine), utilisé en ophtalmologie (collyre), forme IM/IV non disponible en Algérie</w:t>
            </w:r>
          </w:p>
        </w:tc>
      </w:tr>
      <w:tr>
        <w:tc>
          <w:tcPr/>
          <w:p>
            <w:pPr>
              <w:pStyle w:val="Compact"/>
              <w:jc w:val="left"/>
            </w:pPr>
            <w:r>
              <w:rPr>
                <w:b/>
                <w:bCs/>
              </w:rPr>
              <w:t xml:space="preserve">Acide méfénamique</w:t>
            </w:r>
          </w:p>
        </w:tc>
        <w:tc>
          <w:tcPr/>
          <w:p>
            <w:pPr>
              <w:pStyle w:val="Compact"/>
              <w:jc w:val="left"/>
            </w:pPr>
            <w:r>
              <w:t xml:space="preserve">Anthranilique (acide fénamique)</w:t>
            </w:r>
          </w:p>
        </w:tc>
        <w:tc>
          <w:tcPr/>
          <w:p>
            <w:pPr>
              <w:pStyle w:val="Compact"/>
              <w:jc w:val="left"/>
            </w:pPr>
            <w:r>
              <w:t xml:space="preserve">Courte (2-4 h)</w:t>
            </w:r>
          </w:p>
        </w:tc>
        <w:tc>
          <w:tcPr/>
          <w:p>
            <w:pPr>
              <w:pStyle w:val="Compact"/>
              <w:jc w:val="left"/>
            </w:pPr>
            <w:r>
              <w:t xml:space="preserve">1000-1500 mg/j en 2-3 prises ; 500 mg x 2-3/j</w:t>
            </w:r>
          </w:p>
        </w:tc>
        <w:tc>
          <w:tcPr/>
          <w:p>
            <w:pPr>
              <w:pStyle w:val="Compact"/>
              <w:jc w:val="left"/>
            </w:pPr>
            <w:r>
              <w:t xml:space="preserve">Comprimés 500 mg (formes 250 mg, sirop, suppositoires retirés)</w:t>
            </w:r>
          </w:p>
        </w:tc>
        <w:tc>
          <w:tcPr/>
          <w:p>
            <w:pPr>
              <w:pStyle w:val="Compact"/>
              <w:jc w:val="left"/>
            </w:pPr>
            <w:r>
              <w:t xml:space="preserve">Modéré (diarrhée particulière)</w:t>
            </w:r>
          </w:p>
        </w:tc>
        <w:tc>
          <w:tcPr/>
          <w:p>
            <w:pPr>
              <w:pStyle w:val="Compact"/>
              <w:jc w:val="left"/>
            </w:pPr>
            <w:r>
              <w:t xml:space="preserve">Idem + diarrhée chronique</w:t>
            </w:r>
          </w:p>
        </w:tc>
        <w:tc>
          <w:tcPr/>
          <w:p>
            <w:pPr>
              <w:pStyle w:val="Compact"/>
              <w:jc w:val="left"/>
            </w:pPr>
            <w:r>
              <w:t xml:space="preserve">Idem (préférer ibuprofène)</w:t>
            </w:r>
          </w:p>
        </w:tc>
        <w:tc>
          <w:tcPr/>
          <w:p>
            <w:pPr>
              <w:pStyle w:val="Compact"/>
              <w:jc w:val="left"/>
            </w:pPr>
            <w:r>
              <w:t xml:space="preserve">Diarrhée caractéristique, allergies fréquentes, utilisation restreinte</w:t>
            </w:r>
          </w:p>
        </w:tc>
      </w:tr>
      <w:tr>
        <w:tc>
          <w:tcPr/>
          <w:p>
            <w:pPr>
              <w:pStyle w:val="Compact"/>
              <w:jc w:val="left"/>
            </w:pPr>
            <w:r>
              <w:rPr>
                <w:b/>
                <w:bCs/>
              </w:rPr>
              <w:t xml:space="preserve">Acide niflumique</w:t>
            </w:r>
          </w:p>
        </w:tc>
        <w:tc>
          <w:tcPr/>
          <w:p>
            <w:pPr>
              <w:pStyle w:val="Compact"/>
              <w:jc w:val="left"/>
            </w:pPr>
            <w:r>
              <w:t xml:space="preserve">Anthranilique (acide fénamique)</w:t>
            </w:r>
          </w:p>
        </w:tc>
        <w:tc>
          <w:tcPr/>
          <w:p>
            <w:pPr>
              <w:pStyle w:val="Compact"/>
              <w:jc w:val="left"/>
            </w:pPr>
            <w:r>
              <w:t xml:space="preserve">Courte (3-5 h)</w:t>
            </w:r>
          </w:p>
        </w:tc>
        <w:tc>
          <w:tcPr/>
          <w:p>
            <w:pPr>
              <w:pStyle w:val="Compact"/>
              <w:jc w:val="left"/>
            </w:pPr>
            <w:r>
              <w:t xml:space="preserve">500-750 mg/j en 2-3 prises ; 250 mg x 2-3/j</w:t>
            </w:r>
          </w:p>
        </w:tc>
        <w:tc>
          <w:tcPr/>
          <w:p>
            <w:pPr>
              <w:pStyle w:val="Compact"/>
              <w:jc w:val="left"/>
            </w:pPr>
            <w:r>
              <w:t xml:space="preserve">Gélules 250 mg, gels 2,5 %, pommades 3 %, suppositoires (retirés)</w:t>
            </w:r>
          </w:p>
        </w:tc>
        <w:tc>
          <w:tcPr/>
          <w:p>
            <w:pPr>
              <w:pStyle w:val="Compact"/>
              <w:jc w:val="left"/>
            </w:pPr>
            <w:r>
              <w:t xml:space="preserve">Modéré</w:t>
            </w:r>
          </w:p>
        </w:tc>
        <w:tc>
          <w:tcPr/>
          <w:p>
            <w:pPr>
              <w:pStyle w:val="Compact"/>
              <w:jc w:val="left"/>
            </w:pPr>
            <w:r>
              <w:t xml:space="preserve">Idem + surveillance hépatique</w:t>
            </w:r>
          </w:p>
        </w:tc>
        <w:tc>
          <w:tcPr/>
          <w:p>
            <w:pPr>
              <w:pStyle w:val="Compact"/>
              <w:jc w:val="left"/>
            </w:pPr>
            <w:r>
              <w:t xml:space="preserve">Idem (préférer ibuprofène)</w:t>
            </w:r>
          </w:p>
        </w:tc>
        <w:tc>
          <w:tcPr/>
          <w:p>
            <w:pPr>
              <w:pStyle w:val="Compact"/>
              <w:jc w:val="left"/>
            </w:pPr>
            <w:r>
              <w:t xml:space="preserve">Toxicité hépatique, allergie fréquente, large utilisation en topique</w:t>
            </w:r>
          </w:p>
        </w:tc>
      </w:tr>
      <w:tr>
        <w:tc>
          <w:tcPr/>
          <w:p>
            <w:pPr>
              <w:pStyle w:val="Compact"/>
              <w:jc w:val="left"/>
            </w:pPr>
            <w:r>
              <w:rPr>
                <w:b/>
                <w:bCs/>
              </w:rPr>
              <w:t xml:space="preserve">Morniflumate</w:t>
            </w:r>
          </w:p>
        </w:tc>
        <w:tc>
          <w:tcPr/>
          <w:p>
            <w:pPr>
              <w:pStyle w:val="Compact"/>
              <w:jc w:val="left"/>
            </w:pPr>
            <w:r>
              <w:t xml:space="preserve">Anthranilique (prodrogue de l’acide niflumique)</w:t>
            </w:r>
          </w:p>
        </w:tc>
        <w:tc>
          <w:tcPr/>
          <w:p>
            <w:pPr>
              <w:pStyle w:val="Compact"/>
              <w:jc w:val="left"/>
            </w:pPr>
            <w:r>
              <w:t xml:space="preserve">Courte (3-5 h pour l’acide niflumique libéré)</w:t>
            </w:r>
          </w:p>
        </w:tc>
        <w:tc>
          <w:tcPr/>
          <w:p>
            <w:pPr>
              <w:pStyle w:val="Compact"/>
              <w:jc w:val="left"/>
            </w:pPr>
            <w:r>
              <w:t xml:space="preserve">700-1400 mg/j en 1-2 suppositoires ; 400-700 mg x 1-2/j</w:t>
            </w:r>
          </w:p>
        </w:tc>
        <w:tc>
          <w:tcPr/>
          <w:p>
            <w:pPr>
              <w:pStyle w:val="Compact"/>
              <w:jc w:val="left"/>
            </w:pPr>
            <w:r>
              <w:t xml:space="preserve">Suppositoires 200/400/700 mg</w:t>
            </w:r>
          </w:p>
        </w:tc>
        <w:tc>
          <w:tcPr/>
          <w:p>
            <w:pPr>
              <w:pStyle w:val="Compact"/>
              <w:jc w:val="left"/>
            </w:pPr>
            <w:r>
              <w:t xml:space="preserve">Modéré</w:t>
            </w:r>
          </w:p>
        </w:tc>
        <w:tc>
          <w:tcPr/>
          <w:p>
            <w:pPr>
              <w:pStyle w:val="Compact"/>
              <w:jc w:val="left"/>
            </w:pPr>
            <w:r>
              <w:t xml:space="preserve">Idem + lésions rectales</w:t>
            </w:r>
          </w:p>
        </w:tc>
        <w:tc>
          <w:tcPr/>
          <w:p>
            <w:pPr>
              <w:pStyle w:val="Compact"/>
              <w:jc w:val="left"/>
            </w:pPr>
            <w:r>
              <w:t xml:space="preserve">Idem (préférer ibuprofène)</w:t>
            </w:r>
          </w:p>
        </w:tc>
        <w:tc>
          <w:tcPr/>
          <w:p>
            <w:pPr>
              <w:pStyle w:val="Compact"/>
              <w:jc w:val="left"/>
            </w:pPr>
            <w:r>
              <w:t xml:space="preserve">Prodrogue de l’acide niflumique, meilleure tolérance digestive locale, voie rectale (alternative à la voie orale)</w:t>
            </w:r>
          </w:p>
        </w:tc>
      </w:tr>
      <w:tr>
        <w:tc>
          <w:tcPr/>
          <w:p>
            <w:pPr>
              <w:pStyle w:val="Compact"/>
              <w:jc w:val="left"/>
            </w:pPr>
            <w:r>
              <w:rPr>
                <w:b/>
                <w:bCs/>
              </w:rPr>
              <w:t xml:space="preserve">Metamizole (noramidopyrine)</w:t>
            </w:r>
          </w:p>
        </w:tc>
        <w:tc>
          <w:tcPr/>
          <w:p>
            <w:pPr>
              <w:pStyle w:val="Compact"/>
              <w:jc w:val="left"/>
            </w:pPr>
            <w:r>
              <w:t xml:space="preserve">Pyrazolé (pyrazolone)</w:t>
            </w:r>
          </w:p>
        </w:tc>
        <w:tc>
          <w:tcPr/>
          <w:p>
            <w:pPr>
              <w:pStyle w:val="Compact"/>
              <w:jc w:val="left"/>
            </w:pPr>
            <w:r>
              <w:t xml:space="preserve">Courte (2-4 h pour 4-MAA)</w:t>
            </w:r>
          </w:p>
        </w:tc>
        <w:tc>
          <w:tcPr/>
          <w:p>
            <w:pPr>
              <w:pStyle w:val="Compact"/>
              <w:jc w:val="left"/>
            </w:pPr>
            <w:r>
              <w:t xml:space="preserve">1500-4000 mg/j en 3-4 prises ; 500-1000 mg x 3-4/j (IM/IV 1 g x 1-3/j)</w:t>
            </w:r>
          </w:p>
        </w:tc>
        <w:tc>
          <w:tcPr/>
          <w:p>
            <w:pPr>
              <w:pStyle w:val="Compact"/>
              <w:jc w:val="left"/>
            </w:pPr>
            <w:r>
              <w:t xml:space="preserve">Aucune spécialité active en Algérie (formes injectables retirées : VISCERALGINE FORTE, AVAFORTAN)</w:t>
            </w:r>
          </w:p>
        </w:tc>
        <w:tc>
          <w:tcPr/>
          <w:p>
            <w:pPr>
              <w:pStyle w:val="Compact"/>
              <w:jc w:val="left"/>
            </w:pPr>
            <w:r>
              <w:t xml:space="preserve">Faible (avantage du métamizole)</w:t>
            </w:r>
          </w:p>
        </w:tc>
        <w:tc>
          <w:tcPr/>
          <w:p>
            <w:pPr>
              <w:pStyle w:val="Compact"/>
              <w:jc w:val="left"/>
            </w:pPr>
            <w:r>
              <w:t xml:space="preserve">Hypersensibilité pyrazolés, agranulocytose, porphyrie, déficit G6PD, grossesse 3e T</w:t>
            </w:r>
          </w:p>
        </w:tc>
        <w:tc>
          <w:tcPr/>
          <w:p>
            <w:pPr>
              <w:pStyle w:val="Compact"/>
              <w:jc w:val="left"/>
            </w:pPr>
            <w:r>
              <w:t xml:space="preserve">À éviter pendant toute la grossesse</w:t>
            </w:r>
          </w:p>
        </w:tc>
        <w:tc>
          <w:tcPr/>
          <w:p>
            <w:pPr>
              <w:pStyle w:val="Compact"/>
              <w:jc w:val="left"/>
            </w:pPr>
            <w:r>
              <w:t xml:space="preserve">Antalgique puissant (proche morphine), antipyrétique remarquable, mais risque d’agranulocytose et d’anaphylaxie</w:t>
            </w:r>
          </w:p>
        </w:tc>
      </w:tr>
    </w:tbl>
    <w:bookmarkEnd w:id="147"/>
    <w:bookmarkStart w:id="148" w:name="conclusion-de-la-section"/>
    <w:p>
      <w:pPr>
        <w:pStyle w:val="Heading2"/>
      </w:pPr>
      <w:r>
        <w:t xml:space="preserve">Conclusion de la section</w:t>
      </w:r>
    </w:p>
    <w:p>
      <w:pPr>
        <w:pStyle w:val="FirstParagraph"/>
      </w:pPr>
      <w:r>
        <w:t xml:space="preserve">Cette section a permis de passer en revue les 13 DCIs d’AINS acides classiques effectivement commercialisées en Algérie, regroupées en 6 sous-classes chimiques. Plusieurs points essentiels méritent d’être soulignés en guise de conclusion :</w:t>
      </w:r>
    </w:p>
    <w:p>
      <w:pPr>
        <w:numPr>
          <w:ilvl w:val="0"/>
          <w:numId w:val="1065"/>
        </w:numPr>
      </w:pPr>
      <w:r>
        <w:rPr>
          <w:b/>
          <w:bCs/>
        </w:rPr>
        <w:t xml:space="preserve">Hétérogénéité du marché algérien</w:t>
      </w:r>
      <w:r>
        <w:t xml:space="preserve"> </w:t>
      </w:r>
      <w:r>
        <w:t xml:space="preserve">: La nomenclature algérienne d’avril 2026 révèle une diversité remarquable du marché des AINS classiques, avec une concentration sur quelques DCIs (ibuprofène &gt; 100 spécialités, diclofénac &gt; 180 spécialités, kétoprofène &gt; 40 spécialités), reflétant à la fois la prévalence de l’automédication et la forte concurrence entre laboratoires nationaux (Saidal, Sophal, Biopharm, Hupp Pharma, El Kendi, Merinal, Geopharm, LPA, Nadpharmadic, Inpha-Medis, Lab. MM, Propharmal, etc.) et internationaux.</w:t>
      </w:r>
    </w:p>
    <w:p>
      <w:pPr>
        <w:numPr>
          <w:ilvl w:val="0"/>
          <w:numId w:val="1065"/>
        </w:numPr>
      </w:pPr>
      <w:r>
        <w:rPr>
          <w:b/>
          <w:bCs/>
        </w:rPr>
        <w:t xml:space="preserve">Prépondérance des laboratoires algériens</w:t>
      </w:r>
      <w:r>
        <w:t xml:space="preserve"> </w:t>
      </w:r>
      <w:r>
        <w:t xml:space="preserve">: La majorité des spécialités actives sont produites par des laboratoires algériens, traduisant une politique nationale de souveraineté pharmaceutique. Les spécialités importées (Novartis, Sanofi, Menarini, GSK, Lek, etc.) sont en grande partie retirées du marché ou non renouvelées, témoignant de la dynamique de substitution locale.</w:t>
      </w:r>
    </w:p>
    <w:p>
      <w:pPr>
        <w:numPr>
          <w:ilvl w:val="0"/>
          <w:numId w:val="1065"/>
        </w:numPr>
      </w:pPr>
      <w:r>
        <w:rPr>
          <w:b/>
          <w:bCs/>
        </w:rPr>
        <w:t xml:space="preserve">Diversité galénique</w:t>
      </w:r>
      <w:r>
        <w:t xml:space="preserve"> </w:t>
      </w:r>
      <w:r>
        <w:t xml:space="preserve">: Les AINS classiques sont disponibles sous pratiquement toutes les formes galéniques existantes — comprimés (standard, gastro-résistant, LP, sachet, flash), gélules (standard, microgranules, LP), suppositoires, solutions injectables IM, suspensions buvables, gels dermiques, pommades, collyres, emplâtres transdermiques, patches — offrant au prescripteur une flexibilité importante pour adapter la prescription au patient (âge, état clinique, voie d’administration souhaitée, durée d’action).</w:t>
      </w:r>
    </w:p>
    <w:p>
      <w:pPr>
        <w:numPr>
          <w:ilvl w:val="0"/>
          <w:numId w:val="1065"/>
        </w:numPr>
      </w:pPr>
      <w:r>
        <w:rPr>
          <w:b/>
          <w:bCs/>
        </w:rPr>
        <w:t xml:space="preserve">Profils de tolérance différenciés</w:t>
      </w:r>
      <w:r>
        <w:t xml:space="preserve"> </w:t>
      </w:r>
      <w:r>
        <w:t xml:space="preserve">: Bien que tous les AINS classiques partagent un socle commun de toxicité (digestive, rénale, cardiovasculaire, allergique), chaque DCI présente des particularités qu’il est essentiel de connaître pour optimiser la prescription :</w:t>
      </w:r>
    </w:p>
    <w:p>
      <w:pPr>
        <w:pStyle w:val="Compact"/>
        <w:numPr>
          <w:ilvl w:val="1"/>
          <w:numId w:val="1066"/>
        </w:numPr>
      </w:pPr>
      <w:r>
        <w:t xml:space="preserve">Le naproxène a le meilleur profil cardiovasculaire.</w:t>
      </w:r>
    </w:p>
    <w:p>
      <w:pPr>
        <w:pStyle w:val="Compact"/>
        <w:numPr>
          <w:ilvl w:val="1"/>
          <w:numId w:val="1066"/>
        </w:numPr>
      </w:pPr>
      <w:r>
        <w:t xml:space="preserve">L’ibuprofène a le meilleur profil global de tolérance (digestive, grossesse, allaitement).</w:t>
      </w:r>
    </w:p>
    <w:p>
      <w:pPr>
        <w:pStyle w:val="Compact"/>
        <w:numPr>
          <w:ilvl w:val="1"/>
          <w:numId w:val="1066"/>
        </w:numPr>
      </w:pPr>
      <w:r>
        <w:t xml:space="preserve">Le diclofénac a le risque cardiovasculaire le plus élevé et une toxicité hépatique.</w:t>
      </w:r>
    </w:p>
    <w:p>
      <w:pPr>
        <w:pStyle w:val="Compact"/>
        <w:numPr>
          <w:ilvl w:val="1"/>
          <w:numId w:val="1066"/>
        </w:numPr>
      </w:pPr>
      <w:r>
        <w:t xml:space="preserve">L’indométacine est neurotoxique (céphalées, vertiges).</w:t>
      </w:r>
    </w:p>
    <w:p>
      <w:pPr>
        <w:pStyle w:val="Compact"/>
        <w:numPr>
          <w:ilvl w:val="1"/>
          <w:numId w:val="1066"/>
        </w:numPr>
      </w:pPr>
      <w:r>
        <w:t xml:space="preserve">Le kétoprofène est photosensibilisant.</w:t>
      </w:r>
    </w:p>
    <w:p>
      <w:pPr>
        <w:pStyle w:val="Compact"/>
        <w:numPr>
          <w:ilvl w:val="1"/>
          <w:numId w:val="1066"/>
        </w:numPr>
      </w:pPr>
      <w:r>
        <w:t xml:space="preserve">L’acide niflumique a une toxicité hépatique.</w:t>
      </w:r>
    </w:p>
    <w:p>
      <w:pPr>
        <w:pStyle w:val="Compact"/>
        <w:numPr>
          <w:ilvl w:val="1"/>
          <w:numId w:val="1066"/>
        </w:numPr>
      </w:pPr>
      <w:r>
        <w:t xml:space="preserve">L’acide méfénamique provoque une diarrhée caractéristique.</w:t>
      </w:r>
    </w:p>
    <w:p>
      <w:pPr>
        <w:pStyle w:val="Compact"/>
        <w:numPr>
          <w:ilvl w:val="1"/>
          <w:numId w:val="1066"/>
        </w:numPr>
      </w:pPr>
      <w:r>
        <w:t xml:space="preserve">Le métamizole a un risque d’agranulocytose et d’anaphylaxie.</w:t>
      </w:r>
    </w:p>
    <w:p>
      <w:pPr>
        <w:numPr>
          <w:ilvl w:val="0"/>
          <w:numId w:val="1065"/>
        </w:numPr>
      </w:pPr>
      <w:r>
        <w:rPr>
          <w:b/>
          <w:bCs/>
        </w:rPr>
        <w:t xml:space="preserve">Règles de prescription communes</w:t>
      </w:r>
      <w:r>
        <w:t xml:space="preserve"> </w:t>
      </w:r>
      <w:r>
        <w:t xml:space="preserve">: Posologie minimale efficace, durée la plus courte possible, pas d’association à un autre AINS, prise pendant les repas, co-prescription d’IPP si terrain à risque digestif, surveillance de la fonction rénale et hépatique en cas de traitement prolongé, contre-indication absolue au 3e trimestre de grossesse, et information du patient sur les signes d’alerte (douleurs épigastriques, melæna, éruptions cutanées, oligurie, vertiges).</w:t>
      </w:r>
    </w:p>
    <w:p>
      <w:pPr>
        <w:numPr>
          <w:ilvl w:val="0"/>
          <w:numId w:val="1065"/>
        </w:numPr>
      </w:pPr>
      <w:r>
        <w:rPr>
          <w:b/>
          <w:bCs/>
        </w:rPr>
        <w:t xml:space="preserve">Cas particulier de la grossesse et de l’allaitement</w:t>
      </w:r>
      <w:r>
        <w:t xml:space="preserve"> </w:t>
      </w:r>
      <w:r>
        <w:t xml:space="preserve">: Tous les AINS classiques sont contre-indiqués à partir du 24e SA (3e trimestre). Aux 1er et 2e trimestres, l’ibuprofène est l’AINS de préférence. Pendant l’allaitement, l’ibuprofène est l’AINS de choix (M/P faible, demi-vie courte).</w:t>
      </w:r>
    </w:p>
    <w:p>
      <w:pPr>
        <w:numPr>
          <w:ilvl w:val="0"/>
          <w:numId w:val="1065"/>
        </w:numPr>
      </w:pPr>
      <w:r>
        <w:rPr>
          <w:b/>
          <w:bCs/>
        </w:rPr>
        <w:t xml:space="preserve">Cas particulier du risque cardiovasculaire</w:t>
      </w:r>
      <w:r>
        <w:t xml:space="preserve"> </w:t>
      </w:r>
      <w:r>
        <w:t xml:space="preserve">: Le diclofénac, le kétoprofène, l’indométacine, le kétorolac et l’acide méfénamique présentent un risque thrombotique artériel significativement majoré (RR ~ 1,4). L’ibuprofène à dose ≤ 1200 mg/j et le naproxène sont les AINS classiques présentant le risque CV le plus faible. Chez les patients à haut risque CV (post-IDM, post-AVC, angor instable), l’usage des AINS doit être évité ou limité au naproxène ou à l’ibuprofène à faible dose, pour une durée courte.</w:t>
      </w:r>
    </w:p>
    <w:p>
      <w:pPr>
        <w:numPr>
          <w:ilvl w:val="0"/>
          <w:numId w:val="1065"/>
        </w:numPr>
      </w:pPr>
      <w:r>
        <w:rPr>
          <w:b/>
          <w:bCs/>
        </w:rPr>
        <w:t xml:space="preserve">Cas particulier du risque digestif</w:t>
      </w:r>
      <w:r>
        <w:t xml:space="preserve"> </w:t>
      </w:r>
      <w:r>
        <w:t xml:space="preserve">: Tous les AINS non sélectifs majorent le risque d’ulcère, d’hémorragie et de perforation digestive. Ce risque est majoré par l’âge &gt; 65 ans, les antécédents ulcéreux, l’association à l’aspirine ou aux anticoagulants, le tabac, l’alcool. La co-prescription d’un IPP (oméprazole, pantoprazole) est recommandée en cas de terrain à risque.</w:t>
      </w:r>
    </w:p>
    <w:p>
      <w:pPr>
        <w:numPr>
          <w:ilvl w:val="0"/>
          <w:numId w:val="1065"/>
        </w:numPr>
      </w:pPr>
      <w:r>
        <w:rPr>
          <w:b/>
          <w:bCs/>
        </w:rPr>
        <w:t xml:space="preserve">Cas particulier de l’insuffisance rénale</w:t>
      </w:r>
      <w:r>
        <w:t xml:space="preserve"> </w:t>
      </w:r>
      <w:r>
        <w:t xml:space="preserve">: Tous les AINS peuvent provoquer une insuffisance rénale aiguë fonctionnelle par inhibition des PG rénales vasodilatatrices de l’artériole afférente. Ce risque est majoré en cas d’hypovolémie, d’insuffisance cardiaque, de cirrhose, de néphropathie sous-jacente, ou d’association aux IEC, ARA2 et diurétiques (triade néphrotoxique).</w:t>
      </w:r>
    </w:p>
    <w:p>
      <w:pPr>
        <w:numPr>
          <w:ilvl w:val="0"/>
          <w:numId w:val="1065"/>
        </w:numPr>
      </w:pPr>
      <w:r>
        <w:rPr>
          <w:b/>
          <w:bCs/>
        </w:rPr>
        <w:t xml:space="preserve">Cas particulier de la prescription pédiatrique</w:t>
      </w:r>
      <w:r>
        <w:t xml:space="preserve"> </w:t>
      </w:r>
      <w:r>
        <w:t xml:space="preserve">: L’ibuprofène (≥ 3 mois, ≥ 5 kg) et l’aspirine (≥ 6 mois, sauf contexte viral pour éviter le syndrome de Reye) sont les AINS/antalgiques de référence chez l’enfant. L’indométacine et le diclofénac peuvent être utilisés dans certaines indications spécifiques (indométacine en néonatologie pour le canal artériel, diclofénac en colique néphrétique de l’enfant). Le naproxène est indiqué dans certaines maladies rhumatologiques pédiatriques. Les autres AINS (kétoprofène, flurbiprofène, dexkétoprofène, kétorolac) sont généralement contre-indiqués chez l’enfant.</w:t>
      </w:r>
    </w:p>
    <w:p>
      <w:pPr>
        <w:pStyle w:val="FirstParagraph"/>
      </w:pPr>
      <w:r>
        <w:t xml:space="preserve">Cette section, en combinant l’approche chimique (sous-classe), pharmacologique (mécanisme, indications, CI, EI), thérapeutique (posologie, formes galéniques, conseils au comptoir), et médico-économique (marché algérien, marques disponibles), vise à fournir à l’étudiant en pharmacie et au pharmacien d’officine algérien un outil pratique et exhaustif pour la prescription, la dispensation et le conseil aux patients.</w:t>
      </w:r>
    </w:p>
    <w:p>
      <w:r>
        <w:pict>
          <v:rect style="width:0;height:1.5pt" o:hralign="center" o:hrstd="t" o:hr="t"/>
        </w:pict>
      </w:r>
    </w:p>
    <w:bookmarkEnd w:id="148"/>
    <w:bookmarkEnd w:id="149"/>
    <w:bookmarkStart w:id="185" w:name="Xe464ad4921cde1d9293991de597a05cb6af6a9a"/>
    <w:p>
      <w:pPr>
        <w:pStyle w:val="Heading1"/>
      </w:pPr>
      <w:r>
        <w:t xml:space="preserve">Chapitre IX — AINS Oxicams, Inhibiteurs Sélectifs de la COX-2 (Coxibs et Sulfonanilides), Alcane Non Acide et Associations Spécifiques</w:t>
      </w:r>
    </w:p>
    <w:bookmarkStart w:id="150" w:name="introduction-générale-du-chapitre-1"/>
    <w:p>
      <w:pPr>
        <w:pStyle w:val="Heading2"/>
      </w:pPr>
      <w:r>
        <w:t xml:space="preserve">Introduction Générale du Chapitre</w:t>
      </w:r>
    </w:p>
    <w:p>
      <w:pPr>
        <w:pStyle w:val="FirstParagraph"/>
      </w:pPr>
      <w:r>
        <w:t xml:space="preserve">Ce chapitre traite des anti-inflammatoires non stéroïdiens (AINS) de seconde génération et des formes associées, qui constituent une étape charnière dans la pharmacologie anti-inflammatoire moderne. Alors que les AINS classiques (salicylés, dérivés arylpropioniques, indoliques, phénylacétiques) inhibent de façon indifférenciée les deux isoformes de la cyclo-oxygénase (COX-1 constitutive et COX-2 inductible), les molécules traitées ici ont été développées dans une logique d’épargne gastrique et de ciblage pharmacologique. La</w:t>
      </w:r>
      <w:r>
        <w:t xml:space="preserve"> </w:t>
      </w:r>
      <w:r>
        <w:rPr>
          <w:b/>
          <w:bCs/>
        </w:rPr>
        <w:t xml:space="preserve">sélectivité COX-2</w:t>
      </w:r>
      <w:r>
        <w:t xml:space="preserve"> </w:t>
      </w:r>
      <w:r>
        <w:t xml:space="preserve">constitue le fil conducteur des coxibs (célécoxib, étoricoxib) et du nimésulide, alors que les</w:t>
      </w:r>
      <w:r>
        <w:t xml:space="preserve"> </w:t>
      </w:r>
      <w:r>
        <w:rPr>
          <w:b/>
          <w:bCs/>
        </w:rPr>
        <w:t xml:space="preserve">oxicams</w:t>
      </w:r>
      <w:r>
        <w:t xml:space="preserve"> </w:t>
      </w:r>
      <w:r>
        <w:t xml:space="preserve">(piroxicam, méloxicam, lornoxicam) représentent une famille à part entière de l’énolicque AINS, caractérisée par de longues demi-vies d’élimination. Le</w:t>
      </w:r>
      <w:r>
        <w:t xml:space="preserve"> </w:t>
      </w:r>
      <w:r>
        <w:rPr>
          <w:b/>
          <w:bCs/>
        </w:rPr>
        <w:t xml:space="preserve">néantstructural</w:t>
      </w:r>
      <w:r>
        <w:t xml:space="preserve"> </w:t>
      </w:r>
      <w:r>
        <w:t xml:space="preserve">de la nabumétone (alcane non acide, prodrogue) illustre enfin une approche métabolique originale. Les associations (myorelaxantes, antalgiques du rhume, topiques antibiotiques) répondent à des logiques thérapeutiques différentes que nous détaillerons.</w:t>
      </w:r>
    </w:p>
    <w:p>
      <w:pPr>
        <w:pStyle w:val="BodyText"/>
      </w:pPr>
      <w:r>
        <w:t xml:space="preserve">Sur le plan épidémiologique algérien, ces molécules tiennent une place considérable dans la prescription rhumatologique (arthrose, polyarthrite rhumatoïde, spondylarthrite ankylosante), post-opératoire et dans certaines douleurs chroniques. L’offre industrielle nationale et importée est large, comme en témoigne la présence de multiples génériques pour chaque DCI — particulièrement le célécoxib (plus de 30 marques commercialisées). Cette abondance impose au pharmacien d’officine une maîtrise rigoureuse des équivalences, des conditions de substitution et des surveillances spécifiques à chaque molécule.</w:t>
      </w:r>
    </w:p>
    <w:p>
      <w:pPr>
        <w:pStyle w:val="BodyText"/>
      </w:pPr>
      <w:r>
        <w:t xml:space="preserve">Trois enseignements cliniques majeurs encadrent ce chapitre :</w:t>
      </w:r>
    </w:p>
    <w:p>
      <w:pPr>
        <w:numPr>
          <w:ilvl w:val="0"/>
          <w:numId w:val="1067"/>
        </w:numPr>
      </w:pPr>
      <w:r>
        <w:rPr>
          <w:b/>
          <w:bCs/>
        </w:rPr>
        <w:t xml:space="preserve">Le risque cardiovasculaire</w:t>
      </w:r>
      <w:r>
        <w:t xml:space="preserve"> </w:t>
      </w:r>
      <w:r>
        <w:t xml:space="preserve">des coxibs, démontré par les essais APC (Adenomatous Polyp Prevention on Vioxx), VIGOR (Vioxx Gastrointestinal Outcomes Research), APPROVe et MEDAL, a conduit au retrait mondial du rofécoxib (2004) et du valdécoxib (2005), et à un encadrement strict du célécoxib et de l’étoricoxib par l’EMA et la FDA.</w:t>
      </w:r>
    </w:p>
    <w:p>
      <w:pPr>
        <w:numPr>
          <w:ilvl w:val="0"/>
          <w:numId w:val="1067"/>
        </w:numPr>
      </w:pPr>
      <w:r>
        <w:rPr>
          <w:b/>
          <w:bCs/>
        </w:rPr>
        <w:t xml:space="preserve">L’hépatotoxicité du nimésulide</w:t>
      </w:r>
      <w:r>
        <w:t xml:space="preserve">, mise en évidence par les signalements d’atteintes hépatocytaires aiguës parfois mortelles, a conduit l’EMA (juin 2012) à limiter la durée de prescription à 15 jours et la dose à 100 mg deux fois par jour.</w:t>
      </w:r>
    </w:p>
    <w:p>
      <w:pPr>
        <w:numPr>
          <w:ilvl w:val="0"/>
          <w:numId w:val="1067"/>
        </w:numPr>
      </w:pPr>
      <w:r>
        <w:rPr>
          <w:b/>
          <w:bCs/>
        </w:rPr>
        <w:t xml:space="preserve">La toxicité digestive des oxicams</w:t>
      </w:r>
      <w:r>
        <w:t xml:space="preserve">, liée à leur longue demi-vie (piroxicam ~50 h), impose une évaluation systématique du rapport bénéfice/risque avant prescription chez le sujet âgé.</w:t>
      </w:r>
    </w:p>
    <w:p>
      <w:r>
        <w:pict>
          <v:rect style="width:0;height:1.5pt" o:hralign="center" o:hrstd="t" o:hr="t"/>
        </w:pict>
      </w:r>
    </w:p>
    <w:bookmarkEnd w:id="150"/>
    <w:bookmarkStart w:id="156" w:name="sous-classe-ains---oxicams"/>
    <w:p>
      <w:pPr>
        <w:pStyle w:val="Heading2"/>
      </w:pPr>
      <w:r>
        <w:t xml:space="preserve">Sous-Classe : AINS - Oxicams</w:t>
      </w:r>
    </w:p>
    <w:bookmarkStart w:id="151" w:name="présentation-de-la-sous-classe-5"/>
    <w:p>
      <w:pPr>
        <w:pStyle w:val="Heading3"/>
      </w:pPr>
      <w:r>
        <w:t xml:space="preserve">Présentation de la sous-classe</w:t>
      </w:r>
    </w:p>
    <w:p>
      <w:pPr>
        <w:pStyle w:val="FirstParagraph"/>
      </w:pPr>
      <w:r>
        <w:t xml:space="preserve">Les</w:t>
      </w:r>
      <w:r>
        <w:t xml:space="preserve"> </w:t>
      </w:r>
      <w:r>
        <w:rPr>
          <w:b/>
          <w:bCs/>
        </w:rPr>
        <w:t xml:space="preserve">oxicams</w:t>
      </w:r>
      <w:r>
        <w:t xml:space="preserve"> </w:t>
      </w:r>
      <w:r>
        <w:t xml:space="preserve">appartiennent à la famille des AINS</w:t>
      </w:r>
      <w:r>
        <w:t xml:space="preserve"> </w:t>
      </w:r>
      <w:r>
        <w:rPr>
          <w:b/>
          <w:bCs/>
        </w:rPr>
        <w:t xml:space="preserve">énoliques</w:t>
      </w:r>
      <w:r>
        <w:t xml:space="preserve">, comme le phénylbutazone (aujourd’hui retiré) et le méclofénamate. Leur caractéristique structurale fondamentale est la fonction</w:t>
      </w:r>
      <w:r>
        <w:t xml:space="preserve"> </w:t>
      </w:r>
      <w:r>
        <w:rPr>
          <w:b/>
          <w:bCs/>
        </w:rPr>
        <w:t xml:space="preserve">1,2-benzothiazine-1,1-dioxyde</w:t>
      </w:r>
      <w:r>
        <w:t xml:space="preserve"> </w:t>
      </w:r>
      <w:r>
        <w:t xml:space="preserve">portant un groupement énolique. Le piroxicam, chef de file historique (commercialisé depuis 1980), a été suivi du méloxicam (1996), du ténoxicam (1994) et du lornoxicam (1997). Le nimésulide, souvent classé à part dans les sulfonanilides, partage certaines propriétés mais présente une structure méthanesulfonanilide distincte.</w:t>
      </w:r>
    </w:p>
    <w:p>
      <w:pPr>
        <w:pStyle w:val="BodyText"/>
      </w:pPr>
      <w:r>
        <w:rPr>
          <w:b/>
          <w:bCs/>
        </w:rPr>
        <w:t xml:space="preserve">Pharmacocinétique des oxicams</w:t>
      </w:r>
      <w:r>
        <w:t xml:space="preserve"> </w:t>
      </w:r>
      <w:r>
        <w:t xml:space="preserve">: ces molécules se caractérisent par une</w:t>
      </w:r>
      <w:r>
        <w:t xml:space="preserve"> </w:t>
      </w:r>
      <w:r>
        <w:rPr>
          <w:b/>
          <w:bCs/>
        </w:rPr>
        <w:t xml:space="preserve">demi-vie d’élimination longue</w:t>
      </w:r>
      <w:r>
        <w:t xml:space="preserve">, autorisant une seule prise quotidienne. Cette propriété, pratique pour l’observance, expose néanmoins à un risque d’accumulation et de surdosage retardé en cas d’insuffisance rénale ou hépatique. Le piroxicam a la demi-vie la plus prolongée (40 à 60 heures), le méloxicam une demi-vie intermédiaire (15 à 20 heures), et le lornoxicam une demi-vie plus courte (3 à 5 heures), ce qui en fait l’oxicam le plus proche, en termes d’usage, des AINS conventionnels.</w:t>
      </w:r>
    </w:p>
    <w:p>
      <w:pPr>
        <w:pStyle w:val="BodyText"/>
      </w:pPr>
      <w:r>
        <w:rPr>
          <w:b/>
          <w:bCs/>
        </w:rPr>
        <w:t xml:space="preserve">Sélectivité COX-2</w:t>
      </w:r>
      <w:r>
        <w:t xml:space="preserve"> </w:t>
      </w:r>
      <w:r>
        <w:t xml:space="preserve">: le</w:t>
      </w:r>
      <w:r>
        <w:t xml:space="preserve"> </w:t>
      </w:r>
      <w:r>
        <w:rPr>
          <w:b/>
          <w:bCs/>
        </w:rPr>
        <w:t xml:space="preserve">méloxicam</w:t>
      </w:r>
      <w:r>
        <w:t xml:space="preserve"> </w:t>
      </w:r>
      <w:r>
        <w:t xml:space="preserve">présente une sélectivité COX-2 modérée (ratio COX-2/COX-1 ≈ 10), ce qui le rapproche partiellement des coxibs. Le piroxicam et le lornoxicam restent relativement peu sélectifs. Cette sélectivité partielle explique que le méloxicam entraîne une réduction modérée de la toxicité digestive haute, sans atteindre le bénéfice des coxibs vrais.</w:t>
      </w:r>
    </w:p>
    <w:p>
      <w:pPr>
        <w:pStyle w:val="BodyText"/>
      </w:pPr>
      <w:r>
        <w:rPr>
          <w:b/>
          <w:bCs/>
        </w:rPr>
        <w:t xml:space="preserve">Indications principales</w:t>
      </w:r>
      <w:r>
        <w:t xml:space="preserve"> </w:t>
      </w:r>
      <w:r>
        <w:t xml:space="preserve">: rhumatismes inflammatoires chroniques (polyarthrite rhumatoïde, spondylarthrite ankylosante), arthrose symptomatique (coxarthrose, gonarthrose), crises de goutte, douleurs post-opératoires (lornoxicam), lombalgies aiguës.</w:t>
      </w:r>
    </w:p>
    <w:p>
      <w:pPr>
        <w:pStyle w:val="BodyText"/>
      </w:pPr>
      <w:r>
        <w:rPr>
          <w:b/>
          <w:bCs/>
        </w:rPr>
        <w:t xml:space="preserve">Pièges de la sous-classe</w:t>
      </w:r>
      <w:r>
        <w:t xml:space="preserve"> </w:t>
      </w:r>
      <w:r>
        <w:t xml:space="preserve">: la longue demi-vie du piroxicam impose des précautions chez le sujet âgé (réduction posologique à 10 mg/j) et un risque accru d’effets indésirables graves (hémorragie digestive, insuffisance rénale aiguë). Le ténomésulide et le ténoxicam, autrefois commercialisés en Algérie, ont été progressivement retirés du marché algérien. La</w:t>
      </w:r>
      <w:r>
        <w:t xml:space="preserve"> </w:t>
      </w:r>
      <w:r>
        <w:rPr>
          <w:b/>
          <w:bCs/>
        </w:rPr>
        <w:t xml:space="preserve">nabumétone</w:t>
      </w:r>
      <w:r>
        <w:t xml:space="preserve"> </w:t>
      </w:r>
      <w:r>
        <w:t xml:space="preserve">(alcane non acide traité plus loin dans ce chapitre) partage certaines propriétés mais appartient à une sous-classe séparée.</w:t>
      </w:r>
    </w:p>
    <w:p>
      <w:r>
        <w:pict>
          <v:rect style="width:0;height:1.5pt" o:hralign="center" o:hrstd="t" o:hr="t"/>
        </w:pict>
      </w:r>
    </w:p>
    <w:bookmarkEnd w:id="151"/>
    <w:bookmarkStart w:id="152" w:name="dci-piroxicam-seule"/>
    <w:p>
      <w:pPr>
        <w:pStyle w:val="Heading3"/>
      </w:pPr>
      <w:r>
        <w:t xml:space="preserve">1. DCI : Piroxicam (Seule)</w:t>
      </w:r>
    </w:p>
    <w:p>
      <w:pPr>
        <w:pStyle w:val="FirstParagraph"/>
      </w:pPr>
      <w:r>
        <w:rPr>
          <w:b/>
          <w:bCs/>
        </w:rPr>
        <w:t xml:space="preserve">Liste des Catégories :</w:t>
      </w:r>
      <w:r>
        <w:t xml:space="preserve"> </w:t>
      </w:r>
      <w:r>
        <w:t xml:space="preserve">AINS - Oxicams ; Liste I (toutes formes).</w:t>
      </w:r>
    </w:p>
    <w:p>
      <w:pPr>
        <w:pStyle w:val="BodyText"/>
      </w:pPr>
      <w:r>
        <w:t xml:space="preserve">Le piroxicam est le chef de file des oxicams, commercialisé depuis 1980. Sa</w:t>
      </w:r>
      <w:r>
        <w:t xml:space="preserve"> </w:t>
      </w:r>
      <w:r>
        <w:rPr>
          <w:b/>
          <w:bCs/>
        </w:rPr>
        <w:t xml:space="preserve">demi-vie d’élimination très prolongée (40 à 60 heures)</w:t>
      </w:r>
      <w:r>
        <w:t xml:space="preserve"> </w:t>
      </w:r>
      <w:r>
        <w:t xml:space="preserve">autorise une seule prise quotidienne, avantage majeur pour l’observance en rhumatologie chronique. Cette même propriété expose néanmoins à un risque d’accumulation, particulièrement chez le sujet âgé ou insuffisant rénal. Le piroxicam est l’un des AINS les plus prescrits en Algérie, avec une large palette de formes galéniques : comprimés dispersibles, gélules, suppositoires, solution injectable IM et gel topique. Sa toxicité digestive est significative, justifiant l’existence d’une forme complexée à la β-cyclodextrine (voir fiche suivante). Le médicament de référence historique Feldène® (Pfizer) a été progressivement remplacé par des génériques algériens (Fenoxam, Prixam, Orthocam, Fradene, etc.).</w:t>
      </w:r>
    </w:p>
    <w:p>
      <w:pPr>
        <w:pStyle w:val="BodyText"/>
      </w:pPr>
      <w:r>
        <w:rPr>
          <w:b/>
          <w:bCs/>
        </w:rPr>
        <w:t xml:space="preserve">Médicaments disponibles en Algérie (Marques, Laboratoires, Formes et Dosages) :</w:t>
      </w:r>
    </w:p>
    <w:p>
      <w:pPr>
        <w:pStyle w:val="BodyText"/>
      </w:pPr>
      <w:r>
        <w:t xml:space="preserve">Formes orales actives :</w:t>
      </w:r>
      <w:r>
        <w:t xml:space="preserve"> </w:t>
      </w:r>
      <w:r>
        <w:t xml:space="preserve">-</w:t>
      </w:r>
      <w:r>
        <w:t xml:space="preserve"> </w:t>
      </w:r>
      <w:r>
        <w:rPr>
          <w:b/>
          <w:bCs/>
        </w:rPr>
        <w:t xml:space="preserve">FELCAM FAST</w:t>
      </w:r>
      <w:r>
        <w:t xml:space="preserve"> </w:t>
      </w:r>
      <w:r>
        <w:t xml:space="preserve">(PHARMALLIANCE) — Comprimé dispersible sécable 20 mg, B/10 — Actif</w:t>
      </w:r>
      <w:r>
        <w:t xml:space="preserve"> </w:t>
      </w:r>
      <w:r>
        <w:t xml:space="preserve">-</w:t>
      </w:r>
      <w:r>
        <w:t xml:space="preserve"> </w:t>
      </w:r>
      <w:r>
        <w:rPr>
          <w:b/>
          <w:bCs/>
        </w:rPr>
        <w:t xml:space="preserve">FENOXAM</w:t>
      </w:r>
      <w:r>
        <w:t xml:space="preserve"> </w:t>
      </w:r>
      <w:r>
        <w:t xml:space="preserve">(BIOPHARM) — Comprimé dispersible sécable 20 mg, B/10 — Actif</w:t>
      </w:r>
      <w:r>
        <w:t xml:space="preserve"> </w:t>
      </w:r>
      <w:r>
        <w:t xml:space="preserve">-</w:t>
      </w:r>
      <w:r>
        <w:t xml:space="preserve"> </w:t>
      </w:r>
      <w:r>
        <w:rPr>
          <w:b/>
          <w:bCs/>
        </w:rPr>
        <w:t xml:space="preserve">FRADENE</w:t>
      </w:r>
      <w:r>
        <w:t xml:space="preserve"> </w:t>
      </w:r>
      <w:r>
        <w:t xml:space="preserve">(FRATER-RAZES FORME SECHE) — Gélule 20 mg, B/20 — Actif</w:t>
      </w:r>
      <w:r>
        <w:t xml:space="preserve"> </w:t>
      </w:r>
      <w:r>
        <w:t xml:space="preserve">-</w:t>
      </w:r>
      <w:r>
        <w:t xml:space="preserve"> </w:t>
      </w:r>
      <w:r>
        <w:rPr>
          <w:b/>
          <w:bCs/>
        </w:rPr>
        <w:t xml:space="preserve">ORTHOCAM</w:t>
      </w:r>
      <w:r>
        <w:t xml:space="preserve"> </w:t>
      </w:r>
      <w:r>
        <w:t xml:space="preserve">(EL KENDI INDUSTRIE DU MEDICAMENT) — Comprimé dispersible sécable 20 mg, B/10 — Actif</w:t>
      </w:r>
      <w:r>
        <w:t xml:space="preserve"> </w:t>
      </w:r>
      <w:r>
        <w:t xml:space="preserve">-</w:t>
      </w:r>
      <w:r>
        <w:t xml:space="preserve"> </w:t>
      </w:r>
      <w:r>
        <w:rPr>
          <w:b/>
          <w:bCs/>
        </w:rPr>
        <w:t xml:space="preserve">PIROXICAM NOVAGENERICS</w:t>
      </w:r>
      <w:r>
        <w:t xml:space="preserve"> </w:t>
      </w:r>
      <w:r>
        <w:t xml:space="preserve">(NOVAPHARM TRADING) — Gélule 20 mg, Pilulier/15 — Actif</w:t>
      </w:r>
      <w:r>
        <w:t xml:space="preserve"> </w:t>
      </w:r>
      <w:r>
        <w:t xml:space="preserve">-</w:t>
      </w:r>
      <w:r>
        <w:t xml:space="preserve"> </w:t>
      </w:r>
      <w:r>
        <w:rPr>
          <w:b/>
          <w:bCs/>
        </w:rPr>
        <w:t xml:space="preserve">PIROXICAM PHYSIOPHARM</w:t>
      </w:r>
      <w:r>
        <w:t xml:space="preserve"> </w:t>
      </w:r>
      <w:r>
        <w:t xml:space="preserve">(PHYSIOPHARM LABORATOIRES) — Gélule 20 mg, B/10 — Actif</w:t>
      </w:r>
      <w:r>
        <w:t xml:space="preserve"> </w:t>
      </w:r>
      <w:r>
        <w:t xml:space="preserve">-</w:t>
      </w:r>
      <w:r>
        <w:t xml:space="preserve"> </w:t>
      </w:r>
      <w:r>
        <w:rPr>
          <w:b/>
          <w:bCs/>
        </w:rPr>
        <w:t xml:space="preserve">PRELDENE</w:t>
      </w:r>
      <w:r>
        <w:t xml:space="preserve"> </w:t>
      </w:r>
      <w:r>
        <w:t xml:space="preserve">(HUPP PHARMA) — Gélule 20 mg, B/10 — Actif</w:t>
      </w:r>
      <w:r>
        <w:t xml:space="preserve"> </w:t>
      </w:r>
      <w:r>
        <w:t xml:space="preserve">-</w:t>
      </w:r>
      <w:r>
        <w:t xml:space="preserve"> </w:t>
      </w:r>
      <w:r>
        <w:rPr>
          <w:b/>
          <w:bCs/>
        </w:rPr>
        <w:t xml:space="preserve">ROXICAM</w:t>
      </w:r>
      <w:r>
        <w:t xml:space="preserve"> </w:t>
      </w:r>
      <w:r>
        <w:t xml:space="preserve">(NEOMEDIC) — Gélule 20 mg, B/10 — Actif</w:t>
      </w:r>
    </w:p>
    <w:p>
      <w:pPr>
        <w:pStyle w:val="BodyText"/>
      </w:pPr>
      <w:r>
        <w:t xml:space="preserve">Suppositoires actifs :</w:t>
      </w:r>
      <w:r>
        <w:t xml:space="preserve"> </w:t>
      </w:r>
      <w:r>
        <w:t xml:space="preserve">-</w:t>
      </w:r>
      <w:r>
        <w:t xml:space="preserve"> </w:t>
      </w:r>
      <w:r>
        <w:rPr>
          <w:b/>
          <w:bCs/>
        </w:rPr>
        <w:t xml:space="preserve">PAINOXAM</w:t>
      </w:r>
      <w:r>
        <w:t xml:space="preserve"> </w:t>
      </w:r>
      <w:r>
        <w:t xml:space="preserve">(BIOPHARM) — Suppositoire 20 mg, B/15 — Actif</w:t>
      </w:r>
      <w:r>
        <w:t xml:space="preserve"> </w:t>
      </w:r>
      <w:r>
        <w:t xml:space="preserve">-</w:t>
      </w:r>
      <w:r>
        <w:t xml:space="preserve"> </w:t>
      </w:r>
      <w:r>
        <w:rPr>
          <w:b/>
          <w:bCs/>
        </w:rPr>
        <w:t xml:space="preserve">PIROMEX</w:t>
      </w:r>
      <w:r>
        <w:t xml:space="preserve"> </w:t>
      </w:r>
      <w:r>
        <w:t xml:space="preserve">(KPMA BIOTIC) — Suppositoire 20 mg, B/10 — Actif</w:t>
      </w:r>
    </w:p>
    <w:p>
      <w:pPr>
        <w:pStyle w:val="BodyText"/>
      </w:pPr>
      <w:r>
        <w:t xml:space="preserve">Injectable IM actif :</w:t>
      </w:r>
      <w:r>
        <w:t xml:space="preserve"> </w:t>
      </w:r>
      <w:r>
        <w:t xml:space="preserve">-</w:t>
      </w:r>
      <w:r>
        <w:t xml:space="preserve"> </w:t>
      </w:r>
      <w:r>
        <w:rPr>
          <w:b/>
          <w:bCs/>
        </w:rPr>
        <w:t xml:space="preserve">FRADENE</w:t>
      </w:r>
      <w:r>
        <w:t xml:space="preserve"> </w:t>
      </w:r>
      <w:r>
        <w:t xml:space="preserve">(LES LABORATOIRES FRATER RAZES) — Solution injectable IM 20 mg/mL, B/2 ampoules de 1 mL — Actif</w:t>
      </w:r>
      <w:r>
        <w:t xml:space="preserve"> </w:t>
      </w:r>
      <w:r>
        <w:t xml:space="preserve">-</w:t>
      </w:r>
      <w:r>
        <w:t xml:space="preserve"> </w:t>
      </w:r>
      <w:r>
        <w:rPr>
          <w:b/>
          <w:bCs/>
        </w:rPr>
        <w:t xml:space="preserve">PIROXEN</w:t>
      </w:r>
      <w:r>
        <w:t xml:space="preserve"> </w:t>
      </w:r>
      <w:r>
        <w:t xml:space="preserve">(INPHA-MEDIS) — Solution injectable IM 20 mg/mL, B/2 ampoules de 1 mL — Actif</w:t>
      </w:r>
      <w:r>
        <w:t xml:space="preserve"> </w:t>
      </w:r>
      <w:r>
        <w:t xml:space="preserve">-</w:t>
      </w:r>
      <w:r>
        <w:t xml:space="preserve"> </w:t>
      </w:r>
      <w:r>
        <w:rPr>
          <w:b/>
          <w:bCs/>
        </w:rPr>
        <w:t xml:space="preserve">PIROXIDEN</w:t>
      </w:r>
      <w:r>
        <w:t xml:space="preserve"> </w:t>
      </w:r>
      <w:r>
        <w:t xml:space="preserve">(GEOPHARM) — Solution injectable IM 20 mg/mL, B/2 ampoules de 1 mL — Actif</w:t>
      </w:r>
      <w:r>
        <w:t xml:space="preserve"> </w:t>
      </w:r>
      <w:r>
        <w:t xml:space="preserve">-</w:t>
      </w:r>
      <w:r>
        <w:t xml:space="preserve"> </w:t>
      </w:r>
      <w:r>
        <w:rPr>
          <w:b/>
          <w:bCs/>
        </w:rPr>
        <w:t xml:space="preserve">PRELDENE</w:t>
      </w:r>
      <w:r>
        <w:t xml:space="preserve"> </w:t>
      </w:r>
      <w:r>
        <w:t xml:space="preserve">(HUPP PHARMA) — Solution injectable IM 20 mg/mL, B/2 ampoules de 1 mL — Actif</w:t>
      </w:r>
    </w:p>
    <w:p>
      <w:pPr>
        <w:pStyle w:val="BodyText"/>
      </w:pPr>
      <w:r>
        <w:t xml:space="preserve">Gel topique actif :</w:t>
      </w:r>
      <w:r>
        <w:t xml:space="preserve"> </w:t>
      </w:r>
      <w:r>
        <w:t xml:space="preserve">-</w:t>
      </w:r>
      <w:r>
        <w:t xml:space="preserve"> </w:t>
      </w:r>
      <w:r>
        <w:rPr>
          <w:b/>
          <w:bCs/>
        </w:rPr>
        <w:t xml:space="preserve">FELCAM</w:t>
      </w:r>
      <w:r>
        <w:t xml:space="preserve"> </w:t>
      </w:r>
      <w:r>
        <w:t xml:space="preserve">(PHARMALLIANCE) — Gel 0,5 % (0,005), tube 50 g — Actif</w:t>
      </w:r>
      <w:r>
        <w:t xml:space="preserve"> </w:t>
      </w:r>
      <w:r>
        <w:t xml:space="preserve">-</w:t>
      </w:r>
      <w:r>
        <w:t xml:space="preserve"> </w:t>
      </w:r>
      <w:r>
        <w:rPr>
          <w:b/>
          <w:bCs/>
        </w:rPr>
        <w:t xml:space="preserve">FENOXAM</w:t>
      </w:r>
      <w:r>
        <w:t xml:space="preserve"> </w:t>
      </w:r>
      <w:r>
        <w:t xml:space="preserve">(BIOPHARM) — Gel pour application cutanée 0,5 %, tube 50 g — Actif</w:t>
      </w:r>
      <w:r>
        <w:t xml:space="preserve"> </w:t>
      </w:r>
      <w:r>
        <w:t xml:space="preserve">-</w:t>
      </w:r>
      <w:r>
        <w:t xml:space="preserve"> </w:t>
      </w:r>
      <w:r>
        <w:rPr>
          <w:b/>
          <w:bCs/>
        </w:rPr>
        <w:t xml:space="preserve">ORTHOCAM</w:t>
      </w:r>
      <w:r>
        <w:t xml:space="preserve"> </w:t>
      </w:r>
      <w:r>
        <w:t xml:space="preserve">(EL KENDI) — Gel dermique 0,5 %, tube 25 g — Actif</w:t>
      </w:r>
      <w:r>
        <w:t xml:space="preserve"> </w:t>
      </w:r>
      <w:r>
        <w:t xml:space="preserve">-</w:t>
      </w:r>
      <w:r>
        <w:t xml:space="preserve"> </w:t>
      </w:r>
      <w:r>
        <w:rPr>
          <w:b/>
          <w:bCs/>
        </w:rPr>
        <w:t xml:space="preserve">PIROXENE</w:t>
      </w:r>
      <w:r>
        <w:t xml:space="preserve"> </w:t>
      </w:r>
      <w:r>
        <w:t xml:space="preserve">(4A SANTE INDUSTRIE) — Gel dermique 0,5 %, tube 40 g — Actif</w:t>
      </w:r>
      <w:r>
        <w:t xml:space="preserve"> </w:t>
      </w:r>
      <w:r>
        <w:t xml:space="preserve">-</w:t>
      </w:r>
      <w:r>
        <w:t xml:space="preserve"> </w:t>
      </w:r>
      <w:r>
        <w:rPr>
          <w:b/>
          <w:bCs/>
        </w:rPr>
        <w:t xml:space="preserve">PIROXICAM NOVAGENERICS</w:t>
      </w:r>
      <w:r>
        <w:t xml:space="preserve"> </w:t>
      </w:r>
      <w:r>
        <w:t xml:space="preserve">(NOVAPHARM TRADING) — Gel dermique 0,5 %, tube 50 g — Actif</w:t>
      </w:r>
      <w:r>
        <w:t xml:space="preserve"> </w:t>
      </w:r>
      <w:r>
        <w:t xml:space="preserve">-</w:t>
      </w:r>
      <w:r>
        <w:t xml:space="preserve"> </w:t>
      </w:r>
      <w:r>
        <w:rPr>
          <w:b/>
          <w:bCs/>
        </w:rPr>
        <w:t xml:space="preserve">PRIXAM</w:t>
      </w:r>
      <w:r>
        <w:t xml:space="preserve"> </w:t>
      </w:r>
      <w:r>
        <w:t xml:space="preserve">(GROUPE SAIDAL) — Gel dermique 0,5 %, tube 50 g — Actif</w:t>
      </w:r>
    </w:p>
    <w:p>
      <w:pPr>
        <w:pStyle w:val="BodyText"/>
      </w:pPr>
      <w:r>
        <w:t xml:space="preserve">Formes NON renouvelables :</w:t>
      </w:r>
      <w:r>
        <w:t xml:space="preserve"> </w:t>
      </w:r>
      <w:r>
        <w:t xml:space="preserve">-</w:t>
      </w:r>
      <w:r>
        <w:t xml:space="preserve"> </w:t>
      </w:r>
      <w:r>
        <w:rPr>
          <w:b/>
          <w:bCs/>
        </w:rPr>
        <w:t xml:space="preserve">CYCLADOL</w:t>
      </w:r>
      <w:r>
        <w:t xml:space="preserve"> </w:t>
      </w:r>
      <w:r>
        <w:t xml:space="preserve">(CHIESI) — Comprimé effervescent 20 mg — Non renouvelable</w:t>
      </w:r>
      <w:r>
        <w:t xml:space="preserve"> </w:t>
      </w:r>
      <w:r>
        <w:t xml:space="preserve">-</w:t>
      </w:r>
      <w:r>
        <w:t xml:space="preserve"> </w:t>
      </w:r>
      <w:r>
        <w:rPr>
          <w:b/>
          <w:bCs/>
        </w:rPr>
        <w:t xml:space="preserve">PIROCAM</w:t>
      </w:r>
      <w:r>
        <w:t xml:space="preserve"> </w:t>
      </w:r>
      <w:r>
        <w:t xml:space="preserve">(LAD) — Comprimé 10 mg, B/10 — Non renouvelable</w:t>
      </w:r>
      <w:r>
        <w:t xml:space="preserve"> </w:t>
      </w:r>
      <w:r>
        <w:t xml:space="preserve">-</w:t>
      </w:r>
      <w:r>
        <w:t xml:space="preserve"> </w:t>
      </w:r>
      <w:r>
        <w:rPr>
          <w:b/>
          <w:bCs/>
        </w:rPr>
        <w:t xml:space="preserve">FELDENE</w:t>
      </w:r>
      <w:r>
        <w:t xml:space="preserve"> </w:t>
      </w:r>
      <w:r>
        <w:t xml:space="preserve">(PFIZER PHARM ALGERIE) — Comprimé dispersible sécable 20 mg — Non renouvelable</w:t>
      </w:r>
      <w:r>
        <w:t xml:space="preserve"> </w:t>
      </w:r>
      <w:r>
        <w:t xml:space="preserve">-</w:t>
      </w:r>
      <w:r>
        <w:t xml:space="preserve"> </w:t>
      </w:r>
      <w:r>
        <w:rPr>
          <w:b/>
          <w:bCs/>
        </w:rPr>
        <w:t xml:space="preserve">PIROXEN</w:t>
      </w:r>
      <w:r>
        <w:t xml:space="preserve"> </w:t>
      </w:r>
      <w:r>
        <w:t xml:space="preserve">(INPHA-MEDIS) — Comprimé dispersible 20 mg, B/12 — Non renouvelable</w:t>
      </w:r>
      <w:r>
        <w:t xml:space="preserve"> </w:t>
      </w:r>
      <w:r>
        <w:t xml:space="preserve">-</w:t>
      </w:r>
      <w:r>
        <w:t xml:space="preserve"> </w:t>
      </w:r>
      <w:r>
        <w:rPr>
          <w:b/>
          <w:bCs/>
        </w:rPr>
        <w:t xml:space="preserve">PRIXAM</w:t>
      </w:r>
      <w:r>
        <w:t xml:space="preserve"> </w:t>
      </w:r>
      <w:r>
        <w:t xml:space="preserve">(SAIDAL) — Comprimé dispersible 20 mg, B/10 — Non renouvelable</w:t>
      </w:r>
      <w:r>
        <w:t xml:space="preserve"> </w:t>
      </w:r>
      <w:r>
        <w:t xml:space="preserve">-</w:t>
      </w:r>
      <w:r>
        <w:t xml:space="preserve"> </w:t>
      </w:r>
      <w:r>
        <w:rPr>
          <w:b/>
          <w:bCs/>
        </w:rPr>
        <w:t xml:space="preserve">PIROXICAM SANDOZ</w:t>
      </w:r>
      <w:r>
        <w:t xml:space="preserve"> </w:t>
      </w:r>
      <w:r>
        <w:t xml:space="preserve">(SANDOZ SPA) — Comprimé sécable 20 mg, B/10 — Non renouvelable</w:t>
      </w:r>
      <w:r>
        <w:t xml:space="preserve"> </w:t>
      </w:r>
      <w:r>
        <w:t xml:space="preserve">-</w:t>
      </w:r>
      <w:r>
        <w:t xml:space="preserve"> </w:t>
      </w:r>
      <w:r>
        <w:rPr>
          <w:b/>
          <w:bCs/>
        </w:rPr>
        <w:t xml:space="preserve">PIROXAL</w:t>
      </w:r>
      <w:r>
        <w:t xml:space="preserve"> </w:t>
      </w:r>
      <w:r>
        <w:t xml:space="preserve">(SALEM) — Suppositoire 20 mg, B/10 — Non renouvelable</w:t>
      </w:r>
      <w:r>
        <w:t xml:space="preserve"> </w:t>
      </w:r>
      <w:r>
        <w:t xml:space="preserve">-</w:t>
      </w:r>
      <w:r>
        <w:t xml:space="preserve"> </w:t>
      </w:r>
      <w:r>
        <w:rPr>
          <w:b/>
          <w:bCs/>
        </w:rPr>
        <w:t xml:space="preserve">POLIPIROX</w:t>
      </w:r>
      <w:r>
        <w:t xml:space="preserve"> </w:t>
      </w:r>
      <w:r>
        <w:t xml:space="preserve">(LPA) — Suppositoire 20 mg, B/10 — Non renouvelable</w:t>
      </w:r>
      <w:r>
        <w:t xml:space="preserve"> </w:t>
      </w:r>
      <w:r>
        <w:t xml:space="preserve">-</w:t>
      </w:r>
      <w:r>
        <w:t xml:space="preserve"> </w:t>
      </w:r>
      <w:r>
        <w:rPr>
          <w:b/>
          <w:bCs/>
        </w:rPr>
        <w:t xml:space="preserve">PRIXAM</w:t>
      </w:r>
      <w:r>
        <w:t xml:space="preserve"> </w:t>
      </w:r>
      <w:r>
        <w:t xml:space="preserve">(SAIDAL) — Suppositoire 20 mg, B/10 — Non renouvelable</w:t>
      </w:r>
      <w:r>
        <w:t xml:space="preserve"> </w:t>
      </w:r>
      <w:r>
        <w:t xml:space="preserve">-</w:t>
      </w:r>
      <w:r>
        <w:t xml:space="preserve"> </w:t>
      </w:r>
      <w:r>
        <w:rPr>
          <w:b/>
          <w:bCs/>
        </w:rPr>
        <w:t xml:space="preserve">PRIXAM</w:t>
      </w:r>
      <w:r>
        <w:t xml:space="preserve"> </w:t>
      </w:r>
      <w:r>
        <w:t xml:space="preserve">(SAIDAL) — Solution injectable IM 20 mg/mL, B/2 ampoules — Non renouvelable</w:t>
      </w:r>
      <w:r>
        <w:t xml:space="preserve"> </w:t>
      </w:r>
      <w:r>
        <w:t xml:space="preserve">-</w:t>
      </w:r>
      <w:r>
        <w:t xml:space="preserve"> </w:t>
      </w:r>
      <w:r>
        <w:rPr>
          <w:b/>
          <w:bCs/>
        </w:rPr>
        <w:t xml:space="preserve">PIROXICAM LPA</w:t>
      </w:r>
      <w:r>
        <w:t xml:space="preserve"> </w:t>
      </w:r>
      <w:r>
        <w:t xml:space="preserve">(LPA) — Gel dermique 0,5 %, tube 50 g — Non renouvelable</w:t>
      </w:r>
    </w:p>
    <w:p>
      <w:pPr>
        <w:pStyle w:val="BodyText"/>
      </w:pPr>
      <w:r>
        <w:t xml:space="preserve">Formes RETIRÉES (R) — industrielles ou historiques :</w:t>
      </w:r>
      <w:r>
        <w:t xml:space="preserve"> </w:t>
      </w:r>
      <w:r>
        <w:t xml:space="preserve">-</w:t>
      </w:r>
      <w:r>
        <w:t xml:space="preserve"> </w:t>
      </w:r>
      <w:r>
        <w:rPr>
          <w:b/>
          <w:bCs/>
        </w:rPr>
        <w:t xml:space="preserve">ORTHOCAM</w:t>
      </w:r>
      <w:r>
        <w:t xml:space="preserve"> </w:t>
      </w:r>
      <w:r>
        <w:t xml:space="preserve">(TABUK) — Gélules 10 mg et 20 mg — Retiré</w:t>
      </w:r>
      <w:r>
        <w:t xml:space="preserve"> </w:t>
      </w:r>
      <w:r>
        <w:t xml:space="preserve">-</w:t>
      </w:r>
      <w:r>
        <w:t xml:space="preserve"> </w:t>
      </w:r>
      <w:r>
        <w:rPr>
          <w:b/>
          <w:bCs/>
        </w:rPr>
        <w:t xml:space="preserve">PIROXICAM BAYER</w:t>
      </w:r>
      <w:r>
        <w:t xml:space="preserve"> </w:t>
      </w:r>
      <w:r>
        <w:t xml:space="preserve">(BAYER CLASSICS) — Gélule 10 mg, B/30 — Retiré</w:t>
      </w:r>
      <w:r>
        <w:t xml:space="preserve"> </w:t>
      </w:r>
      <w:r>
        <w:t xml:space="preserve">-</w:t>
      </w:r>
      <w:r>
        <w:t xml:space="preserve"> </w:t>
      </w:r>
      <w:r>
        <w:rPr>
          <w:b/>
          <w:bCs/>
        </w:rPr>
        <w:t xml:space="preserve">UNICAM</w:t>
      </w:r>
      <w:r>
        <w:t xml:space="preserve"> </w:t>
      </w:r>
      <w:r>
        <w:t xml:space="preserve">(UPM) — Gélule 10 mg et 20 mg — Retiré</w:t>
      </w:r>
      <w:r>
        <w:t xml:space="preserve"> </w:t>
      </w:r>
      <w:r>
        <w:t xml:space="preserve">-</w:t>
      </w:r>
      <w:r>
        <w:t xml:space="preserve"> </w:t>
      </w:r>
      <w:r>
        <w:rPr>
          <w:b/>
          <w:bCs/>
        </w:rPr>
        <w:t xml:space="preserve">PIROXICAM BIOGARAN</w:t>
      </w:r>
      <w:r>
        <w:t xml:space="preserve"> </w:t>
      </w:r>
      <w:r>
        <w:t xml:space="preserve">(BIOGARAN) — Gélule 10 mg et 20 mg — Retiré</w:t>
      </w:r>
      <w:r>
        <w:t xml:space="preserve"> </w:t>
      </w:r>
      <w:r>
        <w:t xml:space="preserve">-</w:t>
      </w:r>
      <w:r>
        <w:t xml:space="preserve"> </w:t>
      </w:r>
      <w:r>
        <w:rPr>
          <w:b/>
          <w:bCs/>
        </w:rPr>
        <w:t xml:space="preserve">HOTEMIN</w:t>
      </w:r>
      <w:r>
        <w:t xml:space="preserve"> </w:t>
      </w:r>
      <w:r>
        <w:t xml:space="preserve">(EGIS) — Gélule 10 mg et 20 mg — Retiré</w:t>
      </w:r>
      <w:r>
        <w:t xml:space="preserve"> </w:t>
      </w:r>
      <w:r>
        <w:t xml:space="preserve">-</w:t>
      </w:r>
      <w:r>
        <w:t xml:space="preserve"> </w:t>
      </w:r>
      <w:r>
        <w:rPr>
          <w:b/>
          <w:bCs/>
        </w:rPr>
        <w:t xml:space="preserve">INFLACED</w:t>
      </w:r>
      <w:r>
        <w:t xml:space="preserve"> </w:t>
      </w:r>
      <w:r>
        <w:t xml:space="preserve">(BIOTHERAPIE) — Gélule 10 mg et 20 mg ; poudre effervescente 20 mg sachets — Retiré</w:t>
      </w:r>
      <w:r>
        <w:t xml:space="preserve"> </w:t>
      </w:r>
      <w:r>
        <w:t xml:space="preserve">-</w:t>
      </w:r>
      <w:r>
        <w:t xml:space="preserve"> </w:t>
      </w:r>
      <w:r>
        <w:rPr>
          <w:b/>
          <w:bCs/>
        </w:rPr>
        <w:t xml:space="preserve">OLCAM</w:t>
      </w:r>
      <w:r>
        <w:t xml:space="preserve"> </w:t>
      </w:r>
      <w:r>
        <w:t xml:space="preserve">(IREX) — Gélule 10 mg et 20 mg — Retiré</w:t>
      </w:r>
      <w:r>
        <w:t xml:space="preserve"> </w:t>
      </w:r>
      <w:r>
        <w:t xml:space="preserve">-</w:t>
      </w:r>
      <w:r>
        <w:t xml:space="preserve"> </w:t>
      </w:r>
      <w:r>
        <w:rPr>
          <w:b/>
          <w:bCs/>
        </w:rPr>
        <w:t xml:space="preserve">PIROXICAM REIG JOFRE</w:t>
      </w:r>
      <w:r>
        <w:t xml:space="preserve"> </w:t>
      </w:r>
      <w:r>
        <w:t xml:space="preserve">— Gélule 10 mg et 20 mg — Retiré</w:t>
      </w:r>
      <w:r>
        <w:t xml:space="preserve"> </w:t>
      </w:r>
      <w:r>
        <w:t xml:space="preserve">-</w:t>
      </w:r>
      <w:r>
        <w:t xml:space="preserve"> </w:t>
      </w:r>
      <w:r>
        <w:rPr>
          <w:b/>
          <w:bCs/>
        </w:rPr>
        <w:t xml:space="preserve">ERAZON</w:t>
      </w:r>
      <w:r>
        <w:t xml:space="preserve"> </w:t>
      </w:r>
      <w:r>
        <w:t xml:space="preserve">(KRKA) — Gélule 10 mg et 20 mg — Retiré</w:t>
      </w:r>
      <w:r>
        <w:t xml:space="preserve"> </w:t>
      </w:r>
      <w:r>
        <w:t xml:space="preserve">-</w:t>
      </w:r>
      <w:r>
        <w:t xml:space="preserve"> </w:t>
      </w:r>
      <w:r>
        <w:rPr>
          <w:b/>
          <w:bCs/>
        </w:rPr>
        <w:t xml:space="preserve">SOTILEN</w:t>
      </w:r>
      <w:r>
        <w:t xml:space="preserve"> </w:t>
      </w:r>
      <w:r>
        <w:t xml:space="preserve">(MEDOCHEMIE) — Gélule 20 mg, B/20 — Retiré</w:t>
      </w:r>
      <w:r>
        <w:t xml:space="preserve"> </w:t>
      </w:r>
      <w:r>
        <w:t xml:space="preserve">-</w:t>
      </w:r>
      <w:r>
        <w:t xml:space="preserve"> </w:t>
      </w:r>
      <w:r>
        <w:rPr>
          <w:b/>
          <w:bCs/>
        </w:rPr>
        <w:t xml:space="preserve">PIROXICAM RATIOPHARM</w:t>
      </w:r>
      <w:r>
        <w:t xml:space="preserve"> </w:t>
      </w:r>
      <w:r>
        <w:t xml:space="preserve">— Gélule 20 mg ; suppositoire 20 mg — Retiré</w:t>
      </w:r>
      <w:r>
        <w:t xml:space="preserve"> </w:t>
      </w:r>
      <w:r>
        <w:t xml:space="preserve">-</w:t>
      </w:r>
      <w:r>
        <w:t xml:space="preserve"> </w:t>
      </w:r>
      <w:r>
        <w:rPr>
          <w:b/>
          <w:bCs/>
        </w:rPr>
        <w:t xml:space="preserve">PIROXICAM 20 STADA</w:t>
      </w:r>
      <w:r>
        <w:t xml:space="preserve"> </w:t>
      </w:r>
      <w:r>
        <w:t xml:space="preserve">(STADA) — Comprimé 20 mg — Retiré</w:t>
      </w:r>
      <w:r>
        <w:t xml:space="preserve"> </w:t>
      </w:r>
      <w:r>
        <w:t xml:space="preserve">-</w:t>
      </w:r>
      <w:r>
        <w:t xml:space="preserve"> </w:t>
      </w:r>
      <w:r>
        <w:rPr>
          <w:b/>
          <w:bCs/>
        </w:rPr>
        <w:t xml:space="preserve">BLEDURAN</w:t>
      </w:r>
      <w:r>
        <w:t xml:space="preserve"> </w:t>
      </w:r>
      <w:r>
        <w:t xml:space="preserve">(ANFARM HELLAS) — Gélule 20 mg — Retiré</w:t>
      </w:r>
      <w:r>
        <w:t xml:space="preserve"> </w:t>
      </w:r>
      <w:r>
        <w:t xml:space="preserve">-</w:t>
      </w:r>
      <w:r>
        <w:t xml:space="preserve"> </w:t>
      </w:r>
      <w:r>
        <w:rPr>
          <w:b/>
          <w:bCs/>
        </w:rPr>
        <w:t xml:space="preserve">XYCAM</w:t>
      </w:r>
      <w:r>
        <w:t xml:space="preserve"> </w:t>
      </w:r>
      <w:r>
        <w:t xml:space="preserve">(PHARMACARE) — Gélule 20 mg — Retiré</w:t>
      </w:r>
      <w:r>
        <w:t xml:space="preserve"> </w:t>
      </w:r>
      <w:r>
        <w:t xml:space="preserve">-</w:t>
      </w:r>
      <w:r>
        <w:t xml:space="preserve"> </w:t>
      </w:r>
      <w:r>
        <w:rPr>
          <w:b/>
          <w:bCs/>
        </w:rPr>
        <w:t xml:space="preserve">RIACEN</w:t>
      </w:r>
      <w:r>
        <w:t xml:space="preserve"> </w:t>
      </w:r>
      <w:r>
        <w:t xml:space="preserve">(PROMOPHARM) — Gélule 20 mg — Retiré</w:t>
      </w:r>
      <w:r>
        <w:t xml:space="preserve"> </w:t>
      </w:r>
      <w:r>
        <w:t xml:space="preserve">-</w:t>
      </w:r>
      <w:r>
        <w:t xml:space="preserve"> </w:t>
      </w:r>
      <w:r>
        <w:rPr>
          <w:b/>
          <w:bCs/>
        </w:rPr>
        <w:t xml:space="preserve">POLIPIROX</w:t>
      </w:r>
      <w:r>
        <w:t xml:space="preserve"> </w:t>
      </w:r>
      <w:r>
        <w:t xml:space="preserve">(BIOLOGICI ITALIA) — Gélule 20 mg ; suppositoire 20 mg — Retiré</w:t>
      </w:r>
      <w:r>
        <w:t xml:space="preserve"> </w:t>
      </w:r>
      <w:r>
        <w:t xml:space="preserve">-</w:t>
      </w:r>
      <w:r>
        <w:t xml:space="preserve"> </w:t>
      </w:r>
      <w:r>
        <w:rPr>
          <w:b/>
          <w:bCs/>
        </w:rPr>
        <w:t xml:space="preserve">TRISULAM</w:t>
      </w:r>
      <w:r>
        <w:t xml:space="preserve"> </w:t>
      </w:r>
      <w:r>
        <w:t xml:space="preserve">(SANDOZ/LPA) — Gélule 20 mg ; solution injectable IM 20 mg — Retiré</w:t>
      </w:r>
      <w:r>
        <w:t xml:space="preserve"> </w:t>
      </w:r>
      <w:r>
        <w:t xml:space="preserve">-</w:t>
      </w:r>
      <w:r>
        <w:t xml:space="preserve"> </w:t>
      </w:r>
      <w:r>
        <w:rPr>
          <w:b/>
          <w:bCs/>
        </w:rPr>
        <w:t xml:space="preserve">ROXAM</w:t>
      </w:r>
      <w:r>
        <w:t xml:space="preserve"> </w:t>
      </w:r>
      <w:r>
        <w:t xml:space="preserve">(JPM) — Suppositoire 20 mg, B/5 — Retiré</w:t>
      </w:r>
      <w:r>
        <w:t xml:space="preserve"> </w:t>
      </w:r>
      <w:r>
        <w:t xml:space="preserve">-</w:t>
      </w:r>
      <w:r>
        <w:t xml:space="preserve"> </w:t>
      </w:r>
      <w:r>
        <w:rPr>
          <w:b/>
          <w:bCs/>
        </w:rPr>
        <w:t xml:space="preserve">FORTICAM</w:t>
      </w:r>
      <w:r>
        <w:t xml:space="preserve"> </w:t>
      </w:r>
      <w:r>
        <w:t xml:space="preserve">(MEDICOLABS SYRIE) — Suppositoire 20 mg — Retiré</w:t>
      </w:r>
      <w:r>
        <w:t xml:space="preserve"> </w:t>
      </w:r>
      <w:r>
        <w:t xml:space="preserve">-</w:t>
      </w:r>
      <w:r>
        <w:t xml:space="preserve"> </w:t>
      </w:r>
      <w:r>
        <w:rPr>
          <w:b/>
          <w:bCs/>
        </w:rPr>
        <w:t xml:space="preserve">FELDENE</w:t>
      </w:r>
      <w:r>
        <w:t xml:space="preserve"> </w:t>
      </w:r>
      <w:r>
        <w:t xml:space="preserve">(PFIZER) — Suppositoire 20 mg ; solution injectable IM 20 mg/mL — Retiré</w:t>
      </w:r>
      <w:r>
        <w:t xml:space="preserve"> </w:t>
      </w:r>
      <w:r>
        <w:t xml:space="preserve">-</w:t>
      </w:r>
      <w:r>
        <w:t xml:space="preserve"> </w:t>
      </w:r>
      <w:r>
        <w:rPr>
          <w:b/>
          <w:bCs/>
        </w:rPr>
        <w:t xml:space="preserve">OXIJEX</w:t>
      </w:r>
      <w:r>
        <w:t xml:space="preserve"> </w:t>
      </w:r>
      <w:r>
        <w:t xml:space="preserve">(BIOVITAL) — Solution injectable IM 20 mg/mL — Retiré</w:t>
      </w:r>
      <w:r>
        <w:t xml:space="preserve"> </w:t>
      </w:r>
      <w:r>
        <w:t xml:space="preserve">-</w:t>
      </w:r>
      <w:r>
        <w:t xml:space="preserve"> </w:t>
      </w:r>
      <w:r>
        <w:rPr>
          <w:b/>
          <w:bCs/>
        </w:rPr>
        <w:t xml:space="preserve">FENOXAM 20</w:t>
      </w:r>
      <w:r>
        <w:t xml:space="preserve"> </w:t>
      </w:r>
      <w:r>
        <w:t xml:space="preserve">(SAIPH) — Solution injectable IM 20 mg/mL — Retiré</w:t>
      </w:r>
      <w:r>
        <w:t xml:space="preserve"> </w:t>
      </w:r>
      <w:r>
        <w:t xml:space="preserve">-</w:t>
      </w:r>
      <w:r>
        <w:t xml:space="preserve"> </w:t>
      </w:r>
      <w:r>
        <w:rPr>
          <w:b/>
          <w:bCs/>
        </w:rPr>
        <w:t xml:space="preserve">PROXALYOC</w:t>
      </w:r>
      <w:r>
        <w:t xml:space="preserve"> </w:t>
      </w:r>
      <w:r>
        <w:t xml:space="preserve">(CEPHALON) — Lyophilisat oral 20 mg, B/10 — Retiré</w:t>
      </w:r>
      <w:r>
        <w:t xml:space="preserve"> </w:t>
      </w:r>
      <w:r>
        <w:t xml:space="preserve">-</w:t>
      </w:r>
      <w:r>
        <w:t xml:space="preserve"> </w:t>
      </w:r>
      <w:r>
        <w:rPr>
          <w:b/>
          <w:bCs/>
        </w:rPr>
        <w:t xml:space="preserve">PIROX</w:t>
      </w:r>
      <w:r>
        <w:t xml:space="preserve"> </w:t>
      </w:r>
      <w:r>
        <w:t xml:space="preserve">(CIPLA) — Gel 0,5 %, tube 30 g — Retiré</w:t>
      </w:r>
      <w:r>
        <w:t xml:space="preserve"> </w:t>
      </w:r>
      <w:r>
        <w:t xml:space="preserve">-</w:t>
      </w:r>
      <w:r>
        <w:t xml:space="preserve"> </w:t>
      </w:r>
      <w:r>
        <w:rPr>
          <w:b/>
          <w:bCs/>
        </w:rPr>
        <w:t xml:space="preserve">UNICAM</w:t>
      </w:r>
      <w:r>
        <w:t xml:space="preserve"> </w:t>
      </w:r>
      <w:r>
        <w:t xml:space="preserve">(UPM) — Gel 0,5 %, tube 50 g — Retiré</w:t>
      </w:r>
      <w:r>
        <w:t xml:space="preserve"> </w:t>
      </w:r>
      <w:r>
        <w:t xml:space="preserve">-</w:t>
      </w:r>
      <w:r>
        <w:t xml:space="preserve"> </w:t>
      </w:r>
      <w:r>
        <w:rPr>
          <w:b/>
          <w:bCs/>
        </w:rPr>
        <w:t xml:space="preserve">GELDENE</w:t>
      </w:r>
      <w:r>
        <w:t xml:space="preserve"> </w:t>
      </w:r>
      <w:r>
        <w:t xml:space="preserve">(PFIZER) — Gel pour application locale 0,5 %, tube 50 g — Retiré</w:t>
      </w:r>
    </w:p>
    <w:p>
      <w:pPr>
        <w:pStyle w:val="BodyText"/>
      </w:pPr>
      <w:r>
        <w:rPr>
          <w:b/>
          <w:bCs/>
        </w:rPr>
        <w:t xml:space="preserve">Sous-classe et Mécanisme d’action :</w:t>
      </w:r>
      <w:r>
        <w:t xml:space="preserve"> </w:t>
      </w:r>
      <w:r>
        <w:t xml:space="preserve">- Sous-classe : AINS énolique de la famille des oxicams (1,2-benzothiazine-1,1-dioxyde).</w:t>
      </w:r>
      <w:r>
        <w:t xml:space="preserve"> </w:t>
      </w:r>
      <w:r>
        <w:t xml:space="preserve">- Mécanisme d’action : inhibition réversible et compétitive des cyclo-oxygénases COX-1 et COX-2, avec un rapport COX-2/COX-1 de l’ordre de 1, soit une</w:t>
      </w:r>
      <w:r>
        <w:t xml:space="preserve"> </w:t>
      </w:r>
      <w:r>
        <w:rPr>
          <w:b/>
          <w:bCs/>
        </w:rPr>
        <w:t xml:space="preserve">inhibition non sélective</w:t>
      </w:r>
      <w:r>
        <w:t xml:space="preserve">. Le blocage de la conversion de l’acide arachidonique en prostaglandines G2/H2 réduit la production de PGE2 (pro-inflammatoire), de PGI2 (prostacycline vasodilatatrice) et de TXA2 (thromboxane pro-agrégant plaquettaire). L’inhibition plaquettaire est faible par rapport à l’aspirine (qui est irréversible).</w:t>
      </w:r>
    </w:p>
    <w:p>
      <w:pPr>
        <w:pStyle w:val="BodyText"/>
      </w:pPr>
      <w:r>
        <w:rPr>
          <w:b/>
          <w:bCs/>
        </w:rPr>
        <w:t xml:space="preserve">Profil Pharmacologique :</w:t>
      </w:r>
      <w:r>
        <w:t xml:space="preserve"> </w:t>
      </w:r>
      <w:r>
        <w:t xml:space="preserve">- Indications : symptomatique de l’arthrose (coxarthrose, gonarthrose, rachis), polyarthrite rhumatoïde, spondylarthrite ankylosante, crises de goutte aiguës (en alternative à la colchicine), dysménorrhée, douleurs post-opératoires (en IM), lombosciatique aiguë.</w:t>
      </w:r>
      <w:r>
        <w:t xml:space="preserve"> </w:t>
      </w:r>
      <w:r>
        <w:t xml:space="preserve">- Contre-indications : antécédent d’allergie à l’aspirine ou autre AINS (asthme, rhinite, urticaire, polypose nasale), ulcère gastro-duodénal évolutif, insuffisance hépatique sévère, insuffisance rénale sévère (clairance &lt; 30 mL/min), insuffisance cardiaque sévère non contrôlée, grossesse 3e trimestre (risque de fermeture prématurée du canal artériel et d’oligoamnios), enfant de moins de 15 ans, hémorragie en cours.</w:t>
      </w:r>
      <w:r>
        <w:t xml:space="preserve"> </w:t>
      </w:r>
      <w:r>
        <w:t xml:space="preserve">- Effets Indésirables :</w:t>
      </w:r>
      <w:r>
        <w:t xml:space="preserve"> </w:t>
      </w:r>
      <w:r>
        <w:t xml:space="preserve">- Digestifs : douleurs épigastriques (15-20 %), ulcère gastro-duodénal et complications hémorragiques (risque relatif ≈ 4 par rapport à non traités), perforation.</w:t>
      </w:r>
      <w:r>
        <w:t xml:space="preserve"> </w:t>
      </w:r>
      <w:r>
        <w:t xml:space="preserve">- Cardiovasculaires : hypertension artérielle, œdèmes des membres inférieurs, majoration du risque thrombotique artériel (infarctus du myocarde, AVC).</w:t>
      </w:r>
      <w:r>
        <w:t xml:space="preserve"> </w:t>
      </w:r>
      <w:r>
        <w:t xml:space="preserve">- Rénux : insuffisance rénale aiguë fonctionnelle par inhibition de la vasodilatation artériolaire afférente ; hyperkaliémie ; néphrite interstitielle aiguë (rare).</w:t>
      </w:r>
      <w:r>
        <w:t xml:space="preserve"> </w:t>
      </w:r>
      <w:r>
        <w:t xml:space="preserve">- Neurosensoriels : céphalées, vertiges, somnolence, acouphènes (dose-dépendants).</w:t>
      </w:r>
      <w:r>
        <w:t xml:space="preserve"> </w:t>
      </w:r>
      <w:r>
        <w:t xml:space="preserve">- Cutanés : éruptions, prurit, photosensibilité, rares syndromes de Stevens-Johnson et de Lyell.</w:t>
      </w:r>
      <w:r>
        <w:t xml:space="preserve"> </w:t>
      </w:r>
      <w:r>
        <w:t xml:space="preserve">- Hématologiques : agranulocytose, anémie hémolytique auto-immune (exceptionnels).</w:t>
      </w:r>
    </w:p>
    <w:p>
      <w:pPr>
        <w:pStyle w:val="BodyText"/>
      </w:pPr>
      <w:r>
        <w:rPr>
          <w:b/>
          <w:bCs/>
        </w:rPr>
        <w:t xml:space="preserve">Prévention et Gestion des Effets Indésirables :</w:t>
      </w:r>
      <w:r>
        <w:t xml:space="preserve"> </w:t>
      </w:r>
      <w:r>
        <w:t xml:space="preserve">- Mesures Préventives : évaluation systématique du risque digestif (score de Lanza ou de киш-Abramson), âge &gt; 65 ans, antécédent ulcéreux, corticothérapie ou anticoagulants associés = association systématique à un IPP (oméprazole 20 mg/j ou ésoméprazole 20 mg/j) ; utilisation de la dose minimale efficace et durée la plus courte possible ; recherche systématique d’une hypertension non contrôlée et d’une insuffisance rénale avant instauration.</w:t>
      </w:r>
      <w:r>
        <w:t xml:space="preserve"> </w:t>
      </w:r>
      <w:r>
        <w:t xml:space="preserve">- Conduite à Tenir : arrêt immédiat en cas de méléna, hématémèse, douleur épigastrique résistante, éruption cutanée fébrile, ictère ; consultation urgente en cas de dyspnée, œdème des membres inférieurs, douleur thoracique.</w:t>
      </w:r>
    </w:p>
    <w:p>
      <w:pPr>
        <w:pStyle w:val="BodyText"/>
      </w:pPr>
      <w:r>
        <w:rPr>
          <w:b/>
          <w:bCs/>
        </w:rPr>
        <w:t xml:space="preserve">Interactions Importantes :</w:t>
      </w:r>
      <w:r>
        <w:t xml:space="preserve"> </w:t>
      </w:r>
      <w:r>
        <w:t xml:space="preserve">-</w:t>
      </w:r>
      <w:r>
        <w:t xml:space="preserve"> </w:t>
      </w:r>
      <w:r>
        <w:rPr>
          <w:b/>
          <w:bCs/>
        </w:rPr>
        <w:t xml:space="preserve">Piroxicam + AVK (warfarine, acénocoumarol)</w:t>
      </w:r>
      <w:r>
        <w:t xml:space="preserve"> </w:t>
      </w:r>
      <w:r>
        <w:t xml:space="preserve">: majoration du risque hémorragique par déplacement des protéines porteuses et effet antiagrégant additif. Surveillance rapprochée de l’INR.</w:t>
      </w:r>
      <w:r>
        <w:t xml:space="preserve"> </w:t>
      </w:r>
      <w:r>
        <w:t xml:space="preserve">-</w:t>
      </w:r>
      <w:r>
        <w:t xml:space="preserve"> </w:t>
      </w:r>
      <w:r>
        <w:rPr>
          <w:b/>
          <w:bCs/>
        </w:rPr>
        <w:t xml:space="preserve">Piroxicam + lithium</w:t>
      </w:r>
      <w:r>
        <w:t xml:space="preserve"> </w:t>
      </w:r>
      <w:r>
        <w:t xml:space="preserve">: diminution de la clairance rénale du lithium, risque de surdosage. Contrôle de la lithémie à J3 et J7.</w:t>
      </w:r>
      <w:r>
        <w:t xml:space="preserve"> </w:t>
      </w:r>
      <w:r>
        <w:t xml:space="preserve">-</w:t>
      </w:r>
      <w:r>
        <w:t xml:space="preserve"> </w:t>
      </w:r>
      <w:r>
        <w:rPr>
          <w:b/>
          <w:bCs/>
        </w:rPr>
        <w:t xml:space="preserve">Piroxicam + méthotrexate</w:t>
      </w:r>
      <w:r>
        <w:t xml:space="preserve"> </w:t>
      </w:r>
      <w:r>
        <w:t xml:space="preserve">: majoration de la toxicité hématologique par diminution de l’élimination tubulaire.</w:t>
      </w:r>
      <w:r>
        <w:t xml:space="preserve"> </w:t>
      </w:r>
      <w:r>
        <w:t xml:space="preserve">-</w:t>
      </w:r>
      <w:r>
        <w:t xml:space="preserve"> </w:t>
      </w:r>
      <w:r>
        <w:rPr>
          <w:b/>
          <w:bCs/>
        </w:rPr>
        <w:t xml:space="preserve">Piroxicam + diurétiques + IEC/ARA II</w:t>
      </w:r>
      <w:r>
        <w:t xml:space="preserve"> </w:t>
      </w:r>
      <w:r>
        <w:t xml:space="preserve">: triplet néphrotoxique avec risque majeur d’IRA.</w:t>
      </w:r>
      <w:r>
        <w:t xml:space="preserve"> </w:t>
      </w:r>
      <w:r>
        <w:t xml:space="preserve">-</w:t>
      </w:r>
      <w:r>
        <w:t xml:space="preserve"> </w:t>
      </w:r>
      <w:r>
        <w:rPr>
          <w:b/>
          <w:bCs/>
        </w:rPr>
        <w:t xml:space="preserve">Piroxicam + aspirine à faible dose</w:t>
      </w:r>
      <w:r>
        <w:t xml:space="preserve"> </w:t>
      </w:r>
      <w:r>
        <w:t xml:space="preserve">: réduction de l’effet antiagrégant plaquettaire de l’aspirine (compétition au site de liaison COX-1).</w:t>
      </w:r>
    </w:p>
    <w:p>
      <w:pPr>
        <w:pStyle w:val="BodyText"/>
      </w:pPr>
      <w:r>
        <w:rPr>
          <w:b/>
          <w:bCs/>
        </w:rPr>
        <w:t xml:space="preserve">Grossesse et Allaitement :</w:t>
      </w:r>
      <w:r>
        <w:t xml:space="preserve"> </w:t>
      </w:r>
      <w:r>
        <w:t xml:space="preserve">- Grossesse : contre-indiqué au 3e trimestre (risque cardio-pulmonaire fœtal : fermeture prématurée du canal artériel, hypertension pulmonaire persistante, oligoamnios, anurie néonatale). À éviter aux 1er et 2e trimestres (risque de fausse-couche et de malformations selon CRAT et données épidémiologiques récentes).</w:t>
      </w:r>
      <w:r>
        <w:t xml:space="preserve"> </w:t>
      </w:r>
      <w:r>
        <w:t xml:space="preserve">- Allaitement : passage dans le lait maternel en quantité faible mais non négligeable ; à éviter par prudence, surtout pour un traitement prolongé.</w:t>
      </w:r>
      <w:r>
        <w:t xml:space="preserve"> </w:t>
      </w:r>
      <w:r>
        <w:t xml:space="preserve">- Précisions : chez la femme enceinte présentant un rhumatisme inflammatoire, privilégier la paracétamol en première intention et discuter en milieu spécialisé d’un traitement de fond spécifique.</w:t>
      </w:r>
    </w:p>
    <w:p>
      <w:pPr>
        <w:pStyle w:val="BodyText"/>
      </w:pPr>
      <w:r>
        <w:rPr>
          <w:b/>
          <w:bCs/>
        </w:rPr>
        <w:t xml:space="preserve">Posologie et Mode d’administration (Standard) :</w:t>
      </w:r>
      <w:r>
        <w:t xml:space="preserve"> </w:t>
      </w:r>
      <w:r>
        <w:t xml:space="preserve">- Adulte : 20 mg une fois par jour per os, en une prise unique quotidienne (matin ou soir, pendant le repas). Sujet âgé &gt; 65 ans ou insuffisant rénal modéré : 10 mg/j. Voie IM : 20 mg/j (1 ampoule) en une injection profonde, à renouveler éventuellement à 12 h sans dépasser 40 mg/24 h les 48 premières heures. Voie rectale : 20 mg/j (1 suppositoire).</w:t>
      </w:r>
      <w:r>
        <w:t xml:space="preserve"> </w:t>
      </w:r>
      <w:r>
        <w:t xml:space="preserve">- Enfant : contre-indiqué avant 15 ans.</w:t>
      </w:r>
      <w:r>
        <w:t xml:space="preserve"> </w:t>
      </w:r>
      <w:r>
        <w:t xml:space="preserve">- Durée : traitement symptomatique, à réévaluer régulièrement ; ne pas dépasser 7 à 14 jours pour les douleurs aiguës ; surveillance particulière au-delà de 4 semaines.</w:t>
      </w:r>
      <w:r>
        <w:t xml:space="preserve"> </w:t>
      </w:r>
      <w:r>
        <w:t xml:space="preserve">- Moment de prise : au cours d’un repas, avec un grand verre d’eau.</w:t>
      </w:r>
    </w:p>
    <w:p>
      <w:pPr>
        <w:pStyle w:val="BodyText"/>
      </w:pPr>
      <w:r>
        <w:rPr>
          <w:b/>
          <w:bCs/>
        </w:rPr>
        <w:t xml:space="preserve">Arbitrage et Bénéfices des Formes Galéniques :</w:t>
      </w:r>
      <w:r>
        <w:t xml:space="preserve"> </w:t>
      </w:r>
      <w:r>
        <w:t xml:space="preserve">- Comprimé dispersible sécable (FELCAM FAST, FENOXAM, ORTHOCAM) : intérêt chez le sujet âgé dysphagique, vitesse d’absorption rapide (Tmax 1-2 h).</w:t>
      </w:r>
      <w:r>
        <w:t xml:space="preserve"> </w:t>
      </w:r>
      <w:r>
        <w:t xml:space="preserve">- Gélule 20 mg (FRADENE, PRELDENE, ROXICAM, PIROXICAM PHYSIOPHARM) : forme standard de référence, observance facilitée par une prise unique.</w:t>
      </w:r>
      <w:r>
        <w:t xml:space="preserve"> </w:t>
      </w:r>
      <w:r>
        <w:t xml:space="preserve">- Suppositoire 20 mg (PAINOXAM, PIROMEX) : alternative en cas de vomissements, contre-indications relatives à la voie orale ( troubles de la déglutition) ; à éviter chez le sujet âgé fragile (risque rectal).</w:t>
      </w:r>
      <w:r>
        <w:t xml:space="preserve"> </w:t>
      </w:r>
      <w:r>
        <w:t xml:space="preserve">- Solution injectable IM 20 mg/mL (FRADENE, PIROXEN, PIROXIDEN, PRELDENE) : indication des douleurs aiguës sévères, en relais ou alternative à la voie orale ; injection profonde dans le quadrant supéro-externe de la fesse, jamais en IV.</w:t>
      </w:r>
      <w:r>
        <w:t xml:space="preserve"> </w:t>
      </w:r>
      <w:r>
        <w:t xml:space="preserve">- Gel topique 0,5 % (FELCAM, FENOXAM, ORTHOCAM, PIROXENE, PIROXICAM NOVAGENERICS, PRIXAM) : application locale 3 à 4 fois/j sur la zone douloureuse, masse doucement. Effet systémique minimal mais non nul : ne pas dépasser 2 applications en cas de grossesse ou d’insuffisance rénale.</w:t>
      </w:r>
    </w:p>
    <w:p>
      <w:pPr>
        <w:pStyle w:val="BodyText"/>
      </w:pPr>
      <w:r>
        <w:rPr>
          <w:b/>
          <w:bCs/>
        </w:rPr>
        <w:t xml:space="preserve">Instructions et Conseils au Patient :</w:t>
      </w:r>
      <w:r>
        <w:t xml:space="preserve"> </w:t>
      </w:r>
      <w:r>
        <w:t xml:space="preserve">- Communication au comptoir : « Ce médicament soulage l’inflammation et la douleur, mais n’enlève pas la cause. Prenez-le pendant le repas, une fois par jour seulement. Ne l’associez pas à l’aspirine ou à l’ibuprofène. Si vous avez des douleurs à l’estomac, des selles noires, des vomissements, ou des œdèmes des jambes, arrêtez et consultez. »</w:t>
      </w:r>
      <w:r>
        <w:t xml:space="preserve"> </w:t>
      </w:r>
      <w:r>
        <w:t xml:space="preserve">- Mode d’utilisation pratique : prise unique quotidienne à heure fixe, pendant un repas, avec un grand verre d’eau. Pour le gel : appliquer une noisette sur la zone douloureuse 3-4 fois/j, se laver les mains après application, ne pas appliquer sur peau lésée ni sous pansement occlusif.</w:t>
      </w:r>
    </w:p>
    <w:p>
      <w:pPr>
        <w:pStyle w:val="BodyText"/>
      </w:pPr>
      <w:r>
        <w:rPr>
          <w:b/>
          <w:bCs/>
        </w:rPr>
        <w:t xml:space="preserve">Notes, Règles d’Or &amp; Pièges au Comptoir :</w:t>
      </w:r>
      <w:r>
        <w:t xml:space="preserve"> </w:t>
      </w:r>
      <w:r>
        <w:t xml:space="preserve">- Piège classique : méconnaître la longue demi-vie (50 h) qui fait que 5 jours sont nécessaires pour atteindre l’état d’équilibre ; risque d’accumulation en cas d’insuffisance rénale méconnue ; nombreuses formes retirées du marché (à jour dans la nomenclature).</w:t>
      </w:r>
      <w:r>
        <w:t xml:space="preserve"> </w:t>
      </w:r>
      <w:r>
        <w:t xml:space="preserve">- Règle de prise : ne JAMAIS associer deux AINS (potentialisation de la toxicité sans gain d’efficacité) ; ne pas dépasser 20 mg/j chez l’adulte ; réduction à 10 mg chez le sujet âgé.</w:t>
      </w:r>
      <w:r>
        <w:t xml:space="preserve"> </w:t>
      </w:r>
      <w:r>
        <w:t xml:space="preserve">- Préparation et Conservation : conservation à température &lt; 25 °C, à l’abri de la lumière pour les formes injectables (ne pas congeler) ; les comprimés dispersibles doivent être dissous dans un demi-verre d’eau avant prise.</w:t>
      </w:r>
      <w:r>
        <w:t xml:space="preserve"> </w:t>
      </w:r>
      <w:r>
        <w:t xml:space="preserve">- Piège du surdosage / Substitution : substitution autorisée entre génériques, mais attention à la forme (ne pas substituer un comprimé par un gel topique sans prescription explicite) ; signalement obligatoire de tout surdosage (somnolence, vomissements, douleurs épigastriques) au centre antipoison.</w:t>
      </w:r>
    </w:p>
    <w:p>
      <w:r>
        <w:pict>
          <v:rect style="width:0;height:1.5pt" o:hralign="center" o:hrstd="t" o:hr="t"/>
        </w:pict>
      </w:r>
    </w:p>
    <w:bookmarkEnd w:id="152"/>
    <w:bookmarkStart w:id="153" w:name="dci-piroxicam-β-cyclodextrine-seule"/>
    <w:p>
      <w:pPr>
        <w:pStyle w:val="Heading3"/>
      </w:pPr>
      <w:r>
        <w:t xml:space="preserve">2. DCI : Piroxicam (β-cyclodextrine) (Seule)</w:t>
      </w:r>
    </w:p>
    <w:p>
      <w:pPr>
        <w:pStyle w:val="FirstParagraph"/>
      </w:pPr>
      <w:r>
        <w:rPr>
          <w:b/>
          <w:bCs/>
        </w:rPr>
        <w:t xml:space="preserve">Liste des Catégories :</w:t>
      </w:r>
      <w:r>
        <w:t xml:space="preserve"> </w:t>
      </w:r>
      <w:r>
        <w:t xml:space="preserve">AINS - Oxicams ; Liste I.</w:t>
      </w:r>
    </w:p>
    <w:p>
      <w:pPr>
        <w:pStyle w:val="BodyText"/>
      </w:pPr>
      <w:r>
        <w:t xml:space="preserve">La complexation du piroxicam avec la</w:t>
      </w:r>
      <w:r>
        <w:t xml:space="preserve"> </w:t>
      </w:r>
      <w:r>
        <w:rPr>
          <w:b/>
          <w:bCs/>
        </w:rPr>
        <w:t xml:space="preserve">β-cyclodextrine</w:t>
      </w:r>
      <w:r>
        <w:t xml:space="preserve"> </w:t>
      </w:r>
      <w:r>
        <w:t xml:space="preserve">est une innovation galénique destinée à améliorer la</w:t>
      </w:r>
      <w:r>
        <w:t xml:space="preserve"> </w:t>
      </w:r>
      <w:r>
        <w:rPr>
          <w:b/>
          <w:bCs/>
        </w:rPr>
        <w:t xml:space="preserve">biodisponibilité</w:t>
      </w:r>
      <w:r>
        <w:t xml:space="preserve"> </w:t>
      </w:r>
      <w:r>
        <w:t xml:space="preserve">et la</w:t>
      </w:r>
      <w:r>
        <w:t xml:space="preserve"> </w:t>
      </w:r>
      <w:r>
        <w:rPr>
          <w:b/>
          <w:bCs/>
        </w:rPr>
        <w:t xml:space="preserve">tolérance digestive</w:t>
      </w:r>
      <w:r>
        <w:t xml:space="preserve"> </w:t>
      </w:r>
      <w:r>
        <w:t xml:space="preserve">du piroxicam. La β-cyclodextrine est un oligosaccharide cyclique torique qui encapsule la molécule de piroxicam dans sa cavité hydrophobe, augmentant ainsi sa solubilité dans l’eau et accélérant son absorption (Tmax réduit à 30-60 minutes contre 2 heures pour la forme conventionnelle). La dissolution complète dans le suc gastrique diminue le temps de contact muqueux et donc l’irritation locale directe. Cette forme, développée historiquement par Chiesi sous le nom de Cycladol®, reste disponible en Algérie dans une formulation locale (Pharmethic).</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CYCLADOL</w:t>
      </w:r>
      <w:r>
        <w:t xml:space="preserve"> </w:t>
      </w:r>
      <w:r>
        <w:t xml:space="preserve">(PHARMETHIC)</w:t>
      </w:r>
      <w:r>
        <w:t xml:space="preserve"> </w:t>
      </w:r>
      <w:r>
        <w:t xml:space="preserve">- Formes et Dosages : comprimé sécable 20 mg (B/14) — piroxicam sous forme de complexe piroxicam-β-cyclodextrine</w:t>
      </w:r>
      <w:r>
        <w:t xml:space="preserve"> </w:t>
      </w:r>
      <w:r>
        <w:t xml:space="preserve">- Statut : Actif</w:t>
      </w:r>
      <w:r>
        <w:t xml:space="preserve"> </w:t>
      </w:r>
      <w:r>
        <w:t xml:space="preserve">-</w:t>
      </w:r>
      <w:r>
        <w:t xml:space="preserve"> </w:t>
      </w:r>
      <w:r>
        <w:rPr>
          <w:b/>
          <w:bCs/>
        </w:rPr>
        <w:t xml:space="preserve">CYCLADOL</w:t>
      </w:r>
      <w:r>
        <w:t xml:space="preserve"> </w:t>
      </w:r>
      <w:r>
        <w:t xml:space="preserve">(CHIESI S.A.)</w:t>
      </w:r>
      <w:r>
        <w:t xml:space="preserve"> </w:t>
      </w:r>
      <w:r>
        <w:t xml:space="preserve">- Formes et Dosages : comprimé effervescent 20 mg (complexe piroxicam β-cyclodextrine 191,2 mg pour une teneur en piroxicam de 20 mg), B/14</w:t>
      </w:r>
      <w:r>
        <w:t xml:space="preserve"> </w:t>
      </w:r>
      <w:r>
        <w:t xml:space="preserve">- Statut : Non Renouvelable</w:t>
      </w:r>
    </w:p>
    <w:p>
      <w:pPr>
        <w:pStyle w:val="BodyText"/>
      </w:pPr>
      <w:r>
        <w:rPr>
          <w:b/>
          <w:bCs/>
        </w:rPr>
        <w:t xml:space="preserve">Sous-classe et Mécanisme d’action :</w:t>
      </w:r>
      <w:r>
        <w:t xml:space="preserve"> </w:t>
      </w:r>
      <w:r>
        <w:t xml:space="preserve">- Sous-classe : oxicam complexé à un excipient galénique de solubilisation (β-cyclodextrine), appartenant toujours à la sous-classe AINS - Oxicams.</w:t>
      </w:r>
      <w:r>
        <w:t xml:space="preserve"> </w:t>
      </w:r>
      <w:r>
        <w:t xml:space="preserve">- Mécanisme d’action : identique à celui du piroxicam libre (inhibition non sélective COX-1/COX-2), mais la cyclodextrine modifie uniquement la cinétique d’absorption : libération plus rapide du principe actif au niveau gastrique, pic de concentration plasmatique plus précoce (Tmax ≈ 0,5 à 1 h), et réduction de l’irritation locale directe.</w:t>
      </w:r>
    </w:p>
    <w:p>
      <w:pPr>
        <w:pStyle w:val="BodyText"/>
      </w:pPr>
      <w:r>
        <w:rPr>
          <w:b/>
          <w:bCs/>
        </w:rPr>
        <w:t xml:space="preserve">Profil Pharmacologique :</w:t>
      </w:r>
      <w:r>
        <w:t xml:space="preserve"> </w:t>
      </w:r>
      <w:r>
        <w:t xml:space="preserve">- Indications : identiques au piroxicam conventionnel, avec un avantage particulier dans les douleurs aiguës nécessitant un délai d’action court : crises de goutte, lombalgies aiguës, douleurs post-traumatiques, dysménorrhée.</w:t>
      </w:r>
      <w:r>
        <w:t xml:space="preserve"> </w:t>
      </w:r>
      <w:r>
        <w:t xml:space="preserve">- Contre-indications : identiques au piroxicam, plus une précaution en cas d’intolérance au fructose (la β-cyclodextrine peut libérer du glucose par hydrolyse) ; contre-indication à la forme effervescente en cas de régime sans sel strict.</w:t>
      </w:r>
      <w:r>
        <w:t xml:space="preserve"> </w:t>
      </w:r>
      <w:r>
        <w:t xml:space="preserve">- Effets Indésirables : profil identique au piroxicam conventionnel (digestif, cardiovasculaire, rénal, neurosensoriel), mais réduction de l’incidence des nausées et des douleurs épigastriques immédiates d’environ 20-30 % selon les études de comparaison. Le risque d’ulcère compliqué à long terme reste identique (effet systémique).</w:t>
      </w:r>
    </w:p>
    <w:p>
      <w:pPr>
        <w:pStyle w:val="BodyText"/>
      </w:pPr>
      <w:r>
        <w:rPr>
          <w:b/>
          <w:bCs/>
        </w:rPr>
        <w:t xml:space="preserve">Prévention et Gestion des Effets Indésirables :</w:t>
      </w:r>
      <w:r>
        <w:t xml:space="preserve"> </w:t>
      </w:r>
      <w:r>
        <w:t xml:space="preserve">- Mesures Préventives : mêmes mesures que pour le piroxicam libre (évaluation du risque digestif, association à un IPP si nécessaire, dose minimale, durée courte).</w:t>
      </w:r>
      <w:r>
        <w:t xml:space="preserve"> </w:t>
      </w:r>
      <w:r>
        <w:t xml:space="preserve">- Conduite à Tenir : identique au piroxicam ; ne pas considérer la forme complexée comme « sans risque digestif » — la cyclodextrine ne protège que contre l’irritation locale, pas contre l’effet ulcérigène systémique.</w:t>
      </w:r>
    </w:p>
    <w:p>
      <w:pPr>
        <w:pStyle w:val="BodyText"/>
      </w:pPr>
      <w:r>
        <w:rPr>
          <w:b/>
          <w:bCs/>
        </w:rPr>
        <w:t xml:space="preserve">Interactions Importantes :</w:t>
      </w:r>
      <w:r>
        <w:t xml:space="preserve"> </w:t>
      </w:r>
      <w:r>
        <w:t xml:space="preserve">- Identiques à celles du piroxicam libre (AVK, lithium, méthotrexate, diurétiques + IEC).</w:t>
      </w:r>
      <w:r>
        <w:t xml:space="preserve"> </w:t>
      </w:r>
      <w:r>
        <w:t xml:space="preserve">- Pas d’interaction spécifique de la β-cyclodextrine aux doses thérapeutiques.</w:t>
      </w:r>
    </w:p>
    <w:p>
      <w:pPr>
        <w:pStyle w:val="BodyText"/>
      </w:pPr>
      <w:r>
        <w:rPr>
          <w:b/>
          <w:bCs/>
        </w:rPr>
        <w:t xml:space="preserve">Grossesse et Allaitement :</w:t>
      </w:r>
      <w:r>
        <w:t xml:space="preserve"> </w:t>
      </w:r>
      <w:r>
        <w:t xml:space="preserve">- Grossesse : mêmes contre-indications que le piroxicam libre (CI absolue au 3e trimestre, à éviter aux 1er et 2e trimestres).</w:t>
      </w:r>
      <w:r>
        <w:t xml:space="preserve"> </w:t>
      </w:r>
      <w:r>
        <w:t xml:space="preserve">- Allaitement : à éviter.</w:t>
      </w:r>
      <w:r>
        <w:t xml:space="preserve"> </w:t>
      </w:r>
      <w:r>
        <w:t xml:space="preserve">- Précisions : la cyclodextrine ne modifie pas le profil de tolérance gravidique.</w:t>
      </w:r>
    </w:p>
    <w:p>
      <w:pPr>
        <w:pStyle w:val="BodyText"/>
      </w:pPr>
      <w:r>
        <w:rPr>
          <w:b/>
          <w:bCs/>
        </w:rPr>
        <w:t xml:space="preserve">Posologie et Mode d’administration (Standard) :</w:t>
      </w:r>
      <w:r>
        <w:t xml:space="preserve"> </w:t>
      </w:r>
      <w:r>
        <w:t xml:space="preserve">- Adulte : 20 mg de piroxicam (équivalent à un comprimé sécable ou un comprimé effervescent) une fois par jour. Dissoudre le comprimé effervescent dans un demi-verre d’eau avant prise.</w:t>
      </w:r>
      <w:r>
        <w:t xml:space="preserve"> </w:t>
      </w:r>
      <w:r>
        <w:t xml:space="preserve">- Enfant : contre-indiqué avant 15 ans.</w:t>
      </w:r>
      <w:r>
        <w:t xml:space="preserve"> </w:t>
      </w:r>
      <w:r>
        <w:t xml:space="preserve">- Durée : traitement de crise, 5 à 15 jours selon l’indication.</w:t>
      </w:r>
      <w:r>
        <w:t xml:space="preserve"> </w:t>
      </w:r>
      <w:r>
        <w:t xml:space="preserve">- Moment de prise : à distance des repas pour la forme effervescente (l’effervescence est indépendante de la prise alimentaire), mais une prise post-prandiale reste recommandée pour réduire les nausées.</w:t>
      </w:r>
    </w:p>
    <w:p>
      <w:pPr>
        <w:pStyle w:val="BodyText"/>
      </w:pPr>
      <w:r>
        <w:rPr>
          <w:b/>
          <w:bCs/>
        </w:rPr>
        <w:t xml:space="preserve">Arbitrage et Bénéfices des Formes Galéniques :</w:t>
      </w:r>
      <w:r>
        <w:t xml:space="preserve"> </w:t>
      </w:r>
      <w:r>
        <w:t xml:space="preserve">- La forme complexée à la β-cyclodextrine présente trois avantages théoriques : (1) rapidité d’action (Tmax divisé par 2 à 3), utile dans les douleurs aiguës ; (2) meilleure tolérance gastrique immédiate (réduction des nausées et des douleurs épigastriques précoces) ; (3) stabilité de la molécule améliorée.</w:t>
      </w:r>
      <w:r>
        <w:t xml:space="preserve"> </w:t>
      </w:r>
      <w:r>
        <w:t xml:space="preserve">- Cependant, le bénéfice à long terme (réduction de l’incidence des ulcères compliqués) n’est pas démontré ; cette forme ne doit pas dispenser des mesures de prévention habituelles.</w:t>
      </w:r>
    </w:p>
    <w:p>
      <w:pPr>
        <w:pStyle w:val="BodyText"/>
      </w:pPr>
      <w:r>
        <w:rPr>
          <w:b/>
          <w:bCs/>
        </w:rPr>
        <w:t xml:space="preserve">Instructions et Conseils au Patient :</w:t>
      </w:r>
      <w:r>
        <w:t xml:space="preserve"> </w:t>
      </w:r>
      <w:r>
        <w:t xml:space="preserve">- Communication au comptoir : « Ce médicament est une forme améliorée du piroxicam : il agit plus vite et irrite moins l’estomac immédiatement, mais il reste un AINS puissant à prendre une fois par jour. Si vous avez des douleurs à l’estomac ou des selles noires, arrêtez et consultez. »</w:t>
      </w:r>
      <w:r>
        <w:t xml:space="preserve"> </w:t>
      </w:r>
      <w:r>
        <w:t xml:space="preserve">- Mode d’utilisation pratique : pour le comprimé effervescent, le dissoudre complètement dans un demi-verre d’eau (attendre l’arrêt de l’effervescence), boire immédiatement après.</w:t>
      </w:r>
    </w:p>
    <w:p>
      <w:pPr>
        <w:pStyle w:val="BodyText"/>
      </w:pPr>
      <w:r>
        <w:rPr>
          <w:b/>
          <w:bCs/>
        </w:rPr>
        <w:t xml:space="preserve">Notes, Règles d’Or &amp; Pièges au Comptoir :</w:t>
      </w:r>
      <w:r>
        <w:t xml:space="preserve"> </w:t>
      </w:r>
      <w:r>
        <w:t xml:space="preserve">- Piège classique : croire que la β-cyclodextrine « protège l’estomac » — elle ne réduit que l’irritation locale, pas le risque d’ulcère systémique.</w:t>
      </w:r>
      <w:r>
        <w:t xml:space="preserve"> </w:t>
      </w:r>
      <w:r>
        <w:t xml:space="preserve">- Règle de prise : une seule prise par jour, ne pas dépasser 20 mg.</w:t>
      </w:r>
      <w:r>
        <w:t xml:space="preserve"> </w:t>
      </w:r>
      <w:r>
        <w:t xml:space="preserve">- Préparation et Conservation : comprimés effervescents à conserver à l’abri de l’humidité (tube refermable hermétiquement) ; à utiliser rapidement après ouverture du tube.</w:t>
      </w:r>
      <w:r>
        <w:t xml:space="preserve"> </w:t>
      </w:r>
      <w:r>
        <w:t xml:space="preserve">- Piège du surdosage / Substitution : pas d’équivalence directe avec le piroxicam libre en termes de cinétique — la substitution par un générique de piroxicam conventionnel doit faire l’objet d’une information du patient sur la modification éventuelle de la rapidité d’action.</w:t>
      </w:r>
    </w:p>
    <w:p>
      <w:r>
        <w:pict>
          <v:rect style="width:0;height:1.5pt" o:hralign="center" o:hrstd="t" o:hr="t"/>
        </w:pict>
      </w:r>
    </w:p>
    <w:bookmarkEnd w:id="153"/>
    <w:bookmarkStart w:id="154" w:name="dci-méloxicam-seule"/>
    <w:p>
      <w:pPr>
        <w:pStyle w:val="Heading3"/>
      </w:pPr>
      <w:r>
        <w:t xml:space="preserve">3. DCI : Méloxicam (Seule)</w:t>
      </w:r>
    </w:p>
    <w:p>
      <w:pPr>
        <w:pStyle w:val="FirstParagraph"/>
      </w:pPr>
      <w:r>
        <w:rPr>
          <w:b/>
          <w:bCs/>
        </w:rPr>
        <w:t xml:space="preserve">Liste des Catégories :</w:t>
      </w:r>
      <w:r>
        <w:t xml:space="preserve"> </w:t>
      </w:r>
      <w:r>
        <w:t xml:space="preserve">AINS - Oxicams ; Liste I.</w:t>
      </w:r>
    </w:p>
    <w:p>
      <w:pPr>
        <w:pStyle w:val="BodyText"/>
      </w:pPr>
      <w:r>
        <w:t xml:space="preserve">Le méloxicam (commercialisé depuis 1996 sous le nom de Mobic®, Boehringer Ingelheim) occupe une position charnière entre les AINS classiques non sélectifs et les coxibs vrais. Sa</w:t>
      </w:r>
      <w:r>
        <w:t xml:space="preserve"> </w:t>
      </w:r>
      <w:r>
        <w:rPr>
          <w:b/>
          <w:bCs/>
        </w:rPr>
        <w:t xml:space="preserve">sélectivité COX-2 modérée</w:t>
      </w:r>
      <w:r>
        <w:t xml:space="preserve"> </w:t>
      </w:r>
      <w:r>
        <w:t xml:space="preserve">(ratio COX-2/COX-1 ≈ 10 dans les tests in vitro sur plaquettes humaines, mais plus faible in vivo) explique son profil de tolérance digestive intermédiaire : meilleur que le piroxicam, mais moins favorable que le célécoxib. Sa</w:t>
      </w:r>
      <w:r>
        <w:t xml:space="preserve"> </w:t>
      </w:r>
      <w:r>
        <w:rPr>
          <w:b/>
          <w:bCs/>
        </w:rPr>
        <w:t xml:space="preserve">demi-vie de 15 à 20 heures</w:t>
      </w:r>
      <w:r>
        <w:t xml:space="preserve"> </w:t>
      </w:r>
      <w:r>
        <w:t xml:space="preserve">autorise une seule prise quotidienne, sans atteindre les concentrations d’accumulation problématiques du piroxicam. Le méloxicam est l’un des AINS les plus prescrits en rhumatologie de ville en Algérie, particulièrement dans l’arthrose chez le sujet âgé.</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MELOX</w:t>
      </w:r>
      <w:r>
        <w:t xml:space="preserve"> </w:t>
      </w:r>
      <w:r>
        <w:t xml:space="preserve">(MEDOCHEMIE LTD)</w:t>
      </w:r>
      <w:r>
        <w:t xml:space="preserve"> </w:t>
      </w:r>
      <w:r>
        <w:t xml:space="preserve">- Formes et Dosages : comprimé 7,5 mg (B/10 et B/100) ; comprimé 15 mg (B/10 et B/100)</w:t>
      </w:r>
      <w:r>
        <w:t xml:space="preserve"> </w:t>
      </w:r>
      <w:r>
        <w:t xml:space="preserve">- Statut : Actif</w:t>
      </w:r>
    </w:p>
    <w:p>
      <w:pPr>
        <w:pStyle w:val="BodyText"/>
      </w:pPr>
      <w:r>
        <w:t xml:space="preserve">Formes NON renouvelables :</w:t>
      </w:r>
      <w:r>
        <w:t xml:space="preserve"> </w:t>
      </w:r>
      <w:r>
        <w:t xml:space="preserve">-</w:t>
      </w:r>
      <w:r>
        <w:t xml:space="preserve"> </w:t>
      </w:r>
      <w:r>
        <w:rPr>
          <w:b/>
          <w:bCs/>
        </w:rPr>
        <w:t xml:space="preserve">MOVEN</w:t>
      </w:r>
      <w:r>
        <w:t xml:space="preserve"> </w:t>
      </w:r>
      <w:r>
        <w:t xml:space="preserve">(HIKMA PHARMA ALGERIA SARL) — Gélule 7,5 mg et 15 mg — Non renouvelable</w:t>
      </w:r>
      <w:r>
        <w:t xml:space="preserve"> </w:t>
      </w:r>
      <w:r>
        <w:t xml:space="preserve">-</w:t>
      </w:r>
      <w:r>
        <w:t xml:space="preserve"> </w:t>
      </w:r>
      <w:r>
        <w:rPr>
          <w:b/>
          <w:bCs/>
        </w:rPr>
        <w:t xml:space="preserve">MOTION 15</w:t>
      </w:r>
      <w:r>
        <w:t xml:space="preserve"> </w:t>
      </w:r>
      <w:r>
        <w:t xml:space="preserve">(MIDDLE EAST PHARMACEUTICAL AND CHEMICAL INDUSTRIES) — Comprimé 15 mg, B/10 — Non renouvelable</w:t>
      </w:r>
      <w:r>
        <w:t xml:space="preserve"> </w:t>
      </w:r>
      <w:r>
        <w:t xml:space="preserve">-</w:t>
      </w:r>
      <w:r>
        <w:t xml:space="preserve"> </w:t>
      </w:r>
      <w:r>
        <w:rPr>
          <w:b/>
          <w:bCs/>
        </w:rPr>
        <w:t xml:space="preserve">OXIMAL</w:t>
      </w:r>
      <w:r>
        <w:t xml:space="preserve"> </w:t>
      </w:r>
      <w:r>
        <w:t xml:space="preserve">(JPM) — Comprimé 7,5 mg et 15 mg, B/30 — Non renouvelable</w:t>
      </w:r>
    </w:p>
    <w:p>
      <w:pPr>
        <w:pStyle w:val="BodyText"/>
      </w:pPr>
      <w:r>
        <w:t xml:space="preserve">Formes RETIRÉES :</w:t>
      </w:r>
      <w:r>
        <w:t xml:space="preserve"> </w:t>
      </w:r>
      <w:r>
        <w:t xml:space="preserve">-</w:t>
      </w:r>
      <w:r>
        <w:t xml:space="preserve"> </w:t>
      </w:r>
      <w:r>
        <w:rPr>
          <w:b/>
          <w:bCs/>
        </w:rPr>
        <w:t xml:space="preserve">EVOXICAM</w:t>
      </w:r>
      <w:r>
        <w:t xml:space="preserve"> </w:t>
      </w:r>
      <w:r>
        <w:t xml:space="preserve">(SARL EVOLAB) — Comprimé 7,5 mg et 15 mg, B/30 — Retiré</w:t>
      </w:r>
    </w:p>
    <w:p>
      <w:pPr>
        <w:pStyle w:val="BodyText"/>
      </w:pPr>
      <w:r>
        <w:rPr>
          <w:b/>
          <w:bCs/>
        </w:rPr>
        <w:t xml:space="preserve">Sous-classe et Mécanisme d’action :</w:t>
      </w:r>
      <w:r>
        <w:t xml:space="preserve"> </w:t>
      </w:r>
      <w:r>
        <w:t xml:space="preserve">- Sous-classe : AINS - Oxicams (structure 1,2-benzothiazine-1,1-dioxyde), avec une sélectivité COX-2 modérée (intermédiaire entre piroxicam et célécoxib).</w:t>
      </w:r>
      <w:r>
        <w:t xml:space="preserve"> </w:t>
      </w:r>
      <w:r>
        <w:t xml:space="preserve">- Mécanisme d’action : inhibition réversible des COX-1 et COX-2, avec préférence pour COX-2. Le méloxicam se lie dans le canal hydrophobe du site catalytique ; Arg120 et Tyr355 sont des résidus clés. L’inhibition préférentielle de COX-2 réduit la production de prostaglandines pro-inflammatoires (PGE2) tout en épargnant partiellement la production de prostaglandines cytoprotectrices gastriques (PGE2, PGI2 via COX-1).</w:t>
      </w:r>
    </w:p>
    <w:p>
      <w:pPr>
        <w:pStyle w:val="BodyText"/>
      </w:pPr>
      <w:r>
        <w:rPr>
          <w:b/>
          <w:bCs/>
        </w:rPr>
        <w:t xml:space="preserve">Profil Pharmacologique :</w:t>
      </w:r>
      <w:r>
        <w:t xml:space="preserve"> </w:t>
      </w:r>
      <w:r>
        <w:t xml:space="preserve">- Indications : traitement symptomatique de l’arthrose (7,5 mg/j en première intention), polyarthrite rhumatoïde (15 mg/j), spondylarthrite ankylosante (15 mg/j), rhumatismes abarticulaires (tendinites, bursites).</w:t>
      </w:r>
      <w:r>
        <w:t xml:space="preserve"> </w:t>
      </w:r>
      <w:r>
        <w:t xml:space="preserve">- Contre-indications : hypersensibilité aux oxicams ou autres AINS (asthme, polypose, urticaire/angio-œdème) ; ulcère gastro-duodénal évolutif ; insuffisance hépatique sévère ; insuffisance rénale sévère non dialysée ; insuffisance cardiaque non contrôlée ; grossesse 3e trimestre ; enfant &lt; 15 ans (sauf formes pédiatriques spécifiques dans la polyarthrite chronique juvénile — non disponibles en Algérie).</w:t>
      </w:r>
      <w:r>
        <w:t xml:space="preserve"> </w:t>
      </w:r>
      <w:r>
        <w:t xml:space="preserve">- Effets Indésirables :</w:t>
      </w:r>
      <w:r>
        <w:t xml:space="preserve"> </w:t>
      </w:r>
      <w:r>
        <w:t xml:space="preserve">- Digestifs : dyspepsie (10-15 %), ulcère gastro-duodénal (incidence moindre que piroxicam mais non nulle), perforation, hémorragie.</w:t>
      </w:r>
      <w:r>
        <w:t xml:space="preserve"> </w:t>
      </w:r>
      <w:r>
        <w:t xml:space="preserve">- Cardiovasculaires : hypertension, œdèmes, augmentation modérée du risque thrombotique artériel (infarctus, AVC).</w:t>
      </w:r>
      <w:r>
        <w:t xml:space="preserve"> </w:t>
      </w:r>
      <w:r>
        <w:t xml:space="preserve">- Rénux : insuffisance rénale aiguë fonctionnelle, hyperkaliémie, syndrome néphrotique (rare).</w:t>
      </w:r>
      <w:r>
        <w:t xml:space="preserve"> </w:t>
      </w:r>
      <w:r>
        <w:t xml:space="preserve">- Cutanés : éruptions bénignes, prurit ; cas très rares de syndromes de Stevens-Johnson/Lyell.</w:t>
      </w:r>
      <w:r>
        <w:t xml:space="preserve"> </w:t>
      </w:r>
      <w:r>
        <w:t xml:space="preserve">- Hépatiques : cytolyse modérée transitoire (1-3 %), hépatite médicamenteuse exceptionnelle.</w:t>
      </w:r>
      <w:r>
        <w:t xml:space="preserve"> </w:t>
      </w:r>
      <w:r>
        <w:t xml:space="preserve">- Neurosensoriels : céphalées, vertiges.</w:t>
      </w:r>
    </w:p>
    <w:p>
      <w:pPr>
        <w:pStyle w:val="BodyText"/>
      </w:pPr>
      <w:r>
        <w:rPr>
          <w:b/>
          <w:bCs/>
        </w:rPr>
        <w:t xml:space="preserve">Prévention et Gestion des Effets Indésirables :</w:t>
      </w:r>
      <w:r>
        <w:t xml:space="preserve"> </w:t>
      </w:r>
      <w:r>
        <w:t xml:space="preserve">- Mesures Préventives : évaluation du risque digestif et cardiovasculaire avant instauration ; utilisation de la dose minimale efficace (7,5 mg pour arthrose, 15 mg pour PR) ; durée la plus courte possible ; association à un IPP chez le sujet à risque (âge &gt; 65 ans, ATCD ulcéreux, corticothérapie concomitante) ; surveillance de la fonction rénale (créatininémie, clairance) et de la kaliémie chez l’insuffisant cardiaque.</w:t>
      </w:r>
      <w:r>
        <w:t xml:space="preserve"> </w:t>
      </w:r>
      <w:r>
        <w:t xml:space="preserve">- Conduite à Tenir : arrêt en cas de douleur épigastrique résistante, méléna, hématémèse, dyspnée, œdème périphérique, éruption cutanée fébrile.</w:t>
      </w:r>
    </w:p>
    <w:p>
      <w:pPr>
        <w:pStyle w:val="BodyText"/>
      </w:pPr>
      <w:r>
        <w:rPr>
          <w:b/>
          <w:bCs/>
        </w:rPr>
        <w:t xml:space="preserve">Interactions Importantes :</w:t>
      </w:r>
      <w:r>
        <w:t xml:space="preserve"> </w:t>
      </w:r>
      <w:r>
        <w:t xml:space="preserve">-</w:t>
      </w:r>
      <w:r>
        <w:t xml:space="preserve"> </w:t>
      </w:r>
      <w:r>
        <w:rPr>
          <w:b/>
          <w:bCs/>
        </w:rPr>
        <w:t xml:space="preserve">Méloxicam + AVK</w:t>
      </w:r>
      <w:r>
        <w:t xml:space="preserve"> </w:t>
      </w:r>
      <w:r>
        <w:t xml:space="preserve">: majoration du risque hémorragique, surveillance INR.</w:t>
      </w:r>
      <w:r>
        <w:t xml:space="preserve"> </w:t>
      </w:r>
      <w:r>
        <w:t xml:space="preserve">-</w:t>
      </w:r>
      <w:r>
        <w:t xml:space="preserve"> </w:t>
      </w:r>
      <w:r>
        <w:rPr>
          <w:b/>
          <w:bCs/>
        </w:rPr>
        <w:t xml:space="preserve">Méloxicam + lithium</w:t>
      </w:r>
      <w:r>
        <w:t xml:space="preserve"> </w:t>
      </w:r>
      <w:r>
        <w:t xml:space="preserve">: diminution clairance, surveillance lithémie.</w:t>
      </w:r>
      <w:r>
        <w:t xml:space="preserve"> </w:t>
      </w:r>
      <w:r>
        <w:t xml:space="preserve">-</w:t>
      </w:r>
      <w:r>
        <w:t xml:space="preserve"> </w:t>
      </w:r>
      <w:r>
        <w:rPr>
          <w:b/>
          <w:bCs/>
        </w:rPr>
        <w:t xml:space="preserve">Méloxicam + méthotrexate</w:t>
      </w:r>
      <w:r>
        <w:t xml:space="preserve"> </w:t>
      </w:r>
      <w:r>
        <w:t xml:space="preserve">: majoration toxicité hématologique.</w:t>
      </w:r>
      <w:r>
        <w:t xml:space="preserve"> </w:t>
      </w:r>
      <w:r>
        <w:t xml:space="preserve">-</w:t>
      </w:r>
      <w:r>
        <w:t xml:space="preserve"> </w:t>
      </w:r>
      <w:r>
        <w:rPr>
          <w:b/>
          <w:bCs/>
        </w:rPr>
        <w:t xml:space="preserve">Méloxicam + diurétiques + IEC/ARA II</w:t>
      </w:r>
      <w:r>
        <w:t xml:space="preserve"> </w:t>
      </w:r>
      <w:r>
        <w:t xml:space="preserve">: risque IRA.</w:t>
      </w:r>
      <w:r>
        <w:t xml:space="preserve"> </w:t>
      </w:r>
      <w:r>
        <w:t xml:space="preserve">-</w:t>
      </w:r>
      <w:r>
        <w:t xml:space="preserve"> </w:t>
      </w:r>
      <w:r>
        <w:rPr>
          <w:b/>
          <w:bCs/>
        </w:rPr>
        <w:t xml:space="preserve">Méloxicam + cholestyramine</w:t>
      </w:r>
      <w:r>
        <w:t xml:space="preserve"> </w:t>
      </w:r>
      <w:r>
        <w:t xml:space="preserve">: augmentation de la clairance du méloxicam (fixation intestinale des acides biliaires et diminution du cycle entéro-hépatique), possible réduction d’efficacité.</w:t>
      </w:r>
    </w:p>
    <w:p>
      <w:pPr>
        <w:pStyle w:val="BodyText"/>
      </w:pPr>
      <w:r>
        <w:rPr>
          <w:b/>
          <w:bCs/>
        </w:rPr>
        <w:t xml:space="preserve">Grossesse et Allaitement :</w:t>
      </w:r>
      <w:r>
        <w:t xml:space="preserve"> </w:t>
      </w:r>
      <w:r>
        <w:t xml:space="preserve">- Grossesse : contre-indiqué au 3e trimestre (risque cardio-pulmonaire fœtal) ; à éviter aux 1er et 2e trimestres (risque de fausse-couche) ; prudence en cas de désir de grossesse (fécondité altérée).</w:t>
      </w:r>
      <w:r>
        <w:t xml:space="preserve"> </w:t>
      </w:r>
      <w:r>
        <w:t xml:space="preserve">- Allaitement : faible passage dans le lait (ratio lait/plasma ≈ 0,1) ; à éviter par prudence.</w:t>
      </w:r>
      <w:r>
        <w:t xml:space="preserve"> </w:t>
      </w:r>
      <w:r>
        <w:t xml:space="preserve">- Précisions : chez la femme en âge de procréer présentant une arthrose, privilégier paracétamol ± anti-arthrosique d’action lente (IASA).</w:t>
      </w:r>
    </w:p>
    <w:p>
      <w:pPr>
        <w:pStyle w:val="BodyText"/>
      </w:pPr>
      <w:r>
        <w:rPr>
          <w:b/>
          <w:bCs/>
        </w:rPr>
        <w:t xml:space="preserve">Posologie et Mode d’administration (Standard) :</w:t>
      </w:r>
      <w:r>
        <w:t xml:space="preserve"> </w:t>
      </w:r>
      <w:r>
        <w:t xml:space="preserve">- Adulte : 7,5 mg une fois par jour (arthrose) ; 15 mg une fois par jour (PR, spondylarthrite ankylosante). Chez le sujet âgé ou en insuffisance rénale modérée (clairance 30-60 mL/min) : 7,5 mg/j maximum. Insuffisance rénale sévère non dialysée : contre-indication.</w:t>
      </w:r>
      <w:r>
        <w:t xml:space="preserve"> </w:t>
      </w:r>
      <w:r>
        <w:t xml:space="preserve">- Enfant : contre-indiqué avant 15 ans (sauf formulations spécifiques non disponibles en Algérie).</w:t>
      </w:r>
      <w:r>
        <w:t xml:space="preserve"> </w:t>
      </w:r>
      <w:r>
        <w:t xml:space="preserve">- Durée : traitement symptomatique de fond en rhumatologie, à réévaluer régulièrement (tous les 3-6 mois) ; traitements prolongés possibles sous surveillance.</w:t>
      </w:r>
      <w:r>
        <w:t xml:space="preserve"> </w:t>
      </w:r>
      <w:r>
        <w:t xml:space="preserve">- Moment de prise : au cours d’un repas, avec un grand verre d’eau.</w:t>
      </w:r>
    </w:p>
    <w:p>
      <w:pPr>
        <w:pStyle w:val="BodyText"/>
      </w:pPr>
      <w:r>
        <w:rPr>
          <w:b/>
          <w:bCs/>
        </w:rPr>
        <w:t xml:space="preserve">Arbitrage et Bénéfices des Formes Galéniques :</w:t>
      </w:r>
      <w:r>
        <w:t xml:space="preserve"> </w:t>
      </w:r>
      <w:r>
        <w:t xml:space="preserve">- Comprimé 7,5 mg : adapté à l’arthrose, à la posologie de l’insuffisant rénal modéré, et à l’initiation thérapeutique progressive.</w:t>
      </w:r>
      <w:r>
        <w:t xml:space="preserve"> </w:t>
      </w:r>
      <w:r>
        <w:t xml:space="preserve">- Comprimé 15 mg : posologie standard pour PR et spondylarthrite ankylosante.</w:t>
      </w:r>
      <w:r>
        <w:t xml:space="preserve"> </w:t>
      </w:r>
      <w:r>
        <w:t xml:space="preserve">- L’offre algérienne actuelle (MELOX de Medochemie) ne propose pas de forme injectable IM (à la différence de Mobic® international) ni de suppositoire. Les formes Moven et Oximal (gélules 7,5 et 15 mg) sont non renouvelées mais restent parfois disponibles en stock.</w:t>
      </w:r>
    </w:p>
    <w:p>
      <w:pPr>
        <w:pStyle w:val="BodyText"/>
      </w:pPr>
      <w:r>
        <w:rPr>
          <w:b/>
          <w:bCs/>
        </w:rPr>
        <w:t xml:space="preserve">Instructions et Conseils au Patient :</w:t>
      </w:r>
      <w:r>
        <w:t xml:space="preserve"> </w:t>
      </w:r>
      <w:r>
        <w:t xml:space="preserve">- Communication au comptoir : « Ce médicament soulage les douleurs articulaires. Prenez-le une fois par jour, pendant le repas. Ne l’associez pas à d’autres AINS (ibuprofène, aspirine, ketoprofène). Si vous avez des douleurs à l’estomac, des œdèmes des jambes, des essoufflements, arrêtez et consultez. »</w:t>
      </w:r>
      <w:r>
        <w:t xml:space="preserve"> </w:t>
      </w:r>
      <w:r>
        <w:t xml:space="preserve">- Mode d’utilisation pratique : prise unique quotidienne à heure fixe, sans écraser ni croquer le comprimé.</w:t>
      </w:r>
    </w:p>
    <w:p>
      <w:pPr>
        <w:pStyle w:val="BodyText"/>
      </w:pPr>
      <w:r>
        <w:rPr>
          <w:b/>
          <w:bCs/>
        </w:rPr>
        <w:t xml:space="preserve">Notes, Règles d’Or &amp; Pièges au Comptoir :</w:t>
      </w:r>
      <w:r>
        <w:t xml:space="preserve"> </w:t>
      </w:r>
      <w:r>
        <w:t xml:space="preserve">- Piège classique : croire que le méloxicam est un « coxib » à part entière — il ne l’est pas, sa sélectivité COX-2 est partielle et le risque digestif persiste.</w:t>
      </w:r>
      <w:r>
        <w:t xml:space="preserve"> </w:t>
      </w:r>
      <w:r>
        <w:t xml:space="preserve">- Règle de prise : une seule prise par jour ; ne pas dépasser 15 mg/j.</w:t>
      </w:r>
      <w:r>
        <w:t xml:space="preserve"> </w:t>
      </w:r>
      <w:r>
        <w:t xml:space="preserve">- Préparation et Conservation : conservation à température &lt; 25 °C, à l’abri de la lumière et de l’humidité.</w:t>
      </w:r>
      <w:r>
        <w:t xml:space="preserve"> </w:t>
      </w:r>
      <w:r>
        <w:t xml:space="preserve">- Piège du surdosage / Substitution : attention à la concentration des comprimés (7,5 et 15 mg sont des posologies distinctes) — vérifier systématiquement la prescription avant délivrance ; ne pas substituer un comprimé de 15 mg par deux de 7,5 mg sans prescription explicite.</w:t>
      </w:r>
    </w:p>
    <w:p>
      <w:r>
        <w:pict>
          <v:rect style="width:0;height:1.5pt" o:hralign="center" o:hrstd="t" o:hr="t"/>
        </w:pict>
      </w:r>
    </w:p>
    <w:bookmarkEnd w:id="154"/>
    <w:bookmarkStart w:id="155" w:name="dci-lornoxicam-seule"/>
    <w:p>
      <w:pPr>
        <w:pStyle w:val="Heading3"/>
      </w:pPr>
      <w:r>
        <w:t xml:space="preserve">4. DCI : Lornoxicam (Seule)</w:t>
      </w:r>
    </w:p>
    <w:p>
      <w:pPr>
        <w:pStyle w:val="FirstParagraph"/>
      </w:pPr>
      <w:r>
        <w:rPr>
          <w:b/>
          <w:bCs/>
        </w:rPr>
        <w:t xml:space="preserve">Liste des Catégories :</w:t>
      </w:r>
      <w:r>
        <w:t xml:space="preserve"> </w:t>
      </w:r>
      <w:r>
        <w:t xml:space="preserve">AINS - Oxicams ; Liste I.</w:t>
      </w:r>
    </w:p>
    <w:p>
      <w:pPr>
        <w:pStyle w:val="BodyText"/>
      </w:pPr>
      <w:r>
        <w:t xml:space="preserve">Le lornoxicam (commercialisé en Europe sous le nom de Xefo®, Nycomed) est l’oxicam le plus récent (1997) et se distingue par une</w:t>
      </w:r>
      <w:r>
        <w:t xml:space="preserve"> </w:t>
      </w:r>
      <w:r>
        <w:rPr>
          <w:b/>
          <w:bCs/>
        </w:rPr>
        <w:t xml:space="preserve">demi-vie courte (3 à 5 heures)</w:t>
      </w:r>
      <w:r>
        <w:t xml:space="preserve">, à l’opposé du piroxicam. Cette caractéristique en fait l’oxicam de choix pour le traitement des</w:t>
      </w:r>
      <w:r>
        <w:t xml:space="preserve"> </w:t>
      </w:r>
      <w:r>
        <w:rPr>
          <w:b/>
          <w:bCs/>
        </w:rPr>
        <w:t xml:space="preserve">douleurs aiguës</w:t>
      </w:r>
      <w:r>
        <w:t xml:space="preserve"> </w:t>
      </w:r>
      <w:r>
        <w:t xml:space="preserve">(post-opératoires, coliques néphrétiques, lombalgies aiguës) avec possibilité d’adaptation posologique rapide. Le lornoxicam n’a pas d’autorisation de mise sur le marché aux États-Unis mais reste disponible en Europe et en Algérie.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LORNADO</w:t>
      </w:r>
      <w:r>
        <w:t xml:space="preserve"> </w:t>
      </w:r>
      <w:r>
        <w:t xml:space="preserve">(WORLD MEDECINE LIMITED)</w:t>
      </w:r>
      <w:r>
        <w:t xml:space="preserve"> </w:t>
      </w:r>
      <w:r>
        <w:t xml:space="preserve">- Formes et Dosages : comprimé pelliculé 4 mg (B/20 et B/30) ; comprimé pelliculé 8 mg (B/10 et B/30)</w:t>
      </w:r>
      <w:r>
        <w:t xml:space="preserve"> </w:t>
      </w:r>
      <w:r>
        <w:t xml:space="preserve">- Statut : Actif</w:t>
      </w:r>
    </w:p>
    <w:p>
      <w:pPr>
        <w:pStyle w:val="BodyText"/>
      </w:pPr>
      <w:r>
        <w:rPr>
          <w:b/>
          <w:bCs/>
        </w:rPr>
        <w:t xml:space="preserve">Sous-classe et Mécanisme d’action :</w:t>
      </w:r>
      <w:r>
        <w:t xml:space="preserve"> </w:t>
      </w:r>
      <w:r>
        <w:t xml:space="preserve">- Sous-classe : AINS - Oxicams (1,2-benzothiazine-1,1-dioxyde, structure chloro-tert-butyl-thiophène).</w:t>
      </w:r>
      <w:r>
        <w:t xml:space="preserve"> </w:t>
      </w:r>
      <w:r>
        <w:t xml:space="preserve">- Mécanisme d’action : inhibition équilibrée des COX-1 et COX-2 (ratio ≈ 1), avec une activité anti-inflammatoire puissante et un effet analgésique central (modulation des voies nociceptives spinales via les récepteurs NMDA et opioïdergiques — propriété particulière du lornoxicam).</w:t>
      </w:r>
    </w:p>
    <w:p>
      <w:pPr>
        <w:pStyle w:val="BodyText"/>
      </w:pPr>
      <w:r>
        <w:rPr>
          <w:b/>
          <w:bCs/>
        </w:rPr>
        <w:t xml:space="preserve">Profil Pharmacologique :</w:t>
      </w:r>
      <w:r>
        <w:t xml:space="preserve"> </w:t>
      </w:r>
      <w:r>
        <w:t xml:space="preserve">- Indications : traitement de courte durée des douleurs aiguës (post-opératoires, lombalgies aiguës, coliques néphrétiques en relais de la titration morphinique, sciatique aiguë, algies dentaires).</w:t>
      </w:r>
      <w:r>
        <w:t xml:space="preserve"> </w:t>
      </w:r>
      <w:r>
        <w:t xml:space="preserve">- Contre-indications : identiques aux autres oxicams (hypersensibilité croisée, ulcère évolutif, insuffisance hépatique sévère, insuffisance rénale sévère, grossesse 3e trimestre, enfant &lt; 18 ans, antécédent d’asthme déclenché par AINS, hémorragie en cours, accident vasculaire cérébral récent).</w:t>
      </w:r>
      <w:r>
        <w:t xml:space="preserve"> </w:t>
      </w:r>
      <w:r>
        <w:t xml:space="preserve">- Effets Indésirables :</w:t>
      </w:r>
      <w:r>
        <w:t xml:space="preserve"> </w:t>
      </w:r>
      <w:r>
        <w:t xml:space="preserve">- Digestifs : nausées (15-20 %), douleurs épigastriques, ulcère (incidence identique aux autres AINS non sélectifs).</w:t>
      </w:r>
      <w:r>
        <w:t xml:space="preserve"> </w:t>
      </w:r>
      <w:r>
        <w:t xml:space="preserve">- Cardiovasculaires : hypertension transitoire, œdèmes ; augmentation modérée du risque thrombotique artériel.</w:t>
      </w:r>
      <w:r>
        <w:t xml:space="preserve"> </w:t>
      </w:r>
      <w:r>
        <w:t xml:space="preserve">- Rénux : IRA fonctionnelle, hyperkaliémie.</w:t>
      </w:r>
      <w:r>
        <w:t xml:space="preserve"> </w:t>
      </w:r>
      <w:r>
        <w:t xml:space="preserve">- Neurosensoriels : céphalées, vertiges, somnolence — incidence plus élevée que piroxicam (demi-vie courte, pics plasmatiques plus marqués).</w:t>
      </w:r>
      <w:r>
        <w:t xml:space="preserve"> </w:t>
      </w:r>
      <w:r>
        <w:t xml:space="preserve">- Hématologiques : allongement modéré du temps de saignement.</w:t>
      </w:r>
    </w:p>
    <w:p>
      <w:pPr>
        <w:pStyle w:val="BodyText"/>
      </w:pPr>
      <w:r>
        <w:rPr>
          <w:b/>
          <w:bCs/>
        </w:rPr>
        <w:t xml:space="preserve">Prévention et Gestion des Effets Indésirables :</w:t>
      </w:r>
      <w:r>
        <w:t xml:space="preserve"> </w:t>
      </w:r>
      <w:r>
        <w:t xml:space="preserve">- Mesures Préventives : évaluation du risque digestif (sujet âgé, ATCD ulcéreux = association IPP) ; surveillance tensionnelle ; durée maximale recommandée de 7 à 14 jours selon l’indication.</w:t>
      </w:r>
      <w:r>
        <w:t xml:space="preserve"> </w:t>
      </w:r>
      <w:r>
        <w:t xml:space="preserve">- Conduite à Tenir : arrêt en cas de douleur épigastrique résistante, méléna, hématémèse, dyspnée, éruption cutanée fébrile.</w:t>
      </w:r>
    </w:p>
    <w:p>
      <w:pPr>
        <w:pStyle w:val="BodyText"/>
      </w:pPr>
      <w:r>
        <w:rPr>
          <w:b/>
          <w:bCs/>
        </w:rPr>
        <w:t xml:space="preserve">Interactions Importantes :</w:t>
      </w:r>
      <w:r>
        <w:t xml:space="preserve"> </w:t>
      </w:r>
      <w:r>
        <w:t xml:space="preserve">-</w:t>
      </w:r>
      <w:r>
        <w:t xml:space="preserve"> </w:t>
      </w:r>
      <w:r>
        <w:rPr>
          <w:b/>
          <w:bCs/>
        </w:rPr>
        <w:t xml:space="preserve">Lornoxicam + AVK</w:t>
      </w:r>
      <w:r>
        <w:t xml:space="preserve"> </w:t>
      </w:r>
      <w:r>
        <w:t xml:space="preserve">: majoration du risque hémorragique.</w:t>
      </w:r>
      <w:r>
        <w:t xml:space="preserve"> </w:t>
      </w:r>
      <w:r>
        <w:t xml:space="preserve">-</w:t>
      </w:r>
      <w:r>
        <w:t xml:space="preserve"> </w:t>
      </w:r>
      <w:r>
        <w:rPr>
          <w:b/>
          <w:bCs/>
        </w:rPr>
        <w:t xml:space="preserve">Lornoxicam + cimétidine</w:t>
      </w:r>
      <w:r>
        <w:t xml:space="preserve"> </w:t>
      </w:r>
      <w:r>
        <w:t xml:space="preserve">: inhibition du métabolisme hépatique (CYP2C9), augmentation des concentrations plasmatiques du lornoxicam — diminution posologique.</w:t>
      </w:r>
      <w:r>
        <w:t xml:space="preserve"> </w:t>
      </w:r>
      <w:r>
        <w:t xml:space="preserve">-</w:t>
      </w:r>
      <w:r>
        <w:t xml:space="preserve"> </w:t>
      </w:r>
      <w:r>
        <w:rPr>
          <w:b/>
          <w:bCs/>
        </w:rPr>
        <w:t xml:space="preserve">Lornoxicam + warfarine</w:t>
      </w:r>
      <w:r>
        <w:t xml:space="preserve"> </w:t>
      </w:r>
      <w:r>
        <w:t xml:space="preserve">: augmentation INR.</w:t>
      </w:r>
      <w:r>
        <w:t xml:space="preserve"> </w:t>
      </w:r>
      <w:r>
        <w:t xml:space="preserve">-</w:t>
      </w:r>
      <w:r>
        <w:t xml:space="preserve"> </w:t>
      </w:r>
      <w:r>
        <w:rPr>
          <w:b/>
          <w:bCs/>
        </w:rPr>
        <w:t xml:space="preserve">Lornoxicam + digoxine</w:t>
      </w:r>
      <w:r>
        <w:t xml:space="preserve"> </w:t>
      </w:r>
      <w:r>
        <w:t xml:space="preserve">: diminution de la clairance rénale de la digoxine, risque de surdosage digitalique.</w:t>
      </w:r>
    </w:p>
    <w:p>
      <w:pPr>
        <w:pStyle w:val="BodyText"/>
      </w:pPr>
      <w:r>
        <w:rPr>
          <w:b/>
          <w:bCs/>
        </w:rPr>
        <w:t xml:space="preserve">Grossesse et Allaitement :</w:t>
      </w:r>
      <w:r>
        <w:t xml:space="preserve"> </w:t>
      </w:r>
      <w:r>
        <w:t xml:space="preserve">- Grossesse : contre-indiqué au 3e trimestre ; à éviter aux 1er et 2e trimestres.</w:t>
      </w:r>
      <w:r>
        <w:t xml:space="preserve"> </w:t>
      </w:r>
      <w:r>
        <w:t xml:space="preserve">- Allaitement : passage faible dans le lait ; à éviter.</w:t>
      </w:r>
      <w:r>
        <w:t xml:space="preserve"> </w:t>
      </w:r>
      <w:r>
        <w:t xml:space="preserve">- Précisions : aucune donnée spécifique de tératogénicité chez l’humain, mais principe de précaution.</w:t>
      </w:r>
    </w:p>
    <w:p>
      <w:pPr>
        <w:pStyle w:val="BodyText"/>
      </w:pPr>
      <w:r>
        <w:rPr>
          <w:b/>
          <w:bCs/>
        </w:rPr>
        <w:t xml:space="preserve">Posologie et Mode d’administration (Standard) :</w:t>
      </w:r>
      <w:r>
        <w:t xml:space="preserve"> </w:t>
      </w:r>
      <w:r>
        <w:t xml:space="preserve">- Adulte : 8 mg deux fois par jour (dose initiale), pouvant être réduite à 8 mg une fois par jour en entretien ou 4 mg deux fois par jour chez le sujet âgé. Dose maximale : 16 mg/24 h.</w:t>
      </w:r>
      <w:r>
        <w:t xml:space="preserve"> </w:t>
      </w:r>
      <w:r>
        <w:t xml:space="preserve">- Enfant : contre-indiqué avant 18 ans.</w:t>
      </w:r>
      <w:r>
        <w:t xml:space="preserve"> </w:t>
      </w:r>
      <w:r>
        <w:t xml:space="preserve">- Durée : traitement de courte durée (5-14 jours), à ne pas prolonger sans réévaluation.</w:t>
      </w:r>
      <w:r>
        <w:t xml:space="preserve"> </w:t>
      </w:r>
      <w:r>
        <w:t xml:space="preserve">- Moment de prise : au cours d’un repas, avec un grand verre d’eau.</w:t>
      </w:r>
    </w:p>
    <w:p>
      <w:pPr>
        <w:pStyle w:val="BodyText"/>
      </w:pPr>
      <w:r>
        <w:rPr>
          <w:b/>
          <w:bCs/>
        </w:rPr>
        <w:t xml:space="preserve">Arbitrage et Bénéfices des Formes Galéniques :</w:t>
      </w:r>
      <w:r>
        <w:t xml:space="preserve"> </w:t>
      </w:r>
      <w:r>
        <w:t xml:space="preserve">- Comprimé pelliculé 4 mg : adapté à la titration posologique, à l’insuffisant rénal modéré et au sujet âgé.</w:t>
      </w:r>
      <w:r>
        <w:t xml:space="preserve"> </w:t>
      </w:r>
      <w:r>
        <w:t xml:space="preserve">- Comprimé pelliculé 8 mg : dose standard pour adulte jeune.</w:t>
      </w:r>
      <w:r>
        <w:t xml:space="preserve"> </w:t>
      </w:r>
      <w:r>
        <w:t xml:space="preserve">- L’absence de forme injectable IV/IM en Algérie limite l’usage du lornoxicam en post-opératoire immédiat (à la différence de Xefo® IV disponible en Europe).</w:t>
      </w:r>
    </w:p>
    <w:p>
      <w:pPr>
        <w:pStyle w:val="BodyText"/>
      </w:pPr>
      <w:r>
        <w:rPr>
          <w:b/>
          <w:bCs/>
        </w:rPr>
        <w:t xml:space="preserve">Instructions et Conseils au Patient :</w:t>
      </w:r>
      <w:r>
        <w:t xml:space="preserve"> </w:t>
      </w:r>
      <w:r>
        <w:t xml:space="preserve">- Communication au comptoir : « Ce médicament est un anti-inflammatoire puissant pour des douleurs aiguës. Prenez-le pendant le repas, deux fois par jour, pendant 5 à 14 jours maximum. Ne l’associez pas à d’autres AINS ou à l’aspirine. »</w:t>
      </w:r>
      <w:r>
        <w:t xml:space="preserve"> </w:t>
      </w:r>
      <w:r>
        <w:t xml:space="preserve">- Mode d’utilisation pratique : prise matin et soir au cours des repas, à heure fixe, avec un grand verre d’eau. Avaler le comprimé pelliculé entier sans le croquer.</w:t>
      </w:r>
    </w:p>
    <w:p>
      <w:pPr>
        <w:pStyle w:val="BodyText"/>
      </w:pPr>
      <w:r>
        <w:rPr>
          <w:b/>
          <w:bCs/>
        </w:rPr>
        <w:t xml:space="preserve">Notes, Règles d’Or &amp; Pièges au Comptoir :</w:t>
      </w:r>
      <w:r>
        <w:t xml:space="preserve"> </w:t>
      </w:r>
      <w:r>
        <w:t xml:space="preserve">- Piège classique : méconnaître la courte demi-vie (3-5 h), ce qui impose deux prises par jour — erreur fréquente de substitution à posologie une prise/j comme le piroxicam.</w:t>
      </w:r>
      <w:r>
        <w:t xml:space="preserve"> </w:t>
      </w:r>
      <w:r>
        <w:t xml:space="preserve">- Règle de prise : deux prises par jour, à 12 heures d’intervalle, pendant les repas.</w:t>
      </w:r>
      <w:r>
        <w:t xml:space="preserve"> </w:t>
      </w:r>
      <w:r>
        <w:t xml:space="preserve">- Préparation et Conservation : conservation à température &lt; 25 °C, à l’abri de la lumière et de l’humidité.</w:t>
      </w:r>
      <w:r>
        <w:t xml:space="preserve"> </w:t>
      </w:r>
      <w:r>
        <w:t xml:space="preserve">- Piège du surdosage / Substitution : pas d’équivalence directe avec le piroxicam (demi-vie différente) ; ne pas substituer sans prescription explicite ; vérifier systématiquement la posologie (4 ou 8 mg).</w:t>
      </w:r>
    </w:p>
    <w:p>
      <w:r>
        <w:pict>
          <v:rect style="width:0;height:1.5pt" o:hralign="center" o:hrstd="t" o:hr="t"/>
        </w:pict>
      </w:r>
    </w:p>
    <w:bookmarkEnd w:id="155"/>
    <w:bookmarkEnd w:id="156"/>
    <w:bookmarkStart w:id="160" w:name="Xc904678efda9223061a1e333c7a0e6361ed0285"/>
    <w:p>
      <w:pPr>
        <w:pStyle w:val="Heading2"/>
      </w:pPr>
      <w:r>
        <w:t xml:space="preserve">Sous-Classe : AINS - Inhibiteurs Sélectifs COX-2 (Coxibs)</w:t>
      </w:r>
    </w:p>
    <w:bookmarkStart w:id="157" w:name="présentation-de-la-sous-classe-6"/>
    <w:p>
      <w:pPr>
        <w:pStyle w:val="Heading3"/>
      </w:pPr>
      <w:r>
        <w:t xml:space="preserve">Présentation de la sous-classe</w:t>
      </w:r>
    </w:p>
    <w:p>
      <w:pPr>
        <w:pStyle w:val="FirstParagraph"/>
      </w:pPr>
      <w:r>
        <w:t xml:space="preserve">Les</w:t>
      </w:r>
      <w:r>
        <w:t xml:space="preserve"> </w:t>
      </w:r>
      <w:r>
        <w:rPr>
          <w:b/>
          <w:bCs/>
        </w:rPr>
        <w:t xml:space="preserve">coxibs</w:t>
      </w:r>
      <w:r>
        <w:t xml:space="preserve"> </w:t>
      </w:r>
      <w:r>
        <w:t xml:space="preserve">constituent la classe la plus récente des AINS (commercialisation à partir de 1999). Ils ont été développés à partir de la découverte (1991) de l’isoforme COX-2 inductible, exprimée en réponse à l’inflammation, et de l’hypothèse selon laquelle l’inhibition sélective de COX-2 permettrait de réduire la toxicité digestive (liée à l’inhibition de la COX-1 constitutive gastrique) sans compromettre l’effet anti-inflammatoire. La structure des coxibs repose sur un</w:t>
      </w:r>
      <w:r>
        <w:t xml:space="preserve"> </w:t>
      </w:r>
      <w:r>
        <w:rPr>
          <w:b/>
          <w:bCs/>
        </w:rPr>
        <w:t xml:space="preserve">noyau central bicyclique</w:t>
      </w:r>
      <w:r>
        <w:t xml:space="preserve"> </w:t>
      </w:r>
      <w:r>
        <w:t xml:space="preserve">(pyrazole pour le célécoxib, bipyridine pour l’étoricoxib) substitué par un groupement</w:t>
      </w:r>
      <w:r>
        <w:t xml:space="preserve"> </w:t>
      </w:r>
      <w:r>
        <w:rPr>
          <w:b/>
          <w:bCs/>
        </w:rPr>
        <w:t xml:space="preserve">sulfonamide</w:t>
      </w:r>
      <w:r>
        <w:t xml:space="preserve"> </w:t>
      </w:r>
      <w:r>
        <w:t xml:space="preserve">(célécoxib) ou</w:t>
      </w:r>
      <w:r>
        <w:t xml:space="preserve"> </w:t>
      </w:r>
      <w:r>
        <w:rPr>
          <w:b/>
          <w:bCs/>
        </w:rPr>
        <w:t xml:space="preserve">méthylsulfone</w:t>
      </w:r>
      <w:r>
        <w:t xml:space="preserve"> </w:t>
      </w:r>
      <w:r>
        <w:t xml:space="preserve">(étoricoxib), determinant une sélectivité COX-2 &gt; 30 fois supérieure à COX-1.</w:t>
      </w:r>
    </w:p>
    <w:p>
      <w:pPr>
        <w:pStyle w:val="BodyText"/>
      </w:pPr>
      <w:r>
        <w:rPr>
          <w:b/>
          <w:bCs/>
        </w:rPr>
        <w:t xml:space="preserve">Histoire de la classe</w:t>
      </w:r>
      <w:r>
        <w:t xml:space="preserve"> </w:t>
      </w:r>
      <w:r>
        <w:t xml:space="preserve">:</w:t>
      </w:r>
      <w:r>
        <w:t xml:space="preserve"> </w:t>
      </w:r>
      <w:r>
        <w:t xml:space="preserve">- 1999 : commercialisation du célécoxib (Celebrex®, Pfizer) et du rofécoxib (Vioxx®, Merck).</w:t>
      </w:r>
      <w:r>
        <w:t xml:space="preserve"> </w:t>
      </w:r>
      <w:r>
        <w:t xml:space="preserve">- 2000 : essai</w:t>
      </w:r>
      <w:r>
        <w:t xml:space="preserve"> </w:t>
      </w:r>
      <w:r>
        <w:rPr>
          <w:b/>
          <w:bCs/>
        </w:rPr>
        <w:t xml:space="preserve">VIGOR</w:t>
      </w:r>
      <w:r>
        <w:t xml:space="preserve"> </w:t>
      </w:r>
      <w:r>
        <w:t xml:space="preserve">(Vioxx Gastrointestinal Outcomes Research) comparant rofécoxib 50 mg/j à naproxène 500 mg x2/j dans la polyarthrite rhumatoïde : réduction de 50 % des ulcères compliqués sous rofécoxib, mais augmentation significative des infarctus du myocarde (4 fois supérieurs sous rofécoxib, attribuée à l’effet cardioprotecteur du naproxène).</w:t>
      </w:r>
      <w:r>
        <w:t xml:space="preserve"> </w:t>
      </w:r>
      <w:r>
        <w:t xml:space="preserve">- 2004 : essai</w:t>
      </w:r>
      <w:r>
        <w:t xml:space="preserve"> </w:t>
      </w:r>
      <w:r>
        <w:rPr>
          <w:b/>
          <w:bCs/>
        </w:rPr>
        <w:t xml:space="preserve">APC</w:t>
      </w:r>
      <w:r>
        <w:t xml:space="preserve"> </w:t>
      </w:r>
      <w:r>
        <w:t xml:space="preserve">(Adenomatous Polyp Prevention on Vioxx) : augmentation du risque cardiovasculaire (décès cardiovasculaire, infarctus, AVC) sous rofécoxib après 18 mois de traitement.</w:t>
      </w:r>
      <w:r>
        <w:t xml:space="preserve"> </w:t>
      </w:r>
      <w:r>
        <w:rPr>
          <w:b/>
          <w:bCs/>
        </w:rPr>
        <w:t xml:space="preserve">Retrait mondial du rofécoxib (Vioxx) le 30 septembre 2004</w:t>
      </w:r>
      <w:r>
        <w:t xml:space="preserve">.</w:t>
      </w:r>
      <w:r>
        <w:t xml:space="preserve"> </w:t>
      </w:r>
      <w:r>
        <w:t xml:space="preserve">- 2005 : essai</w:t>
      </w:r>
      <w:r>
        <w:t xml:space="preserve"> </w:t>
      </w:r>
      <w:r>
        <w:rPr>
          <w:b/>
          <w:bCs/>
        </w:rPr>
        <w:t xml:space="preserve">APPROVe</w:t>
      </w:r>
      <w:r>
        <w:t xml:space="preserve"> </w:t>
      </w:r>
      <w:r>
        <w:t xml:space="preserve">(Adenomatous Polyp Prevention on Vioxx) confirme l’excès de risque cardiovasculaire du rofécoxib, persistant après l’arrêt. Retrait du valdécoxib.</w:t>
      </w:r>
      <w:r>
        <w:t xml:space="preserve"> </w:t>
      </w:r>
      <w:r>
        <w:t xml:space="preserve">- 2006 : essai</w:t>
      </w:r>
      <w:r>
        <w:t xml:space="preserve"> </w:t>
      </w:r>
      <w:r>
        <w:rPr>
          <w:b/>
          <w:bCs/>
        </w:rPr>
        <w:t xml:space="preserve">MEDAL</w:t>
      </w:r>
      <w:r>
        <w:t xml:space="preserve"> </w:t>
      </w:r>
      <w:r>
        <w:t xml:space="preserve">(Multinational Etoricoxib versus Diclofenac Arthritis Long-term) comparant étoricoxib vs diclofénac : non-infériorité sur le plan cardiovasculaire entre les deux molécules, mais profil gastro-intestinal favorable à l’étoricoxib.</w:t>
      </w:r>
      <w:r>
        <w:t xml:space="preserve"> </w:t>
      </w:r>
      <w:r>
        <w:t xml:space="preserve">- 2006 : essai</w:t>
      </w:r>
      <w:r>
        <w:t xml:space="preserve"> </w:t>
      </w:r>
      <w:r>
        <w:rPr>
          <w:b/>
          <w:bCs/>
        </w:rPr>
        <w:t xml:space="preserve">APC</w:t>
      </w:r>
      <w:r>
        <w:t xml:space="preserve"> </w:t>
      </w:r>
      <w:r>
        <w:t xml:space="preserve">(Adenoma Prevention with Celecoxib) : augmentation dose-dépendante du risque cardiovasculaire sous célécoxib (200 mg x2/j et 400 mg x2/j), particulièrement chez les patients aux antécédents cardiovasculaires.</w:t>
      </w:r>
      <w:r>
        <w:t xml:space="preserve"> </w:t>
      </w:r>
      <w:r>
        <w:t xml:space="preserve">- Depuis 2005 : encadrement réglementaire strict de la prescription des coxibs par la FDA (boîte noire) et l’EMA (RMP, contre-indications cardiovasculaires).</w:t>
      </w:r>
    </w:p>
    <w:p>
      <w:pPr>
        <w:pStyle w:val="BodyText"/>
      </w:pPr>
      <w:r>
        <w:rPr>
          <w:b/>
          <w:bCs/>
        </w:rPr>
        <w:t xml:space="preserve">Bilan actuel de la classe</w:t>
      </w:r>
      <w:r>
        <w:t xml:space="preserve"> </w:t>
      </w:r>
      <w:r>
        <w:t xml:space="preserve">: deux coxibs restent commercialisés en Algérie —</w:t>
      </w:r>
      <w:r>
        <w:t xml:space="preserve"> </w:t>
      </w:r>
      <w:r>
        <w:rPr>
          <w:b/>
          <w:bCs/>
        </w:rPr>
        <w:t xml:space="preserve">célécoxib</w:t>
      </w:r>
      <w:r>
        <w:t xml:space="preserve"> </w:t>
      </w:r>
      <w:r>
        <w:t xml:space="preserve">et</w:t>
      </w:r>
      <w:r>
        <w:t xml:space="preserve"> </w:t>
      </w:r>
      <w:r>
        <w:rPr>
          <w:b/>
          <w:bCs/>
        </w:rPr>
        <w:t xml:space="preserve">étoricoxib</w:t>
      </w:r>
      <w:r>
        <w:t xml:space="preserve">. Le célécoxib conserve une place dans le traitement de l’arthrose symptomatique et de la polyarthrite rhumatoïde, après évaluation cardiovasculaire stricte. L’étoricoxib n’est pas autorisé aux États-Unis mais reste disponible en Europe et en Algérie.</w:t>
      </w:r>
    </w:p>
    <w:p>
      <w:r>
        <w:pict>
          <v:rect style="width:0;height:1.5pt" o:hralign="center" o:hrstd="t" o:hr="t"/>
        </w:pict>
      </w:r>
    </w:p>
    <w:bookmarkEnd w:id="157"/>
    <w:bookmarkStart w:id="158" w:name="dci-célécoxib-seule"/>
    <w:p>
      <w:pPr>
        <w:pStyle w:val="Heading3"/>
      </w:pPr>
      <w:r>
        <w:t xml:space="preserve">5. DCI : Célécoxib (Seule)</w:t>
      </w:r>
    </w:p>
    <w:p>
      <w:pPr>
        <w:pStyle w:val="FirstParagraph"/>
      </w:pPr>
      <w:r>
        <w:rPr>
          <w:b/>
          <w:bCs/>
        </w:rPr>
        <w:t xml:space="preserve">Liste des Catégories :</w:t>
      </w:r>
      <w:r>
        <w:t xml:space="preserve"> </w:t>
      </w:r>
      <w:r>
        <w:t xml:space="preserve">AINS - Inhibiteurs sélectifs COX-2 (coxibs) ; Liste I.</w:t>
      </w:r>
    </w:p>
    <w:p>
      <w:pPr>
        <w:pStyle w:val="BodyText"/>
      </w:pPr>
      <w:r>
        <w:t xml:space="preserve">Le célécoxib (Celebrex®, Pfizer) est le seul coxib de première génération encore commercialisé mondialement après le retrait du rofécoxib (2004) et du valdécoxib (2005). Sa structure chimique — dérivé de pyrazole substitué par un groupement</w:t>
      </w:r>
      <w:r>
        <w:t xml:space="preserve"> </w:t>
      </w:r>
      <w:r>
        <w:rPr>
          <w:b/>
          <w:bCs/>
        </w:rPr>
        <w:t xml:space="preserve">sulfonamide</w:t>
      </w:r>
      <w:r>
        <w:t xml:space="preserve"> </w:t>
      </w:r>
      <w:r>
        <w:t xml:space="preserve">(–SO2NH2) — explique la</w:t>
      </w:r>
      <w:r>
        <w:t xml:space="preserve"> </w:t>
      </w:r>
      <w:r>
        <w:rPr>
          <w:b/>
          <w:bCs/>
        </w:rPr>
        <w:t xml:space="preserve">contre-indication absolue chez les patients allergiques aux sulfonamides</w:t>
      </w:r>
      <w:r>
        <w:t xml:space="preserve">. Sa sélectivité COX-2 (ratio COX-2/COX-1 ≈ 30) confirme une réduction significative de la toxicité digestive haute (essai CLASS : -50 % d’ulcères compliqués vs AINS classiques à 6 mois), mais le risque cardiovasculaire, démontré par l’essai APC (dose-dépendant), impose une évaluation stricte du rapport bénéfice/risque avant prescription, particulièrement chez les patients aux antécédents coronariens. Le célécoxib est l’un des AINS les plus prescrits en Algérie, avec un marché de plus de 30 marques commerciales.</w:t>
      </w:r>
    </w:p>
    <w:p>
      <w:pPr>
        <w:pStyle w:val="BodyText"/>
      </w:pPr>
      <w:r>
        <w:rPr>
          <w:b/>
          <w:bCs/>
        </w:rPr>
        <w:t xml:space="preserve">Médicaments disponibles en Algérie (Marques, Laboratoires, Formes et Dosages) :</w:t>
      </w:r>
    </w:p>
    <w:p>
      <w:pPr>
        <w:pStyle w:val="BodyText"/>
      </w:pPr>
      <w:r>
        <w:t xml:space="preserve">Formes orales 100 mg — Actives :</w:t>
      </w:r>
      <w:r>
        <w:t xml:space="preserve"> </w:t>
      </w:r>
      <w:r>
        <w:t xml:space="preserve">-</w:t>
      </w:r>
      <w:r>
        <w:t xml:space="preserve"> </w:t>
      </w:r>
      <w:r>
        <w:rPr>
          <w:b/>
          <w:bCs/>
        </w:rPr>
        <w:t xml:space="preserve">ARBREX</w:t>
      </w:r>
      <w:r>
        <w:t xml:space="preserve"> </w:t>
      </w:r>
      <w:r>
        <w:t xml:space="preserve">(ALEMBIC MAMI SPA) — Gélule 100 mg, B/20 — Actif</w:t>
      </w:r>
      <w:r>
        <w:t xml:space="preserve"> </w:t>
      </w:r>
      <w:r>
        <w:t xml:space="preserve">-</w:t>
      </w:r>
      <w:r>
        <w:t xml:space="preserve"> </w:t>
      </w:r>
      <w:r>
        <w:rPr>
          <w:b/>
          <w:bCs/>
        </w:rPr>
        <w:t xml:space="preserve">CEBREX 100</w:t>
      </w:r>
      <w:r>
        <w:t xml:space="preserve"> </w:t>
      </w:r>
      <w:r>
        <w:t xml:space="preserve">(LABORATOIRES DE DIAGNOSTIC MAGHREBINS-LDM) — Gélule 100 mg, B/20 et B/30 — Actif</w:t>
      </w:r>
      <w:r>
        <w:t xml:space="preserve"> </w:t>
      </w:r>
      <w:r>
        <w:t xml:space="preserve">-</w:t>
      </w:r>
      <w:r>
        <w:t xml:space="preserve"> </w:t>
      </w:r>
      <w:r>
        <w:rPr>
          <w:b/>
          <w:bCs/>
        </w:rPr>
        <w:t xml:space="preserve">CELEBREX</w:t>
      </w:r>
      <w:r>
        <w:t xml:space="preserve"> </w:t>
      </w:r>
      <w:r>
        <w:t xml:space="preserve">(UPJOHN SAIDAL PHARMA) — Gélule 100 mg, B/20 — Actif</w:t>
      </w:r>
      <w:r>
        <w:t xml:space="preserve"> </w:t>
      </w:r>
      <w:r>
        <w:t xml:space="preserve">-</w:t>
      </w:r>
      <w:r>
        <w:t xml:space="preserve"> </w:t>
      </w:r>
      <w:r>
        <w:rPr>
          <w:b/>
          <w:bCs/>
        </w:rPr>
        <w:t xml:space="preserve">CELECOBREX HUP</w:t>
      </w:r>
      <w:r>
        <w:t xml:space="preserve"> </w:t>
      </w:r>
      <w:r>
        <w:t xml:space="preserve">(HUPP PHARMA) — Gélule 100 mg, B/20 — Actif</w:t>
      </w:r>
      <w:r>
        <w:t xml:space="preserve"> </w:t>
      </w:r>
      <w:r>
        <w:t xml:space="preserve">-</w:t>
      </w:r>
      <w:r>
        <w:t xml:space="preserve"> </w:t>
      </w:r>
      <w:r>
        <w:rPr>
          <w:b/>
          <w:bCs/>
        </w:rPr>
        <w:t xml:space="preserve">CELECOMEX</w:t>
      </w:r>
      <w:r>
        <w:t xml:space="preserve"> </w:t>
      </w:r>
      <w:r>
        <w:t xml:space="preserve">(KPMA BIOTIC) — Gélule 100 mg, B/20 — Actif</w:t>
      </w:r>
      <w:r>
        <w:t xml:space="preserve"> </w:t>
      </w:r>
      <w:r>
        <w:t xml:space="preserve">-</w:t>
      </w:r>
      <w:r>
        <w:t xml:space="preserve"> </w:t>
      </w:r>
      <w:r>
        <w:rPr>
          <w:b/>
          <w:bCs/>
        </w:rPr>
        <w:t xml:space="preserve">CELECOX</w:t>
      </w:r>
      <w:r>
        <w:t xml:space="preserve"> </w:t>
      </w:r>
      <w:r>
        <w:t xml:space="preserve">(PHARMALLIANCE) — Gélule 100 mg, B/10 et B/30 — Actif</w:t>
      </w:r>
      <w:r>
        <w:t xml:space="preserve"> </w:t>
      </w:r>
      <w:r>
        <w:t xml:space="preserve">-</w:t>
      </w:r>
      <w:r>
        <w:t xml:space="preserve"> </w:t>
      </w:r>
      <w:r>
        <w:rPr>
          <w:b/>
          <w:bCs/>
        </w:rPr>
        <w:t xml:space="preserve">CELECOXIB BEKER</w:t>
      </w:r>
      <w:r>
        <w:t xml:space="preserve"> </w:t>
      </w:r>
      <w:r>
        <w:t xml:space="preserve">(LABORATOIRES BEKER) — Gélule 100 mg, B/20 — Actif</w:t>
      </w:r>
      <w:r>
        <w:t xml:space="preserve"> </w:t>
      </w:r>
      <w:r>
        <w:t xml:space="preserve">-</w:t>
      </w:r>
      <w:r>
        <w:t xml:space="preserve"> </w:t>
      </w:r>
      <w:r>
        <w:rPr>
          <w:b/>
          <w:bCs/>
        </w:rPr>
        <w:t xml:space="preserve">CELVEX</w:t>
      </w:r>
      <w:r>
        <w:t xml:space="preserve"> </w:t>
      </w:r>
      <w:r>
        <w:t xml:space="preserve">(NEOMEDIC) — Gélule 100 mg, B/20 — Actif</w:t>
      </w:r>
      <w:r>
        <w:t xml:space="preserve"> </w:t>
      </w:r>
      <w:r>
        <w:t xml:space="preserve">-</w:t>
      </w:r>
      <w:r>
        <w:t xml:space="preserve"> </w:t>
      </w:r>
      <w:r>
        <w:rPr>
          <w:b/>
          <w:bCs/>
        </w:rPr>
        <w:t xml:space="preserve">CIREXA</w:t>
      </w:r>
      <w:r>
        <w:t xml:space="preserve"> </w:t>
      </w:r>
      <w:r>
        <w:t xml:space="preserve">(HIKMA PHARMA ALGERIA) — Gélule 100 mg, B/20 — Actif</w:t>
      </w:r>
      <w:r>
        <w:t xml:space="preserve"> </w:t>
      </w:r>
      <w:r>
        <w:t xml:space="preserve">-</w:t>
      </w:r>
      <w:r>
        <w:t xml:space="preserve"> </w:t>
      </w:r>
      <w:r>
        <w:rPr>
          <w:b/>
          <w:bCs/>
        </w:rPr>
        <w:t xml:space="preserve">COXIBREX</w:t>
      </w:r>
      <w:r>
        <w:t xml:space="preserve"> </w:t>
      </w:r>
      <w:r>
        <w:t xml:space="preserve">(FRATER-RAZES FORME SECHE) — Gélule 100 mg, B/20 et B/30 — Actif</w:t>
      </w:r>
      <w:r>
        <w:t xml:space="preserve"> </w:t>
      </w:r>
      <w:r>
        <w:t xml:space="preserve">-</w:t>
      </w:r>
      <w:r>
        <w:t xml:space="preserve"> </w:t>
      </w:r>
      <w:r>
        <w:rPr>
          <w:b/>
          <w:bCs/>
        </w:rPr>
        <w:t xml:space="preserve">COXITAB</w:t>
      </w:r>
      <w:r>
        <w:t xml:space="preserve"> </w:t>
      </w:r>
      <w:r>
        <w:t xml:space="preserve">(TABUK ALGERIE) — Gélule 100 mg, B/30 — Actif</w:t>
      </w:r>
      <w:r>
        <w:t xml:space="preserve"> </w:t>
      </w:r>
      <w:r>
        <w:t xml:space="preserve">-</w:t>
      </w:r>
      <w:r>
        <w:t xml:space="preserve"> </w:t>
      </w:r>
      <w:r>
        <w:rPr>
          <w:b/>
          <w:bCs/>
        </w:rPr>
        <w:t xml:space="preserve">INICOX 100</w:t>
      </w:r>
      <w:r>
        <w:t xml:space="preserve"> </w:t>
      </w:r>
      <w:r>
        <w:t xml:space="preserve">(LABORATOIRES MERINAL) — Gélule 100 mg, B/30 — Actif</w:t>
      </w:r>
      <w:r>
        <w:t xml:space="preserve"> </w:t>
      </w:r>
      <w:r>
        <w:t xml:space="preserve">-</w:t>
      </w:r>
      <w:r>
        <w:t xml:space="preserve"> </w:t>
      </w:r>
      <w:r>
        <w:rPr>
          <w:b/>
          <w:bCs/>
        </w:rPr>
        <w:t xml:space="preserve">MEDIBREX</w:t>
      </w:r>
      <w:r>
        <w:t xml:space="preserve"> </w:t>
      </w:r>
      <w:r>
        <w:t xml:space="preserve">(JANIS MED SARL) — Gélule 100 mg, B/10 et B/30 — Actif</w:t>
      </w:r>
      <w:r>
        <w:t xml:space="preserve"> </w:t>
      </w:r>
      <w:r>
        <w:t xml:space="preserve">-</w:t>
      </w:r>
      <w:r>
        <w:t xml:space="preserve"> </w:t>
      </w:r>
      <w:r>
        <w:rPr>
          <w:b/>
          <w:bCs/>
        </w:rPr>
        <w:t xml:space="preserve">NOVABREX</w:t>
      </w:r>
      <w:r>
        <w:t xml:space="preserve"> </w:t>
      </w:r>
      <w:r>
        <w:t xml:space="preserve">(NOVAPHARM TRADING) — Gélule 100 mg, B/20 — Actif</w:t>
      </w:r>
      <w:r>
        <w:t xml:space="preserve"> </w:t>
      </w:r>
      <w:r>
        <w:t xml:space="preserve">-</w:t>
      </w:r>
      <w:r>
        <w:t xml:space="preserve"> </w:t>
      </w:r>
      <w:r>
        <w:rPr>
          <w:b/>
          <w:bCs/>
        </w:rPr>
        <w:t xml:space="preserve">RUMABREX</w:t>
      </w:r>
      <w:r>
        <w:t xml:space="preserve"> </w:t>
      </w:r>
      <w:r>
        <w:t xml:space="preserve">(EL KENDI INDUSTRIE DU MEDICAMENT) — Gélule 100 mg, B/24 — Actif</w:t>
      </w:r>
    </w:p>
    <w:p>
      <w:pPr>
        <w:pStyle w:val="BodyText"/>
      </w:pPr>
      <w:r>
        <w:t xml:space="preserve">Formes orales 200 mg — Actives :</w:t>
      </w:r>
      <w:r>
        <w:t xml:space="preserve"> </w:t>
      </w:r>
      <w:r>
        <w:t xml:space="preserve">-</w:t>
      </w:r>
      <w:r>
        <w:t xml:space="preserve"> </w:t>
      </w:r>
      <w:r>
        <w:rPr>
          <w:b/>
          <w:bCs/>
        </w:rPr>
        <w:t xml:space="preserve">ARBREX</w:t>
      </w:r>
      <w:r>
        <w:t xml:space="preserve"> </w:t>
      </w:r>
      <w:r>
        <w:t xml:space="preserve">(ALEMBIC MAMI SPA) — Gélule 200 mg, B/10 — Actif</w:t>
      </w:r>
      <w:r>
        <w:t xml:space="preserve"> </w:t>
      </w:r>
      <w:r>
        <w:t xml:space="preserve">-</w:t>
      </w:r>
      <w:r>
        <w:t xml:space="preserve"> </w:t>
      </w:r>
      <w:r>
        <w:rPr>
          <w:b/>
          <w:bCs/>
        </w:rPr>
        <w:t xml:space="preserve">CEBREX 200</w:t>
      </w:r>
      <w:r>
        <w:t xml:space="preserve"> </w:t>
      </w:r>
      <w:r>
        <w:t xml:space="preserve">(LDM) — Gélule 200 mg, B/10 et B/30 — Actif</w:t>
      </w:r>
      <w:r>
        <w:t xml:space="preserve"> </w:t>
      </w:r>
      <w:r>
        <w:t xml:space="preserve">-</w:t>
      </w:r>
      <w:r>
        <w:t xml:space="preserve"> </w:t>
      </w:r>
      <w:r>
        <w:rPr>
          <w:b/>
          <w:bCs/>
        </w:rPr>
        <w:t xml:space="preserve">CELEBREX</w:t>
      </w:r>
      <w:r>
        <w:t xml:space="preserve"> </w:t>
      </w:r>
      <w:r>
        <w:t xml:space="preserve">(UPJOHN SAIDAL PHARMA) — Gélule 200 mg, B/10, B/15 et B/30 — Actif</w:t>
      </w:r>
      <w:r>
        <w:t xml:space="preserve"> </w:t>
      </w:r>
      <w:r>
        <w:t xml:space="preserve">-</w:t>
      </w:r>
      <w:r>
        <w:t xml:space="preserve"> </w:t>
      </w:r>
      <w:r>
        <w:rPr>
          <w:b/>
          <w:bCs/>
        </w:rPr>
        <w:t xml:space="preserve">CELECOBREX HUP</w:t>
      </w:r>
      <w:r>
        <w:t xml:space="preserve"> </w:t>
      </w:r>
      <w:r>
        <w:t xml:space="preserve">(HUPP PHARMA) — Gélule 200 mg, B/30 — Actif</w:t>
      </w:r>
      <w:r>
        <w:t xml:space="preserve"> </w:t>
      </w:r>
      <w:r>
        <w:t xml:space="preserve">-</w:t>
      </w:r>
      <w:r>
        <w:t xml:space="preserve"> </w:t>
      </w:r>
      <w:r>
        <w:rPr>
          <w:b/>
          <w:bCs/>
        </w:rPr>
        <w:t xml:space="preserve">CELECOMEX</w:t>
      </w:r>
      <w:r>
        <w:t xml:space="preserve"> </w:t>
      </w:r>
      <w:r>
        <w:t xml:space="preserve">(KPMA BIOTIC) — Gélule 200 mg, B/10 et B/30 — Actif</w:t>
      </w:r>
      <w:r>
        <w:t xml:space="preserve"> </w:t>
      </w:r>
      <w:r>
        <w:t xml:space="preserve">-</w:t>
      </w:r>
      <w:r>
        <w:t xml:space="preserve"> </w:t>
      </w:r>
      <w:r>
        <w:rPr>
          <w:b/>
          <w:bCs/>
        </w:rPr>
        <w:t xml:space="preserve">CELECOXIB BEKER</w:t>
      </w:r>
      <w:r>
        <w:t xml:space="preserve"> </w:t>
      </w:r>
      <w:r>
        <w:t xml:space="preserve">(LABORATOIRES BEKER) — Gélule 200 mg, B/10 et B/30 — Actif</w:t>
      </w:r>
      <w:r>
        <w:t xml:space="preserve"> </w:t>
      </w:r>
      <w:r>
        <w:t xml:space="preserve">-</w:t>
      </w:r>
      <w:r>
        <w:t xml:space="preserve"> </w:t>
      </w:r>
      <w:r>
        <w:rPr>
          <w:b/>
          <w:bCs/>
        </w:rPr>
        <w:t xml:space="preserve">CELECOXIB PHYSIOPHARM</w:t>
      </w:r>
      <w:r>
        <w:t xml:space="preserve"> </w:t>
      </w:r>
      <w:r>
        <w:t xml:space="preserve">(PHYSIOPHARM) — Gélule 200 mg, B/10 et B/30 — Actif</w:t>
      </w:r>
      <w:r>
        <w:t xml:space="preserve"> </w:t>
      </w:r>
      <w:r>
        <w:t xml:space="preserve">-</w:t>
      </w:r>
      <w:r>
        <w:t xml:space="preserve"> </w:t>
      </w:r>
      <w:r>
        <w:rPr>
          <w:b/>
          <w:bCs/>
        </w:rPr>
        <w:t xml:space="preserve">CELEXAL</w:t>
      </w:r>
      <w:r>
        <w:t xml:space="preserve"> </w:t>
      </w:r>
      <w:r>
        <w:t xml:space="preserve">(SOPHAL) — Gélule 200 mg, B/10, B/20 et B/30 — Actif</w:t>
      </w:r>
      <w:r>
        <w:t xml:space="preserve"> </w:t>
      </w:r>
      <w:r>
        <w:t xml:space="preserve">-</w:t>
      </w:r>
      <w:r>
        <w:t xml:space="preserve"> </w:t>
      </w:r>
      <w:r>
        <w:rPr>
          <w:b/>
          <w:bCs/>
        </w:rPr>
        <w:t xml:space="preserve">CELVEX</w:t>
      </w:r>
      <w:r>
        <w:t xml:space="preserve"> </w:t>
      </w:r>
      <w:r>
        <w:t xml:space="preserve">(NEOMEDIC) — Gélule 200 mg, B/10 et B/30 — Actif</w:t>
      </w:r>
      <w:r>
        <w:t xml:space="preserve"> </w:t>
      </w:r>
      <w:r>
        <w:t xml:space="preserve">-</w:t>
      </w:r>
      <w:r>
        <w:t xml:space="preserve"> </w:t>
      </w:r>
      <w:r>
        <w:rPr>
          <w:b/>
          <w:bCs/>
        </w:rPr>
        <w:t xml:space="preserve">CIREXA</w:t>
      </w:r>
      <w:r>
        <w:t xml:space="preserve"> </w:t>
      </w:r>
      <w:r>
        <w:t xml:space="preserve">(HIKMA PHARMA ALGERIA) — Gélule 200 mg, B/10 — Actif</w:t>
      </w:r>
      <w:r>
        <w:t xml:space="preserve"> </w:t>
      </w:r>
      <w:r>
        <w:t xml:space="preserve">-</w:t>
      </w:r>
      <w:r>
        <w:t xml:space="preserve"> </w:t>
      </w:r>
      <w:r>
        <w:rPr>
          <w:b/>
          <w:bCs/>
        </w:rPr>
        <w:t xml:space="preserve">COXIBREX</w:t>
      </w:r>
      <w:r>
        <w:t xml:space="preserve"> </w:t>
      </w:r>
      <w:r>
        <w:t xml:space="preserve">(FRATER-RAZES) — Gélule 200 mg, B/10 et B/30 — Actif</w:t>
      </w:r>
      <w:r>
        <w:t xml:space="preserve"> </w:t>
      </w:r>
      <w:r>
        <w:t xml:space="preserve">-</w:t>
      </w:r>
      <w:r>
        <w:t xml:space="preserve"> </w:t>
      </w:r>
      <w:r>
        <w:rPr>
          <w:b/>
          <w:bCs/>
        </w:rPr>
        <w:t xml:space="preserve">COXITAB</w:t>
      </w:r>
      <w:r>
        <w:t xml:space="preserve"> </w:t>
      </w:r>
      <w:r>
        <w:t xml:space="preserve">(TABUK ALGERIE) — Gélule 200 mg, B/10 et B/30 — Actif</w:t>
      </w:r>
      <w:r>
        <w:t xml:space="preserve"> </w:t>
      </w:r>
      <w:r>
        <w:t xml:space="preserve">-</w:t>
      </w:r>
      <w:r>
        <w:t xml:space="preserve"> </w:t>
      </w:r>
      <w:r>
        <w:rPr>
          <w:b/>
          <w:bCs/>
        </w:rPr>
        <w:t xml:space="preserve">INICOX 200</w:t>
      </w:r>
      <w:r>
        <w:t xml:space="preserve"> </w:t>
      </w:r>
      <w:r>
        <w:t xml:space="preserve">(LABORATOIRES MERINAL) — Gélule 200 mg, B/12, B/20 et B/30 — Actif</w:t>
      </w:r>
      <w:r>
        <w:t xml:space="preserve"> </w:t>
      </w:r>
      <w:r>
        <w:t xml:space="preserve">-</w:t>
      </w:r>
      <w:r>
        <w:t xml:space="preserve"> </w:t>
      </w:r>
      <w:r>
        <w:rPr>
          <w:b/>
          <w:bCs/>
        </w:rPr>
        <w:t xml:space="preserve">MEDIBREX</w:t>
      </w:r>
      <w:r>
        <w:t xml:space="preserve"> </w:t>
      </w:r>
      <w:r>
        <w:t xml:space="preserve">(JANIS MED SARL) — Gélule 200 mg, B/10 et B/30 — Actif</w:t>
      </w:r>
      <w:r>
        <w:t xml:space="preserve"> </w:t>
      </w:r>
      <w:r>
        <w:t xml:space="preserve">-</w:t>
      </w:r>
      <w:r>
        <w:t xml:space="preserve"> </w:t>
      </w:r>
      <w:r>
        <w:rPr>
          <w:b/>
          <w:bCs/>
        </w:rPr>
        <w:t xml:space="preserve">NOTOREX</w:t>
      </w:r>
      <w:r>
        <w:t xml:space="preserve"> </w:t>
      </w:r>
      <w:r>
        <w:t xml:space="preserve">(GROUPE SAIDAL) — Gélule 200 mg, B/10 et B/30 — Actif</w:t>
      </w:r>
      <w:r>
        <w:t xml:space="preserve"> </w:t>
      </w:r>
      <w:r>
        <w:t xml:space="preserve">-</w:t>
      </w:r>
      <w:r>
        <w:t xml:space="preserve"> </w:t>
      </w:r>
      <w:r>
        <w:rPr>
          <w:b/>
          <w:bCs/>
        </w:rPr>
        <w:t xml:space="preserve">NOVABREX</w:t>
      </w:r>
      <w:r>
        <w:t xml:space="preserve"> </w:t>
      </w:r>
      <w:r>
        <w:t xml:space="preserve">(NOVAPHARM TRADING) — Gélule 200 mg, B/10 et B/30 — Actif</w:t>
      </w:r>
      <w:r>
        <w:t xml:space="preserve"> </w:t>
      </w:r>
      <w:r>
        <w:t xml:space="preserve">-</w:t>
      </w:r>
      <w:r>
        <w:t xml:space="preserve"> </w:t>
      </w:r>
      <w:r>
        <w:rPr>
          <w:b/>
          <w:bCs/>
        </w:rPr>
        <w:t xml:space="preserve">RUMABREX</w:t>
      </w:r>
      <w:r>
        <w:t xml:space="preserve"> </w:t>
      </w:r>
      <w:r>
        <w:t xml:space="preserve">(EL KENDI) — Gélule 200 mg, B/12 et B/30 — Actif</w:t>
      </w:r>
    </w:p>
    <w:p>
      <w:pPr>
        <w:pStyle w:val="BodyText"/>
      </w:pPr>
      <w:r>
        <w:t xml:space="preserve">Formes RETIRÉES :</w:t>
      </w:r>
      <w:r>
        <w:t xml:space="preserve"> </w:t>
      </w:r>
      <w:r>
        <w:t xml:space="preserve">-</w:t>
      </w:r>
      <w:r>
        <w:t xml:space="preserve"> </w:t>
      </w:r>
      <w:r>
        <w:rPr>
          <w:b/>
          <w:bCs/>
        </w:rPr>
        <w:t xml:space="preserve">CELOXIB</w:t>
      </w:r>
      <w:r>
        <w:t xml:space="preserve"> </w:t>
      </w:r>
      <w:r>
        <w:t xml:space="preserve">(GEOPHARM) — Gélule 100 mg (B/20) et 200 mg (B/10) — Retiré</w:t>
      </w:r>
      <w:r>
        <w:t xml:space="preserve"> </w:t>
      </w:r>
      <w:r>
        <w:t xml:space="preserve">-</w:t>
      </w:r>
      <w:r>
        <w:t xml:space="preserve"> </w:t>
      </w:r>
      <w:r>
        <w:rPr>
          <w:b/>
          <w:bCs/>
        </w:rPr>
        <w:t xml:space="preserve">CELECOXIB ZENTIVA</w:t>
      </w:r>
      <w:r>
        <w:t xml:space="preserve"> </w:t>
      </w:r>
      <w:r>
        <w:t xml:space="preserve">(WINTHROP PHARMA SAIDAL SPA) — Gélule 100 mg, B/24 — Retiré</w:t>
      </w:r>
    </w:p>
    <w:p>
      <w:pPr>
        <w:pStyle w:val="BodyText"/>
      </w:pPr>
      <w:r>
        <w:rPr>
          <w:b/>
          <w:bCs/>
        </w:rPr>
        <w:t xml:space="preserve">Sous-classe et Mécanisme d’action :</w:t>
      </w:r>
      <w:r>
        <w:t xml:space="preserve"> </w:t>
      </w:r>
      <w:r>
        <w:t xml:space="preserve">- Sous-classe : coxib de première génération (développé à partir de 1995, commercialisé en 1999), dérivé pyrazolé substitué par un groupement sulfonamide.</w:t>
      </w:r>
      <w:r>
        <w:t xml:space="preserve"> </w:t>
      </w:r>
      <w:r>
        <w:t xml:space="preserve">- Mécanisme d’action : inhibition sélective et réversible de la</w:t>
      </w:r>
      <w:r>
        <w:t xml:space="preserve"> </w:t>
      </w:r>
      <w:r>
        <w:rPr>
          <w:b/>
          <w:bCs/>
        </w:rPr>
        <w:t xml:space="preserve">COX-2</w:t>
      </w:r>
      <w:r>
        <w:t xml:space="preserve"> </w:t>
      </w:r>
      <w:r>
        <w:t xml:space="preserve">(ratio de sélectivité COX-2/COX-1 ≈ 30 in vitro), par liaison au site catalytique de l’enzyme au niveau de l’acide arachidonique. L’inhibition préférentielle de COX-2 réduit la synthèse des prostaglandines pro-inflammatoires (PGE2) tout en épargnant la COX-1 constitutive (cytoprotection gastrique, agrégation plaquettaire, perfusion rénale).</w:t>
      </w:r>
    </w:p>
    <w:p>
      <w:pPr>
        <w:pStyle w:val="BodyText"/>
      </w:pPr>
      <w:r>
        <w:rPr>
          <w:b/>
          <w:bCs/>
        </w:rPr>
        <w:t xml:space="preserve">Profil Pharmacologique :</w:t>
      </w:r>
      <w:r>
        <w:t xml:space="preserve"> </w:t>
      </w:r>
      <w:r>
        <w:t xml:space="preserve">- Indications : traitement symptomatique de l’arthrose (coxarthrose, gonarthrose) ; polyarthrite rhumatoïde ; spondylarthrite ankylosante ; dysménorrhée ; traitement adjuvant de la polypose adénomateuse familiale (à la dose de 400 mg x2/j, indication spécifique de Celebrex® originel).</w:t>
      </w:r>
      <w:r>
        <w:t xml:space="preserve"> </w:t>
      </w:r>
      <w:r>
        <w:t xml:space="preserve">- Contre-indications : hypersensibilité aux sulfonamides (allergie croisée) ; antécédents d’allergie à l’aspirine ou autres AINS (asthme, urticaire, angio-œdème) ; maladie coronarienne évolutive (post-IDM, angor instable, pontage récent) ; maladie cérébrovasculaire récente ; artériopathie oblitérante des membres inférieurs symptomatique ; insuffisance cardiaque congestive (NYHA II-IV) ; hypertension artérielle non contrôlée ; ulcère gastro-duodénal évolutif ; insuffisance hépatique sévère ; insuffisance rénale sévère ; grossesse 3e trimestre ; enfant &lt; 15 ans.</w:t>
      </w:r>
      <w:r>
        <w:t xml:space="preserve"> </w:t>
      </w:r>
      <w:r>
        <w:t xml:space="preserve">- Effets Indésirables :</w:t>
      </w:r>
      <w:r>
        <w:t xml:space="preserve"> </w:t>
      </w:r>
      <w:r>
        <w:t xml:space="preserve">- Digestifs : dyspepsie (7-12 %), ulcère gastro-duodénal (incidence réduite de 50 % vs AINS classiques selon CLASS, mais non nulle), perforation, hémorragie.</w:t>
      </w:r>
      <w:r>
        <w:t xml:space="preserve"> </w:t>
      </w:r>
      <w:r>
        <w:t xml:space="preserve">- Cardiovasculaires : augmentation dose-dépendante du risque d’événements thrombotiques artériels (essai APC : RR ≈ 2,5 à 400 mg x2/j ; RR ≈ 1,1 à 200 mg x2/j). Hypertension artérielle, œdèmes périphériques.</w:t>
      </w:r>
      <w:r>
        <w:t xml:space="preserve"> </w:t>
      </w:r>
      <w:r>
        <w:t xml:space="preserve">- Rénux : insuffisance rénale aiguë fonctionnelle, hyperkaliémie, syndrome néphrotique (rare).</w:t>
      </w:r>
      <w:r>
        <w:t xml:space="preserve"> </w:t>
      </w:r>
      <w:r>
        <w:t xml:space="preserve">- Hépatiques : cytolyse transitoire (1-3 %), hépatite médicamenteuse (rare).</w:t>
      </w:r>
      <w:r>
        <w:t xml:space="preserve"> </w:t>
      </w:r>
      <w:r>
        <w:t xml:space="preserve">- Cutanés : éruptions, prurit, exceptionnels syndromes de Stevens-Johnson/Lyell.</w:t>
      </w:r>
      <w:r>
        <w:t xml:space="preserve"> </w:t>
      </w:r>
      <w:r>
        <w:t xml:space="preserve">- Cardio-vasculaire : majoration du risque thrombotique artériel (infarctus, AVC), particulièrement chez les patients à haut risque.</w:t>
      </w:r>
    </w:p>
    <w:p>
      <w:pPr>
        <w:pStyle w:val="BodyText"/>
      </w:pPr>
      <w:r>
        <w:rPr>
          <w:b/>
          <w:bCs/>
        </w:rPr>
        <w:t xml:space="preserve">Prévention et Gestion des Effets Indésirables :</w:t>
      </w:r>
      <w:r>
        <w:t xml:space="preserve"> </w:t>
      </w:r>
      <w:r>
        <w:t xml:space="preserve">- Mesures Préventives : évaluation systématique du risque cardiovasculaire avant instauration (score SCORE, antécédents personnels et familiaux) ; évaluation du risque digestif ; utilisation de la dose minimale efficace (100 mg x1-2/j pour arthrose, 200 mg x2/j pour PR) ; durée la plus courte possible ; association à un IPP si risque digestif élevé (l’effet protecteur digestif du célécoxib ne dispense pas de cette mesure chez les patients à risque).</w:t>
      </w:r>
      <w:r>
        <w:t xml:space="preserve"> </w:t>
      </w:r>
      <w:r>
        <w:t xml:space="preserve">- Conduite à Tenir : arrêt immédiat en cas de douleur thoracique, dyspnée, faiblesse d’un côté du corps, troubles du langage (signes d’AVC) ; arrêt en cas de méléna, hématémèse, douleur épigastrique résistante ; arrêt en cas d’éruption cutanée fébrile.</w:t>
      </w:r>
    </w:p>
    <w:p>
      <w:pPr>
        <w:pStyle w:val="BodyText"/>
      </w:pPr>
      <w:r>
        <w:rPr>
          <w:b/>
          <w:bCs/>
        </w:rPr>
        <w:t xml:space="preserve">Interactions Importantes :</w:t>
      </w:r>
      <w:r>
        <w:t xml:space="preserve"> </w:t>
      </w:r>
      <w:r>
        <w:t xml:space="preserve">-</w:t>
      </w:r>
      <w:r>
        <w:t xml:space="preserve"> </w:t>
      </w:r>
      <w:r>
        <w:rPr>
          <w:b/>
          <w:bCs/>
        </w:rPr>
        <w:t xml:space="preserve">Célécoxib + fluconazole</w:t>
      </w:r>
      <w:r>
        <w:t xml:space="preserve"> </w:t>
      </w:r>
      <w:r>
        <w:t xml:space="preserve">: inhibition du CYP2C9, augmentation des concentrations plasmatiques du célécoxib — réduire la dose de 50 %.</w:t>
      </w:r>
      <w:r>
        <w:t xml:space="preserve"> </w:t>
      </w:r>
      <w:r>
        <w:t xml:space="preserve">-</w:t>
      </w:r>
      <w:r>
        <w:t xml:space="preserve"> </w:t>
      </w:r>
      <w:r>
        <w:rPr>
          <w:b/>
          <w:bCs/>
        </w:rPr>
        <w:t xml:space="preserve">Célécoxib + warfarine</w:t>
      </w:r>
      <w:r>
        <w:t xml:space="preserve"> </w:t>
      </w:r>
      <w:r>
        <w:t xml:space="preserve">: majoration de l’effet anticoagulant, augmentation de l’INR — surveillance rapprochée.</w:t>
      </w:r>
      <w:r>
        <w:t xml:space="preserve"> </w:t>
      </w:r>
      <w:r>
        <w:t xml:space="preserve">-</w:t>
      </w:r>
      <w:r>
        <w:t xml:space="preserve"> </w:t>
      </w:r>
      <w:r>
        <w:rPr>
          <w:b/>
          <w:bCs/>
        </w:rPr>
        <w:t xml:space="preserve">Célécoxib + IEC/ARA II + diurétiques</w:t>
      </w:r>
      <w:r>
        <w:t xml:space="preserve"> </w:t>
      </w:r>
      <w:r>
        <w:t xml:space="preserve">: risque d’IRA (effet synergique sur la perfusion rénale).</w:t>
      </w:r>
      <w:r>
        <w:t xml:space="preserve"> </w:t>
      </w:r>
      <w:r>
        <w:t xml:space="preserve">-</w:t>
      </w:r>
      <w:r>
        <w:t xml:space="preserve"> </w:t>
      </w:r>
      <w:r>
        <w:rPr>
          <w:b/>
          <w:bCs/>
        </w:rPr>
        <w:t xml:space="preserve">Célécoxib + lithium</w:t>
      </w:r>
      <w:r>
        <w:t xml:space="preserve"> </w:t>
      </w:r>
      <w:r>
        <w:t xml:space="preserve">: diminution de la clairance, surveillance lithémie.</w:t>
      </w:r>
      <w:r>
        <w:t xml:space="preserve"> </w:t>
      </w:r>
      <w:r>
        <w:t xml:space="preserve">-</w:t>
      </w:r>
      <w:r>
        <w:t xml:space="preserve"> </w:t>
      </w:r>
      <w:r>
        <w:rPr>
          <w:b/>
          <w:bCs/>
        </w:rPr>
        <w:t xml:space="preserve">Célécoxib + méthotrexate</w:t>
      </w:r>
      <w:r>
        <w:t xml:space="preserve"> </w:t>
      </w:r>
      <w:r>
        <w:t xml:space="preserve">: majoration de la toxicité.</w:t>
      </w:r>
    </w:p>
    <w:p>
      <w:pPr>
        <w:pStyle w:val="BodyText"/>
      </w:pPr>
      <w:r>
        <w:rPr>
          <w:b/>
          <w:bCs/>
        </w:rPr>
        <w:t xml:space="preserve">Grossesse et Allaitement :</w:t>
      </w:r>
      <w:r>
        <w:t xml:space="preserve"> </w:t>
      </w:r>
      <w:r>
        <w:t xml:space="preserve">- Grossesse : contre-indiqué au 3e trimestre (risque cardio-pulmonaire fœtal) ; à éviter aux 1er et 2e trimestres (risque de fausse-couche et de malformations cardiovasculaires fœtales — données épidémiologiques récentes) ; prudence en cas de désir de grossesse (effet sur la fécondité par inhibition de l’ovulation).</w:t>
      </w:r>
      <w:r>
        <w:t xml:space="preserve"> </w:t>
      </w:r>
      <w:r>
        <w:t xml:space="preserve">- Allaitement : passage faible dans le lait ; à éviter par prudence, surtout en traitement prolongé.</w:t>
      </w:r>
      <w:r>
        <w:t xml:space="preserve"> </w:t>
      </w:r>
      <w:r>
        <w:t xml:space="preserve">- Précisions : chez la femme enceinte présentant un rhumatisme inflammatoire, privilégier paracétamol ± corticothérapie de courte durée sous stricte surveillance obstétricale.</w:t>
      </w:r>
    </w:p>
    <w:p>
      <w:pPr>
        <w:pStyle w:val="BodyText"/>
      </w:pPr>
      <w:r>
        <w:rPr>
          <w:b/>
          <w:bCs/>
        </w:rPr>
        <w:t xml:space="preserve">Posologie et Mode d’administration (Standard) :</w:t>
      </w:r>
      <w:r>
        <w:t xml:space="preserve"> </w:t>
      </w:r>
      <w:r>
        <w:t xml:space="preserve">- Adulte : 100 mg deux fois par jour ou 200 mg une fois par jour (arthrose) ; 100 mg à 200 mg deux fois par jour (polyarthrite rhumatoïde, spondylarthrite ankylosante) ; 400 mg deux fois par jour (polypose adénomateuse familiale, indication spécialisée) ; 200 mg en dose de charge puis 100 mg (dysménorrhée). Dose maximale : 400 mg/j en indications courantes, 800 mg/j en PAF.</w:t>
      </w:r>
      <w:r>
        <w:t xml:space="preserve"> </w:t>
      </w:r>
      <w:r>
        <w:t xml:space="preserve">- Enfant : contre-indiqué avant 15 ans (sauf indication spécifique de polyarthrite chronique juvénile &gt; 12 ans selon le pays).</w:t>
      </w:r>
      <w:r>
        <w:t xml:space="preserve"> </w:t>
      </w:r>
      <w:r>
        <w:t xml:space="preserve">- Durée : traitement symptomatique, à réévaluer régulièrement (tous les 3-6 mois) ; traitements prolongés possibles sous surveillance cardiovasculaire et digestive.</w:t>
      </w:r>
      <w:r>
        <w:t xml:space="preserve"> </w:t>
      </w:r>
      <w:r>
        <w:t xml:space="preserve">- Moment de prise : au cours d’un repas, avec un grand verre d’eau.</w:t>
      </w:r>
    </w:p>
    <w:p>
      <w:pPr>
        <w:pStyle w:val="BodyText"/>
      </w:pPr>
      <w:r>
        <w:rPr>
          <w:b/>
          <w:bCs/>
        </w:rPr>
        <w:t xml:space="preserve">Arbitrage et Bénéfices des Formes Galéniques :</w:t>
      </w:r>
      <w:r>
        <w:t xml:space="preserve"> </w:t>
      </w:r>
      <w:r>
        <w:t xml:space="preserve">- Gélule 100 mg : posologie d’initiation, adaptation à l’arthrose, sujet âgé.</w:t>
      </w:r>
      <w:r>
        <w:t xml:space="preserve"> </w:t>
      </w:r>
      <w:r>
        <w:t xml:space="preserve">- Gélule 200 mg : posologie standard pour PR et spondylarthrite ankylosante.</w:t>
      </w:r>
      <w:r>
        <w:t xml:space="preserve"> </w:t>
      </w:r>
      <w:r>
        <w:t xml:space="preserve">- L’offre algérienne (plus de 30 marques) ne propose pas de forme injectable IV/IM ni de suppositoire.</w:t>
      </w:r>
      <w:r>
        <w:t xml:space="preserve"> </w:t>
      </w:r>
      <w:r>
        <w:t xml:space="preserve">- La grande diversité de marques (Celebrex, Coxibrex, Celecox, Coxitab, Celvex, Cirexa, Inicox, Medibrex, Novabrex, Notorex, Rumabrex, Arbrex, Celecomex, Celecobrex HUP, Cebrex, Celecoxib Beker, Celecoxib Physiopharm, Celexal) impose une vigilance sur les conditions de conservation et les excipients (attention à la présence de lactose dans certaines formulations).</w:t>
      </w:r>
    </w:p>
    <w:p>
      <w:pPr>
        <w:pStyle w:val="BodyText"/>
      </w:pPr>
      <w:r>
        <w:rPr>
          <w:b/>
          <w:bCs/>
        </w:rPr>
        <w:t xml:space="preserve">Instructions et Conseils au Patient :</w:t>
      </w:r>
      <w:r>
        <w:t xml:space="preserve"> </w:t>
      </w:r>
      <w:r>
        <w:t xml:space="preserve">- Communication au comptoir : « Ce médicament est un anti-inflammatoire qui respecte mieux l’estomac que les AINS classiques, mais qui peut augmenter le risque cardiovasculaire. Prenez-le pendant le repas, à la dose prescrite. Si vous avez des douleurs à l’estomac, des œdèmes, des douleurs thoraciques, des essoufflements, arrêtez et consultez immédiatement. »</w:t>
      </w:r>
      <w:r>
        <w:t xml:space="preserve"> </w:t>
      </w:r>
      <w:r>
        <w:t xml:space="preserve">- Mode d’utilisation pratique : prise au cours d’un repas, à heure fixe, avec un grand verre d’eau. Avaler la gélule entière, sans l’ouvrir ni la croquer.</w:t>
      </w:r>
    </w:p>
    <w:p>
      <w:pPr>
        <w:pStyle w:val="BodyText"/>
      </w:pPr>
      <w:r>
        <w:rPr>
          <w:b/>
          <w:bCs/>
        </w:rPr>
        <w:t xml:space="preserve">Notes, Règles d’Or &amp; Pièges au Comptoir :</w:t>
      </w:r>
      <w:r>
        <w:t xml:space="preserve"> </w:t>
      </w:r>
      <w:r>
        <w:t xml:space="preserve">- Piège classique : oublier de vérifier l’allergie aux sulfonamides avant délivrance ; ne pas évaluer le risque cardiovasculaire chez le patient âgé ; prescrire en association avec un autre AINS.</w:t>
      </w:r>
      <w:r>
        <w:t xml:space="preserve"> </w:t>
      </w:r>
      <w:r>
        <w:t xml:space="preserve">- Règle de prise : une à deux prises par jour selon la posologie ; ne pas dépasser 400 mg/j en indications courantes.</w:t>
      </w:r>
      <w:r>
        <w:t xml:space="preserve"> </w:t>
      </w:r>
      <w:r>
        <w:t xml:space="preserve">- Préparation et Conservation : conservation à température &lt; 25 °C, à l’abri de l’humidité.</w:t>
      </w:r>
      <w:r>
        <w:t xml:space="preserve"> </w:t>
      </w:r>
      <w:r>
        <w:t xml:space="preserve">- Piège du surdosage / Substitution : substitution entre génériques autorisée mais il existe des excipients à effet notoire (lactose, jaune de quinoléine) qui peuvent contre-indiquer certaines marques chez un patient donné ; vérifier systématiquement la dose (100 ou 200 mg).</w:t>
      </w:r>
    </w:p>
    <w:p>
      <w:r>
        <w:pict>
          <v:rect style="width:0;height:1.5pt" o:hralign="center" o:hrstd="t" o:hr="t"/>
        </w:pict>
      </w:r>
    </w:p>
    <w:bookmarkEnd w:id="158"/>
    <w:bookmarkStart w:id="159" w:name="dci-étoricoxib-seule"/>
    <w:p>
      <w:pPr>
        <w:pStyle w:val="Heading3"/>
      </w:pPr>
      <w:r>
        <w:t xml:space="preserve">6. DCI : Étoricoxib (Seule)</w:t>
      </w:r>
    </w:p>
    <w:p>
      <w:pPr>
        <w:pStyle w:val="FirstParagraph"/>
      </w:pPr>
      <w:r>
        <w:rPr>
          <w:b/>
          <w:bCs/>
        </w:rPr>
        <w:t xml:space="preserve">Liste des Catégories :</w:t>
      </w:r>
      <w:r>
        <w:t xml:space="preserve"> </w:t>
      </w:r>
      <w:r>
        <w:t xml:space="preserve">AINS - Inhibiteurs sélectifs COX-2 (coxibs) ; Liste I.</w:t>
      </w:r>
    </w:p>
    <w:p>
      <w:pPr>
        <w:pStyle w:val="BodyText"/>
      </w:pPr>
      <w:r>
        <w:t xml:space="preserve">L’étoricoxib (Arcoxia®, MSD) est un coxib de seconde génération, commercialisé en Europe depuis 2002 mais</w:t>
      </w:r>
      <w:r>
        <w:t xml:space="preserve"> </w:t>
      </w:r>
      <w:r>
        <w:rPr>
          <w:b/>
          <w:bCs/>
        </w:rPr>
        <w:t xml:space="preserve">jamais autorisé aux États-Unis</w:t>
      </w:r>
      <w:r>
        <w:t xml:space="preserve"> </w:t>
      </w:r>
      <w:r>
        <w:t xml:space="preserve">(refus de la FDA en 2007 en raison du risque cardiovasculaire). Sa structure chimique — dérivé bipyridylique substitué par un groupement</w:t>
      </w:r>
      <w:r>
        <w:t xml:space="preserve"> </w:t>
      </w:r>
      <w:r>
        <w:rPr>
          <w:b/>
          <w:bCs/>
        </w:rPr>
        <w:t xml:space="preserve">méthylsulfone</w:t>
      </w:r>
      <w:r>
        <w:t xml:space="preserve"> </w:t>
      </w:r>
      <w:r>
        <w:t xml:space="preserve">(et non sulfonamide, ce qui explique l’absence de contre-indication aux sulfonamides) — lui confère une sélectivité COX-2 extrême (ratio COX-2/COX-1 ≈ 100). L’essai</w:t>
      </w:r>
      <w:r>
        <w:t xml:space="preserve"> </w:t>
      </w:r>
      <w:r>
        <w:rPr>
          <w:b/>
          <w:bCs/>
        </w:rPr>
        <w:t xml:space="preserve">MEDAL</w:t>
      </w:r>
      <w:r>
        <w:t xml:space="preserve"> </w:t>
      </w:r>
      <w:r>
        <w:t xml:space="preserve">(2006) a démontré une non-infériorité cardiovasculaire de l’étoricoxib par rapport au diclofénac, mais aussi une incidence identique d’événements thrombotiques artériels. Sa prescription est strictement encadrée par l’EMA (réévaluation périodique du rapport bénéfice/risque).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ARTHRIX</w:t>
      </w:r>
      <w:r>
        <w:t xml:space="preserve"> </w:t>
      </w:r>
      <w:r>
        <w:t xml:space="preserve">(HIKMA PHARMA ALGERIA)</w:t>
      </w:r>
      <w:r>
        <w:t xml:space="preserve"> </w:t>
      </w:r>
      <w:r>
        <w:t xml:space="preserve">- Formes et Dosages : comprimé pelliculé sécable 30 mg (B/30) ; comprimé pelliculé sécable 60 mg (B/30) ; comprimé pelliculé sécable 90 mg (B/30)</w:t>
      </w:r>
      <w:r>
        <w:t xml:space="preserve"> </w:t>
      </w:r>
      <w:r>
        <w:t xml:space="preserve">- Statut : Actif</w:t>
      </w:r>
      <w:r>
        <w:t xml:space="preserve"> </w:t>
      </w:r>
      <w:r>
        <w:t xml:space="preserve">-</w:t>
      </w:r>
      <w:r>
        <w:t xml:space="preserve"> </w:t>
      </w:r>
      <w:r>
        <w:rPr>
          <w:b/>
          <w:bCs/>
        </w:rPr>
        <w:t xml:space="preserve">ETOFAN</w:t>
      </w:r>
      <w:r>
        <w:t xml:space="preserve"> </w:t>
      </w:r>
      <w:r>
        <w:t xml:space="preserve">(EL KENDI INDUSTRIE DU MEDICAMENT)</w:t>
      </w:r>
      <w:r>
        <w:t xml:space="preserve"> </w:t>
      </w:r>
      <w:r>
        <w:t xml:space="preserve">- Formes et Dosages : comprimé pelliculé 60 mg (B/30) ; comprimé pelliculé 90 mg (B/30) ; comprimé pelliculé 120 mg (B/30)</w:t>
      </w:r>
      <w:r>
        <w:t xml:space="preserve"> </w:t>
      </w:r>
      <w:r>
        <w:t xml:space="preserve">- Statut : Actif</w:t>
      </w:r>
      <w:r>
        <w:t xml:space="preserve"> </w:t>
      </w:r>
      <w:r>
        <w:t xml:space="preserve">-</w:t>
      </w:r>
      <w:r>
        <w:t xml:space="preserve"> </w:t>
      </w:r>
      <w:r>
        <w:rPr>
          <w:b/>
          <w:bCs/>
        </w:rPr>
        <w:t xml:space="preserve">ETORIXIA</w:t>
      </w:r>
      <w:r>
        <w:t xml:space="preserve"> </w:t>
      </w:r>
      <w:r>
        <w:t xml:space="preserve">(FRATER-RAZES FORME SECHE)</w:t>
      </w:r>
      <w:r>
        <w:t xml:space="preserve"> </w:t>
      </w:r>
      <w:r>
        <w:t xml:space="preserve">- Formes et Dosages : comprimé pelliculé 60 mg (B/20) ; comprimé pelliculé 90 mg (B/20) ; comprimé pelliculé 120 mg (B/20)</w:t>
      </w:r>
      <w:r>
        <w:t xml:space="preserve"> </w:t>
      </w:r>
      <w:r>
        <w:t xml:space="preserve">- Statut : Actif</w:t>
      </w:r>
    </w:p>
    <w:p>
      <w:pPr>
        <w:pStyle w:val="BodyText"/>
      </w:pPr>
      <w:r>
        <w:rPr>
          <w:b/>
          <w:bCs/>
        </w:rPr>
        <w:t xml:space="preserve">Sous-classe et Mécanisme d’action :</w:t>
      </w:r>
      <w:r>
        <w:t xml:space="preserve"> </w:t>
      </w:r>
      <w:r>
        <w:t xml:space="preserve">- Sous-classe : coxib de deuxième génération, dérivé bipyridylique substitué par un groupement méthylsulfone.</w:t>
      </w:r>
      <w:r>
        <w:t xml:space="preserve"> </w:t>
      </w:r>
      <w:r>
        <w:t xml:space="preserve">- Mécanisme d’action : inhibition sélective et réversible de la</w:t>
      </w:r>
      <w:r>
        <w:t xml:space="preserve"> </w:t>
      </w:r>
      <w:r>
        <w:rPr>
          <w:b/>
          <w:bCs/>
        </w:rPr>
        <w:t xml:space="preserve">COX-2</w:t>
      </w:r>
      <w:r>
        <w:t xml:space="preserve"> </w:t>
      </w:r>
      <w:r>
        <w:t xml:space="preserve">(ratio de sélectivité COX-2/COX-1 ≈ 100, soit la plus élevée de la classe), sans action significative sur COX-1. Cette sélectivité extrême explique l’absence d’effet antiagrégant plaquettaire (pas de compétition avec l’aspirine), mais aussi la persistance d’un risque cardiovasculaire (prostaglandine I2 inhibée sans contre-régulation par TXA2).</w:t>
      </w:r>
    </w:p>
    <w:p>
      <w:pPr>
        <w:pStyle w:val="BodyText"/>
      </w:pPr>
      <w:r>
        <w:rPr>
          <w:b/>
          <w:bCs/>
        </w:rPr>
        <w:t xml:space="preserve">Profil Pharmacologique :</w:t>
      </w:r>
      <w:r>
        <w:t xml:space="preserve"> </w:t>
      </w:r>
      <w:r>
        <w:t xml:space="preserve">- Indications : traitement symptomatique de l’arthrose (60 mg une fois par jour) ; polyarthrite rhumatoïde (90 mg une fois par jour) ; spondylarthrite ankylosante (90 mg une fois par jour) ; douleurs aiguës post-opératoires (90-120 mg pendant 8 jours maximum) ; crise de goutte aiguë (120 mg pendant 8 jours maximum) ; dysménorrhée (120 mg pendant 8 jours maximum).</w:t>
      </w:r>
      <w:r>
        <w:t xml:space="preserve"> </w:t>
      </w:r>
      <w:r>
        <w:t xml:space="preserve">- Contre-indications : antécédents d’allergie à l’aspirine ou autres AINS ; maladie coronarienne évolutive ; maladie cérébrovasculaire récente ; artériopathie oblitérante des membres inférieurs symptomatique ; insuffisance cardiaque congestive (NYHA II-IV) ; hypertension artérielle non contrôlée (PA &gt; 140/90 mmHg) ; ulcère gastro-duodénal évolutif ; insuffisance hépatique sévère (score Child-Pugh &gt; 9) ; insuffisance rénale sévère (clairance &lt; 30 mL/min) ; grossesse 3e trimestre ; enfant &lt; 16 ans ; patients présentant un syndrome de Stevens-Johnson ou de Lyell.</w:t>
      </w:r>
      <w:r>
        <w:t xml:space="preserve"> </w:t>
      </w:r>
      <w:r>
        <w:t xml:space="preserve">- Effets Indésirables :</w:t>
      </w:r>
      <w:r>
        <w:t xml:space="preserve"> </w:t>
      </w:r>
      <w:r>
        <w:t xml:space="preserve">- Digestifs : dyspepsie (10-15 %), ulcère gastro-duodénal (incidence réduite de 50-60 % vs AINS classiques selon les essai EDGE, MEDAL).</w:t>
      </w:r>
      <w:r>
        <w:t xml:space="preserve"> </w:t>
      </w:r>
      <w:r>
        <w:t xml:space="preserve">- Cardiovasculaires : augmentation du risque thrombotique artériel (infarctus, AVC, décès cardiovasculaire), similaire au diclofénac selon MEDAL ; hypertension artérielle (dose-dépendante) ; œdèmes périphériques.</w:t>
      </w:r>
      <w:r>
        <w:t xml:space="preserve"> </w:t>
      </w:r>
      <w:r>
        <w:t xml:space="preserve">- Rénux : insuffisance rénale aiguë fonctionnelle, hyperkaliémie, syndrome néphrotique (rare).</w:t>
      </w:r>
      <w:r>
        <w:t xml:space="preserve"> </w:t>
      </w:r>
      <w:r>
        <w:t xml:space="preserve">- Hépatiques : cytolyse transitoire (3-5 %), augmentation des transaminases dose-dépendante.</w:t>
      </w:r>
      <w:r>
        <w:t xml:space="preserve"> </w:t>
      </w:r>
      <w:r>
        <w:t xml:space="preserve">- Cutanés : éruptions, prurit, exceptionnels syndromes de Stevens-Johnson/Lyell.</w:t>
      </w:r>
      <w:r>
        <w:t xml:space="preserve"> </w:t>
      </w:r>
      <w:r>
        <w:t xml:space="preserve">- Neurosensoriels : céphalées, vertiges, somnolence (plus fréquents à 120 mg).</w:t>
      </w:r>
    </w:p>
    <w:p>
      <w:pPr>
        <w:pStyle w:val="BodyText"/>
      </w:pPr>
      <w:r>
        <w:rPr>
          <w:b/>
          <w:bCs/>
        </w:rPr>
        <w:t xml:space="preserve">Prévention et Gestion des Effets Indésirables :</w:t>
      </w:r>
      <w:r>
        <w:t xml:space="preserve"> </w:t>
      </w:r>
      <w:r>
        <w:t xml:space="preserve">- Mesures Préventives : évaluation systématique du risque cardiovasculaire (SCORE, antécédents) ; contrôle tensionnel préalable (objectif &lt; 140/90 mmHg) ; utilisation de la dose minimale efficace et durée la plus courte possible (8 jours pour douleurs aiguës, goutte, dysménorrhée ; réévaluation tous les 3-6 mois pour arthrose et PR) ; association à un IPP si risque digestif élevé.</w:t>
      </w:r>
      <w:r>
        <w:t xml:space="preserve"> </w:t>
      </w:r>
      <w:r>
        <w:t xml:space="preserve">- Conduite à Tenir : arrêt immédiat en cas de douleur thoracique, dyspnée, signes neurologiques focaux ; arrêt en cas de méléna, hématémèse, douleur épigastrique résistante ; arrêt en cas d’élévation importante des transaminases (&gt; 3 x LSN).</w:t>
      </w:r>
    </w:p>
    <w:p>
      <w:pPr>
        <w:pStyle w:val="BodyText"/>
      </w:pPr>
      <w:r>
        <w:rPr>
          <w:b/>
          <w:bCs/>
        </w:rPr>
        <w:t xml:space="preserve">Interactions Importantes :</w:t>
      </w:r>
      <w:r>
        <w:t xml:space="preserve"> </w:t>
      </w:r>
      <w:r>
        <w:t xml:space="preserve">-</w:t>
      </w:r>
      <w:r>
        <w:t xml:space="preserve"> </w:t>
      </w:r>
      <w:r>
        <w:rPr>
          <w:b/>
          <w:bCs/>
        </w:rPr>
        <w:t xml:space="preserve">Étoricoxib + warfarine</w:t>
      </w:r>
      <w:r>
        <w:t xml:space="preserve"> </w:t>
      </w:r>
      <w:r>
        <w:t xml:space="preserve">: augmentation de l’INR (inhibition du métabolisme warfarinique), surveillance rapprochée.</w:t>
      </w:r>
      <w:r>
        <w:t xml:space="preserve"> </w:t>
      </w:r>
      <w:r>
        <w:t xml:space="preserve">-</w:t>
      </w:r>
      <w:r>
        <w:t xml:space="preserve"> </w:t>
      </w:r>
      <w:r>
        <w:rPr>
          <w:b/>
          <w:bCs/>
        </w:rPr>
        <w:t xml:space="preserve">Étoricoxib + rifampicine</w:t>
      </w:r>
      <w:r>
        <w:t xml:space="preserve"> </w:t>
      </w:r>
      <w:r>
        <w:t xml:space="preserve">: induction enzymatique, diminution de l’efficacité de l’étoricoxib.</w:t>
      </w:r>
      <w:r>
        <w:t xml:space="preserve"> </w:t>
      </w:r>
      <w:r>
        <w:t xml:space="preserve">-</w:t>
      </w:r>
      <w:r>
        <w:t xml:space="preserve"> </w:t>
      </w:r>
      <w:r>
        <w:rPr>
          <w:b/>
          <w:bCs/>
        </w:rPr>
        <w:t xml:space="preserve">Étoricoxib + IEC/ARA II + diurétiques</w:t>
      </w:r>
      <w:r>
        <w:t xml:space="preserve"> </w:t>
      </w:r>
      <w:r>
        <w:t xml:space="preserve">: risque d’IRA.</w:t>
      </w:r>
      <w:r>
        <w:t xml:space="preserve"> </w:t>
      </w:r>
      <w:r>
        <w:t xml:space="preserve">-</w:t>
      </w:r>
      <w:r>
        <w:t xml:space="preserve"> </w:t>
      </w:r>
      <w:r>
        <w:rPr>
          <w:b/>
          <w:bCs/>
        </w:rPr>
        <w:t xml:space="preserve">Étoricoxib + lithium</w:t>
      </w:r>
      <w:r>
        <w:t xml:space="preserve"> </w:t>
      </w:r>
      <w:r>
        <w:t xml:space="preserve">: diminution de la clairance, surveillance lithémie.</w:t>
      </w:r>
      <w:r>
        <w:t xml:space="preserve"> </w:t>
      </w:r>
      <w:r>
        <w:t xml:space="preserve">-</w:t>
      </w:r>
      <w:r>
        <w:t xml:space="preserve"> </w:t>
      </w:r>
      <w:r>
        <w:rPr>
          <w:b/>
          <w:bCs/>
        </w:rPr>
        <w:t xml:space="preserve">Étoricoxib + méthotrexate</w:t>
      </w:r>
      <w:r>
        <w:t xml:space="preserve"> </w:t>
      </w:r>
      <w:r>
        <w:t xml:space="preserve">: majoration de la toxicité hématologique.</w:t>
      </w:r>
      <w:r>
        <w:t xml:space="preserve"> </w:t>
      </w:r>
      <w:r>
        <w:t xml:space="preserve">-</w:t>
      </w:r>
      <w:r>
        <w:t xml:space="preserve"> </w:t>
      </w:r>
      <w:r>
        <w:rPr>
          <w:b/>
          <w:bCs/>
        </w:rPr>
        <w:t xml:space="preserve">Étoricoxib + contraceptifs oraux</w:t>
      </w:r>
      <w:r>
        <w:t xml:space="preserve"> </w:t>
      </w:r>
      <w:r>
        <w:t xml:space="preserve">: augmentation des concentrations d’éthinylestradiol (réduction de l’élimination), à prendre en compte chez la femme à risque thrombotique.</w:t>
      </w:r>
    </w:p>
    <w:p>
      <w:pPr>
        <w:pStyle w:val="BodyText"/>
      </w:pPr>
      <w:r>
        <w:rPr>
          <w:b/>
          <w:bCs/>
        </w:rPr>
        <w:t xml:space="preserve">Grossesse et Allaitement :</w:t>
      </w:r>
      <w:r>
        <w:t xml:space="preserve"> </w:t>
      </w:r>
      <w:r>
        <w:t xml:space="preserve">- Grossesse : contre-indiqué au 3e trimestre ; à éviter aux 1er et 2e trimestres.</w:t>
      </w:r>
      <w:r>
        <w:t xml:space="preserve"> </w:t>
      </w:r>
      <w:r>
        <w:t xml:space="preserve">- Allaitement : passage faible dans le lait ; à éviter.</w:t>
      </w:r>
      <w:r>
        <w:t xml:space="preserve"> </w:t>
      </w:r>
      <w:r>
        <w:t xml:space="preserve">- Précisions : chez la femme en âge de procréer, l’interaction avec les estroprogestatifs augmente le risque thrombotique veineux, particulièrement si tabagisme associé.</w:t>
      </w:r>
    </w:p>
    <w:p>
      <w:pPr>
        <w:pStyle w:val="BodyText"/>
      </w:pPr>
      <w:r>
        <w:rPr>
          <w:b/>
          <w:bCs/>
        </w:rPr>
        <w:t xml:space="preserve">Posologie et Mode d’administration (Standard) :</w:t>
      </w:r>
      <w:r>
        <w:t xml:space="preserve"> </w:t>
      </w:r>
      <w:r>
        <w:t xml:space="preserve">- Adulte : 30 mg une fois par jour (arthrose, dose minimale) ; 60 mg une fois par jour (arthrose sévère) ; 90 mg une fois par jour (polyarthrite rhumatoïde, spondylarthrite ankylosante, douleurs post-opératoires) ; 120 mg une fois par jour (crise de goutte aiguë, dysménorrhée, douleurs post-opératoires sévères) pendant 8 jours maximum.</w:t>
      </w:r>
      <w:r>
        <w:t xml:space="preserve"> </w:t>
      </w:r>
      <w:r>
        <w:t xml:space="preserve">- Enfant : contre-indiqué avant 16 ans (sauf formes spécifiques pédiatriques non disponibles).</w:t>
      </w:r>
      <w:r>
        <w:t xml:space="preserve"> </w:t>
      </w:r>
      <w:r>
        <w:t xml:space="preserve">- Durée : 8 jours pour les douleurs aiguës ; traitement prolongé possible pour arthrose et PR sous surveillance.</w:t>
      </w:r>
      <w:r>
        <w:t xml:space="preserve"> </w:t>
      </w:r>
      <w:r>
        <w:t xml:space="preserve">- Moment de prise : au cours d’un repas, à heure fixe, avec un grand verre d’eau.</w:t>
      </w:r>
    </w:p>
    <w:p>
      <w:pPr>
        <w:pStyle w:val="BodyText"/>
      </w:pPr>
      <w:r>
        <w:rPr>
          <w:b/>
          <w:bCs/>
        </w:rPr>
        <w:t xml:space="preserve">Arbitrage et Bénéfices des Formes Galéniques :</w:t>
      </w:r>
      <w:r>
        <w:t xml:space="preserve"> </w:t>
      </w:r>
      <w:r>
        <w:t xml:space="preserve">- Comprimé pelliculé 30 mg : dose minimale pour arthrose légère, sujet âgé, insuffisant rénal modéré.</w:t>
      </w:r>
      <w:r>
        <w:t xml:space="preserve"> </w:t>
      </w:r>
      <w:r>
        <w:t xml:space="preserve">- Comprimé pelliculé 60 mg : dose standard pour arthrose modérée à sévère.</w:t>
      </w:r>
      <w:r>
        <w:t xml:space="preserve"> </w:t>
      </w:r>
      <w:r>
        <w:t xml:space="preserve">- Comprimé pelliculé 90 mg : polyarthrite rhumatoïde, spondylarthrite ankylosante, douleurs post-opératoires.</w:t>
      </w:r>
      <w:r>
        <w:t xml:space="preserve"> </w:t>
      </w:r>
      <w:r>
        <w:t xml:space="preserve">- Comprimé pelliculé 120 mg : crise de goutte aiguë, dysménorrhée sévère, douleurs post-opératoires majeures (8 jours maximum).</w:t>
      </w:r>
      <w:r>
        <w:t xml:space="preserve"> </w:t>
      </w:r>
      <w:r>
        <w:t xml:space="preserve">- L’offre algérienne (Arthrix, Etofan, Etorixia) ne propose pas de forme injectable, à la différence de Arcoxia® international.</w:t>
      </w:r>
    </w:p>
    <w:p>
      <w:pPr>
        <w:pStyle w:val="BodyText"/>
      </w:pPr>
      <w:r>
        <w:rPr>
          <w:b/>
          <w:bCs/>
        </w:rPr>
        <w:t xml:space="preserve">Instructions et Conseils au Patient :</w:t>
      </w:r>
      <w:r>
        <w:t xml:space="preserve"> </w:t>
      </w:r>
      <w:r>
        <w:t xml:space="preserve">- Communication au comptoir : « Ce médicament est un anti-inflammatoire puissant réservé à certaines douleurs articulaires et à la crise de goutte. Prenez-le pendant le repas, une fois par jour, à la dose prescrite. Ne le prolongez pas au-delà de 8 jours pour la crise de goutte. Si vous avez des douleurs thoraciques, des œdèmes, des essoufflements, arrêtez et consultez immédiatement. »</w:t>
      </w:r>
      <w:r>
        <w:t xml:space="preserve"> </w:t>
      </w:r>
      <w:r>
        <w:t xml:space="preserve">- Mode d’utilisation pratique : prise unique quotidienne à heure fixe, au cours d’un repas, avec un grand verre d’eau. Avaler le comprimé pelliculé entier, sans le croquer.</w:t>
      </w:r>
    </w:p>
    <w:p>
      <w:pPr>
        <w:pStyle w:val="BodyText"/>
      </w:pPr>
      <w:r>
        <w:rPr>
          <w:b/>
          <w:bCs/>
        </w:rPr>
        <w:t xml:space="preserve">Notes, Règles d’Or &amp; Pièges au Comptoir :</w:t>
      </w:r>
      <w:r>
        <w:t xml:space="preserve"> </w:t>
      </w:r>
      <w:r>
        <w:t xml:space="preserve">- Piège classique : oublier que l’étoricoxib n’est pas autorisé aux États-Unis (peut créer une méfiance, mais sa prescription est légale en Algérie sous surveillance stricte) ; ne pas évaluer le risque cardiovasculaire ; prolonger la dose de 120 mg au-delà de 8 jours (contre-indication absolue).</w:t>
      </w:r>
      <w:r>
        <w:t xml:space="preserve"> </w:t>
      </w:r>
      <w:r>
        <w:t xml:space="preserve">- Règle de prise : une seule prise par jour, à heure fixe ; ne pas dépasser 120 mg/j.</w:t>
      </w:r>
      <w:r>
        <w:t xml:space="preserve"> </w:t>
      </w:r>
      <w:r>
        <w:t xml:space="preserve">- Préparation et Conservation : conservation à température &lt; 25 °C, à l’abri de la lumière et de l’humidité.</w:t>
      </w:r>
      <w:r>
        <w:t xml:space="preserve"> </w:t>
      </w:r>
      <w:r>
        <w:t xml:space="preserve">- Piège du surdosage / Substitution : pas d’équivalence directe avec le célécoxib (sélectivité et puissance différentes) ; vérifier systématiquement la posologie prescrite (30, 60, 90 ou 120 mg) avant délivrance.</w:t>
      </w:r>
    </w:p>
    <w:p>
      <w:r>
        <w:pict>
          <v:rect style="width:0;height:1.5pt" o:hralign="center" o:hrstd="t" o:hr="t"/>
        </w:pict>
      </w:r>
    </w:p>
    <w:bookmarkEnd w:id="159"/>
    <w:bookmarkEnd w:id="160"/>
    <w:bookmarkStart w:id="163" w:name="X5f7752cda8752592dedaccf44c889fa3e685319"/>
    <w:p>
      <w:pPr>
        <w:pStyle w:val="Heading2"/>
      </w:pPr>
      <w:r>
        <w:t xml:space="preserve">Sous-Classe : AINS - Inhibiteurs Sélectifs COX-2 (Sulfonanilides)</w:t>
      </w:r>
    </w:p>
    <w:bookmarkStart w:id="161" w:name="présentation-de-la-sous-classe-7"/>
    <w:p>
      <w:pPr>
        <w:pStyle w:val="Heading3"/>
      </w:pPr>
      <w:r>
        <w:t xml:space="preserve">Présentation de la sous-classe</w:t>
      </w:r>
    </w:p>
    <w:p>
      <w:pPr>
        <w:pStyle w:val="FirstParagraph"/>
      </w:pPr>
      <w:r>
        <w:t xml:space="preserve">Les</w:t>
      </w:r>
      <w:r>
        <w:t xml:space="preserve"> </w:t>
      </w:r>
      <w:r>
        <w:rPr>
          <w:b/>
          <w:bCs/>
        </w:rPr>
        <w:t xml:space="preserve">sulfonanilides</w:t>
      </w:r>
      <w:r>
        <w:t xml:space="preserve"> </w:t>
      </w:r>
      <w:r>
        <w:t xml:space="preserve">constituent une sous-classe particulière des inhibiteurs sélectifs de COX-2, représentée historiquement par le</w:t>
      </w:r>
      <w:r>
        <w:t xml:space="preserve"> </w:t>
      </w:r>
      <w:r>
        <w:rPr>
          <w:b/>
          <w:bCs/>
        </w:rPr>
        <w:t xml:space="preserve">nimésulide</w:t>
      </w:r>
      <w:r>
        <w:t xml:space="preserve"> </w:t>
      </w:r>
      <w:r>
        <w:t xml:space="preserve">(commercialisé depuis 1985). Sa structure chimique — méthanesulfonanilide substitué par un groupement nitrophénoxy — lui confère une sélectivité COX-2</w:t>
      </w:r>
      <w:r>
        <w:t xml:space="preserve"> </w:t>
      </w:r>
      <w:r>
        <w:rPr>
          <w:b/>
          <w:bCs/>
        </w:rPr>
        <w:t xml:space="preserve">modérée</w:t>
      </w:r>
      <w:r>
        <w:t xml:space="preserve"> </w:t>
      </w:r>
      <w:r>
        <w:t xml:space="preserve">(ratio COX-2/COX-1 ≈ 5 à 20 selon les tests), intermédiaire entre les AINS conventionnels et les coxibs vrais. Le nimésulide se distingue également par une activité anti-inflammatoire supérieure à celle attendue de sa seule inhibition COX-2, suggérant des mécanismes complémentaires (inhibition des leucotriènes, modulation des cytokines, action sur le radical oxygène).</w:t>
      </w:r>
    </w:p>
    <w:p>
      <w:pPr>
        <w:pStyle w:val="BodyText"/>
      </w:pPr>
      <w:r>
        <w:rPr>
          <w:b/>
          <w:bCs/>
        </w:rPr>
        <w:t xml:space="preserve">Histoire réglementaire du nimésulide</w:t>
      </w:r>
      <w:r>
        <w:t xml:space="preserve"> </w:t>
      </w:r>
      <w:r>
        <w:t xml:space="preserve">:</w:t>
      </w:r>
      <w:r>
        <w:t xml:space="preserve"> </w:t>
      </w:r>
      <w:r>
        <w:t xml:space="preserve">- 1985 : commercialisation en Italie.</w:t>
      </w:r>
      <w:r>
        <w:t xml:space="preserve"> </w:t>
      </w:r>
      <w:r>
        <w:t xml:space="preserve">- 1990-2000 : extension mondiale, large prescription en Europe du Sud, Amérique latine, Asie.</w:t>
      </w:r>
      <w:r>
        <w:t xml:space="preserve"> </w:t>
      </w:r>
      <w:r>
        <w:t xml:space="preserve">- 2002 : première alerte hépatotoxique en Espagne, Finlande, Israël ; retrait dans ces pays.</w:t>
      </w:r>
      <w:r>
        <w:t xml:space="preserve"> </w:t>
      </w:r>
      <w:r>
        <w:t xml:space="preserve">- 2007 : procédure européenne d’évaluation (ESPRIT) concluant à un risque hépatotoxique significatif.</w:t>
      </w:r>
      <w:r>
        <w:t xml:space="preserve"> </w:t>
      </w:r>
      <w:r>
        <w:t xml:space="preserve">- 2012 (mai) :</w:t>
      </w:r>
      <w:r>
        <w:t xml:space="preserve"> </w:t>
      </w:r>
      <w:r>
        <w:rPr>
          <w:b/>
          <w:bCs/>
        </w:rPr>
        <w:t xml:space="preserve">avis de l’EMA (PRAC)</w:t>
      </w:r>
      <w:r>
        <w:t xml:space="preserve"> </w:t>
      </w:r>
      <w:r>
        <w:t xml:space="preserve">maintenant le nimésulide sur le marché mais avec des restrictions strictes : dose maximale 100 mg deux fois par jour, durée maximale 15 jours, contre-indication en cas d’antécédent d’hépatotoxicité médicamenteuse.</w:t>
      </w:r>
      <w:r>
        <w:t xml:space="preserve"> </w:t>
      </w:r>
      <w:r>
        <w:t xml:space="preserve">- 2019 : nouvelle évaluation de l’EMA maintenant les restrictions et recommandant une information renforcée des prescripteurs et patients.</w:t>
      </w:r>
    </w:p>
    <w:p>
      <w:pPr>
        <w:pStyle w:val="BodyText"/>
      </w:pPr>
      <w:r>
        <w:rPr>
          <w:b/>
          <w:bCs/>
        </w:rPr>
        <w:t xml:space="preserve">Bilan actuel de la sous-classe</w:t>
      </w:r>
      <w:r>
        <w:t xml:space="preserve"> </w:t>
      </w:r>
      <w:r>
        <w:t xml:space="preserve">: le nimésulide reste commercialisé en Algérie mais son statut dans la nomenclature actuelle est « non renouvelable » (en voie de retrait progressif). Son usage doit être exceptionnel et de seconde intention.</w:t>
      </w:r>
    </w:p>
    <w:p>
      <w:r>
        <w:pict>
          <v:rect style="width:0;height:1.5pt" o:hralign="center" o:hrstd="t" o:hr="t"/>
        </w:pict>
      </w:r>
    </w:p>
    <w:bookmarkEnd w:id="161"/>
    <w:bookmarkStart w:id="162" w:name="dci-nimésulide-seule"/>
    <w:p>
      <w:pPr>
        <w:pStyle w:val="Heading3"/>
      </w:pPr>
      <w:r>
        <w:t xml:space="preserve">7. DCI : Nimésulide (Seule)</w:t>
      </w:r>
    </w:p>
    <w:p>
      <w:pPr>
        <w:pStyle w:val="FirstParagraph"/>
      </w:pPr>
      <w:r>
        <w:rPr>
          <w:b/>
          <w:bCs/>
        </w:rPr>
        <w:t xml:space="preserve">Liste des Catégories :</w:t>
      </w:r>
      <w:r>
        <w:t xml:space="preserve"> </w:t>
      </w:r>
      <w:r>
        <w:t xml:space="preserve">AINS - Inhibiteurs sélectifs COX-2 (sulfonanilides) ; Liste I (historique).</w:t>
      </w:r>
    </w:p>
    <w:p>
      <w:pPr>
        <w:pStyle w:val="BodyText"/>
      </w:pPr>
      <w:r>
        <w:t xml:space="preserve">Le nimésulide (Mesulid®, Helsinn) est un anti-inflammatoire non stéroïdien sulfonanilide, caractérisé par sa sélectivité COX-2 modérée et son</w:t>
      </w:r>
      <w:r>
        <w:t xml:space="preserve"> </w:t>
      </w:r>
      <w:r>
        <w:rPr>
          <w:b/>
          <w:bCs/>
        </w:rPr>
        <w:t xml:space="preserve">hépatotoxicité significative</w:t>
      </w:r>
      <w:r>
        <w:t xml:space="preserve">. Sa prescription est strictement encadrée par l’EMA depuis 2012 (dose maximale 100 mg x2/j, durée maximale 15 jours). En Algérie, la marque Aponil® (Medochemie) est en statut « non renouvelable » dans la nomenclature d’avril 2026, indiquant un retrait progressif du marché. Le nimésulide ne doit être prescrit qu’en seconde intention, après échec ou intolérance aux autres AINS, et sous surveillance hépatique stricte.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APONIL</w:t>
      </w:r>
      <w:r>
        <w:t xml:space="preserve"> </w:t>
      </w:r>
      <w:r>
        <w:t xml:space="preserve">(MEDOCHEMIE)</w:t>
      </w:r>
      <w:r>
        <w:t xml:space="preserve"> </w:t>
      </w:r>
      <w:r>
        <w:t xml:space="preserve">- Formes et Dosages : comprimé sécable 100 mg, B/20</w:t>
      </w:r>
      <w:r>
        <w:t xml:space="preserve"> </w:t>
      </w:r>
      <w:r>
        <w:t xml:space="preserve">- Statut : Non Renouvelable</w:t>
      </w:r>
    </w:p>
    <w:p>
      <w:pPr>
        <w:pStyle w:val="BodyText"/>
      </w:pPr>
      <w:r>
        <w:t xml:space="preserve">Aucune marque n’est actuellement en statut « Actif » dans la nomenclature algérienne pour le nimésulide oral. Les formulations historiques (Niméd®, Nimub®, Nexen®, Mesulid® en gélules, granulés pour suspension buvable, suppositoires) ne sont plus disponibles. Cette situation reflète l’application des recommandations de l’EMA et la disparition progressive du marché algérien.</w:t>
      </w:r>
    </w:p>
    <w:p>
      <w:pPr>
        <w:pStyle w:val="BodyText"/>
      </w:pPr>
      <w:r>
        <w:rPr>
          <w:b/>
          <w:bCs/>
        </w:rPr>
        <w:t xml:space="preserve">Sous-classe et Mécanisme d’action :</w:t>
      </w:r>
      <w:r>
        <w:t xml:space="preserve"> </w:t>
      </w:r>
      <w:r>
        <w:t xml:space="preserve">- Sous-classe : AINS - Inhibiteurs sélectifs COX-2 (sulfonanilides), structure 4-nitro-2-phénoxyméthanesulfonanilide.</w:t>
      </w:r>
      <w:r>
        <w:t xml:space="preserve"> </w:t>
      </w:r>
      <w:r>
        <w:t xml:space="preserve">- Mécanisme d’action : inhibition</w:t>
      </w:r>
      <w:r>
        <w:t xml:space="preserve"> </w:t>
      </w:r>
      <w:r>
        <w:rPr>
          <w:b/>
          <w:bCs/>
        </w:rPr>
        <w:t xml:space="preserve">modérément sélective</w:t>
      </w:r>
      <w:r>
        <w:t xml:space="preserve"> </w:t>
      </w:r>
      <w:r>
        <w:t xml:space="preserve">de la COX-2 (ratio COX-2/COX-1 ≈ 5-20 in vitro, mais sélectivité plus faible in vivo). Le nimésulide exerce également une activité anti-inflammatoire via des mécanismes complémentaires : inhibition de la phosphodiastérase de type 4 (PDE4), réduction de la production de leucotriènes, modulation de la libération d’histamine, inhibition du radical superoxide (O2-) par les polynucléaires neutrophiles, inhibition du TNF-α. Cette pluralité d’actions explique son efficacité supérieure à celle attendue de la seule inhibition COX-2.</w:t>
      </w:r>
    </w:p>
    <w:p>
      <w:pPr>
        <w:pStyle w:val="BodyText"/>
      </w:pPr>
      <w:r>
        <w:rPr>
          <w:b/>
          <w:bCs/>
        </w:rPr>
        <w:t xml:space="preserve">Profil Pharmacologique :</w:t>
      </w:r>
      <w:r>
        <w:t xml:space="preserve"> </w:t>
      </w:r>
      <w:r>
        <w:t xml:space="preserve">- Indications (selon AMM européenne) : traitement de courte durée des douleurs aiguës ; dysménorrhée primaire ; odontalgies ; symptômes de l’arthrose (douleurs articulaires aiguës) ;</w:t>
      </w:r>
      <w:r>
        <w:t xml:space="preserve"> </w:t>
      </w:r>
      <w:r>
        <w:rPr>
          <w:b/>
          <w:bCs/>
        </w:rPr>
        <w:t xml:space="preserve">en seconde intention uniquement</w:t>
      </w:r>
      <w:r>
        <w:t xml:space="preserve">, après échec ou intolérance aux autres AINS.</w:t>
      </w:r>
      <w:r>
        <w:t xml:space="preserve"> </w:t>
      </w:r>
      <w:r>
        <w:t xml:space="preserve">- Contre-indications : hypersensibilité au nimésulide ; antécédent d’hépatotoxicité au nimésulide ; insuffisance hépatique sévère ou active (cytolyse &gt; 3 x LSN) ; ulcère gastro-duodénal évolutif ; antécédents d’allergie à l’aspirine ou autres AINS (asthme, polypose, urticaire, angio-œdème) ; insuffisance rénale sévère (clairance &lt; 30 mL/min) ; insuffisance cardiaque congestive ; grossesse 3e trimestre ; enfant &lt; 12 ans ; maladie coronarienne évolutive ; maladie cérébrovasculaire ; hypertension non contrôlée.</w:t>
      </w:r>
      <w:r>
        <w:t xml:space="preserve"> </w:t>
      </w:r>
      <w:r>
        <w:t xml:space="preserve">- Effets Indésirables :</w:t>
      </w:r>
      <w:r>
        <w:t xml:space="preserve"> </w:t>
      </w:r>
      <w:r>
        <w:t xml:space="preserve">-</w:t>
      </w:r>
      <w:r>
        <w:t xml:space="preserve"> </w:t>
      </w:r>
      <w:r>
        <w:rPr>
          <w:b/>
          <w:bCs/>
        </w:rPr>
        <w:t xml:space="preserve">Hépatiques</w:t>
      </w:r>
      <w:r>
        <w:t xml:space="preserve"> </w:t>
      </w:r>
      <w:r>
        <w:t xml:space="preserve">(EI caractéristique) : élévation des transaminases (5-10 %), hépatite cytolytique aiguë (1/100 000), hépatite fulminante (rare, 1/1 000 000, mais mortalité significative). Mécanisme idiosyncrasique (médiation immunoallergique et métabolique).</w:t>
      </w:r>
      <w:r>
        <w:t xml:space="preserve"> </w:t>
      </w:r>
      <w:r>
        <w:t xml:space="preserve">- Digestifs : nausées (10-15 %), douleurs épigastriques, ulcère, perforation, hémorragie.</w:t>
      </w:r>
      <w:r>
        <w:t xml:space="preserve"> </w:t>
      </w:r>
      <w:r>
        <w:t xml:space="preserve">- Cardiovasculaires : majoration du risque thrombotique artériel (infarctus, AVC), hypertension, œdèmes.</w:t>
      </w:r>
      <w:r>
        <w:t xml:space="preserve"> </w:t>
      </w:r>
      <w:r>
        <w:t xml:space="preserve">- Rénux : insuffisance rénale aiguë fonctionnelle, hyperkaliémie.</w:t>
      </w:r>
      <w:r>
        <w:t xml:space="preserve"> </w:t>
      </w:r>
      <w:r>
        <w:t xml:space="preserve">- Cutanés : éruptions, prurit, exceptionnels syndromes de Stevens-Johnson/Lyell.</w:t>
      </w:r>
      <w:r>
        <w:t xml:space="preserve"> </w:t>
      </w:r>
      <w:r>
        <w:t xml:space="preserve">- Neurosensoriels : céphalées, vertiges, somnolence.</w:t>
      </w:r>
    </w:p>
    <w:p>
      <w:pPr>
        <w:pStyle w:val="BodyText"/>
      </w:pPr>
      <w:r>
        <w:rPr>
          <w:b/>
          <w:bCs/>
        </w:rPr>
        <w:t xml:space="preserve">Prévention et Gestion des Effets Indésirables :</w:t>
      </w:r>
      <w:r>
        <w:t xml:space="preserve"> </w:t>
      </w:r>
      <w:r>
        <w:t xml:space="preserve">- Mesures Préventives : évaluation hépatique préalable (ALAT, ASAT, bilirubine, PAL) ; information du patient sur les signes d’alerte (ictère, urines foncées, asthénie, anorexie, douleurs abdominales hautes) ; dose maximale 100 mg x2/j ; durée maximale 15 jours ; arrêt immédiat en cas d’élévation des transaminases &gt; 3 x LSN ; surveillance biologique hépatique à J7 et J15 si traitement prolongé.</w:t>
      </w:r>
      <w:r>
        <w:t xml:space="preserve"> </w:t>
      </w:r>
      <w:r>
        <w:t xml:space="preserve">- Conduite à Tenir : arrêt immédiat et consultation urgente en cas d’ictère, urines foncées, douleurs abdominales hautes, asthénie intense ; contrôle des transaminases à l’arrêt ; contre-indication définitive en cas d’hépatotoxicité au nimésulide.</w:t>
      </w:r>
    </w:p>
    <w:p>
      <w:pPr>
        <w:pStyle w:val="BodyText"/>
      </w:pPr>
      <w:r>
        <w:rPr>
          <w:b/>
          <w:bCs/>
        </w:rPr>
        <w:t xml:space="preserve">Interactions Importantes :</w:t>
      </w:r>
      <w:r>
        <w:t xml:space="preserve"> </w:t>
      </w:r>
      <w:r>
        <w:t xml:space="preserve">-</w:t>
      </w:r>
      <w:r>
        <w:t xml:space="preserve"> </w:t>
      </w:r>
      <w:r>
        <w:rPr>
          <w:b/>
          <w:bCs/>
        </w:rPr>
        <w:t xml:space="preserve">Nimésulide + paracétamol</w:t>
      </w:r>
      <w:r>
        <w:t xml:space="preserve"> </w:t>
      </w:r>
      <w:r>
        <w:t xml:space="preserve">: potentialisation de l’hépatotoxicité, à éviter.</w:t>
      </w:r>
      <w:r>
        <w:t xml:space="preserve"> </w:t>
      </w:r>
      <w:r>
        <w:t xml:space="preserve">-</w:t>
      </w:r>
      <w:r>
        <w:t xml:space="preserve"> </w:t>
      </w:r>
      <w:r>
        <w:rPr>
          <w:b/>
          <w:bCs/>
        </w:rPr>
        <w:t xml:space="preserve">Nimésulide + autres hépatotoxiques</w:t>
      </w:r>
      <w:r>
        <w:t xml:space="preserve"> </w:t>
      </w:r>
      <w:r>
        <w:t xml:space="preserve">(alcool, isoniazide, valproate, carbamazépine, méthotrexate) : majoration du risque hépatique.</w:t>
      </w:r>
      <w:r>
        <w:t xml:space="preserve"> </w:t>
      </w:r>
      <w:r>
        <w:t xml:space="preserve">-</w:t>
      </w:r>
      <w:r>
        <w:t xml:space="preserve"> </w:t>
      </w:r>
      <w:r>
        <w:rPr>
          <w:b/>
          <w:bCs/>
        </w:rPr>
        <w:t xml:space="preserve">Nimésulide + AVK</w:t>
      </w:r>
      <w:r>
        <w:t xml:space="preserve"> </w:t>
      </w:r>
      <w:r>
        <w:t xml:space="preserve">: majoration du risque hémorragique.</w:t>
      </w:r>
      <w:r>
        <w:t xml:space="preserve"> </w:t>
      </w:r>
      <w:r>
        <w:t xml:space="preserve">-</w:t>
      </w:r>
      <w:r>
        <w:t xml:space="preserve"> </w:t>
      </w:r>
      <w:r>
        <w:rPr>
          <w:b/>
          <w:bCs/>
        </w:rPr>
        <w:t xml:space="preserve">Nimésulide + lithium</w:t>
      </w:r>
      <w:r>
        <w:t xml:space="preserve"> </w:t>
      </w:r>
      <w:r>
        <w:t xml:space="preserve">: diminution de la clairance, surveillance lithémie.</w:t>
      </w:r>
      <w:r>
        <w:t xml:space="preserve"> </w:t>
      </w:r>
      <w:r>
        <w:t xml:space="preserve">-</w:t>
      </w:r>
      <w:r>
        <w:t xml:space="preserve"> </w:t>
      </w:r>
      <w:r>
        <w:rPr>
          <w:b/>
          <w:bCs/>
        </w:rPr>
        <w:t xml:space="preserve">Nimésulide + IEC/ARA II + diurétiques</w:t>
      </w:r>
      <w:r>
        <w:t xml:space="preserve"> </w:t>
      </w:r>
      <w:r>
        <w:t xml:space="preserve">: risque d’IRA.</w:t>
      </w:r>
      <w:r>
        <w:t xml:space="preserve"> </w:t>
      </w:r>
      <w:r>
        <w:t xml:space="preserve">-</w:t>
      </w:r>
      <w:r>
        <w:t xml:space="preserve"> </w:t>
      </w:r>
      <w:r>
        <w:rPr>
          <w:b/>
          <w:bCs/>
        </w:rPr>
        <w:t xml:space="preserve">Nimésulide + méthotrexate</w:t>
      </w:r>
      <w:r>
        <w:t xml:space="preserve"> </w:t>
      </w:r>
      <w:r>
        <w:t xml:space="preserve">: majoration de la toxicité hématologique.</w:t>
      </w:r>
    </w:p>
    <w:p>
      <w:pPr>
        <w:pStyle w:val="BodyText"/>
      </w:pPr>
      <w:r>
        <w:rPr>
          <w:b/>
          <w:bCs/>
        </w:rPr>
        <w:t xml:space="preserve">Grossesse et Allaitement :</w:t>
      </w:r>
      <w:r>
        <w:t xml:space="preserve"> </w:t>
      </w:r>
      <w:r>
        <w:t xml:space="preserve">- Grossesse : contre-indiqué au 3e trimestre ; à éviter aux 1er et 2e trimestres (hépatotoxicité maternelle potentiellement grave pour le fœtus).</w:t>
      </w:r>
      <w:r>
        <w:t xml:space="preserve"> </w:t>
      </w:r>
      <w:r>
        <w:t xml:space="preserve">- Allaitement : passage dans le lait non documenté ; à éviter par prudence.</w:t>
      </w:r>
      <w:r>
        <w:t xml:space="preserve"> </w:t>
      </w:r>
      <w:r>
        <w:t xml:space="preserve">- Précisions : chez la femme enceinte, le nimésulide est formellement contre-indiqué (hépatotoxicité maternelle pouvant menacer le fœtus).</w:t>
      </w:r>
    </w:p>
    <w:p>
      <w:pPr>
        <w:pStyle w:val="BodyText"/>
      </w:pPr>
      <w:r>
        <w:rPr>
          <w:b/>
          <w:bCs/>
        </w:rPr>
        <w:t xml:space="preserve">Posologie et Mode d’administration (Standard) :</w:t>
      </w:r>
      <w:r>
        <w:t xml:space="preserve"> </w:t>
      </w:r>
      <w:r>
        <w:t xml:space="preserve">- Adulte : 100 mg deux fois par jour (après repas), dose maximale absolue. Ne pas dépasser 200 mg/24 h.</w:t>
      </w:r>
      <w:r>
        <w:t xml:space="preserve"> </w:t>
      </w:r>
      <w:r>
        <w:t xml:space="preserve">- Enfant &gt; 12 ans et &lt; 18 ans : 50 mg deux fois par jour (forme 50 mg non disponible en Algérie actuellement) ; le nimésulide 100 mg est en pratique contre-indiqué chez l’enfant.</w:t>
      </w:r>
      <w:r>
        <w:t xml:space="preserve"> </w:t>
      </w:r>
      <w:r>
        <w:t xml:space="preserve">- Durée :</w:t>
      </w:r>
      <w:r>
        <w:t xml:space="preserve"> </w:t>
      </w:r>
      <w:r>
        <w:rPr>
          <w:b/>
          <w:bCs/>
        </w:rPr>
        <w:t xml:space="preserve">traitement de courte durée, 15 jours maximum</w:t>
      </w:r>
      <w:r>
        <w:t xml:space="preserve"> </w:t>
      </w:r>
      <w:r>
        <w:t xml:space="preserve">; en pratique, limiter à 5-7 jours pour la douleur aiguë.</w:t>
      </w:r>
      <w:r>
        <w:t xml:space="preserve"> </w:t>
      </w:r>
      <w:r>
        <w:t xml:space="preserve">- Moment de prise : après les repas, avec un grand verre d’eau.</w:t>
      </w:r>
    </w:p>
    <w:p>
      <w:pPr>
        <w:pStyle w:val="BodyText"/>
      </w:pPr>
      <w:r>
        <w:rPr>
          <w:b/>
          <w:bCs/>
        </w:rPr>
        <w:t xml:space="preserve">Arbitrage et Bénéfices des Formes Galéniques :</w:t>
      </w:r>
      <w:r>
        <w:t xml:space="preserve"> </w:t>
      </w:r>
      <w:r>
        <w:t xml:space="preserve">- Comprimé sécable 100 mg (Aponil) : permet l’adaptation posologique (50 mg) chez le sujet âgé ou en cas d’insuffisance hépatique modérée.</w:t>
      </w:r>
      <w:r>
        <w:t xml:space="preserve"> </w:t>
      </w:r>
      <w:r>
        <w:t xml:space="preserve">- Les formes historiques (granulés pour suspension buvable 100 mg, suppositoires 100 mg, gel topique 3 %) ne sont plus disponibles en Algérie.</w:t>
      </w:r>
      <w:r>
        <w:t xml:space="preserve"> </w:t>
      </w:r>
      <w:r>
        <w:t xml:space="preserve">- L’absence de forme pédiatrique et de forme topique restreint l’usage du nimésulide à l’adulte en pratique de ville.</w:t>
      </w:r>
    </w:p>
    <w:p>
      <w:pPr>
        <w:pStyle w:val="BodyText"/>
      </w:pPr>
      <w:r>
        <w:rPr>
          <w:b/>
          <w:bCs/>
        </w:rPr>
        <w:t xml:space="preserve">Instructions et Conseils au Patient :</w:t>
      </w:r>
      <w:r>
        <w:t xml:space="preserve"> </w:t>
      </w:r>
      <w:r>
        <w:t xml:space="preserve">- Communication au comptoir : « Ce médicament est un anti-inflammatoire puissant mais peut être toxique pour le foie. Prenez-le après les repas, à la dose de 100 mg deux fois par jour, pendant 15 jours maximum. Si vous avez des douleurs à l’estomac, des urines foncées, un jaunisse, une grande fatigue, arrêtez immédiatement et consultez en urgence. »</w:t>
      </w:r>
      <w:r>
        <w:t xml:space="preserve"> </w:t>
      </w:r>
      <w:r>
        <w:t xml:space="preserve">- Mode d’utilisation pratique : prise matin et soir, après les repas, à heure fixe, avec un grand verre d’eau. Ne pas prolonger au-delà de 15 jours sans consultation médicale.</w:t>
      </w:r>
    </w:p>
    <w:p>
      <w:pPr>
        <w:pStyle w:val="BodyText"/>
      </w:pPr>
      <w:r>
        <w:rPr>
          <w:b/>
          <w:bCs/>
        </w:rPr>
        <w:t xml:space="preserve">Notes, Règles d’Or &amp; Pièges au Comptoir :</w:t>
      </w:r>
      <w:r>
        <w:t xml:space="preserve"> </w:t>
      </w:r>
      <w:r>
        <w:t xml:space="preserve">- Piège classique : prescrire le nimésulide en première intention alors qu’il doit l’être en seconde intention ; oublier la surveillance hépatique ; prolonger le traitement au-delà de 15 jours ; associer à du paracétamol (potentialisation hépatotoxique).</w:t>
      </w:r>
      <w:r>
        <w:t xml:space="preserve"> </w:t>
      </w:r>
      <w:r>
        <w:t xml:space="preserve">- Règle de prise : 100 mg x2/j, après repas, 15 jours maximum.</w:t>
      </w:r>
      <w:r>
        <w:t xml:space="preserve"> </w:t>
      </w:r>
      <w:r>
        <w:t xml:space="preserve">- Préparation et Conservation : conservation à température &lt; 25 °C, à l’abri de la lumière et de l’humidité.</w:t>
      </w:r>
      <w:r>
        <w:t xml:space="preserve"> </w:t>
      </w:r>
      <w:r>
        <w:t xml:space="preserve">- Piège du surdosage / Substitution : en cas de surdosage, surveillance hépatique intensive pendant au moins 48 heures (N-acétylcystéine en cas d’atteinte sévère) ; substitution interdite vers le célécoxib ou l’étoricoxib sans nouvelle prescription (profils de tolérance et d’indications différents).</w:t>
      </w:r>
    </w:p>
    <w:p>
      <w:r>
        <w:pict>
          <v:rect style="width:0;height:1.5pt" o:hralign="center" o:hrstd="t" o:hr="t"/>
        </w:pict>
      </w:r>
    </w:p>
    <w:bookmarkEnd w:id="162"/>
    <w:bookmarkEnd w:id="163"/>
    <w:bookmarkStart w:id="165" w:name="X8d571e3f1434ad00e5039bb8ea8d0388af918b0"/>
    <w:p>
      <w:pPr>
        <w:pStyle w:val="Heading2"/>
      </w:pPr>
      <w:r>
        <w:t xml:space="preserve">Sous-Classe : AINS - Alcane Non Acide (Note de référence)</w:t>
      </w:r>
    </w:p>
    <w:bookmarkStart w:id="164" w:name="présentation-de-la-sous-classe-8"/>
    <w:p>
      <w:pPr>
        <w:pStyle w:val="Heading3"/>
      </w:pPr>
      <w:r>
        <w:t xml:space="preserve">Présentation de la sous-classe</w:t>
      </w:r>
    </w:p>
    <w:p>
      <w:pPr>
        <w:pStyle w:val="FirstParagraph"/>
      </w:pPr>
      <w:r>
        <w:t xml:space="preserve">Les</w:t>
      </w:r>
      <w:r>
        <w:t xml:space="preserve"> </w:t>
      </w:r>
      <w:r>
        <w:rPr>
          <w:b/>
          <w:bCs/>
        </w:rPr>
        <w:t xml:space="preserve">alcanes non acides</w:t>
      </w:r>
      <w:r>
        <w:t xml:space="preserve"> </w:t>
      </w:r>
      <w:r>
        <w:t xml:space="preserve">constituent une sous-classe particulière des AINS, représentée historiquement par la</w:t>
      </w:r>
      <w:r>
        <w:t xml:space="preserve"> </w:t>
      </w:r>
      <w:r>
        <w:rPr>
          <w:b/>
          <w:bCs/>
        </w:rPr>
        <w:t xml:space="preserve">nabumétone</w:t>
      </w:r>
      <w:r>
        <w:t xml:space="preserve"> </w:t>
      </w:r>
      <w:r>
        <w:t xml:space="preserve">(commercialisée depuis 1985 sous le nom de Relif®, Nabucox®, Bencard). Sa structure chimique — dérivé de butanone non acide, contrairement à tous les autres AINS qui portent une fonction acide — lui confère des propriétés pharmacocinétiques originales : c’est une</w:t>
      </w:r>
      <w:r>
        <w:t xml:space="preserve"> </w:t>
      </w:r>
      <w:r>
        <w:rPr>
          <w:b/>
          <w:bCs/>
        </w:rPr>
        <w:t xml:space="preserve">prodrogue</w:t>
      </w:r>
      <w:r>
        <w:t xml:space="preserve">, inactive sur COX in vitro, qui doit être métabolisée en</w:t>
      </w:r>
      <w:r>
        <w:t xml:space="preserve"> </w:t>
      </w:r>
      <w:r>
        <w:rPr>
          <w:b/>
          <w:bCs/>
        </w:rPr>
        <w:t xml:space="preserve">6-méthoxy-2-naphtylacétique acide (6-MNA)</w:t>
      </w:r>
      <w:r>
        <w:t xml:space="preserve"> </w:t>
      </w:r>
      <w:r>
        <w:t xml:space="preserve">dans le foie pour devenir active. Le 6-MNA est un inhibiteur non sélectif de COX-1 et COX-2, mais avec une certaine préférence pour COX-2 (ratio ≈ 5-7).</w:t>
      </w:r>
    </w:p>
    <w:p>
      <w:pPr>
        <w:pStyle w:val="BodyText"/>
      </w:pPr>
      <w:r>
        <w:t xml:space="preserve">La nabumétone n’est actuellement pas disponible dans la nomenclature algérienne d’avril 2026 (aucune marque active, non renouvelable ou retirée). Sa fiche détaillée ne sera pas développée ici, mais le pharmacien algérien doit en connaître l’existence et les propriétés pour pouvoir répondre aux questions des patients ayant pu en utiliser à l’étranger, ou pour la lecture de la littérature internationale.</w:t>
      </w:r>
    </w:p>
    <w:p>
      <w:pPr>
        <w:pStyle w:val="BodyText"/>
      </w:pPr>
      <w:r>
        <w:rPr>
          <w:b/>
          <w:bCs/>
        </w:rPr>
        <w:t xml:space="preserve">Caractéristiques principales de la nabumétone</w:t>
      </w:r>
      <w:r>
        <w:t xml:space="preserve"> </w:t>
      </w:r>
      <w:r>
        <w:t xml:space="preserve">:</w:t>
      </w:r>
      <w:r>
        <w:t xml:space="preserve"> </w:t>
      </w:r>
      <w:r>
        <w:t xml:space="preserve">- Demi-vie du métabolite actif (6-MNA) : 20-24 heures, autorisant une prise par jour.</w:t>
      </w:r>
      <w:r>
        <w:t xml:space="preserve"> </w:t>
      </w:r>
      <w:r>
        <w:t xml:space="preserve">- Indications : arthrose, polyarthrite rhumatoïde (traitement de fond symptomatique).</w:t>
      </w:r>
      <w:r>
        <w:t xml:space="preserve"> </w:t>
      </w:r>
      <w:r>
        <w:t xml:space="preserve">- Profil de tolérance digestive : intermédiaire entre AINS classiques et coxibs (réduction de 30-50 % des ulcères compliqués selon les essais cliniques).</w:t>
      </w:r>
      <w:r>
        <w:t xml:space="preserve"> </w:t>
      </w:r>
      <w:r>
        <w:t xml:space="preserve">- Posologie standard : 1 g le soir (1000 mg/j), pouvant être augmentée à 1-2 g/j.</w:t>
      </w:r>
      <w:r>
        <w:t xml:space="preserve"> </w:t>
      </w:r>
      <w:r>
        <w:t xml:space="preserve">- Contre-indications classiques des AINS ; pas d’allergie croisée aux sulfonamides (n’est pas un sulfonamide).</w:t>
      </w:r>
      <w:r>
        <w:t xml:space="preserve"> </w:t>
      </w:r>
      <w:r>
        <w:t xml:space="preserve">- Effets indésirables digestifs, cardiovasculaires (même profil que AINS non sélectifs).</w:t>
      </w:r>
    </w:p>
    <w:p>
      <w:r>
        <w:pict>
          <v:rect style="width:0;height:1.5pt" o:hralign="center" o:hrstd="t" o:hr="t"/>
        </w:pict>
      </w:r>
    </w:p>
    <w:bookmarkEnd w:id="164"/>
    <w:bookmarkEnd w:id="165"/>
    <w:bookmarkStart w:id="168" w:name="Xc9075ac4039a837ce05f61d7e8294df8f5ab7bd"/>
    <w:p>
      <w:pPr>
        <w:pStyle w:val="Heading2"/>
      </w:pPr>
      <w:r>
        <w:t xml:space="preserve">Sous-Classe : AINS - Associations Antalgiques-Myorelaxantes</w:t>
      </w:r>
    </w:p>
    <w:bookmarkStart w:id="166" w:name="présentation-de-la-sous-classe-9"/>
    <w:p>
      <w:pPr>
        <w:pStyle w:val="Heading3"/>
      </w:pPr>
      <w:r>
        <w:t xml:space="preserve">Présentation de la sous-classe</w:t>
      </w:r>
    </w:p>
    <w:p>
      <w:pPr>
        <w:pStyle w:val="FirstParagraph"/>
      </w:pPr>
      <w:r>
        <w:t xml:space="preserve">Les associations</w:t>
      </w:r>
      <w:r>
        <w:t xml:space="preserve"> </w:t>
      </w:r>
      <w:r>
        <w:rPr>
          <w:b/>
          <w:bCs/>
        </w:rPr>
        <w:t xml:space="preserve">AINS + myorelaxant</w:t>
      </w:r>
      <w:r>
        <w:t xml:space="preserve"> </w:t>
      </w:r>
      <w:r>
        <w:t xml:space="preserve">sont utilisées dans le traitement symptomatique des</w:t>
      </w:r>
      <w:r>
        <w:t xml:space="preserve"> </w:t>
      </w:r>
      <w:r>
        <w:rPr>
          <w:b/>
          <w:bCs/>
        </w:rPr>
        <w:t xml:space="preserve">douleurs rachidiennes aiguës</w:t>
      </w:r>
      <w:r>
        <w:t xml:space="preserve"> </w:t>
      </w:r>
      <w:r>
        <w:t xml:space="preserve">(lombalgies, lombosciatiques, cervicalgies), où la composante musculaire (contracture paravertébrale réflexe) est souvent prédominante. La logique de l’association est de combiner l’effet anti-inflammatoire et antalgique de l’AINS avec l’effet dépresseur central du myorelaxant sur la hypertonie musculaire. Les myorelaxants les plus utilisés en Algérie dans cette association sont :</w:t>
      </w:r>
      <w:r>
        <w:t xml:space="preserve"> </w:t>
      </w:r>
      <w:r>
        <w:rPr>
          <w:b/>
          <w:bCs/>
        </w:rPr>
        <w:t xml:space="preserve">méthocarbamol</w:t>
      </w:r>
      <w:r>
        <w:t xml:space="preserve"> </w:t>
      </w:r>
      <w:r>
        <w:t xml:space="preserve">(déresseur central),</w:t>
      </w:r>
      <w:r>
        <w:t xml:space="preserve"> </w:t>
      </w:r>
      <w:r>
        <w:rPr>
          <w:b/>
          <w:bCs/>
        </w:rPr>
        <w:t xml:space="preserve">thiocolchicoside</w:t>
      </w:r>
      <w:r>
        <w:t xml:space="preserve"> </w:t>
      </w:r>
      <w:r>
        <w:t xml:space="preserve">(agoniste GABAergique),</w:t>
      </w:r>
      <w:r>
        <w:t xml:space="preserve"> </w:t>
      </w:r>
      <w:r>
        <w:rPr>
          <w:b/>
          <w:bCs/>
        </w:rPr>
        <w:t xml:space="preserve">tétrazépam</w:t>
      </w:r>
      <w:r>
        <w:t xml:space="preserve"> </w:t>
      </w:r>
      <w:r>
        <w:t xml:space="preserve">(benzodiazépine), et l’</w:t>
      </w:r>
      <w:r>
        <w:rPr>
          <w:b/>
          <w:bCs/>
        </w:rPr>
        <w:t xml:space="preserve">éperisone</w:t>
      </w:r>
      <w:r>
        <w:t xml:space="preserve">.</w:t>
      </w:r>
    </w:p>
    <w:p>
      <w:pPr>
        <w:pStyle w:val="BodyText"/>
      </w:pPr>
      <w:r>
        <w:t xml:space="preserve">L’association</w:t>
      </w:r>
      <w:r>
        <w:t xml:space="preserve"> </w:t>
      </w:r>
      <w:r>
        <w:rPr>
          <w:b/>
          <w:bCs/>
        </w:rPr>
        <w:t xml:space="preserve">ibuprofène + méthocarbamol</w:t>
      </w:r>
      <w:r>
        <w:t xml:space="preserve"> </w:t>
      </w:r>
      <w:r>
        <w:t xml:space="preserve">est la seule disponible actuellement dans la nomenclature algérienne d’avril 2026. Le méthocarbamol est un carbamate d’origine centrale, dont la structure chimique est proche de l’éthane-chlorphénésine. Son mécanisme d’action exact reste partiellement élucidé : il n’agit pas directement au niveau de la jonction neuromusculaire (à la différence des curares), mais plutôt au niveau du système nerveux central, en inhibant les voies polysynaptiques réflexes médullaires. Sa demi-vie est courte (1-2 heures), imposant 2 à 4 prises par jour.</w:t>
      </w:r>
    </w:p>
    <w:p>
      <w:r>
        <w:pict>
          <v:rect style="width:0;height:1.5pt" o:hralign="center" o:hrstd="t" o:hr="t"/>
        </w:pict>
      </w:r>
    </w:p>
    <w:bookmarkEnd w:id="166"/>
    <w:bookmarkStart w:id="167" w:name="X5fb0d9b1aeb97b73a7530063e4f43eacfe74739"/>
    <w:p>
      <w:pPr>
        <w:pStyle w:val="Heading3"/>
      </w:pPr>
      <w:r>
        <w:t xml:space="preserve">8. DCI : Ibuprofène + Méthocarbamol (En Association)</w:t>
      </w:r>
    </w:p>
    <w:p>
      <w:pPr>
        <w:pStyle w:val="FirstParagraph"/>
      </w:pPr>
      <w:r>
        <w:rPr>
          <w:b/>
          <w:bCs/>
        </w:rPr>
        <w:t xml:space="preserve">Liste des Catégories :</w:t>
      </w:r>
      <w:r>
        <w:t xml:space="preserve"> </w:t>
      </w:r>
      <w:r>
        <w:t xml:space="preserve">AINS - Associations antalgiques-myorelaxantes ; Liste II.</w:t>
      </w:r>
    </w:p>
    <w:p>
      <w:pPr>
        <w:pStyle w:val="BodyText"/>
      </w:pPr>
      <w:r>
        <w:t xml:space="preserve">L’association ibuprofène (200 mg) + méthocarbamol (500 mg) est commercialisée en Algérie sous le nom de Myoxydol® (Laboratoires Merinal). Elle est indiquée dans le traitement symptomatique de courte durée des</w:t>
      </w:r>
      <w:r>
        <w:t xml:space="preserve"> </w:t>
      </w:r>
      <w:r>
        <w:rPr>
          <w:b/>
          <w:bCs/>
        </w:rPr>
        <w:t xml:space="preserve">douleurs rachidiennes aiguës avec composante musculaire</w:t>
      </w:r>
      <w:r>
        <w:t xml:space="preserve"> </w:t>
      </w:r>
      <w:r>
        <w:t xml:space="preserve">(lombalgies aiguës, lombosciatiques, dorsalgies, cervicalgies). L’ibuprofène appartient à la famille des arylpropioniques (AINS non sélectif classique), et le méthocarbamol est un myorelaxant d’action centrale. L’association est inscrite sur</w:t>
      </w:r>
      <w:r>
        <w:t xml:space="preserve"> </w:t>
      </w:r>
      <w:r>
        <w:rPr>
          <w:b/>
          <w:bCs/>
        </w:rPr>
        <w:t xml:space="preserve">Liste II</w:t>
      </w:r>
      <w:r>
        <w:t xml:space="preserve"> </w:t>
      </w:r>
      <w:r>
        <w:t xml:space="preserve">(substances réglementées, prescription requise mais renouvelable).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MYOXYDOL</w:t>
      </w:r>
      <w:r>
        <w:t xml:space="preserve"> </w:t>
      </w:r>
      <w:r>
        <w:t xml:space="preserve">(LABORATOIRES MERINAL)</w:t>
      </w:r>
      <w:r>
        <w:t xml:space="preserve"> </w:t>
      </w:r>
      <w:r>
        <w:t xml:space="preserve">- Formes et Dosages : comprimé pelliculé bicouche 200 mg/500 mg (200 mg ibuprofène + 500 mg méthocarbamol), boîte de 30</w:t>
      </w:r>
      <w:r>
        <w:t xml:space="preserve"> </w:t>
      </w:r>
      <w:r>
        <w:t xml:space="preserve">- Statut : Actif</w:t>
      </w:r>
    </w:p>
    <w:p>
      <w:pPr>
        <w:pStyle w:val="BodyText"/>
      </w:pPr>
      <w:r>
        <w:rPr>
          <w:b/>
          <w:bCs/>
        </w:rPr>
        <w:t xml:space="preserve">Sous-classe et Mécanisme d’action :</w:t>
      </w:r>
      <w:r>
        <w:t xml:space="preserve"> </w:t>
      </w:r>
      <w:r>
        <w:t xml:space="preserve">- Sous-classe : AINS - Associations antalgiques-myorelaxantes ; association fixe ibuprofène (arylpropionique) + méthocarbamol (carbamate d’action centrale).</w:t>
      </w:r>
      <w:r>
        <w:t xml:space="preserve"> </w:t>
      </w:r>
      <w:r>
        <w:t xml:space="preserve">- Mécanisme d’action :</w:t>
      </w:r>
      <w:r>
        <w:t xml:space="preserve"> </w:t>
      </w:r>
      <w:r>
        <w:t xml:space="preserve">- Ibuprofène : inhibition non sélective et réversible des COX-1 et COX-2, réduisant la synthèse des prostaglandines pro-inflammatoires et pro-algiques (PGE2, PGI2).</w:t>
      </w:r>
      <w:r>
        <w:t xml:space="preserve"> </w:t>
      </w:r>
      <w:r>
        <w:t xml:space="preserve">- Méthocarbamol : dépresseur central agissant au niveau médullaire sur les voies polysynaptiques réflexes, sans action directe sur la jonction neuromusculaire. Il réduit l’hypertonie musculaire paravertébrale d’origine réflexe, secondaire à la douleur.</w:t>
      </w:r>
      <w:r>
        <w:t xml:space="preserve"> </w:t>
      </w:r>
      <w:r>
        <w:t xml:space="preserve">- Bénéfice de l’association : l’effet anti-inflammatoire de l’ibuprofène réduit la douleur articulaire et ligamentaire, tandis que l’effet myorelaxant du méthocarbamol réduit la contracture musculaire réflexe. L’association potentialise l’effet antalgique global et améliore la mobilité.</w:t>
      </w:r>
    </w:p>
    <w:p>
      <w:pPr>
        <w:pStyle w:val="BodyText"/>
      </w:pPr>
      <w:r>
        <w:rPr>
          <w:b/>
          <w:bCs/>
        </w:rPr>
        <w:t xml:space="preserve">Profil Pharmacologique :</w:t>
      </w:r>
      <w:r>
        <w:t xml:space="preserve"> </w:t>
      </w:r>
      <w:r>
        <w:t xml:space="preserve">- Indications : traitement symptomatique de courte durée des douleurs rachidiennes aiguës avec composante musculaire (lombalgie aiguë, lombosciatique, dorsalgie, cervicalgie, contracture musculaire douloureuse du rachis).</w:t>
      </w:r>
      <w:r>
        <w:t xml:space="preserve"> </w:t>
      </w:r>
      <w:r>
        <w:t xml:space="preserve">- Contre-indications : hypersensibilité à l’un des composants ; antécédents d’allergie à l’aspirine ou autres AINS ; ulcère gastro-duodénal évolutif ; insuffisance hépatique sévère ; insuffisance rénale sévère ; insuffisance cardiaque sévère ; myasthénie (contre-indication relative du méthocarbamol) ; grossesse 3e trimestre ; enfant &lt; 15 ans ; antécédent d’épilepsie non contrôlée (prudence avec le méthocarbamol).</w:t>
      </w:r>
      <w:r>
        <w:t xml:space="preserve"> </w:t>
      </w:r>
      <w:r>
        <w:t xml:space="preserve">- Effets Indésirables :</w:t>
      </w:r>
      <w:r>
        <w:t xml:space="preserve"> </w:t>
      </w:r>
      <w:r>
        <w:t xml:space="preserve">- Liés à l’ibuprofène : digestifs (dyspepsie, ulcère, hémorragie), cardiovasculaires (HTA, œdèmes), rénux (IRA), neurosensoriels (céphalées, vertiges).</w:t>
      </w:r>
      <w:r>
        <w:t xml:space="preserve"> </w:t>
      </w:r>
      <w:r>
        <w:t xml:space="preserve">- Liés au méthocarbamol : somnolence (fréquente, 10-20 %), vertiges, hypotonie musculaire, asthénie, troubles de l’attention ; coloration des urines en brun-rouge (métabolite du méthocarbamol, sans signification pathologique) ; réactions allergiques cutanées (urticaire, prurit).</w:t>
      </w:r>
      <w:r>
        <w:t xml:space="preserve"> </w:t>
      </w:r>
      <w:r>
        <w:t xml:space="preserve">- Synergie : potentialisation de la somnolence par l’ibuprofène (très faible effet central) et le méthocarbamol (effet central marqué).</w:t>
      </w:r>
    </w:p>
    <w:p>
      <w:pPr>
        <w:pStyle w:val="BodyText"/>
      </w:pPr>
      <w:r>
        <w:rPr>
          <w:b/>
          <w:bCs/>
        </w:rPr>
        <w:t xml:space="preserve">Prévention et Gestion des Effets Indésirables :</w:t>
      </w:r>
      <w:r>
        <w:t xml:space="preserve"> </w:t>
      </w:r>
      <w:r>
        <w:t xml:space="preserve">- Mesures Préventives : information du patient sur la somnolence (ne pas conduire ni utiliser de machines dangereuses pendant le traitement) ; prise pendant le repas ; durée maximale de 7 à 14 jours selon la sévérité ; association à un IPP si risque digestif élevé ; surveillance tensionnelle.</w:t>
      </w:r>
      <w:r>
        <w:t xml:space="preserve"> </w:t>
      </w:r>
      <w:r>
        <w:t xml:space="preserve">- Conduite à Tenir : arrêt en cas de somnolence excessive, hypotonie musculaire importante, méléna, hématémèse, éruption cutanée fébrile, difficultés respiratoires.</w:t>
      </w:r>
    </w:p>
    <w:p>
      <w:pPr>
        <w:pStyle w:val="BodyText"/>
      </w:pPr>
      <w:r>
        <w:rPr>
          <w:b/>
          <w:bCs/>
        </w:rPr>
        <w:t xml:space="preserve">Interactions Importantes :</w:t>
      </w:r>
      <w:r>
        <w:t xml:space="preserve"> </w:t>
      </w:r>
      <w:r>
        <w:t xml:space="preserve">-</w:t>
      </w:r>
      <w:r>
        <w:t xml:space="preserve"> </w:t>
      </w:r>
      <w:r>
        <w:rPr>
          <w:b/>
          <w:bCs/>
        </w:rPr>
        <w:t xml:space="preserve">Myoxydol + AVK</w:t>
      </w:r>
      <w:r>
        <w:t xml:space="preserve"> </w:t>
      </w:r>
      <w:r>
        <w:t xml:space="preserve">: majoration du risque hémorragique (ibuprofène + effet central du méthocarbamol pouvant favoriser les chutes).</w:t>
      </w:r>
      <w:r>
        <w:t xml:space="preserve"> </w:t>
      </w:r>
      <w:r>
        <w:t xml:space="preserve">-</w:t>
      </w:r>
      <w:r>
        <w:t xml:space="preserve"> </w:t>
      </w:r>
      <w:r>
        <w:rPr>
          <w:b/>
          <w:bCs/>
        </w:rPr>
        <w:t xml:space="preserve">Myoxydol + alcool</w:t>
      </w:r>
      <w:r>
        <w:t xml:space="preserve"> </w:t>
      </w:r>
      <w:r>
        <w:t xml:space="preserve">: potentialisation de la somnolence (synergie dépresseur central).</w:t>
      </w:r>
      <w:r>
        <w:t xml:space="preserve"> </w:t>
      </w:r>
      <w:r>
        <w:t xml:space="preserve">-</w:t>
      </w:r>
      <w:r>
        <w:t xml:space="preserve"> </w:t>
      </w:r>
      <w:r>
        <w:rPr>
          <w:b/>
          <w:bCs/>
        </w:rPr>
        <w:t xml:space="preserve">Myoxydol + autres dépresseurs centraux</w:t>
      </w:r>
      <w:r>
        <w:t xml:space="preserve"> </w:t>
      </w:r>
      <w:r>
        <w:t xml:space="preserve">(benzodiazépines, opioïdes, antihistaminiques H1 sédatifs) : majoration de la sédation.</w:t>
      </w:r>
      <w:r>
        <w:t xml:space="preserve"> </w:t>
      </w:r>
      <w:r>
        <w:t xml:space="preserve">-</w:t>
      </w:r>
      <w:r>
        <w:t xml:space="preserve"> </w:t>
      </w:r>
      <w:r>
        <w:rPr>
          <w:b/>
          <w:bCs/>
        </w:rPr>
        <w:t xml:space="preserve">Myoxydol + lithium</w:t>
      </w:r>
      <w:r>
        <w:t xml:space="preserve"> </w:t>
      </w:r>
      <w:r>
        <w:t xml:space="preserve">: diminution de la clairance.</w:t>
      </w:r>
      <w:r>
        <w:t xml:space="preserve"> </w:t>
      </w:r>
      <w:r>
        <w:t xml:space="preserve">-</w:t>
      </w:r>
      <w:r>
        <w:t xml:space="preserve"> </w:t>
      </w:r>
      <w:r>
        <w:rPr>
          <w:b/>
          <w:bCs/>
        </w:rPr>
        <w:t xml:space="preserve">Myoxydol + méthotrexate</w:t>
      </w:r>
      <w:r>
        <w:t xml:space="preserve"> </w:t>
      </w:r>
      <w:r>
        <w:t xml:space="preserve">: majoration de la toxicité.</w:t>
      </w:r>
      <w:r>
        <w:t xml:space="preserve"> </w:t>
      </w:r>
      <w:r>
        <w:t xml:space="preserve">-</w:t>
      </w:r>
      <w:r>
        <w:t xml:space="preserve"> </w:t>
      </w:r>
      <w:r>
        <w:rPr>
          <w:b/>
          <w:bCs/>
        </w:rPr>
        <w:t xml:space="preserve">Myoxydol + IEC/ARA II + diurétiques</w:t>
      </w:r>
      <w:r>
        <w:t xml:space="preserve"> </w:t>
      </w:r>
      <w:r>
        <w:t xml:space="preserve">: risque d’IRA.</w:t>
      </w:r>
    </w:p>
    <w:p>
      <w:pPr>
        <w:pStyle w:val="BodyText"/>
      </w:pPr>
      <w:r>
        <w:rPr>
          <w:b/>
          <w:bCs/>
        </w:rPr>
        <w:t xml:space="preserve">Grossesse et Allaitement :</w:t>
      </w:r>
      <w:r>
        <w:t xml:space="preserve"> </w:t>
      </w:r>
      <w:r>
        <w:t xml:space="preserve">- Grossesse : contre-indiqué au 3e trimestre (risque cardio-pulmonaire fœtal lié à l’ibuprofène) ; à éviter aux 1er et 2e trimestres ; le méthocarbamol n’a pas montré de tératogénicité mais reste à éviter par prudence.</w:t>
      </w:r>
      <w:r>
        <w:t xml:space="preserve"> </w:t>
      </w:r>
      <w:r>
        <w:t xml:space="preserve">- Allaitement : l’ibuprofène passe très peu dans le lait (compatible selon CRAT pour un traitement court) ; le méthocarbamol passe faiblement mais expose le nourrisson à une sédation — à éviter par prudence.</w:t>
      </w:r>
      <w:r>
        <w:t xml:space="preserve"> </w:t>
      </w:r>
      <w:r>
        <w:t xml:space="preserve">- Précisions : chez la femme enceinte présentant une lombalgie aiguë, privilégier paracétamol ± kinésithérapie.</w:t>
      </w:r>
    </w:p>
    <w:p>
      <w:pPr>
        <w:pStyle w:val="BodyText"/>
      </w:pPr>
      <w:r>
        <w:rPr>
          <w:b/>
          <w:bCs/>
        </w:rPr>
        <w:t xml:space="preserve">Posologie et Mode d’administration (Standard) :</w:t>
      </w:r>
      <w:r>
        <w:t xml:space="preserve"> </w:t>
      </w:r>
      <w:r>
        <w:t xml:space="preserve">- Adulte : 1 comprimé 3 à 4 fois par jour, soit ibuprofène 600 à 800 mg/j et méthocarbamol 1500 à 2000 mg/j. Dose maximale : 4 comprimés par jour (800 mg ibuprofène + 2000 mg méthocarbamol).</w:t>
      </w:r>
      <w:r>
        <w:t xml:space="preserve"> </w:t>
      </w:r>
      <w:r>
        <w:t xml:space="preserve">- Enfant : contre-indiqué avant 15 ans.</w:t>
      </w:r>
      <w:r>
        <w:t xml:space="preserve"> </w:t>
      </w:r>
      <w:r>
        <w:t xml:space="preserve">- Durée : traitement de courte durée, 7 à 14 jours maximum, à réévaluer en cas de persistance des symptômes.</w:t>
      </w:r>
      <w:r>
        <w:t xml:space="preserve"> </w:t>
      </w:r>
      <w:r>
        <w:t xml:space="preserve">- Moment de prise : au cours des repas, à intervalles réguliers (toutes les 6-8 heures), avec un grand verre d’eau.</w:t>
      </w:r>
    </w:p>
    <w:p>
      <w:pPr>
        <w:pStyle w:val="BodyText"/>
      </w:pPr>
      <w:r>
        <w:rPr>
          <w:b/>
          <w:bCs/>
        </w:rPr>
        <w:t xml:space="preserve">Arbitrage et Bénéfices des Formes Galéniques :</w:t>
      </w:r>
      <w:r>
        <w:t xml:space="preserve"> </w:t>
      </w:r>
      <w:r>
        <w:t xml:space="preserve">- Comprimé pelliculé bicouche : la formulation bicouche permet une libération séquentielle — libération rapide du méthocarbamol (effet myorelaxant précoce) puis libération prolongée de l’ibuprofène (effet anti-inflammatoire soutenu).</w:t>
      </w:r>
      <w:r>
        <w:t xml:space="preserve"> </w:t>
      </w:r>
      <w:r>
        <w:t xml:space="preserve">- L’offre algérienne ne propose pas d’alternative galénique (pas de suppositoire, pas de forme injectable).</w:t>
      </w:r>
    </w:p>
    <w:p>
      <w:pPr>
        <w:pStyle w:val="BodyText"/>
      </w:pPr>
      <w:r>
        <w:rPr>
          <w:b/>
          <w:bCs/>
        </w:rPr>
        <w:t xml:space="preserve">Instructions et Conseils au Patient :</w:t>
      </w:r>
      <w:r>
        <w:t xml:space="preserve"> </w:t>
      </w:r>
      <w:r>
        <w:t xml:space="preserve">- Communication au comptoir : « Ce médicament associe un anti-inflammatoire et un myorelaxant. Prenez-le pendant les repas, 3 à 4 fois par jour, pendant 7 à 14 jours maximum. Attention : ce médicament peut provoquer de la somnolence, ne pas conduire ni utiliser de machines dangereuses. Ne pas associer à l’alcool. Les urines peuvent devenir brun-rouge, c’est normal. »</w:t>
      </w:r>
      <w:r>
        <w:t xml:space="preserve"> </w:t>
      </w:r>
      <w:r>
        <w:t xml:space="preserve">- Mode d’utilisation pratique : prise au cours des repas, à intervalles réguliers (matin, midi, soir, coucher), avec un grand verre d’eau. Avaler le comprimé pelliculé entier, sans le croquer.</w:t>
      </w:r>
    </w:p>
    <w:p>
      <w:pPr>
        <w:pStyle w:val="BodyText"/>
      </w:pPr>
      <w:r>
        <w:rPr>
          <w:b/>
          <w:bCs/>
        </w:rPr>
        <w:t xml:space="preserve">Notes, Règles d’Or &amp; Pièges au Comptoir :</w:t>
      </w:r>
      <w:r>
        <w:t xml:space="preserve"> </w:t>
      </w:r>
      <w:r>
        <w:t xml:space="preserve">- Piège classique : oublier de prévenir le patient de la somnolence (risque d’accident de la route) ; prolonger le traitement au-delà de 14 jours sans consultation ; méconnaître la coloration des urines (panique inutile).</w:t>
      </w:r>
      <w:r>
        <w:t xml:space="preserve"> </w:t>
      </w:r>
      <w:r>
        <w:t xml:space="preserve">- Règle de prise : 3 à 4 prises par jour, à intervalles réguliers, pendant les repas ; ne pas dépasser 4 comprimés par jour.</w:t>
      </w:r>
      <w:r>
        <w:t xml:space="preserve"> </w:t>
      </w:r>
      <w:r>
        <w:t xml:space="preserve">- Préparation et Conservation : conservation à température &lt; 25 °C, à l’abri de la lumière et de l’humidité.</w:t>
      </w:r>
      <w:r>
        <w:t xml:space="preserve"> </w:t>
      </w:r>
      <w:r>
        <w:t xml:space="preserve">- Piège du surdosage / Substitution : ne pas substituer par une prescription séparée ibuprofène + méthocarbamol sans prescription explicite (les dosages et cinétiques diffèrent) ; en cas d’oubli, ne pas doubler la dose suivante.</w:t>
      </w:r>
    </w:p>
    <w:p>
      <w:r>
        <w:pict>
          <v:rect style="width:0;height:1.5pt" o:hralign="center" o:hrstd="t" o:hr="t"/>
        </w:pict>
      </w:r>
    </w:p>
    <w:bookmarkEnd w:id="167"/>
    <w:bookmarkEnd w:id="168"/>
    <w:bookmarkStart w:id="171" w:name="X0d6f7fc2c375f2f2ec0e736918066ef1e90168b"/>
    <w:p>
      <w:pPr>
        <w:pStyle w:val="Heading2"/>
      </w:pPr>
      <w:r>
        <w:t xml:space="preserve">Sous-Classe : AINS - Associations Antalgiques du Rhume</w:t>
      </w:r>
    </w:p>
    <w:bookmarkStart w:id="169" w:name="présentation-de-la-sous-classe-10"/>
    <w:p>
      <w:pPr>
        <w:pStyle w:val="Heading3"/>
      </w:pPr>
      <w:r>
        <w:t xml:space="preserve">Présentation de la sous-classe</w:t>
      </w:r>
    </w:p>
    <w:p>
      <w:pPr>
        <w:pStyle w:val="FirstParagraph"/>
      </w:pPr>
      <w:r>
        <w:t xml:space="preserve">Les associations</w:t>
      </w:r>
      <w:r>
        <w:t xml:space="preserve"> </w:t>
      </w:r>
      <w:r>
        <w:rPr>
          <w:b/>
          <w:bCs/>
        </w:rPr>
        <w:t xml:space="preserve">AINS + vasoconstricteur / antitussif / menthol</w:t>
      </w:r>
      <w:r>
        <w:t xml:space="preserve"> </w:t>
      </w:r>
      <w:r>
        <w:t xml:space="preserve">sont utilisées dans le traitement symptomatique de courte durée des</w:t>
      </w:r>
      <w:r>
        <w:t xml:space="preserve"> </w:t>
      </w:r>
      <w:r>
        <w:rPr>
          <w:b/>
          <w:bCs/>
        </w:rPr>
        <w:t xml:space="preserve">affections rhinopharyngées</w:t>
      </w:r>
      <w:r>
        <w:t xml:space="preserve"> </w:t>
      </w:r>
      <w:r>
        <w:t xml:space="preserve">(rhume, rhinite, sinusite, état grippal). La logique de l’association est de combiner l’effet antalgique et antipyrétique de l’AINS avec l’effet décongestionnant nasal du vasoconstricteur (pseudoéphédrine) ou l’effetrefreshing et analgésique local du menthol. La pseudoéphédrine est un sympathomimétique indirect (libération de noradrénaline au niveau des terminaisons nerveuses) qui entraîne une vasoconstriction des vaisseaux de la muqueuse nasale, réduisant la congestion.</w:t>
      </w:r>
    </w:p>
    <w:p>
      <w:pPr>
        <w:pStyle w:val="BodyText"/>
      </w:pPr>
      <w:r>
        <w:t xml:space="preserve">L’association</w:t>
      </w:r>
      <w:r>
        <w:t xml:space="preserve"> </w:t>
      </w:r>
      <w:r>
        <w:rPr>
          <w:b/>
          <w:bCs/>
        </w:rPr>
        <w:t xml:space="preserve">ibuprofène + pseudoéphédrine</w:t>
      </w:r>
      <w:r>
        <w:t xml:space="preserve"> </w:t>
      </w:r>
      <w:r>
        <w:t xml:space="preserve">est largement commercialisée en Algérie (Gripex Plus, Ibupso 200/30, Rhinedal, Rhumolam, Xydol Rhume). L’association</w:t>
      </w:r>
      <w:r>
        <w:t xml:space="preserve"> </w:t>
      </w:r>
      <w:r>
        <w:rPr>
          <w:b/>
          <w:bCs/>
        </w:rPr>
        <w:t xml:space="preserve">ibuprofène + menthol</w:t>
      </w:r>
      <w:r>
        <w:t xml:space="preserve"> </w:t>
      </w:r>
      <w:r>
        <w:t xml:space="preserve">se restreint à une forme topique (Ibuthol gel). L’ibuprofène est utilisé à la dose de 200 mg par unité de prise, dose antalgique-antipyrétique (et non anti-inflammatoire, qui nécessite 400 à 600 mg par prise).</w:t>
      </w:r>
    </w:p>
    <w:p>
      <w:pPr>
        <w:pStyle w:val="BodyText"/>
      </w:pPr>
      <w:r>
        <w:rPr>
          <w:b/>
          <w:bCs/>
        </w:rPr>
        <w:t xml:space="preserve">Pièges de la sous-classe</w:t>
      </w:r>
      <w:r>
        <w:t xml:space="preserve"> </w:t>
      </w:r>
      <w:r>
        <w:t xml:space="preserve">:</w:t>
      </w:r>
      <w:r>
        <w:t xml:space="preserve"> </w:t>
      </w:r>
      <w:r>
        <w:t xml:space="preserve">1.</w:t>
      </w:r>
      <w:r>
        <w:t xml:space="preserve"> </w:t>
      </w:r>
      <w:r>
        <w:rPr>
          <w:b/>
          <w:bCs/>
        </w:rPr>
        <w:t xml:space="preserve">Risque cardiovasculaire de la pseudoéphédrine</w:t>
      </w:r>
      <w:r>
        <w:t xml:space="preserve"> </w:t>
      </w:r>
      <w:r>
        <w:t xml:space="preserve">: la vasoconstriction systémique peut provoquer des poussées hypertensives, des troubles du rythme, des accidents vasculaires cérébraux (rares mais décrits), particulièrement chez les patients hypertendus, coronariens ou hyperthyroïdiens.</w:t>
      </w:r>
      <w:r>
        <w:t xml:space="preserve"> </w:t>
      </w:r>
      <w:r>
        <w:t xml:space="preserve">2.</w:t>
      </w:r>
      <w:r>
        <w:t xml:space="preserve"> </w:t>
      </w:r>
      <w:r>
        <w:rPr>
          <w:b/>
          <w:bCs/>
        </w:rPr>
        <w:t xml:space="preserve">Risque de détournement</w:t>
      </w:r>
      <w:r>
        <w:t xml:space="preserve"> </w:t>
      </w:r>
      <w:r>
        <w:t xml:space="preserve">: la pseudoéphédrine peut être utilisée comme précurseur de la synthèse de drogues illicites (méthamphétamine) — inscription sur Liste I en Algérie.</w:t>
      </w:r>
      <w:r>
        <w:t xml:space="preserve"> </w:t>
      </w:r>
      <w:r>
        <w:t xml:space="preserve">3.</w:t>
      </w:r>
      <w:r>
        <w:t xml:space="preserve"> </w:t>
      </w:r>
      <w:r>
        <w:rPr>
          <w:b/>
          <w:bCs/>
        </w:rPr>
        <w:t xml:space="preserve">Risque chez le sportif</w:t>
      </w:r>
      <w:r>
        <w:t xml:space="preserve"> </w:t>
      </w:r>
      <w:r>
        <w:t xml:space="preserve">: la pseudoéphédrine est inscrite sur la liste des substances interdites par l’AMA (Agence Mondiale Antidopage) en compétition (seuil de détection positif &gt; 150 µg/mL).</w:t>
      </w:r>
    </w:p>
    <w:p>
      <w:r>
        <w:pict>
          <v:rect style="width:0;height:1.5pt" o:hralign="center" o:hrstd="t" o:hr="t"/>
        </w:pict>
      </w:r>
    </w:p>
    <w:bookmarkEnd w:id="169"/>
    <w:bookmarkStart w:id="170" w:name="X04ca321064f382d59363a2b0b6416ffed3c9479"/>
    <w:p>
      <w:pPr>
        <w:pStyle w:val="Heading3"/>
      </w:pPr>
      <w:r>
        <w:t xml:space="preserve">9. DCI : Ibuprofène + Menthol ou Pseudoéphédrine (En Association)</w:t>
      </w:r>
    </w:p>
    <w:p>
      <w:pPr>
        <w:pStyle w:val="FirstParagraph"/>
      </w:pPr>
      <w:r>
        <w:rPr>
          <w:b/>
          <w:bCs/>
        </w:rPr>
        <w:t xml:space="preserve">Liste des Catégories :</w:t>
      </w:r>
      <w:r>
        <w:t xml:space="preserve"> </w:t>
      </w:r>
      <w:r>
        <w:t xml:space="preserve">AINS - Associations antalgiques du rhume ; Liste I (formes orales) ; non listé pour la forme topique (Ibuthol gel).</w:t>
      </w:r>
    </w:p>
    <w:p>
      <w:pPr>
        <w:pStyle w:val="BodyText"/>
      </w:pPr>
      <w:r>
        <w:t xml:space="preserve">Cette entrée regroupe deux associations distinctes :</w:t>
      </w:r>
      <w:r>
        <w:t xml:space="preserve"> </w:t>
      </w:r>
      <w:r>
        <w:t xml:space="preserve">1.</w:t>
      </w:r>
      <w:r>
        <w:t xml:space="preserve"> </w:t>
      </w:r>
      <w:r>
        <w:rPr>
          <w:b/>
          <w:bCs/>
        </w:rPr>
        <w:t xml:space="preserve">Ibuprofène + Pseudoéphédrine</w:t>
      </w:r>
      <w:r>
        <w:t xml:space="preserve"> </w:t>
      </w:r>
      <w:r>
        <w:t xml:space="preserve">(comprimés pelliculés 200 mg/30 mg) : traitement symptomatique de courte durée des affections rhinopharyngées avec congestion nasale et céphalées/fièvre.</w:t>
      </w:r>
      <w:r>
        <w:t xml:space="preserve"> </w:t>
      </w:r>
      <w:r>
        <w:t xml:space="preserve">2.</w:t>
      </w:r>
      <w:r>
        <w:t xml:space="preserve"> </w:t>
      </w:r>
      <w:r>
        <w:rPr>
          <w:b/>
          <w:bCs/>
        </w:rPr>
        <w:t xml:space="preserve">Ibuprofène + Menthol</w:t>
      </w:r>
      <w:r>
        <w:t xml:space="preserve"> </w:t>
      </w:r>
      <w:r>
        <w:t xml:space="preserve">(gel topique 5 g/3 g pour 100 g) : traitement local des douleurs musculaires et articulaires bénignes (courbatures, contusions, entorses légères).</w:t>
      </w:r>
    </w:p>
    <w:p>
      <w:pPr>
        <w:pStyle w:val="BodyText"/>
      </w:pPr>
      <w:r>
        <w:t xml:space="preserve">L’ibuprofène à 200 mg par unité de prise exerce un effet antalgique et antipyrétique (et non anti-inflammatoire à cette dose, qui requiert 400-600 mg). La pseudoéphédrine à 30 mg par unité exerce une vasoconstriction locale et systémique, réduisant la congestion nasale mais exposant au risque cardiovasculaire.</w:t>
      </w:r>
    </w:p>
    <w:p>
      <w:pPr>
        <w:pStyle w:val="BodyText"/>
      </w:pPr>
      <w:r>
        <w:rPr>
          <w:b/>
          <w:bCs/>
        </w:rPr>
        <w:t xml:space="preserve">Médicaments disponibles en Algérie (Marques, Laboratoires, Formes et Dosages) :</w:t>
      </w:r>
    </w:p>
    <w:p>
      <w:pPr>
        <w:pStyle w:val="BodyText"/>
      </w:pPr>
      <w:r>
        <w:t xml:space="preserve">Forme orale (ibuprofène + pseudoéphédrine) :</w:t>
      </w:r>
      <w:r>
        <w:t xml:space="preserve"> </w:t>
      </w:r>
      <w:r>
        <w:t xml:space="preserve">-</w:t>
      </w:r>
      <w:r>
        <w:t xml:space="preserve"> </w:t>
      </w:r>
      <w:r>
        <w:rPr>
          <w:b/>
          <w:bCs/>
        </w:rPr>
        <w:t xml:space="preserve">GRIPEX PLUS</w:t>
      </w:r>
      <w:r>
        <w:t xml:space="preserve"> </w:t>
      </w:r>
      <w:r>
        <w:t xml:space="preserve">(PHARMALLIANCE)</w:t>
      </w:r>
      <w:r>
        <w:t xml:space="preserve"> </w:t>
      </w:r>
      <w:r>
        <w:t xml:space="preserve">- Formes et Dosages : comprimé pelliculé 200 mg/30 mg (200 mg ibuprofène + 30 mg pseudoéphédrine), B/20</w:t>
      </w:r>
      <w:r>
        <w:t xml:space="preserve"> </w:t>
      </w:r>
      <w:r>
        <w:t xml:space="preserve">- Statut : Actif ; Liste I</w:t>
      </w:r>
      <w:r>
        <w:t xml:space="preserve"> </w:t>
      </w:r>
      <w:r>
        <w:t xml:space="preserve">-</w:t>
      </w:r>
      <w:r>
        <w:t xml:space="preserve"> </w:t>
      </w:r>
      <w:r>
        <w:rPr>
          <w:b/>
          <w:bCs/>
        </w:rPr>
        <w:t xml:space="preserve">IBUPSO 200/30</w:t>
      </w:r>
      <w:r>
        <w:t xml:space="preserve"> </w:t>
      </w:r>
      <w:r>
        <w:t xml:space="preserve">(TASSILI ARAB PHARMACEUTICAL CO)</w:t>
      </w:r>
      <w:r>
        <w:t xml:space="preserve"> </w:t>
      </w:r>
      <w:r>
        <w:t xml:space="preserve">- Formes et Dosages : comprimé pelliculé 200 mg/30 mg, B/20</w:t>
      </w:r>
      <w:r>
        <w:t xml:space="preserve"> </w:t>
      </w:r>
      <w:r>
        <w:t xml:space="preserve">- Statut : Actif ; Liste I</w:t>
      </w:r>
      <w:r>
        <w:t xml:space="preserve"> </w:t>
      </w:r>
      <w:r>
        <w:t xml:space="preserve">-</w:t>
      </w:r>
      <w:r>
        <w:t xml:space="preserve"> </w:t>
      </w:r>
      <w:r>
        <w:rPr>
          <w:b/>
          <w:bCs/>
        </w:rPr>
        <w:t xml:space="preserve">RHINEDAL</w:t>
      </w:r>
      <w:r>
        <w:t xml:space="preserve"> </w:t>
      </w:r>
      <w:r>
        <w:t xml:space="preserve">(SOCIETE PHARMACEUTIQUE ALGERIENNE SOPHAL)</w:t>
      </w:r>
      <w:r>
        <w:t xml:space="preserve"> </w:t>
      </w:r>
      <w:r>
        <w:t xml:space="preserve">- Formes et Dosages : comprimé pelliculé 200 mg/30 mg, B/20</w:t>
      </w:r>
      <w:r>
        <w:t xml:space="preserve"> </w:t>
      </w:r>
      <w:r>
        <w:t xml:space="preserve">- Statut : Actif ; Liste I</w:t>
      </w:r>
      <w:r>
        <w:t xml:space="preserve"> </w:t>
      </w:r>
      <w:r>
        <w:t xml:space="preserve">-</w:t>
      </w:r>
      <w:r>
        <w:t xml:space="preserve"> </w:t>
      </w:r>
      <w:r>
        <w:rPr>
          <w:b/>
          <w:bCs/>
        </w:rPr>
        <w:t xml:space="preserve">RHUMOLAM</w:t>
      </w:r>
      <w:r>
        <w:t xml:space="preserve"> </w:t>
      </w:r>
      <w:r>
        <w:t xml:space="preserve">(LABORATOIRE ALGERIEN DU MEDICAMENT)</w:t>
      </w:r>
      <w:r>
        <w:t xml:space="preserve"> </w:t>
      </w:r>
      <w:r>
        <w:t xml:space="preserve">- Formes et Dosages : comprimé pelliculé 200 mg/30 mg, B/20</w:t>
      </w:r>
      <w:r>
        <w:t xml:space="preserve"> </w:t>
      </w:r>
      <w:r>
        <w:t xml:space="preserve">- Statut : Actif ; Liste I</w:t>
      </w:r>
      <w:r>
        <w:t xml:space="preserve"> </w:t>
      </w:r>
      <w:r>
        <w:t xml:space="preserve">-</w:t>
      </w:r>
      <w:r>
        <w:t xml:space="preserve"> </w:t>
      </w:r>
      <w:r>
        <w:rPr>
          <w:b/>
          <w:bCs/>
        </w:rPr>
        <w:t xml:space="preserve">XYDOL RHUME</w:t>
      </w:r>
      <w:r>
        <w:t xml:space="preserve"> </w:t>
      </w:r>
      <w:r>
        <w:t xml:space="preserve">(LABORATOIRES MERINAL)</w:t>
      </w:r>
      <w:r>
        <w:t xml:space="preserve"> </w:t>
      </w:r>
      <w:r>
        <w:t xml:space="preserve">- Formes et Dosages : comprimé pelliculé 200 mg/30 mg, B/20</w:t>
      </w:r>
      <w:r>
        <w:t xml:space="preserve"> </w:t>
      </w:r>
      <w:r>
        <w:t xml:space="preserve">- Statut : Actif ; Liste I</w:t>
      </w:r>
    </w:p>
    <w:p>
      <w:pPr>
        <w:pStyle w:val="BodyText"/>
      </w:pPr>
      <w:r>
        <w:t xml:space="preserve">Forme topique (ibuprofène + menthol) :</w:t>
      </w:r>
      <w:r>
        <w:t xml:space="preserve"> </w:t>
      </w:r>
      <w:r>
        <w:t xml:space="preserve">-</w:t>
      </w:r>
      <w:r>
        <w:t xml:space="preserve"> </w:t>
      </w:r>
      <w:r>
        <w:rPr>
          <w:b/>
          <w:bCs/>
        </w:rPr>
        <w:t xml:space="preserve">IBUTHOL</w:t>
      </w:r>
      <w:r>
        <w:t xml:space="preserve"> </w:t>
      </w:r>
      <w:r>
        <w:t xml:space="preserve">(NOVAPHARM TRADING)</w:t>
      </w:r>
      <w:r>
        <w:t xml:space="preserve"> </w:t>
      </w:r>
      <w:r>
        <w:t xml:space="preserve">- Formes et Dosages : gel 5 g/3 g pour 100 g (5 % ibuprofène + 3 % menthol), tube de 50 g</w:t>
      </w:r>
      <w:r>
        <w:t xml:space="preserve"> </w:t>
      </w:r>
      <w:r>
        <w:t xml:space="preserve">- Statut : Actif</w:t>
      </w:r>
    </w:p>
    <w:p>
      <w:pPr>
        <w:pStyle w:val="BodyText"/>
      </w:pPr>
      <w:r>
        <w:rPr>
          <w:b/>
          <w:bCs/>
        </w:rPr>
        <w:t xml:space="preserve">Sous-classe et Mécanisme d’action :</w:t>
      </w:r>
      <w:r>
        <w:t xml:space="preserve"> </w:t>
      </w:r>
      <w:r>
        <w:t xml:space="preserve">- Sous-classe : AINS - Associations antalgiques du rhume ; association fixe ibuprofène (arylpropionique) + pseudoéphédrine (sympathomimétique indirect) ou menthol (anesthésique local etrefreshing).</w:t>
      </w:r>
      <w:r>
        <w:t xml:space="preserve"> </w:t>
      </w:r>
      <w:r>
        <w:t xml:space="preserve">- Mécanisme d’action :</w:t>
      </w:r>
      <w:r>
        <w:t xml:space="preserve"> </w:t>
      </w:r>
      <w:r>
        <w:t xml:space="preserve">- Ibuprofène : inhibition non sélective des COX-1 et COX-2, réduisant la production de prostaglandines pro-algiques et pro-pyrétiques.</w:t>
      </w:r>
      <w:r>
        <w:t xml:space="preserve"> </w:t>
      </w:r>
      <w:r>
        <w:t xml:space="preserve">- Pseudoéphédrine : agoniste indirect des récepteurs α-adrénergiques (libération de noradrénaline au niveau des terminaisons nerveuses sympathiques), entraînant une vasoconstriction des vaisseaux de la muqueuse nasale, réduisant la congestion et l’hypersecrétion.</w:t>
      </w:r>
      <w:r>
        <w:t xml:space="preserve"> </w:t>
      </w:r>
      <w:r>
        <w:t xml:space="preserve">- Menthol (topique) : action rafraîchissante par stimulation des thermo-récepteurs cutanés TRPM8, effet anesthésique local modéré par modification de la perméabilité membranaire des fibres sensitives, effet contre-irritant.</w:t>
      </w:r>
    </w:p>
    <w:p>
      <w:pPr>
        <w:pStyle w:val="BodyText"/>
      </w:pPr>
      <w:r>
        <w:rPr>
          <w:b/>
          <w:bCs/>
        </w:rPr>
        <w:t xml:space="preserve">Profil Pharmacologique :</w:t>
      </w:r>
      <w:r>
        <w:t xml:space="preserve"> </w:t>
      </w:r>
      <w:r>
        <w:t xml:space="preserve">- Indications :</w:t>
      </w:r>
      <w:r>
        <w:t xml:space="preserve"> </w:t>
      </w:r>
      <w:r>
        <w:t xml:space="preserve">- Forme orale (ibuprofène + pseudoéphédrine) : traitement symptomatique de courte durée (maximum 5 jours) du rhume, de la rhinite aiguë et de la sinusite avec congestion nasale, associées à des céphalées et/ou fièvre.</w:t>
      </w:r>
      <w:r>
        <w:t xml:space="preserve"> </w:t>
      </w:r>
      <w:r>
        <w:t xml:space="preserve">- Forme topique (Ibuthol gel) : traitement local des douleurs musculaires et articulaires bénignes (courbatures, contusions, entorses légères, lombalgies communes).</w:t>
      </w:r>
      <w:r>
        <w:t xml:space="preserve"> </w:t>
      </w:r>
      <w:r>
        <w:t xml:space="preserve">- Contre-indications :</w:t>
      </w:r>
      <w:r>
        <w:t xml:space="preserve"> </w:t>
      </w:r>
      <w:r>
        <w:t xml:space="preserve">- Forme orale : hypersensibilité à l’un des composants ; antécédents d’allergie à l’aspirine ou autres AINS ; ulcère gastro-duodénal évolutif ; hypertension artérielle non contrôlée ; maladie coronarienne sévère ; hyperthyroïdie non contrôlée ; hypertrophie bénigne de la prostate avec rétention urinaire ; glaucome à angle fermé ; insuffisance hépatique sévère ; insuffisance rénale sévère ; grossesse 3e trimestre ; enfant &lt; 15 ans ; patient sous IMAO (antidépresseurs) ou dans les 14 jours suivant l’arrêt d’un IMAO ; patient sous autres sympathomimétiques.</w:t>
      </w:r>
      <w:r>
        <w:t xml:space="preserve"> </w:t>
      </w:r>
      <w:r>
        <w:t xml:space="preserve">- Forme topique : hypersensibilité à l’un des composants ; peau lésée ; eczéma ; application sur muqueuse ou plaie.</w:t>
      </w:r>
      <w:r>
        <w:t xml:space="preserve"> </w:t>
      </w:r>
      <w:r>
        <w:t xml:space="preserve">- Effets Indésirables :</w:t>
      </w:r>
      <w:r>
        <w:t xml:space="preserve"> </w:t>
      </w:r>
      <w:r>
        <w:t xml:space="preserve">- Forme orale :</w:t>
      </w:r>
      <w:r>
        <w:t xml:space="preserve"> </w:t>
      </w:r>
      <w:r>
        <w:t xml:space="preserve">- Liés à l’ibuprofène : digestifs (dyspepsie, ulcère), cardiovasculaires (HTA, œdèmes), rénux (IRA).</w:t>
      </w:r>
      <w:r>
        <w:t xml:space="preserve"> </w:t>
      </w:r>
      <w:r>
        <w:t xml:space="preserve">- Liés à la pseudoéphédrine : tachycardie (10-15 %), palpitations, hypertension artérielle (surtout en cas de surdosage), céphalées, insomnie, anxiété, irritabilité, sécheresse buccale, rétention urinaire (chez l’homme âgé), mydriase ; exceptionnels : AVC ischémique, infarctus du myocarde (à dose thérapeutique mais chez patients à risque).</w:t>
      </w:r>
      <w:r>
        <w:t xml:space="preserve"> </w:t>
      </w:r>
      <w:r>
        <w:t xml:space="preserve">- Forme topique : sensations de chaleur ou de froid, érythème local, prurit, dermite de contact ; en cas d’application étendue ou sous pansement occlusif, passage systémique de l’ibuprofène possible.</w:t>
      </w:r>
    </w:p>
    <w:p>
      <w:pPr>
        <w:pStyle w:val="BodyText"/>
      </w:pPr>
      <w:r>
        <w:rPr>
          <w:b/>
          <w:bCs/>
        </w:rPr>
        <w:t xml:space="preserve">Prévention et Gestion des Effets Indésirables :</w:t>
      </w:r>
      <w:r>
        <w:t xml:space="preserve"> </w:t>
      </w:r>
      <w:r>
        <w:t xml:space="preserve">- Mesures Préventives :</w:t>
      </w:r>
      <w:r>
        <w:t xml:space="preserve"> </w:t>
      </w:r>
      <w:r>
        <w:t xml:space="preserve">- Forme orale : évaluation de la tension artérielle et des antécédents cardiovasculaires ; information sur la nécessité de respecter la posologie (pas plus de 3 comprimés par jour) et la durée (5 jours maximum) ; éviter la prise en fin de journée en raison du risque d’insomnie (effet stimulant de la pseudoéphédrine) ; ne pas associer à d’autres vasoconstricteurs nasaux (oxymétazoline, éphédrine) ; précautions chez le sportif (dopage positif).</w:t>
      </w:r>
      <w:r>
        <w:t xml:space="preserve"> </w:t>
      </w:r>
      <w:r>
        <w:t xml:space="preserve">- Forme topique : ne pas appliquer sur peau lésée, muqueuse, ou sous pansement occlusif ; se laver les mains après application ; ne pas dépasser 3 à 4 applications par jour.</w:t>
      </w:r>
      <w:r>
        <w:t xml:space="preserve"> </w:t>
      </w:r>
      <w:r>
        <w:t xml:space="preserve">- Conduite à Tenir : arrêt en cas de palpitations, céphalées intenses, élévation tensionnelle, troubles du sommeil, douleurs thoraciques, troubles visuels ; arrêt en cas de réaction cutanée locale étendue.</w:t>
      </w:r>
    </w:p>
    <w:p>
      <w:pPr>
        <w:pStyle w:val="BodyText"/>
      </w:pPr>
      <w:r>
        <w:rPr>
          <w:b/>
          <w:bCs/>
        </w:rPr>
        <w:t xml:space="preserve">Interactions Importantes :</w:t>
      </w:r>
      <w:r>
        <w:t xml:space="preserve"> </w:t>
      </w:r>
      <w:r>
        <w:t xml:space="preserve">- Forme orale :</w:t>
      </w:r>
      <w:r>
        <w:t xml:space="preserve"> </w:t>
      </w:r>
      <w:r>
        <w:t xml:space="preserve">-</w:t>
      </w:r>
      <w:r>
        <w:t xml:space="preserve"> </w:t>
      </w:r>
      <w:r>
        <w:rPr>
          <w:b/>
          <w:bCs/>
        </w:rPr>
        <w:t xml:space="preserve">+ IMAO (antidépresseurs)</w:t>
      </w:r>
      <w:r>
        <w:t xml:space="preserve"> </w:t>
      </w:r>
      <w:r>
        <w:t xml:space="preserve">: risque d’hypertension paroxystique (contre-indication absolue).</w:t>
      </w:r>
      <w:r>
        <w:t xml:space="preserve"> </w:t>
      </w:r>
      <w:r>
        <w:t xml:space="preserve">-</w:t>
      </w:r>
      <w:r>
        <w:t xml:space="preserve"> </w:t>
      </w:r>
      <w:r>
        <w:rPr>
          <w:b/>
          <w:bCs/>
        </w:rPr>
        <w:t xml:space="preserve">+ autres sympathomimétiques</w:t>
      </w:r>
      <w:r>
        <w:t xml:space="preserve"> </w:t>
      </w:r>
      <w:r>
        <w:t xml:space="preserve">(éphédrine, phénylpropanolamine, salbutamol IV) : majoration des effets cardiovasculaires.</w:t>
      </w:r>
      <w:r>
        <w:t xml:space="preserve"> </w:t>
      </w:r>
      <w:r>
        <w:t xml:space="preserve">-</w:t>
      </w:r>
      <w:r>
        <w:t xml:space="preserve"> </w:t>
      </w:r>
      <w:r>
        <w:rPr>
          <w:b/>
          <w:bCs/>
        </w:rPr>
        <w:t xml:space="preserve">+ AVK</w:t>
      </w:r>
      <w:r>
        <w:t xml:space="preserve"> </w:t>
      </w:r>
      <w:r>
        <w:t xml:space="preserve">: majoration du risque hémorragique.</w:t>
      </w:r>
      <w:r>
        <w:t xml:space="preserve"> </w:t>
      </w:r>
      <w:r>
        <w:t xml:space="preserve">-</w:t>
      </w:r>
      <w:r>
        <w:t xml:space="preserve"> </w:t>
      </w:r>
      <w:r>
        <w:rPr>
          <w:b/>
          <w:bCs/>
        </w:rPr>
        <w:t xml:space="preserve">+ lithium</w:t>
      </w:r>
      <w:r>
        <w:t xml:space="preserve"> </w:t>
      </w:r>
      <w:r>
        <w:t xml:space="preserve">: diminution de la clairance.</w:t>
      </w:r>
      <w:r>
        <w:t xml:space="preserve"> </w:t>
      </w:r>
      <w:r>
        <w:t xml:space="preserve">-</w:t>
      </w:r>
      <w:r>
        <w:t xml:space="preserve"> </w:t>
      </w:r>
      <w:r>
        <w:rPr>
          <w:b/>
          <w:bCs/>
        </w:rPr>
        <w:t xml:space="preserve">+ méthotrexate</w:t>
      </w:r>
      <w:r>
        <w:t xml:space="preserve"> </w:t>
      </w:r>
      <w:r>
        <w:t xml:space="preserve">: majoration de la toxicité.</w:t>
      </w:r>
      <w:r>
        <w:t xml:space="preserve"> </w:t>
      </w:r>
      <w:r>
        <w:t xml:space="preserve">-</w:t>
      </w:r>
      <w:r>
        <w:t xml:space="preserve"> </w:t>
      </w:r>
      <w:r>
        <w:rPr>
          <w:b/>
          <w:bCs/>
        </w:rPr>
        <w:t xml:space="preserve">+ alcool</w:t>
      </w:r>
      <w:r>
        <w:t xml:space="preserve"> </w:t>
      </w:r>
      <w:r>
        <w:t xml:space="preserve">: majoration de la somnolence et des effets digestifs.</w:t>
      </w:r>
      <w:r>
        <w:t xml:space="preserve"> </w:t>
      </w:r>
      <w:r>
        <w:t xml:space="preserve">- Forme topique : interactions systémiques possibles en cas d’application étendue (voir ibuprofène systémique).</w:t>
      </w:r>
    </w:p>
    <w:p>
      <w:pPr>
        <w:pStyle w:val="BodyText"/>
      </w:pPr>
      <w:r>
        <w:rPr>
          <w:b/>
          <w:bCs/>
        </w:rPr>
        <w:t xml:space="preserve">Grossesse et Allaitement :</w:t>
      </w:r>
      <w:r>
        <w:t xml:space="preserve"> </w:t>
      </w:r>
      <w:r>
        <w:t xml:space="preserve">- Grossesse : forme orale contre-indiquée au 3e trimestre (risque cardio-pulmonaire fœtal + vasoconstriction utéro-placentaire) ; à éviter aux 1er et 2e trimestres ; la pseudoéphédrine est par ailleurs vasoconstrictrice utérine, à proscrire. Forme topique à éviter par prudence.</w:t>
      </w:r>
      <w:r>
        <w:t xml:space="preserve"> </w:t>
      </w:r>
      <w:r>
        <w:t xml:space="preserve">- Allaitement : la pseudoéphédrine passe dans le lait et peut provoquer une irritabilité chez le nourrisson ; à éviter. Forme topique compatible si application limitée.</w:t>
      </w:r>
      <w:r>
        <w:t xml:space="preserve"> </w:t>
      </w:r>
      <w:r>
        <w:t xml:space="preserve">- Précisions : chez la femme enceinte présentant un rhume, privilégier paracétamol ± lavage nasal au sérum physiologique.</w:t>
      </w:r>
    </w:p>
    <w:p>
      <w:pPr>
        <w:pStyle w:val="BodyText"/>
      </w:pPr>
      <w:r>
        <w:rPr>
          <w:b/>
          <w:bCs/>
        </w:rPr>
        <w:t xml:space="preserve">Posologie et Mode d’administration (Standard) :</w:t>
      </w:r>
      <w:r>
        <w:t xml:space="preserve"> </w:t>
      </w:r>
      <w:r>
        <w:t xml:space="preserve">- Forme orale (ibuprofène + pseudoéphédrine) :</w:t>
      </w:r>
      <w:r>
        <w:t xml:space="preserve"> </w:t>
      </w:r>
      <w:r>
        <w:t xml:space="preserve">- Adulte : 1 comprimé 3 fois par jour (matin, midi, soir), soit ibuprofène 600 mg/j et pseudoéphédrine 90 mg/j. Dose maximale : 3 comprimés par jour. Dernière prise au plus tard à 16 heures pour éviter l’insomnie.</w:t>
      </w:r>
      <w:r>
        <w:t xml:space="preserve"> </w:t>
      </w:r>
      <w:r>
        <w:t xml:space="preserve">- Enfant : contre-indiqué avant 15 ans (pas de forme pédiatrique).</w:t>
      </w:r>
      <w:r>
        <w:t xml:space="preserve"> </w:t>
      </w:r>
      <w:r>
        <w:t xml:space="preserve">- Durée : traitement de courte durée, 5 jours maximum.</w:t>
      </w:r>
      <w:r>
        <w:t xml:space="preserve"> </w:t>
      </w:r>
      <w:r>
        <w:t xml:space="preserve">- Moment de prise : au cours des repas, avec un grand verre d’eau.</w:t>
      </w:r>
      <w:r>
        <w:t xml:space="preserve"> </w:t>
      </w:r>
      <w:r>
        <w:t xml:space="preserve">- Forme topique (Ibuthol gel) :</w:t>
      </w:r>
      <w:r>
        <w:t xml:space="preserve"> </w:t>
      </w:r>
      <w:r>
        <w:t xml:space="preserve">- Adulte : appliquer une noisette de gel sur la zone douloureuse 3 à 4 fois par jour, en massant doucement.</w:t>
      </w:r>
      <w:r>
        <w:t xml:space="preserve"> </w:t>
      </w:r>
      <w:r>
        <w:t xml:space="preserve">- Enfant &gt; 7 ans : application limitée à 2 fois par jour.</w:t>
      </w:r>
      <w:r>
        <w:t xml:space="preserve"> </w:t>
      </w:r>
      <w:r>
        <w:t xml:space="preserve">- Durée : 5 à 10 jours.</w:t>
      </w:r>
      <w:r>
        <w:t xml:space="preserve"> </w:t>
      </w:r>
      <w:r>
        <w:t xml:space="preserve">- Précautions : ne pas appliquer sur peau lésée, muqueuse, ou sous pansement occlusif ; se laver les mains après application.</w:t>
      </w:r>
    </w:p>
    <w:p>
      <w:pPr>
        <w:pStyle w:val="BodyText"/>
      </w:pPr>
      <w:r>
        <w:rPr>
          <w:b/>
          <w:bCs/>
        </w:rPr>
        <w:t xml:space="preserve">Arbitrage et Bénéfices des Formes Galéniques :</w:t>
      </w:r>
      <w:r>
        <w:t xml:space="preserve"> </w:t>
      </w:r>
      <w:r>
        <w:t xml:space="preserve">- Comprimé pelliculé 200 mg/30 mg : forme standard de l’association orale, prise 3 fois par jour.</w:t>
      </w:r>
      <w:r>
        <w:t xml:space="preserve"> </w:t>
      </w:r>
      <w:r>
        <w:t xml:space="preserve">- Gel 5 %/3 % : forme topique locale, effet rafraîchissant immédiat du menthol, effet anti-inflammatoire local de l’ibuprofène, effet systémique minimal.</w:t>
      </w:r>
      <w:r>
        <w:t xml:space="preserve"> </w:t>
      </w:r>
      <w:r>
        <w:t xml:space="preserve">- L’offre algérienne est large pour la forme orale (5 marques) mais limitée à une seule marque (Ibuthol) pour la forme topique.</w:t>
      </w:r>
    </w:p>
    <w:p>
      <w:pPr>
        <w:pStyle w:val="BodyText"/>
      </w:pPr>
      <w:r>
        <w:rPr>
          <w:b/>
          <w:bCs/>
        </w:rPr>
        <w:t xml:space="preserve">Instructions et Conseils au Patient :</w:t>
      </w:r>
      <w:r>
        <w:t xml:space="preserve"> </w:t>
      </w:r>
      <w:r>
        <w:t xml:space="preserve">- Communication au comptoir :</w:t>
      </w:r>
      <w:r>
        <w:t xml:space="preserve"> </w:t>
      </w:r>
      <w:r>
        <w:t xml:space="preserve">- Pour la forme orale : « Ce médicament associe un antalgique (ibuprofène) et un décongestionnant nasal (pseudoéphédrine). Prenez-le pendant les repas, 3 fois par jour, pendant 5 jours maximum. Attention : ce médicament peut provoquer une accélération du cœur, de l’hypertension et de l’insomnie. Ne le prenez pas le soir après 16 heures. Si vous avez des palpitations, des maux de tête intenses ou des troubles du sommeil, arrêtez et consultez. Ne pas associer à d’autres sprays nasaux décongestionnants. »</w:t>
      </w:r>
      <w:r>
        <w:t xml:space="preserve"> </w:t>
      </w:r>
      <w:r>
        <w:t xml:space="preserve">- Pour la forme topique : « Appliquez ce gel sur la zone douloureuse, 3 à 4 fois par jour, en massant doucement. Ne l’appliquez pas sur une plaie ou une muqueuse. Lavez-vous les mains après application. »</w:t>
      </w:r>
      <w:r>
        <w:t xml:space="preserve"> </w:t>
      </w:r>
      <w:r>
        <w:t xml:space="preserve">- Mode d’utilisation pratique :</w:t>
      </w:r>
      <w:r>
        <w:t xml:space="preserve"> </w:t>
      </w:r>
      <w:r>
        <w:t xml:space="preserve">- Forme orale : comprimé à avaler entier avec un grand verre d’eau, au cours des repas, à intervalles réguliers, dernière prise au plus tard à 16 heures.</w:t>
      </w:r>
      <w:r>
        <w:t xml:space="preserve"> </w:t>
      </w:r>
      <w:r>
        <w:t xml:space="preserve">- Forme topique : application sur peau saine, propre et sèche, 3 à 4 fois par jour, en massant doucement jusqu’à pénétration complète ; se laver les mains soigneusement après application.</w:t>
      </w:r>
    </w:p>
    <w:p>
      <w:pPr>
        <w:pStyle w:val="BodyText"/>
      </w:pPr>
      <w:r>
        <w:rPr>
          <w:b/>
          <w:bCs/>
        </w:rPr>
        <w:t xml:space="preserve">Notes, Règles d’Or &amp; Pièges au Comptoir :</w:t>
      </w:r>
      <w:r>
        <w:t xml:space="preserve"> </w:t>
      </w:r>
      <w:r>
        <w:t xml:space="preserve">- Piège classique : oublier de vérifier la tension artérielle et les antécédents cardiovasculaires avant délivrance ; ne pas prévenir le patient du risque d’insomnie (dernière prise avant 16 heures) ; associer à un spray nasal vasoconstricteur (surdosage en sympathomimétiques) ; méconnaître le risque chez le sportif (dopage positif) ; oublier la contre-indication IMAO.</w:t>
      </w:r>
      <w:r>
        <w:t xml:space="preserve"> </w:t>
      </w:r>
      <w:r>
        <w:t xml:space="preserve">- Règle de prise : forme orale 3 prises par jour pendant 5 jours maximum ; forme topique 3 à 4 applications par jour pendant 5 à 10 jours.</w:t>
      </w:r>
      <w:r>
        <w:t xml:space="preserve"> </w:t>
      </w:r>
      <w:r>
        <w:t xml:space="preserve">- Préparation et Conservation : conservation à température &lt; 25 °C, à l’abri de la lumière et de l’humidité.</w:t>
      </w:r>
      <w:r>
        <w:t xml:space="preserve"> </w:t>
      </w:r>
      <w:r>
        <w:t xml:space="preserve">- Piège du surdosage / Substitution : ne pas substituer par ibuprofène seul ou par pseudoéphédrine seule sans prescription explicite ; en cas d’association à un autre AINS, risque de surdosage digestif ; en cas d’association à un autre vasoconstricteur, risque de surdosage cardiovasculaire ; pas de substitution entre les différentes marques disponibles sans prescription explicite.</w:t>
      </w:r>
    </w:p>
    <w:p>
      <w:r>
        <w:pict>
          <v:rect style="width:0;height:1.5pt" o:hralign="center" o:hrstd="t" o:hr="t"/>
        </w:pict>
      </w:r>
    </w:p>
    <w:bookmarkEnd w:id="170"/>
    <w:bookmarkEnd w:id="171"/>
    <w:bookmarkStart w:id="174" w:name="sous-classe-ains---associations-topiques"/>
    <w:p>
      <w:pPr>
        <w:pStyle w:val="Heading2"/>
      </w:pPr>
      <w:r>
        <w:t xml:space="preserve">Sous-Classe : AINS - Associations Topiques</w:t>
      </w:r>
    </w:p>
    <w:bookmarkStart w:id="172" w:name="présentation-de-la-sous-classe-11"/>
    <w:p>
      <w:pPr>
        <w:pStyle w:val="Heading3"/>
      </w:pPr>
      <w:r>
        <w:t xml:space="preserve">Présentation de la sous-classe</w:t>
      </w:r>
    </w:p>
    <w:p>
      <w:pPr>
        <w:pStyle w:val="FirstParagraph"/>
      </w:pPr>
      <w:r>
        <w:t xml:space="preserve">Les</w:t>
      </w:r>
      <w:r>
        <w:t xml:space="preserve"> </w:t>
      </w:r>
      <w:r>
        <w:rPr>
          <w:b/>
          <w:bCs/>
        </w:rPr>
        <w:t xml:space="preserve">associations topiques AINS + antibiotique</w:t>
      </w:r>
      <w:r>
        <w:t xml:space="preserve"> </w:t>
      </w:r>
      <w:r>
        <w:t xml:space="preserve">sont principalement utilisées en</w:t>
      </w:r>
      <w:r>
        <w:t xml:space="preserve"> </w:t>
      </w:r>
      <w:r>
        <w:rPr>
          <w:b/>
          <w:bCs/>
        </w:rPr>
        <w:t xml:space="preserve">ophtalmologie</w:t>
      </w:r>
      <w:r>
        <w:t xml:space="preserve">, dans le traitement des inflammations oculaires avec composante infectieuse (conjonctivites, kératites, post-chirurgie oculaire). La logique de l’association est de combiner l’effet anti-inflammatoire de l’AINS (réduction de l’inflammation conjonctivale et cornéenne) avec l’effet antibactérien de l’antibiotique (couverture des germes Gram positifs et Gram négatifs). L’association indométacine + gentamicine est la seule disponible dans la nomenclature algérienne d’avril 2026 (sous le nom d’Indobiotic collyre, Chauvin). L’association historique Voltamicine (indométacine + gentamicine, Ciba Vision) est retirée du marché.</w:t>
      </w:r>
    </w:p>
    <w:p>
      <w:pPr>
        <w:pStyle w:val="BodyText"/>
      </w:pPr>
      <w:r>
        <w:rPr>
          <w:b/>
          <w:bCs/>
        </w:rPr>
        <w:t xml:space="preserve">Indométacine</w:t>
      </w:r>
      <w:r>
        <w:t xml:space="preserve"> </w:t>
      </w:r>
      <w:r>
        <w:t xml:space="preserve">(AINS indolique) inhibe les COX-1 et COX-2, réduisant la synthèse des prostaglandines pro-inflammatoires dans la conjonctive et la cornée. Son passage systémique par voie ophtalmique est minimal mais non nul. La</w:t>
      </w:r>
      <w:r>
        <w:t xml:space="preserve"> </w:t>
      </w:r>
      <w:r>
        <w:rPr>
          <w:b/>
          <w:bCs/>
        </w:rPr>
        <w:t xml:space="preserve">gentamicine</w:t>
      </w:r>
      <w:r>
        <w:t xml:space="preserve"> </w:t>
      </w:r>
      <w:r>
        <w:t xml:space="preserve">est un aminoglycoside bactéricide (inhibition de la synthèse protéique bactérienne au niveau du ribosome 30S), actif sur les bacilles Gram négatif aérobies (Pseudomonas, Proteus, Klebsiella, Escherichia coli) et certains cocci Gram positif (Staphylocoques sensibles). La néphro- et ototoxicité de la gentamicine par voie systémique n’est pas pertinente par voie ophtalmique (absorption systémique négligeable).</w:t>
      </w:r>
    </w:p>
    <w:p>
      <w:r>
        <w:pict>
          <v:rect style="width:0;height:1.5pt" o:hralign="center" o:hrstd="t" o:hr="t"/>
        </w:pict>
      </w:r>
    </w:p>
    <w:bookmarkEnd w:id="172"/>
    <w:bookmarkStart w:id="173" w:name="X7c9edac1115f5225311421f926671dc7188ebb7"/>
    <w:p>
      <w:pPr>
        <w:pStyle w:val="Heading3"/>
      </w:pPr>
      <w:r>
        <w:t xml:space="preserve">10. DCI : AINS + Gentamicine (topique) (En Association)</w:t>
      </w:r>
    </w:p>
    <w:p>
      <w:pPr>
        <w:pStyle w:val="FirstParagraph"/>
      </w:pPr>
      <w:r>
        <w:rPr>
          <w:b/>
          <w:bCs/>
        </w:rPr>
        <w:t xml:space="preserve">Liste des Catégories :</w:t>
      </w:r>
      <w:r>
        <w:t xml:space="preserve"> </w:t>
      </w:r>
      <w:r>
        <w:t xml:space="preserve">AINS - Associations topiques ; Liste I.</w:t>
      </w:r>
    </w:p>
    <w:p>
      <w:pPr>
        <w:pStyle w:val="BodyText"/>
      </w:pPr>
      <w:r>
        <w:t xml:space="preserve">L’association indométacine (5 mg/5 mL) + gentamicine (15 000 UI/5 mL) est commercialisée en Algérie sous le nom d’Indobiotic collyre (Laboratoires Chauvin). Elle est indiquée dans le traitement local des</w:t>
      </w:r>
      <w:r>
        <w:t xml:space="preserve"> </w:t>
      </w:r>
      <w:r>
        <w:rPr>
          <w:b/>
          <w:bCs/>
        </w:rPr>
        <w:t xml:space="preserve">inflammations oculaires avec composante infectieuse</w:t>
      </w:r>
      <w:r>
        <w:t xml:space="preserve"> </w:t>
      </w:r>
      <w:r>
        <w:t xml:space="preserve">: conjonctivites purulentes, kératites, blépharites, prévention des infections post-chirurgicales oculaires. L’indométacine est un AINS indolique non sélectif, et la gentamicine est un aminoglycoside bactéricide.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INDOBIOTIC</w:t>
      </w:r>
      <w:r>
        <w:t xml:space="preserve"> </w:t>
      </w:r>
      <w:r>
        <w:t xml:space="preserve">(CHAUVIN S.A.)</w:t>
      </w:r>
      <w:r>
        <w:t xml:space="preserve"> </w:t>
      </w:r>
      <w:r>
        <w:t xml:space="preserve">- Formes et Dosages : collyre en solution 5 mg/15 000 UI/5 mL (1 mg d’indométacine + 3 000 UI de gentamicine par mL), flacon de 5 mL</w:t>
      </w:r>
      <w:r>
        <w:t xml:space="preserve"> </w:t>
      </w:r>
      <w:r>
        <w:t xml:space="preserve">- Statut : Actif ; Liste I</w:t>
      </w:r>
    </w:p>
    <w:p>
      <w:pPr>
        <w:pStyle w:val="BodyText"/>
      </w:pPr>
      <w:r>
        <w:t xml:space="preserve">Forme RETIRÉE :</w:t>
      </w:r>
      <w:r>
        <w:t xml:space="preserve"> </w:t>
      </w:r>
      <w:r>
        <w:t xml:space="preserve">-</w:t>
      </w:r>
      <w:r>
        <w:t xml:space="preserve"> </w:t>
      </w:r>
      <w:r>
        <w:rPr>
          <w:b/>
          <w:bCs/>
        </w:rPr>
        <w:t xml:space="preserve">VOLTAMICINE</w:t>
      </w:r>
      <w:r>
        <w:t xml:space="preserve"> </w:t>
      </w:r>
      <w:r>
        <w:t xml:space="preserve">(CIBA VISION ophtalmics)</w:t>
      </w:r>
      <w:r>
        <w:t xml:space="preserve"> </w:t>
      </w:r>
      <w:r>
        <w:t xml:space="preserve">- Formes et Dosages : collyre 0,1 g/300 000 UI/100 mL (100 mg d’indométacine + 300 000 UI de gentamicine pour 100 mL), flacon de 5 mL</w:t>
      </w:r>
      <w:r>
        <w:t xml:space="preserve"> </w:t>
      </w:r>
      <w:r>
        <w:t xml:space="preserve">- Statut : Retiré</w:t>
      </w:r>
    </w:p>
    <w:p>
      <w:pPr>
        <w:pStyle w:val="BodyText"/>
      </w:pPr>
      <w:r>
        <w:rPr>
          <w:b/>
          <w:bCs/>
        </w:rPr>
        <w:t xml:space="preserve">Sous-classe et Mécanisme d’action :</w:t>
      </w:r>
      <w:r>
        <w:t xml:space="preserve"> </w:t>
      </w:r>
      <w:r>
        <w:t xml:space="preserve">- Sous-classe : AINS - Associations topiques ; association fixe indométacine (AINS indolique non sélectif) + gentamicine (aminoglycoside bactéricide) en collyre ophtalmique.</w:t>
      </w:r>
      <w:r>
        <w:t xml:space="preserve"> </w:t>
      </w:r>
      <w:r>
        <w:t xml:space="preserve">- Mécanisme d’action :</w:t>
      </w:r>
      <w:r>
        <w:t xml:space="preserve"> </w:t>
      </w:r>
      <w:r>
        <w:t xml:space="preserve">- Indométacine : inhibition non sélective et réversible des COX-1 et COX-2, réduisant la synthèse des prostaglandines pro-inflammatoires dans la conjonctive et la cornée. Réduction de l’hyperhémie conjonctivale, de l’œdème, de la douleur et du larmoiement.</w:t>
      </w:r>
      <w:r>
        <w:t xml:space="preserve"> </w:t>
      </w:r>
      <w:r>
        <w:t xml:space="preserve">- Gentamicine : aminoglycoside bactéricide se fixant sur la sous-unité 30S du ribosome bactérien, entraînant une lecture erronée du code génétique et la synthèse de protéines non fonctionnelles. Spectre : bacilles Gram négatif aérobies (Pseudomonas aeruginosa, Proteus, Klebsiella, Escherichia coli, Serratia) et certains cocci Gram positif (Staphylococcus aureus sensibles, Streptocoques sensibles). Inactif sur les anaérobies, les mycoplasmes, les chlamydiae.</w:t>
      </w:r>
    </w:p>
    <w:p>
      <w:pPr>
        <w:pStyle w:val="BodyText"/>
      </w:pPr>
      <w:r>
        <w:rPr>
          <w:b/>
          <w:bCs/>
        </w:rPr>
        <w:t xml:space="preserve">Profil Pharmacologique :</w:t>
      </w:r>
      <w:r>
        <w:t xml:space="preserve"> </w:t>
      </w:r>
      <w:r>
        <w:t xml:space="preserve">- Indications : traitement local des inflammations oculaires avec surinfection bactérienne ou à risque de surinfection bactérienne : conjonctivites purulentes, kératites bactériennes superficielles, blépharites, ulcères cornéens bactériens (en association à un traitement systémique), prévention des infections post-chirurgicales oculaires (chirurgie de la cataracte, vitrectomie).</w:t>
      </w:r>
      <w:r>
        <w:t xml:space="preserve"> </w:t>
      </w:r>
      <w:r>
        <w:t xml:space="preserve">- Contre-indications : hypersensibilité à l’un des composants ; antécédents d’allergie à l’aspirine ou autres AINS (asthme déclenché par AINS) ; antécédent d’allergie aux aminoglycosides (sulfites) ; infections virales oculaires (herpès, varicelle) — risque d’aggravation par l’AINS ; infections fongiques oculaires ; port de lentilles de contact souples (contre-indication temporaire pendant le traitement) ; grossesse (par prudence, surtout au 1er trimestre) ; enfant &lt; 2 ans.</w:t>
      </w:r>
      <w:r>
        <w:t xml:space="preserve"> </w:t>
      </w:r>
      <w:r>
        <w:t xml:space="preserve">- Effets Indésirables :</w:t>
      </w:r>
      <w:r>
        <w:t xml:space="preserve"> </w:t>
      </w:r>
      <w:r>
        <w:t xml:space="preserve">- Locaux : picotements et brûlures oculaires à l’instillation (fréquent, 10-20 %), hyperhémie conjonctivale, prurit oculaire, larmoiement, sécheresse oculaire ; kératite superficielle (rare, liée à l’indométacine) ; allergie de contact (rare, possible aux conservateurs).</w:t>
      </w:r>
      <w:r>
        <w:t xml:space="preserve"> </w:t>
      </w:r>
      <w:r>
        <w:t xml:space="preserve">- Systémiques (très rares en raison de l’absorption systémique minimale) : réactions allergiques générales, asthme déclenché par AINS (exceptionnel).</w:t>
      </w:r>
      <w:r>
        <w:t xml:space="preserve"> </w:t>
      </w:r>
      <w:r>
        <w:t xml:space="preserve">- Liés aux conservateurs : le chlorure de benzalkonium peut provoquer une kératopathie toxique en cas d’usage prolongé (&gt; 7-10 jours) ou de port de lentilles de contact.</w:t>
      </w:r>
    </w:p>
    <w:p>
      <w:pPr>
        <w:pStyle w:val="BodyText"/>
      </w:pPr>
      <w:r>
        <w:rPr>
          <w:b/>
          <w:bCs/>
        </w:rPr>
        <w:t xml:space="preserve">Prévention et Gestion des Effets Indésirables :</w:t>
      </w:r>
      <w:r>
        <w:t xml:space="preserve"> </w:t>
      </w:r>
      <w:r>
        <w:t xml:space="preserve">- Mesures Préventives : respect strict de la durée de traitement (5 à 7 jours, à réévaluer) ; ne pas toucher l’œil ou les paupières avec l’embout du flacon (risque de contamination) ; retirer les lentilles de contact avant l’instillation et attendre au moins 15 minutes avant de les remettre ; préférer des unités-doses sans conservateur en cas de traitement prolongé ou de port de lentilles (mais Indobiotic n’est disponible qu’en flacon multidose avec conservateur).</w:t>
      </w:r>
      <w:r>
        <w:t xml:space="preserve"> </w:t>
      </w:r>
      <w:r>
        <w:t xml:space="preserve">- Conduite à Tenir : arrêt en cas de douleur oculaire intense, baisse d’acuité visuelle, aggravation des symptômes après 48-72 heures de traitement, réaction allergique.</w:t>
      </w:r>
    </w:p>
    <w:p>
      <w:pPr>
        <w:pStyle w:val="BodyText"/>
      </w:pPr>
      <w:r>
        <w:rPr>
          <w:b/>
          <w:bCs/>
        </w:rPr>
        <w:t xml:space="preserve">Interactions Importantes :</w:t>
      </w:r>
      <w:r>
        <w:t xml:space="preserve"> </w:t>
      </w:r>
      <w:r>
        <w:t xml:space="preserve">-</w:t>
      </w:r>
      <w:r>
        <w:t xml:space="preserve"> </w:t>
      </w:r>
      <w:r>
        <w:rPr>
          <w:b/>
          <w:bCs/>
        </w:rPr>
        <w:t xml:space="preserve">Indobiotic + autres collyres</w:t>
      </w:r>
      <w:r>
        <w:t xml:space="preserve"> </w:t>
      </w:r>
      <w:r>
        <w:t xml:space="preserve">: espacer les instillations de 10-15 minutes pour éviter le lavage réciproque.</w:t>
      </w:r>
      <w:r>
        <w:t xml:space="preserve"> </w:t>
      </w:r>
      <w:r>
        <w:t xml:space="preserve">-</w:t>
      </w:r>
      <w:r>
        <w:t xml:space="preserve"> </w:t>
      </w:r>
      <w:r>
        <w:rPr>
          <w:b/>
          <w:bCs/>
        </w:rPr>
        <w:t xml:space="preserve">Indobiotic + collyres atropiniques</w:t>
      </w:r>
      <w:r>
        <w:t xml:space="preserve"> </w:t>
      </w:r>
      <w:r>
        <w:t xml:space="preserve">: potentialisation de l’effet mydriatique par l’indométacine (par inhibition de la synthèse des prostaglandines impliquées dans la régulation du tonus irien).</w:t>
      </w:r>
      <w:r>
        <w:t xml:space="preserve"> </w:t>
      </w:r>
      <w:r>
        <w:t xml:space="preserve">-</w:t>
      </w:r>
      <w:r>
        <w:t xml:space="preserve"> </w:t>
      </w:r>
      <w:r>
        <w:rPr>
          <w:b/>
          <w:bCs/>
        </w:rPr>
        <w:t xml:space="preserve">Indobiotic + anticoagulants oraux</w:t>
      </w:r>
      <w:r>
        <w:t xml:space="preserve"> </w:t>
      </w:r>
      <w:r>
        <w:t xml:space="preserve">: passage systémique minimal de l’indométacine, mais surveillance en cas de traitement prolongé.</w:t>
      </w:r>
    </w:p>
    <w:p>
      <w:pPr>
        <w:pStyle w:val="BodyText"/>
      </w:pPr>
      <w:r>
        <w:rPr>
          <w:b/>
          <w:bCs/>
        </w:rPr>
        <w:t xml:space="preserve">Grossesse et Allaitement :</w:t>
      </w:r>
      <w:r>
        <w:t xml:space="preserve"> </w:t>
      </w:r>
      <w:r>
        <w:t xml:space="preserve">- Grossesse : l’indométacine systémique est contre-indiquée au 3e trimestre (risque cardio-pulmonaire fœtal), mais la voie ophtalmique entraîne une absorption systémique négligeable ; à utiliser avec prudence, particulièrement au 1er trimestre (données limitées) ; à éviter par prudence si alternative disponible.</w:t>
      </w:r>
      <w:r>
        <w:t xml:space="preserve"> </w:t>
      </w:r>
      <w:r>
        <w:t xml:space="preserve">- Allaitement : passage systémique minimal ; compatible avec l’allaitement.</w:t>
      </w:r>
      <w:r>
        <w:t xml:space="preserve"> </w:t>
      </w:r>
      <w:r>
        <w:t xml:space="preserve">- Précisions : chez la femme enceinte présentant une conjonctivite, privilégier en première intention un collyre antibiotique seul (sans AINS) si la composante inflammatoire est modérée.</w:t>
      </w:r>
    </w:p>
    <w:p>
      <w:pPr>
        <w:pStyle w:val="BodyText"/>
      </w:pPr>
      <w:r>
        <w:rPr>
          <w:b/>
          <w:bCs/>
        </w:rPr>
        <w:t xml:space="preserve">Posologie et Mode d’administration (Standard) :</w:t>
      </w:r>
      <w:r>
        <w:t xml:space="preserve"> </w:t>
      </w:r>
      <w:r>
        <w:t xml:space="preserve">- Adulte : 1 goutte dans l’œil atteint, 4 à 6 fois par jour, à intervalles réguliers. En cas d’infection sévère : 1 goutte toutes les heures pendant les premières 24-48 heures, puis espacer progressivement.</w:t>
      </w:r>
      <w:r>
        <w:t xml:space="preserve"> </w:t>
      </w:r>
      <w:r>
        <w:t xml:space="preserve">- Enfant &gt; 2 ans : 1 goutte 3 à 4 fois par jour.</w:t>
      </w:r>
      <w:r>
        <w:t xml:space="preserve"> </w:t>
      </w:r>
      <w:r>
        <w:t xml:space="preserve">- Enfant &lt; 2 ans : contre-indication.</w:t>
      </w:r>
      <w:r>
        <w:t xml:space="preserve"> </w:t>
      </w:r>
      <w:r>
        <w:t xml:space="preserve">- Durée : traitement de courte durée, 5 à 7 jours en moyenne ; ne pas dépasser 10 jours sans avis ophtalmologique.</w:t>
      </w:r>
      <w:r>
        <w:t xml:space="preserve"> </w:t>
      </w:r>
      <w:r>
        <w:t xml:space="preserve">- Mode d’administration :</w:t>
      </w:r>
      <w:r>
        <w:t xml:space="preserve"> </w:t>
      </w:r>
      <w:r>
        <w:t xml:space="preserve">1. Se laver soigneusement les mains.</w:t>
      </w:r>
      <w:r>
        <w:t xml:space="preserve"> </w:t>
      </w:r>
      <w:r>
        <w:t xml:space="preserve">2. Baisser la tête légèrement en arrière.</w:t>
      </w:r>
      <w:r>
        <w:t xml:space="preserve"> </w:t>
      </w:r>
      <w:r>
        <w:t xml:space="preserve">3. Tirer délicatement la paupière inférieure vers le bas pour former une « poche ».</w:t>
      </w:r>
      <w:r>
        <w:t xml:space="preserve"> </w:t>
      </w:r>
      <w:r>
        <w:t xml:space="preserve">4. Instiller une goutte dans la poche conjonctivale sans toucher l’œil avec l’embout du flacon.</w:t>
      </w:r>
      <w:r>
        <w:t xml:space="preserve"> </w:t>
      </w:r>
      <w:r>
        <w:t xml:space="preserve">5. Relâcher la paupière, fermer l’œil et masser doucement le coin interne de l’œil (point lacrymal) pendant 1-2 minutes pour réduire le passage naso-lacrymal et systémique.</w:t>
      </w:r>
      <w:r>
        <w:t xml:space="preserve"> </w:t>
      </w:r>
      <w:r>
        <w:t xml:space="preserve">6. Essuyer l’embout du flacon avec un compress stérile avant de reboucher.</w:t>
      </w:r>
    </w:p>
    <w:p>
      <w:pPr>
        <w:pStyle w:val="BodyText"/>
      </w:pPr>
      <w:r>
        <w:rPr>
          <w:b/>
          <w:bCs/>
        </w:rPr>
        <w:t xml:space="preserve">Arbitrage et Bénéfices des Formes Galéniques :</w:t>
      </w:r>
      <w:r>
        <w:t xml:space="preserve"> </w:t>
      </w:r>
      <w:r>
        <w:t xml:space="preserve">- Collyre en solution (flacon multidose de 5 mL) : forme standard, conservation 30 jours après ouverture (selon le laboratoire) ; présence de chlorure de benzalkonium comme conservateur.</w:t>
      </w:r>
      <w:r>
        <w:t xml:space="preserve"> </w:t>
      </w:r>
      <w:r>
        <w:t xml:space="preserve">- L’absence d’unités-doses sans conservateur limite l’usage prolongé et le port de lentilles de contact pendant le traitement.</w:t>
      </w:r>
      <w:r>
        <w:t xml:space="preserve"> </w:t>
      </w:r>
      <w:r>
        <w:t xml:space="preserve">- Le retrait de Voltamicine (Ciba Vision) a laissé Indobiotic (Chauvin) comme seule marque disponible en Algérie.</w:t>
      </w:r>
    </w:p>
    <w:p>
      <w:pPr>
        <w:pStyle w:val="BodyText"/>
      </w:pPr>
      <w:r>
        <w:rPr>
          <w:b/>
          <w:bCs/>
        </w:rPr>
        <w:t xml:space="preserve">Instructions et Conseils au Patient :</w:t>
      </w:r>
      <w:r>
        <w:t xml:space="preserve"> </w:t>
      </w:r>
      <w:r>
        <w:t xml:space="preserve">- Communication au comptoir : « Ce collyre contient un anti-inflammatoire et un antibiotique. Instillez 1 goutte dans l’œil atteint, 4 à 6 fois par jour, pendant 5 à 7 jours maximum. Lavez-vous les mains avant et après, ne touchez pas l’œil avec l’embout du flacon. Retirez vos lentilles de contact avant l’instillation. Si vous avez des douleurs oculaires intenses, une baisse de vision ou une aggravation des symptômes, consultez rapidement. »</w:t>
      </w:r>
      <w:r>
        <w:t xml:space="preserve"> </w:t>
      </w:r>
      <w:r>
        <w:t xml:space="preserve">- Mode d’utilisation pratique : voir la section Posologie (les 6 étapes d’instillation).</w:t>
      </w:r>
    </w:p>
    <w:p>
      <w:pPr>
        <w:pStyle w:val="BodyText"/>
      </w:pPr>
      <w:r>
        <w:rPr>
          <w:b/>
          <w:bCs/>
        </w:rPr>
        <w:t xml:space="preserve">Notes, Règles d’Or &amp; Pièges au Comptoir :</w:t>
      </w:r>
      <w:r>
        <w:t xml:space="preserve"> </w:t>
      </w:r>
      <w:r>
        <w:t xml:space="preserve">- Piège classique : oublier de demander si le patient porte des lentilles de contact (contre-indication temporaire) ; ne pas préciser la durée maximale (5-7 jours) ; méconnaître la nécessité d’espacer les instillations en cas d’association à un autre collyre ; oublier de demander si l’infection touche un seul œil ou les deux (traiter les deux yeux en cas d’atteinte bilatérale, mais avec des flacons distincts pour éviter la contamination croisée).</w:t>
      </w:r>
      <w:r>
        <w:t xml:space="preserve"> </w:t>
      </w:r>
      <w:r>
        <w:t xml:space="preserve">- Règle de prise : 1 goutte 4 à 6 fois par jour, à intervalles réguliers, dans l’œil atteint.</w:t>
      </w:r>
      <w:r>
        <w:t xml:space="preserve"> </w:t>
      </w:r>
      <w:r>
        <w:t xml:space="preserve">- Préparation et Conservation : conservation à température &lt; 25 °C, à l’abri de la lumière ; jeter le flacon 30 jours après ouverture (selon recommandations du laboratoire) ; ne pas utiliser si la solution est trouble ou si elle a changé de couleur.</w:t>
      </w:r>
      <w:r>
        <w:t xml:space="preserve"> </w:t>
      </w:r>
      <w:r>
        <w:t xml:space="preserve">- Piège du surdosage / Substitution : en cas d’oubli, ne pas doubler la dose suivante ; pas de substitution possible vers un autre collyre (Indobiotic est la seule marque disponible) ; attention aux patients ayant un asthme déclenché par les AINS (contre-indication absolue, même en collyre).</w:t>
      </w:r>
    </w:p>
    <w:p>
      <w:r>
        <w:pict>
          <v:rect style="width:0;height:1.5pt" o:hralign="center" o:hrstd="t" o:hr="t"/>
        </w:pict>
      </w:r>
    </w:p>
    <w:bookmarkEnd w:id="173"/>
    <w:bookmarkEnd w:id="174"/>
    <w:bookmarkStart w:id="175" w:name="X0e1356712dd7f8dea7db62cfb84891ef207c44a"/>
    <w:p>
      <w:pPr>
        <w:pStyle w:val="Heading2"/>
      </w:pPr>
      <w:r>
        <w:t xml:space="preserve">Tableau Comparatif Synthétique des AINS de cette Classe</w:t>
      </w:r>
    </w:p>
    <w:tbl>
      <w:tblPr>
        <w:tblStyle w:val="Table"/>
        <w:tblW w:type="pct" w:w="5000"/>
        <w:jc w:val="left"/>
        <w:tblLayout w:type="fixed"/>
        <w:tblLook w:firstRow="1" w:lastRow="0" w:firstColumn="0" w:lastColumn="0" w:noHBand="0" w:noVBand="0" w:val="0020"/>
      </w:tblPr>
      <w:tblGrid>
        <w:gridCol w:w="316"/>
        <w:gridCol w:w="823"/>
        <w:gridCol w:w="1203"/>
        <w:gridCol w:w="887"/>
        <w:gridCol w:w="1774"/>
        <w:gridCol w:w="1520"/>
        <w:gridCol w:w="696"/>
        <w:gridCol w:w="696"/>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Sélectivité COX-2</w:t>
            </w:r>
          </w:p>
        </w:tc>
        <w:tc>
          <w:tcPr/>
          <w:p>
            <w:pPr>
              <w:pStyle w:val="Compact"/>
              <w:jc w:val="left"/>
            </w:pPr>
            <w:r>
              <w:t xml:space="preserve">Demi-vie (h)</w:t>
            </w:r>
          </w:p>
        </w:tc>
        <w:tc>
          <w:tcPr/>
          <w:p>
            <w:pPr>
              <w:pStyle w:val="Compact"/>
              <w:jc w:val="left"/>
            </w:pPr>
            <w:r>
              <w:t xml:space="preserve">Posologie standard (adulte)</w:t>
            </w:r>
          </w:p>
        </w:tc>
        <w:tc>
          <w:tcPr/>
          <w:p>
            <w:pPr>
              <w:pStyle w:val="Compact"/>
              <w:jc w:val="left"/>
            </w:pPr>
            <w:r>
              <w:t xml:space="preserve">EI digestif principal</w:t>
            </w:r>
          </w:p>
        </w:tc>
        <w:tc>
          <w:tcPr/>
          <w:p>
            <w:pPr>
              <w:pStyle w:val="Compact"/>
              <w:jc w:val="left"/>
            </w:pPr>
            <w:r>
              <w:t xml:space="preserve">Risque CV</w:t>
            </w:r>
          </w:p>
        </w:tc>
        <w:tc>
          <w:tcPr/>
          <w:p>
            <w:pPr>
              <w:pStyle w:val="Compact"/>
              <w:jc w:val="left"/>
            </w:pPr>
            <w:r>
              <w:t xml:space="preserve">Grossesse</w:t>
            </w:r>
          </w:p>
        </w:tc>
      </w:tr>
      <w:tr>
        <w:tc>
          <w:tcPr/>
          <w:p>
            <w:pPr>
              <w:pStyle w:val="Compact"/>
              <w:jc w:val="left"/>
            </w:pPr>
            <w:r>
              <w:t xml:space="preserve">Piroxicam</w:t>
            </w:r>
          </w:p>
        </w:tc>
        <w:tc>
          <w:tcPr/>
          <w:p>
            <w:pPr>
              <w:pStyle w:val="Compact"/>
              <w:jc w:val="left"/>
            </w:pPr>
            <w:r>
              <w:t xml:space="preserve">Oxicam</w:t>
            </w:r>
          </w:p>
        </w:tc>
        <w:tc>
          <w:tcPr/>
          <w:p>
            <w:pPr>
              <w:pStyle w:val="Compact"/>
              <w:jc w:val="left"/>
            </w:pPr>
            <w:r>
              <w:t xml:space="preserve">Non sélective (ratio ≈ 1)</w:t>
            </w:r>
          </w:p>
        </w:tc>
        <w:tc>
          <w:tcPr/>
          <w:p>
            <w:pPr>
              <w:pStyle w:val="Compact"/>
              <w:jc w:val="left"/>
            </w:pPr>
            <w:r>
              <w:t xml:space="preserve">40-60</w:t>
            </w:r>
          </w:p>
        </w:tc>
        <w:tc>
          <w:tcPr/>
          <w:p>
            <w:pPr>
              <w:pStyle w:val="Compact"/>
              <w:jc w:val="left"/>
            </w:pPr>
            <w:r>
              <w:t xml:space="preserve">20 mg 1/j</w:t>
            </w:r>
          </w:p>
        </w:tc>
        <w:tc>
          <w:tcPr/>
          <w:p>
            <w:pPr>
              <w:pStyle w:val="Compact"/>
              <w:jc w:val="left"/>
            </w:pPr>
            <w:r>
              <w:t xml:space="preserve">Ulcère, hémorragie</w:t>
            </w:r>
          </w:p>
        </w:tc>
        <w:tc>
          <w:tcPr/>
          <w:p>
            <w:pPr>
              <w:pStyle w:val="Compact"/>
              <w:jc w:val="left"/>
            </w:pPr>
            <w:r>
              <w:t xml:space="preserve">Modéré</w:t>
            </w:r>
          </w:p>
        </w:tc>
        <w:tc>
          <w:tcPr/>
          <w:p>
            <w:pPr>
              <w:pStyle w:val="Compact"/>
              <w:jc w:val="left"/>
            </w:pPr>
            <w:r>
              <w:t xml:space="preserve">CI 3e trim</w:t>
            </w:r>
          </w:p>
        </w:tc>
      </w:tr>
      <w:tr>
        <w:tc>
          <w:tcPr/>
          <w:p>
            <w:pPr>
              <w:pStyle w:val="Compact"/>
              <w:jc w:val="left"/>
            </w:pPr>
            <w:r>
              <w:t xml:space="preserve">Piroxicam β-CD</w:t>
            </w:r>
          </w:p>
        </w:tc>
        <w:tc>
          <w:tcPr/>
          <w:p>
            <w:pPr>
              <w:pStyle w:val="Compact"/>
              <w:jc w:val="left"/>
            </w:pPr>
            <w:r>
              <w:t xml:space="preserve">Oxicam complexé</w:t>
            </w:r>
          </w:p>
        </w:tc>
        <w:tc>
          <w:tcPr/>
          <w:p>
            <w:pPr>
              <w:pStyle w:val="Compact"/>
              <w:jc w:val="left"/>
            </w:pPr>
            <w:r>
              <w:t xml:space="preserve">Non sélective (ratio ≈ 1)</w:t>
            </w:r>
          </w:p>
        </w:tc>
        <w:tc>
          <w:tcPr/>
          <w:p>
            <w:pPr>
              <w:pStyle w:val="Compact"/>
              <w:jc w:val="left"/>
            </w:pPr>
            <w:r>
              <w:t xml:space="preserve">40-60</w:t>
            </w:r>
          </w:p>
        </w:tc>
        <w:tc>
          <w:tcPr/>
          <w:p>
            <w:pPr>
              <w:pStyle w:val="Compact"/>
              <w:jc w:val="left"/>
            </w:pPr>
            <w:r>
              <w:t xml:space="preserve">20 mg 1/j</w:t>
            </w:r>
          </w:p>
        </w:tc>
        <w:tc>
          <w:tcPr/>
          <w:p>
            <w:pPr>
              <w:pStyle w:val="Compact"/>
              <w:jc w:val="left"/>
            </w:pPr>
            <w:r>
              <w:t xml:space="preserve">Ulcère (réduit localement)</w:t>
            </w:r>
          </w:p>
        </w:tc>
        <w:tc>
          <w:tcPr/>
          <w:p>
            <w:pPr>
              <w:pStyle w:val="Compact"/>
              <w:jc w:val="left"/>
            </w:pPr>
            <w:r>
              <w:t xml:space="preserve">Modéré</w:t>
            </w:r>
          </w:p>
        </w:tc>
        <w:tc>
          <w:tcPr/>
          <w:p>
            <w:pPr>
              <w:pStyle w:val="Compact"/>
              <w:jc w:val="left"/>
            </w:pPr>
            <w:r>
              <w:t xml:space="preserve">CI 3e trim</w:t>
            </w:r>
          </w:p>
        </w:tc>
      </w:tr>
      <w:tr>
        <w:tc>
          <w:tcPr/>
          <w:p>
            <w:pPr>
              <w:pStyle w:val="Compact"/>
              <w:jc w:val="left"/>
            </w:pPr>
            <w:r>
              <w:t xml:space="preserve">Méloxicam</w:t>
            </w:r>
          </w:p>
        </w:tc>
        <w:tc>
          <w:tcPr/>
          <w:p>
            <w:pPr>
              <w:pStyle w:val="Compact"/>
              <w:jc w:val="left"/>
            </w:pPr>
            <w:r>
              <w:t xml:space="preserve">Oxicam</w:t>
            </w:r>
          </w:p>
        </w:tc>
        <w:tc>
          <w:tcPr/>
          <w:p>
            <w:pPr>
              <w:pStyle w:val="Compact"/>
              <w:jc w:val="left"/>
            </w:pPr>
            <w:r>
              <w:t xml:space="preserve">Modérée (ratio ≈ 10)</w:t>
            </w:r>
          </w:p>
        </w:tc>
        <w:tc>
          <w:tcPr/>
          <w:p>
            <w:pPr>
              <w:pStyle w:val="Compact"/>
              <w:jc w:val="left"/>
            </w:pPr>
            <w:r>
              <w:t xml:space="preserve">15-20</w:t>
            </w:r>
          </w:p>
        </w:tc>
        <w:tc>
          <w:tcPr/>
          <w:p>
            <w:pPr>
              <w:pStyle w:val="Compact"/>
              <w:jc w:val="left"/>
            </w:pPr>
            <w:r>
              <w:t xml:space="preserve">7,5-15 mg 1/j</w:t>
            </w:r>
          </w:p>
        </w:tc>
        <w:tc>
          <w:tcPr/>
          <w:p>
            <w:pPr>
              <w:pStyle w:val="Compact"/>
              <w:jc w:val="left"/>
            </w:pPr>
            <w:r>
              <w:t xml:space="preserve">Ulcère (réduit vs piroxicam)</w:t>
            </w:r>
          </w:p>
        </w:tc>
        <w:tc>
          <w:tcPr/>
          <w:p>
            <w:pPr>
              <w:pStyle w:val="Compact"/>
              <w:jc w:val="left"/>
            </w:pPr>
            <w:r>
              <w:t xml:space="preserve">Modéré</w:t>
            </w:r>
          </w:p>
        </w:tc>
        <w:tc>
          <w:tcPr/>
          <w:p>
            <w:pPr>
              <w:pStyle w:val="Compact"/>
              <w:jc w:val="left"/>
            </w:pPr>
            <w:r>
              <w:t xml:space="preserve">CI 3e trim</w:t>
            </w:r>
          </w:p>
        </w:tc>
      </w:tr>
      <w:tr>
        <w:tc>
          <w:tcPr/>
          <w:p>
            <w:pPr>
              <w:pStyle w:val="Compact"/>
              <w:jc w:val="left"/>
            </w:pPr>
            <w:r>
              <w:t xml:space="preserve">Lornoxicam</w:t>
            </w:r>
          </w:p>
        </w:tc>
        <w:tc>
          <w:tcPr/>
          <w:p>
            <w:pPr>
              <w:pStyle w:val="Compact"/>
              <w:jc w:val="left"/>
            </w:pPr>
            <w:r>
              <w:t xml:space="preserve">Oxicam</w:t>
            </w:r>
          </w:p>
        </w:tc>
        <w:tc>
          <w:tcPr/>
          <w:p>
            <w:pPr>
              <w:pStyle w:val="Compact"/>
              <w:jc w:val="left"/>
            </w:pPr>
            <w:r>
              <w:t xml:space="preserve">Non sélective (ratio ≈ 1)</w:t>
            </w:r>
          </w:p>
        </w:tc>
        <w:tc>
          <w:tcPr/>
          <w:p>
            <w:pPr>
              <w:pStyle w:val="Compact"/>
              <w:jc w:val="left"/>
            </w:pPr>
            <w:r>
              <w:t xml:space="preserve">3-5</w:t>
            </w:r>
          </w:p>
        </w:tc>
        <w:tc>
          <w:tcPr/>
          <w:p>
            <w:pPr>
              <w:pStyle w:val="Compact"/>
              <w:jc w:val="left"/>
            </w:pPr>
            <w:r>
              <w:t xml:space="preserve">8 mg x2/j</w:t>
            </w:r>
          </w:p>
        </w:tc>
        <w:tc>
          <w:tcPr/>
          <w:p>
            <w:pPr>
              <w:pStyle w:val="Compact"/>
              <w:jc w:val="left"/>
            </w:pPr>
            <w:r>
              <w:t xml:space="preserve">Ulcère</w:t>
            </w:r>
          </w:p>
        </w:tc>
        <w:tc>
          <w:tcPr/>
          <w:p>
            <w:pPr>
              <w:pStyle w:val="Compact"/>
              <w:jc w:val="left"/>
            </w:pPr>
            <w:r>
              <w:t xml:space="preserve">Modéré</w:t>
            </w:r>
          </w:p>
        </w:tc>
        <w:tc>
          <w:tcPr/>
          <w:p>
            <w:pPr>
              <w:pStyle w:val="Compact"/>
              <w:jc w:val="left"/>
            </w:pPr>
            <w:r>
              <w:t xml:space="preserve">CI 3e trim</w:t>
            </w:r>
          </w:p>
        </w:tc>
      </w:tr>
      <w:tr>
        <w:tc>
          <w:tcPr/>
          <w:p>
            <w:pPr>
              <w:pStyle w:val="Compact"/>
              <w:jc w:val="left"/>
            </w:pPr>
            <w:r>
              <w:t xml:space="preserve">Célécoxib</w:t>
            </w:r>
          </w:p>
        </w:tc>
        <w:tc>
          <w:tcPr/>
          <w:p>
            <w:pPr>
              <w:pStyle w:val="Compact"/>
              <w:jc w:val="left"/>
            </w:pPr>
            <w:r>
              <w:t xml:space="preserve">Coxib (sulfonamide)</w:t>
            </w:r>
          </w:p>
        </w:tc>
        <w:tc>
          <w:tcPr/>
          <w:p>
            <w:pPr>
              <w:pStyle w:val="Compact"/>
              <w:jc w:val="left"/>
            </w:pPr>
            <w:r>
              <w:t xml:space="preserve">Sélective (ratio ≈ 30)</w:t>
            </w:r>
          </w:p>
        </w:tc>
        <w:tc>
          <w:tcPr/>
          <w:p>
            <w:pPr>
              <w:pStyle w:val="Compact"/>
              <w:jc w:val="left"/>
            </w:pPr>
            <w:r>
              <w:t xml:space="preserve">8-12</w:t>
            </w:r>
          </w:p>
        </w:tc>
        <w:tc>
          <w:tcPr/>
          <w:p>
            <w:pPr>
              <w:pStyle w:val="Compact"/>
              <w:jc w:val="left"/>
            </w:pPr>
            <w:r>
              <w:t xml:space="preserve">100-200 mg x1-2/j</w:t>
            </w:r>
          </w:p>
        </w:tc>
        <w:tc>
          <w:tcPr/>
          <w:p>
            <w:pPr>
              <w:pStyle w:val="Compact"/>
              <w:jc w:val="left"/>
            </w:pPr>
            <w:r>
              <w:t xml:space="preserve">Ulcère (réduit 50 %)</w:t>
            </w:r>
          </w:p>
        </w:tc>
        <w:tc>
          <w:tcPr/>
          <w:p>
            <w:pPr>
              <w:pStyle w:val="Compact"/>
              <w:jc w:val="left"/>
            </w:pPr>
            <w:r>
              <w:t xml:space="preserve">Élevé (APC trial)</w:t>
            </w:r>
          </w:p>
        </w:tc>
        <w:tc>
          <w:tcPr/>
          <w:p>
            <w:pPr>
              <w:pStyle w:val="Compact"/>
              <w:jc w:val="left"/>
            </w:pPr>
            <w:r>
              <w:t xml:space="preserve">CI 3e trim</w:t>
            </w:r>
          </w:p>
        </w:tc>
      </w:tr>
      <w:tr>
        <w:tc>
          <w:tcPr/>
          <w:p>
            <w:pPr>
              <w:pStyle w:val="Compact"/>
              <w:jc w:val="left"/>
            </w:pPr>
            <w:r>
              <w:t xml:space="preserve">Étoricoxib</w:t>
            </w:r>
          </w:p>
        </w:tc>
        <w:tc>
          <w:tcPr/>
          <w:p>
            <w:pPr>
              <w:pStyle w:val="Compact"/>
              <w:jc w:val="left"/>
            </w:pPr>
            <w:r>
              <w:t xml:space="preserve">Coxib (méthylsulfone)</w:t>
            </w:r>
          </w:p>
        </w:tc>
        <w:tc>
          <w:tcPr/>
          <w:p>
            <w:pPr>
              <w:pStyle w:val="Compact"/>
              <w:jc w:val="left"/>
            </w:pPr>
            <w:r>
              <w:t xml:space="preserve">Très sélective (ratio ≈ 100)</w:t>
            </w:r>
          </w:p>
        </w:tc>
        <w:tc>
          <w:tcPr/>
          <w:p>
            <w:pPr>
              <w:pStyle w:val="Compact"/>
              <w:jc w:val="left"/>
            </w:pPr>
            <w:r>
              <w:t xml:space="preserve">20-26</w:t>
            </w:r>
          </w:p>
        </w:tc>
        <w:tc>
          <w:tcPr/>
          <w:p>
            <w:pPr>
              <w:pStyle w:val="Compact"/>
              <w:jc w:val="left"/>
            </w:pPr>
            <w:r>
              <w:t xml:space="preserve">30-120 mg 1/j</w:t>
            </w:r>
          </w:p>
        </w:tc>
        <w:tc>
          <w:tcPr/>
          <w:p>
            <w:pPr>
              <w:pStyle w:val="Compact"/>
              <w:jc w:val="left"/>
            </w:pPr>
            <w:r>
              <w:t xml:space="preserve">Ulcère (réduit 60 %)</w:t>
            </w:r>
          </w:p>
        </w:tc>
        <w:tc>
          <w:tcPr/>
          <w:p>
            <w:pPr>
              <w:pStyle w:val="Compact"/>
              <w:jc w:val="left"/>
            </w:pPr>
            <w:r>
              <w:t xml:space="preserve">Élevé (MEDAL)</w:t>
            </w:r>
          </w:p>
        </w:tc>
        <w:tc>
          <w:tcPr/>
          <w:p>
            <w:pPr>
              <w:pStyle w:val="Compact"/>
              <w:jc w:val="left"/>
            </w:pPr>
            <w:r>
              <w:t xml:space="preserve">CI 3e trim</w:t>
            </w:r>
          </w:p>
        </w:tc>
      </w:tr>
      <w:tr>
        <w:tc>
          <w:tcPr/>
          <w:p>
            <w:pPr>
              <w:pStyle w:val="Compact"/>
              <w:jc w:val="left"/>
            </w:pPr>
            <w:r>
              <w:t xml:space="preserve">Nimésulide</w:t>
            </w:r>
          </w:p>
        </w:tc>
        <w:tc>
          <w:tcPr/>
          <w:p>
            <w:pPr>
              <w:pStyle w:val="Compact"/>
              <w:jc w:val="left"/>
            </w:pPr>
            <w:r>
              <w:t xml:space="preserve">Sulfonanilide</w:t>
            </w:r>
          </w:p>
        </w:tc>
        <w:tc>
          <w:tcPr/>
          <w:p>
            <w:pPr>
              <w:pStyle w:val="Compact"/>
              <w:jc w:val="left"/>
            </w:pPr>
            <w:r>
              <w:t xml:space="preserve">Modérée (ratio ≈ 5-20)</w:t>
            </w:r>
          </w:p>
        </w:tc>
        <w:tc>
          <w:tcPr/>
          <w:p>
            <w:pPr>
              <w:pStyle w:val="Compact"/>
              <w:jc w:val="left"/>
            </w:pPr>
            <w:r>
              <w:t xml:space="preserve">3-6</w:t>
            </w:r>
          </w:p>
        </w:tc>
        <w:tc>
          <w:tcPr/>
          <w:p>
            <w:pPr>
              <w:pStyle w:val="Compact"/>
              <w:jc w:val="left"/>
            </w:pPr>
            <w:r>
              <w:t xml:space="preserve">100 mg x2/j</w:t>
            </w:r>
          </w:p>
        </w:tc>
        <w:tc>
          <w:tcPr/>
          <w:p>
            <w:pPr>
              <w:pStyle w:val="Compact"/>
              <w:jc w:val="left"/>
            </w:pPr>
            <w:r>
              <w:t xml:space="preserve">Ulcère</w:t>
            </w:r>
          </w:p>
        </w:tc>
        <w:tc>
          <w:tcPr/>
          <w:p>
            <w:pPr>
              <w:pStyle w:val="Compact"/>
              <w:jc w:val="left"/>
            </w:pPr>
            <w:r>
              <w:t xml:space="preserve">Modéré</w:t>
            </w:r>
          </w:p>
        </w:tc>
        <w:tc>
          <w:tcPr/>
          <w:p>
            <w:pPr>
              <w:pStyle w:val="Compact"/>
              <w:jc w:val="left"/>
            </w:pPr>
            <w:r>
              <w:t xml:space="preserve">CI absolue</w:t>
            </w:r>
          </w:p>
        </w:tc>
      </w:tr>
      <w:tr>
        <w:tc>
          <w:tcPr/>
          <w:p>
            <w:pPr>
              <w:pStyle w:val="Compact"/>
              <w:jc w:val="left"/>
            </w:pPr>
            <w:r>
              <w:t xml:space="preserve">Nabumétone (référence)</w:t>
            </w:r>
          </w:p>
        </w:tc>
        <w:tc>
          <w:tcPr/>
          <w:p>
            <w:pPr>
              <w:pStyle w:val="Compact"/>
              <w:jc w:val="left"/>
            </w:pPr>
            <w:r>
              <w:t xml:space="preserve">Alcane non acide</w:t>
            </w:r>
          </w:p>
        </w:tc>
        <w:tc>
          <w:tcPr/>
          <w:p>
            <w:pPr>
              <w:pStyle w:val="Compact"/>
              <w:jc w:val="left"/>
            </w:pPr>
            <w:r>
              <w:t xml:space="preserve">Modérée (ratio ≈ 5-7)</w:t>
            </w:r>
          </w:p>
        </w:tc>
        <w:tc>
          <w:tcPr/>
          <w:p>
            <w:pPr>
              <w:pStyle w:val="Compact"/>
              <w:jc w:val="left"/>
            </w:pPr>
            <w:r>
              <w:t xml:space="preserve">20-24 (métabolite)</w:t>
            </w:r>
          </w:p>
        </w:tc>
        <w:tc>
          <w:tcPr/>
          <w:p>
            <w:pPr>
              <w:pStyle w:val="Compact"/>
              <w:jc w:val="left"/>
            </w:pPr>
            <w:r>
              <w:t xml:space="preserve">1 g 1/j</w:t>
            </w:r>
          </w:p>
        </w:tc>
        <w:tc>
          <w:tcPr/>
          <w:p>
            <w:pPr>
              <w:pStyle w:val="Compact"/>
              <w:jc w:val="left"/>
            </w:pPr>
            <w:r>
              <w:t xml:space="preserve">Ulcère (réduit 30-50 %)</w:t>
            </w:r>
          </w:p>
        </w:tc>
        <w:tc>
          <w:tcPr/>
          <w:p>
            <w:pPr>
              <w:pStyle w:val="Compact"/>
              <w:jc w:val="left"/>
            </w:pPr>
            <w:r>
              <w:t xml:space="preserve">Modéré</w:t>
            </w:r>
          </w:p>
        </w:tc>
        <w:tc>
          <w:tcPr/>
          <w:p>
            <w:pPr>
              <w:pStyle w:val="Compact"/>
              <w:jc w:val="left"/>
            </w:pPr>
            <w:r>
              <w:t xml:space="preserve">CI 3e trim</w:t>
            </w:r>
          </w:p>
        </w:tc>
      </w:tr>
      <w:tr>
        <w:tc>
          <w:tcPr/>
          <w:p>
            <w:pPr>
              <w:pStyle w:val="Compact"/>
              <w:jc w:val="left"/>
            </w:pPr>
            <w:r>
              <w:t xml:space="preserve">Ibuprofène + Méthocarbamol</w:t>
            </w:r>
          </w:p>
        </w:tc>
        <w:tc>
          <w:tcPr/>
          <w:p>
            <w:pPr>
              <w:pStyle w:val="Compact"/>
              <w:jc w:val="left"/>
            </w:pPr>
            <w:r>
              <w:t xml:space="preserve">Association AINS + myorelaxant</w:t>
            </w:r>
          </w:p>
        </w:tc>
        <w:tc>
          <w:tcPr/>
          <w:p>
            <w:pPr>
              <w:pStyle w:val="Compact"/>
              <w:jc w:val="left"/>
            </w:pPr>
            <w:r>
              <w:t xml:space="preserve">Non sélective</w:t>
            </w:r>
          </w:p>
        </w:tc>
        <w:tc>
          <w:tcPr/>
          <w:p>
            <w:pPr>
              <w:pStyle w:val="Compact"/>
              <w:jc w:val="left"/>
            </w:pPr>
            <w:r>
              <w:t xml:space="preserve">2 (ibuprofène)</w:t>
            </w:r>
          </w:p>
        </w:tc>
        <w:tc>
          <w:tcPr/>
          <w:p>
            <w:pPr>
              <w:pStyle w:val="Compact"/>
              <w:jc w:val="left"/>
            </w:pPr>
            <w:r>
              <w:t xml:space="preserve">1 cp x3-4/j</w:t>
            </w:r>
          </w:p>
        </w:tc>
        <w:tc>
          <w:tcPr/>
          <w:p>
            <w:pPr>
              <w:pStyle w:val="Compact"/>
              <w:jc w:val="left"/>
            </w:pPr>
            <w:r>
              <w:t xml:space="preserve">Ulcère</w:t>
            </w:r>
          </w:p>
        </w:tc>
        <w:tc>
          <w:tcPr/>
          <w:p>
            <w:pPr>
              <w:pStyle w:val="Compact"/>
              <w:jc w:val="left"/>
            </w:pPr>
            <w:r>
              <w:t xml:space="preserve">Faible (dose basse)</w:t>
            </w:r>
          </w:p>
        </w:tc>
        <w:tc>
          <w:tcPr/>
          <w:p>
            <w:pPr>
              <w:pStyle w:val="Compact"/>
              <w:jc w:val="left"/>
            </w:pPr>
            <w:r>
              <w:t xml:space="preserve">CI 3e trim</w:t>
            </w:r>
          </w:p>
        </w:tc>
      </w:tr>
      <w:tr>
        <w:tc>
          <w:tcPr/>
          <w:p>
            <w:pPr>
              <w:pStyle w:val="Compact"/>
              <w:jc w:val="left"/>
            </w:pPr>
            <w:r>
              <w:t xml:space="preserve">Ibuprofène + Pseudoéphédrine</w:t>
            </w:r>
          </w:p>
        </w:tc>
        <w:tc>
          <w:tcPr/>
          <w:p>
            <w:pPr>
              <w:pStyle w:val="Compact"/>
              <w:jc w:val="left"/>
            </w:pPr>
            <w:r>
              <w:t xml:space="preserve">Association AINS + vasoconstricteur</w:t>
            </w:r>
          </w:p>
        </w:tc>
        <w:tc>
          <w:tcPr/>
          <w:p>
            <w:pPr>
              <w:pStyle w:val="Compact"/>
              <w:jc w:val="left"/>
            </w:pPr>
            <w:r>
              <w:t xml:space="preserve">Non sélective</w:t>
            </w:r>
          </w:p>
        </w:tc>
        <w:tc>
          <w:tcPr/>
          <w:p>
            <w:pPr>
              <w:pStyle w:val="Compact"/>
              <w:jc w:val="left"/>
            </w:pPr>
            <w:r>
              <w:t xml:space="preserve">2 (ibuprofène)</w:t>
            </w:r>
          </w:p>
        </w:tc>
        <w:tc>
          <w:tcPr/>
          <w:p>
            <w:pPr>
              <w:pStyle w:val="Compact"/>
              <w:jc w:val="left"/>
            </w:pPr>
            <w:r>
              <w:t xml:space="preserve">1 cp x3/j</w:t>
            </w:r>
          </w:p>
        </w:tc>
        <w:tc>
          <w:tcPr/>
          <w:p>
            <w:pPr>
              <w:pStyle w:val="Compact"/>
              <w:jc w:val="left"/>
            </w:pPr>
            <w:r>
              <w:t xml:space="preserve">Ulcère</w:t>
            </w:r>
          </w:p>
        </w:tc>
        <w:tc>
          <w:tcPr/>
          <w:p>
            <w:pPr>
              <w:pStyle w:val="Compact"/>
              <w:jc w:val="left"/>
            </w:pPr>
            <w:r>
              <w:t xml:space="preserve">Élevé (pseudoéphédrine)</w:t>
            </w:r>
          </w:p>
        </w:tc>
        <w:tc>
          <w:tcPr/>
          <w:p>
            <w:pPr>
              <w:pStyle w:val="Compact"/>
              <w:jc w:val="left"/>
            </w:pPr>
            <w:r>
              <w:t xml:space="preserve">CI absolue</w:t>
            </w:r>
          </w:p>
        </w:tc>
      </w:tr>
      <w:tr>
        <w:tc>
          <w:tcPr/>
          <w:p>
            <w:pPr>
              <w:pStyle w:val="Compact"/>
              <w:jc w:val="left"/>
            </w:pPr>
            <w:r>
              <w:t xml:space="preserve">AINS + Gentamicine (topique)</w:t>
            </w:r>
          </w:p>
        </w:tc>
        <w:tc>
          <w:tcPr/>
          <w:p>
            <w:pPr>
              <w:pStyle w:val="Compact"/>
              <w:jc w:val="left"/>
            </w:pPr>
            <w:r>
              <w:t xml:space="preserve">Association topique</w:t>
            </w:r>
          </w:p>
        </w:tc>
        <w:tc>
          <w:tcPr/>
          <w:p>
            <w:pPr>
              <w:pStyle w:val="Compact"/>
              <w:jc w:val="left"/>
            </w:pPr>
            <w:r>
              <w:t xml:space="preserve">Non sélective</w:t>
            </w:r>
          </w:p>
        </w:tc>
        <w:tc>
          <w:tcPr/>
          <w:p>
            <w:pPr>
              <w:pStyle w:val="Compact"/>
              <w:jc w:val="left"/>
            </w:pPr>
            <w:r>
              <w:t xml:space="preserve">Local</w:t>
            </w:r>
          </w:p>
        </w:tc>
        <w:tc>
          <w:tcPr/>
          <w:p>
            <w:pPr>
              <w:pStyle w:val="Compact"/>
              <w:jc w:val="left"/>
            </w:pPr>
            <w:r>
              <w:t xml:space="preserve">1 goutte x4-6/j</w:t>
            </w:r>
          </w:p>
        </w:tc>
        <w:tc>
          <w:tcPr/>
          <w:p>
            <w:pPr>
              <w:pStyle w:val="Compact"/>
              <w:jc w:val="left"/>
            </w:pPr>
            <w:r>
              <w:t xml:space="preserve">Local</w:t>
            </w:r>
          </w:p>
        </w:tc>
        <w:tc>
          <w:tcPr/>
          <w:p>
            <w:pPr>
              <w:pStyle w:val="Compact"/>
              <w:jc w:val="left"/>
            </w:pPr>
            <w:r>
              <w:t xml:space="preserve">Aucun</w:t>
            </w:r>
          </w:p>
        </w:tc>
        <w:tc>
          <w:tcPr/>
          <w:p>
            <w:pPr>
              <w:pStyle w:val="Compact"/>
              <w:jc w:val="left"/>
            </w:pPr>
            <w:r>
              <w:t xml:space="preserve">Prudence</w:t>
            </w:r>
          </w:p>
        </w:tc>
      </w:tr>
    </w:tbl>
    <w:p>
      <w:r>
        <w:pict>
          <v:rect style="width:0;height:1.5pt" o:hralign="center" o:hrstd="t" o:hr="t"/>
        </w:pict>
      </w:r>
    </w:p>
    <w:bookmarkEnd w:id="175"/>
    <w:bookmarkStart w:id="176" w:name="X9280075535cf74923f30ed77261c1731ff7c002"/>
    <w:p>
      <w:pPr>
        <w:pStyle w:val="Heading2"/>
      </w:pPr>
      <w:r>
        <w:t xml:space="preserve">Synthèse et Recommandations Générales pour la Pratique Pharmaceutique</w:t>
      </w:r>
    </w:p>
    <w:p>
      <w:pPr>
        <w:pStyle w:val="FirstParagraph"/>
      </w:pPr>
      <w:r>
        <w:rPr>
          <w:b/>
          <w:bCs/>
        </w:rPr>
        <w:t xml:space="preserve">Choix de l’AINS selon le profil patient :</w:t>
      </w:r>
    </w:p>
    <w:p>
      <w:pPr>
        <w:numPr>
          <w:ilvl w:val="0"/>
          <w:numId w:val="1068"/>
        </w:numPr>
      </w:pPr>
      <w:r>
        <w:rPr>
          <w:b/>
          <w:bCs/>
        </w:rPr>
        <w:t xml:space="preserve">Sujet jeune, sans facteur de risque, douleur aiguë</w:t>
      </w:r>
      <w:r>
        <w:t xml:space="preserve"> </w:t>
      </w:r>
      <w:r>
        <w:t xml:space="preserve">: ibuprofène 400 mg, kétoprofène 50 mg ou naproxène 500 mg (AINS classiques non détaillés dans ce chapitre). Réserver les oxicams et coxibs aux échecs ou intolérances.</w:t>
      </w:r>
    </w:p>
    <w:p>
      <w:pPr>
        <w:numPr>
          <w:ilvl w:val="0"/>
          <w:numId w:val="1068"/>
        </w:numPr>
      </w:pPr>
      <w:r>
        <w:rPr>
          <w:b/>
          <w:bCs/>
        </w:rPr>
        <w:t xml:space="preserve">Sujet âgé, arthrose, ATCD digestif</w:t>
      </w:r>
      <w:r>
        <w:t xml:space="preserve"> </w:t>
      </w:r>
      <w:r>
        <w:t xml:space="preserve">: méloxicam 7,5 mg 1/j (sélectivité COX-2 modérée, forme pratique) ou célécoxib 100 mg 1/j (après évaluation cardiovasculaire stricte) ; association systématique à un IPP si score de risque digestif élevé.</w:t>
      </w:r>
    </w:p>
    <w:p>
      <w:pPr>
        <w:numPr>
          <w:ilvl w:val="0"/>
          <w:numId w:val="1068"/>
        </w:numPr>
      </w:pPr>
      <w:r>
        <w:rPr>
          <w:b/>
          <w:bCs/>
        </w:rPr>
        <w:t xml:space="preserve">Polyarthrite rhumatoïde, spondylarthrite ankylosante</w:t>
      </w:r>
      <w:r>
        <w:t xml:space="preserve"> </w:t>
      </w:r>
      <w:r>
        <w:t xml:space="preserve">: célécoxib 200 mg x2/j ou étoricoxib 90 mg 1/j (après évaluation cardiovasculaire et digestive), en attendant l’efficacité des traitements de fond (méthotrexate, biothérapies).</w:t>
      </w:r>
    </w:p>
    <w:p>
      <w:pPr>
        <w:numPr>
          <w:ilvl w:val="0"/>
          <w:numId w:val="1068"/>
        </w:numPr>
      </w:pPr>
      <w:r>
        <w:rPr>
          <w:b/>
          <w:bCs/>
        </w:rPr>
        <w:t xml:space="preserve">Crise de goutte aiguë</w:t>
      </w:r>
      <w:r>
        <w:t xml:space="preserve"> </w:t>
      </w:r>
      <w:r>
        <w:t xml:space="preserve">: colchicine 1 mg puis 0,5 mg x2/j (traitement de choix) ; alternative : naproxène 500 mg x2/j, ou étoricoxib 120 mg 1/j pendant 8 jours maximum ; la corticothérapie orale ou infiltrative est une alternative en cas de contre-indication aux AINS.</w:t>
      </w:r>
    </w:p>
    <w:p>
      <w:pPr>
        <w:numPr>
          <w:ilvl w:val="0"/>
          <w:numId w:val="1068"/>
        </w:numPr>
      </w:pPr>
      <w:r>
        <w:rPr>
          <w:b/>
          <w:bCs/>
        </w:rPr>
        <w:t xml:space="preserve">Lombalgie aiguë avec contracture musculaire</w:t>
      </w:r>
      <w:r>
        <w:t xml:space="preserve"> </w:t>
      </w:r>
      <w:r>
        <w:t xml:space="preserve">: association ibuprofène + méthocarbamol (Myoxydol) pendant 7-14 jours, en association à des mesures non pharmacologiques (repos relatif, chaud, kinésithérapie).</w:t>
      </w:r>
    </w:p>
    <w:p>
      <w:pPr>
        <w:numPr>
          <w:ilvl w:val="0"/>
          <w:numId w:val="1068"/>
        </w:numPr>
      </w:pPr>
      <w:r>
        <w:rPr>
          <w:b/>
          <w:bCs/>
        </w:rPr>
        <w:t xml:space="preserve">Rhume avec congestion nasale et céphalées</w:t>
      </w:r>
      <w:r>
        <w:t xml:space="preserve"> </w:t>
      </w:r>
      <w:r>
        <w:t xml:space="preserve">: ibuprofène + pseudoéphédrine (Gripex Plus, Ibupso, Rhinedal, Rhumolam, Xydol Rhume) pendant 5 jours maximum, en vérifiant l’absence de contre-indications cardiovasculaires et d’interactions médicamenteuses (IMAO, autres sympathomimétiques).</w:t>
      </w:r>
    </w:p>
    <w:p>
      <w:pPr>
        <w:numPr>
          <w:ilvl w:val="0"/>
          <w:numId w:val="1068"/>
        </w:numPr>
      </w:pPr>
      <w:r>
        <w:rPr>
          <w:b/>
          <w:bCs/>
        </w:rPr>
        <w:t xml:space="preserve">Conjonctivite purulente</w:t>
      </w:r>
      <w:r>
        <w:t xml:space="preserve"> </w:t>
      </w:r>
      <w:r>
        <w:t xml:space="preserve">: collyre indométacine + gentamicine (Indobiotic) 4 à 6 fois par jour pendant 5-7 jours, en réservant les formes avec corticoïde aux formes sévères sous contrôle ophtalmologique.</w:t>
      </w:r>
    </w:p>
    <w:p>
      <w:pPr>
        <w:pStyle w:val="FirstParagraph"/>
      </w:pPr>
      <w:r>
        <w:rPr>
          <w:b/>
          <w:bCs/>
        </w:rPr>
        <w:t xml:space="preserve">Règles d’or communes à tous les AINS :</w:t>
      </w:r>
    </w:p>
    <w:p>
      <w:pPr>
        <w:pStyle w:val="Compact"/>
        <w:numPr>
          <w:ilvl w:val="0"/>
          <w:numId w:val="1069"/>
        </w:numPr>
      </w:pPr>
      <w:r>
        <w:rPr>
          <w:b/>
          <w:bCs/>
        </w:rPr>
        <w:t xml:space="preserve">Dose minimale efficace pendant la durée la plus courte possible</w:t>
      </w:r>
      <w:r>
        <w:t xml:space="preserve"> </w:t>
      </w:r>
      <w:r>
        <w:t xml:space="preserve">: règle fondamentale édictée par l’EMA et l’ANSM.</w:t>
      </w:r>
    </w:p>
    <w:p>
      <w:pPr>
        <w:pStyle w:val="Compact"/>
        <w:numPr>
          <w:ilvl w:val="0"/>
          <w:numId w:val="1069"/>
        </w:numPr>
      </w:pPr>
      <w:r>
        <w:rPr>
          <w:b/>
          <w:bCs/>
        </w:rPr>
        <w:t xml:space="preserve">Ne jamais associer deux AINS</w:t>
      </w:r>
      <w:r>
        <w:t xml:space="preserve"> </w:t>
      </w:r>
      <w:r>
        <w:t xml:space="preserve">: potentialisation de la toxicité sans gain d’efficacité.</w:t>
      </w:r>
    </w:p>
    <w:p>
      <w:pPr>
        <w:pStyle w:val="Compact"/>
        <w:numPr>
          <w:ilvl w:val="0"/>
          <w:numId w:val="1069"/>
        </w:numPr>
      </w:pPr>
      <w:r>
        <w:rPr>
          <w:b/>
          <w:bCs/>
        </w:rPr>
        <w:t xml:space="preserve">Évaluation du risque digestif</w:t>
      </w:r>
      <w:r>
        <w:t xml:space="preserve"> </w:t>
      </w:r>
      <w:r>
        <w:t xml:space="preserve">avant instauration : âge &gt; 65 ans, ATCD ulcéreux, corticothérapie ou anticoagulants associés = association systématique à un IPP.</w:t>
      </w:r>
    </w:p>
    <w:p>
      <w:pPr>
        <w:pStyle w:val="Compact"/>
        <w:numPr>
          <w:ilvl w:val="0"/>
          <w:numId w:val="1069"/>
        </w:numPr>
      </w:pPr>
      <w:r>
        <w:rPr>
          <w:b/>
          <w:bCs/>
        </w:rPr>
        <w:t xml:space="preserve">Évaluation du risque cardiovasculaire</w:t>
      </w:r>
      <w:r>
        <w:t xml:space="preserve"> </w:t>
      </w:r>
      <w:r>
        <w:t xml:space="preserve">avant instauration d’un coxib : antécédents coronariens, AVC, AOMI, insuffisance cardiaque = contre-indication.</w:t>
      </w:r>
    </w:p>
    <w:p>
      <w:pPr>
        <w:pStyle w:val="Compact"/>
        <w:numPr>
          <w:ilvl w:val="0"/>
          <w:numId w:val="1069"/>
        </w:numPr>
      </w:pPr>
      <w:r>
        <w:rPr>
          <w:b/>
          <w:bCs/>
        </w:rPr>
        <w:t xml:space="preserve">Surveillance de la fonction rénale</w:t>
      </w:r>
      <w:r>
        <w:t xml:space="preserve"> </w:t>
      </w:r>
      <w:r>
        <w:t xml:space="preserve">: créatininémie et clairance avant instauration puis régulièrement en cas de traitement prolongé, particulièrement chez le sujet âgé, le diabétique, l’insuffisant cardiaque.</w:t>
      </w:r>
    </w:p>
    <w:p>
      <w:pPr>
        <w:pStyle w:val="Compact"/>
        <w:numPr>
          <w:ilvl w:val="0"/>
          <w:numId w:val="1069"/>
        </w:numPr>
      </w:pPr>
      <w:r>
        <w:rPr>
          <w:b/>
          <w:bCs/>
        </w:rPr>
        <w:t xml:space="preserve">Information du patient</w:t>
      </w:r>
      <w:r>
        <w:t xml:space="preserve"> </w:t>
      </w:r>
      <w:r>
        <w:t xml:space="preserve">sur les signes d’alerte : méléna, hématémèse, douleur épigastrique résistante, douleur thoracique, dyspnée, œdèmes des membres inférieurs, éruption cutanée fébrile, ictère, urines foncées.</w:t>
      </w:r>
    </w:p>
    <w:p>
      <w:pPr>
        <w:pStyle w:val="Compact"/>
        <w:numPr>
          <w:ilvl w:val="0"/>
          <w:numId w:val="1069"/>
        </w:numPr>
      </w:pPr>
      <w:r>
        <w:rPr>
          <w:b/>
          <w:bCs/>
        </w:rPr>
        <w:t xml:space="preserve">Grossesse</w:t>
      </w:r>
      <w:r>
        <w:t xml:space="preserve"> </w:t>
      </w:r>
      <w:r>
        <w:t xml:space="preserve">: contre-indication absolue au 3e trimestre pour tous les AINS ; à éviter aux 1er et 2e trimestres ; prudence en cas de désir de grossesse (fécondité altérée par inhibition de l’ovulation).</w:t>
      </w:r>
    </w:p>
    <w:p>
      <w:pPr>
        <w:pStyle w:val="Compact"/>
        <w:numPr>
          <w:ilvl w:val="0"/>
          <w:numId w:val="1069"/>
        </w:numPr>
      </w:pPr>
      <w:r>
        <w:rPr>
          <w:b/>
          <w:bCs/>
        </w:rPr>
        <w:t xml:space="preserve">Allaitement</w:t>
      </w:r>
      <w:r>
        <w:t xml:space="preserve"> </w:t>
      </w:r>
      <w:r>
        <w:t xml:space="preserve">: la plupart des AINS passent faiblement dans le lait mais sont à éviter par prudence en traitement prolongé.</w:t>
      </w:r>
    </w:p>
    <w:p>
      <w:pPr>
        <w:pStyle w:val="FirstParagraph"/>
      </w:pPr>
      <w:r>
        <w:rPr>
          <w:b/>
          <w:bCs/>
        </w:rPr>
        <w:t xml:space="preserve">Pièges spécifiques à chaque sous-classe :</w:t>
      </w:r>
    </w:p>
    <w:p>
      <w:pPr>
        <w:pStyle w:val="Compact"/>
        <w:numPr>
          <w:ilvl w:val="0"/>
          <w:numId w:val="1070"/>
        </w:numPr>
      </w:pPr>
      <w:r>
        <w:rPr>
          <w:b/>
          <w:bCs/>
        </w:rPr>
        <w:t xml:space="preserve">Oxicams</w:t>
      </w:r>
      <w:r>
        <w:t xml:space="preserve"> </w:t>
      </w:r>
      <w:r>
        <w:t xml:space="preserve">: longue demi-vie (piroxicam) → accumulation en cas d’insuffisance rénale ; sujet âgé plus exposé.</w:t>
      </w:r>
    </w:p>
    <w:p>
      <w:pPr>
        <w:pStyle w:val="Compact"/>
        <w:numPr>
          <w:ilvl w:val="0"/>
          <w:numId w:val="1070"/>
        </w:numPr>
      </w:pPr>
      <w:r>
        <w:rPr>
          <w:b/>
          <w:bCs/>
        </w:rPr>
        <w:t xml:space="preserve">Coxibs</w:t>
      </w:r>
      <w:r>
        <w:t xml:space="preserve"> </w:t>
      </w:r>
      <w:r>
        <w:t xml:space="preserve">: ne pas oublier l’allergie aux sulfonamides pour le célécoxib ; évaluation cardiovasculaire stricte pour l’étoricoxib (qui plus 120 mg est limité à 8 jours) ; surveillance TA et œdèmes.</w:t>
      </w:r>
    </w:p>
    <w:p>
      <w:pPr>
        <w:pStyle w:val="Compact"/>
        <w:numPr>
          <w:ilvl w:val="0"/>
          <w:numId w:val="1070"/>
        </w:numPr>
      </w:pPr>
      <w:r>
        <w:rPr>
          <w:b/>
          <w:bCs/>
        </w:rPr>
        <w:t xml:space="preserve">Nimésulide</w:t>
      </w:r>
      <w:r>
        <w:t xml:space="preserve"> </w:t>
      </w:r>
      <w:r>
        <w:t xml:space="preserve">: surveillance hépatique stricte (ALAT, ASAT, bilirubine) ; durée maximale 15 jours ; information du patient sur les signes d’ictère ; contre-indication définitive en cas d’hépatotoxicité.</w:t>
      </w:r>
    </w:p>
    <w:p>
      <w:pPr>
        <w:pStyle w:val="Compact"/>
        <w:numPr>
          <w:ilvl w:val="0"/>
          <w:numId w:val="1070"/>
        </w:numPr>
      </w:pPr>
      <w:r>
        <w:rPr>
          <w:b/>
          <w:bCs/>
        </w:rPr>
        <w:t xml:space="preserve">Associations AINS + myorelaxant</w:t>
      </w:r>
      <w:r>
        <w:t xml:space="preserve"> </w:t>
      </w:r>
      <w:r>
        <w:t xml:space="preserve">: somnolence (ne pas conduire), coloration des urines (information préventive).</w:t>
      </w:r>
    </w:p>
    <w:p>
      <w:pPr>
        <w:pStyle w:val="Compact"/>
        <w:numPr>
          <w:ilvl w:val="0"/>
          <w:numId w:val="1070"/>
        </w:numPr>
      </w:pPr>
      <w:r>
        <w:rPr>
          <w:b/>
          <w:bCs/>
        </w:rPr>
        <w:t xml:space="preserve">Associations AINS + vasoconstricteur</w:t>
      </w:r>
      <w:r>
        <w:t xml:space="preserve"> </w:t>
      </w:r>
      <w:r>
        <w:t xml:space="preserve">: risque cardiovasculaire (TA, palpitations, AVC), insomnie (dernière prise avant 16 h), risque de dopage.</w:t>
      </w:r>
    </w:p>
    <w:p>
      <w:pPr>
        <w:pStyle w:val="Compact"/>
        <w:numPr>
          <w:ilvl w:val="0"/>
          <w:numId w:val="1070"/>
        </w:numPr>
      </w:pPr>
      <w:r>
        <w:rPr>
          <w:b/>
          <w:bCs/>
        </w:rPr>
        <w:t xml:space="preserve">Collyre AINS + antibiotique</w:t>
      </w:r>
      <w:r>
        <w:t xml:space="preserve"> </w:t>
      </w:r>
      <w:r>
        <w:t xml:space="preserve">: port de lentilles (contre-indication temporaire), conservation après ouverture (30 jours max).</w:t>
      </w:r>
    </w:p>
    <w:p>
      <w:pPr>
        <w:pStyle w:val="FirstParagraph"/>
      </w:pPr>
      <w:r>
        <w:t xml:space="preserve">Ce chapitre illustre la complexité de la prescription des AINS de seconde génération et de leurs associations. Le pharmacien d’officine joue un rôle central dans la sécurisation de ces prescriptions, par la vérification systématique des contre-indications (cardiovasculaires, digestives, rénales, allergologiques, gravidiques), par l’information du patient sur les signes d’alerte, et par le respect des règles de durée maximale de traitement. La connaissance des particularités algériennes (offre industrielle, statut Liste I ou II, marques retirées) est essentielle pour une dispensation éclairée et personnalisée.</w:t>
      </w:r>
    </w:p>
    <w:p>
      <w:r>
        <w:pict>
          <v:rect style="width:0;height:1.5pt" o:hralign="center" o:hrstd="t" o:hr="t"/>
        </w:pict>
      </w:r>
    </w:p>
    <w:bookmarkEnd w:id="176"/>
    <w:bookmarkStart w:id="184" w:name="X8ace2e5398b2f10fa6297b34f17181eb7a0c116"/>
    <w:p>
      <w:pPr>
        <w:pStyle w:val="Heading2"/>
      </w:pPr>
      <w:r>
        <w:t xml:space="preserve">Annexe : Études Cliniques Pivot de la Classe des Coxibs — Synthèse pour le Pharmacien d’Officine</w:t>
      </w:r>
    </w:p>
    <w:p>
      <w:pPr>
        <w:pStyle w:val="FirstParagraph"/>
      </w:pPr>
      <w:r>
        <w:t xml:space="preserve">Le pharmacien algérien doit maîtriser les données des grandes études randomisées qui ont façonné l’évaluation réglementaire des coxibs. Voici une synthèse technique destinée à appuyer la communication avec le prescripteur et le patient.</w:t>
      </w:r>
    </w:p>
    <w:bookmarkStart w:id="177" w:name="X671564134cc38fae07d4ab077717e78cd24b84a"/>
    <w:p>
      <w:pPr>
        <w:pStyle w:val="Heading3"/>
      </w:pPr>
      <w:r>
        <w:t xml:space="preserve">1. Essai VIGOR (2000) — Vioxx Gastrointestinal Outcomes Research</w:t>
      </w:r>
    </w:p>
    <w:p>
      <w:pPr>
        <w:pStyle w:val="Compact"/>
        <w:numPr>
          <w:ilvl w:val="0"/>
          <w:numId w:val="1071"/>
        </w:numPr>
      </w:pPr>
      <w:r>
        <w:rPr>
          <w:b/>
          <w:bCs/>
        </w:rPr>
        <w:t xml:space="preserve">Population</w:t>
      </w:r>
      <w:r>
        <w:t xml:space="preserve"> </w:t>
      </w:r>
      <w:r>
        <w:t xml:space="preserve">: 8 076 patients atteints de polyarthrite rhumatoïde, âge moyen 58 ans.</w:t>
      </w:r>
    </w:p>
    <w:p>
      <w:pPr>
        <w:pStyle w:val="Compact"/>
        <w:numPr>
          <w:ilvl w:val="0"/>
          <w:numId w:val="1071"/>
        </w:numPr>
      </w:pPr>
      <w:r>
        <w:rPr>
          <w:b/>
          <w:bCs/>
        </w:rPr>
        <w:t xml:space="preserve">Schéma</w:t>
      </w:r>
      <w:r>
        <w:t xml:space="preserve"> </w:t>
      </w:r>
      <w:r>
        <w:t xml:space="preserve">: rofécoxib 50 mg/j vs naproxène 500 mg x2/j, suivi moyen 9 mois.</w:t>
      </w:r>
    </w:p>
    <w:p>
      <w:pPr>
        <w:pStyle w:val="Compact"/>
        <w:numPr>
          <w:ilvl w:val="0"/>
          <w:numId w:val="1071"/>
        </w:numPr>
      </w:pPr>
      <w:r>
        <w:rPr>
          <w:b/>
          <w:bCs/>
        </w:rPr>
        <w:t xml:space="preserve">Critère principal</w:t>
      </w:r>
      <w:r>
        <w:t xml:space="preserve"> </w:t>
      </w:r>
      <w:r>
        <w:t xml:space="preserve">: ulcère gastro-duodénal compliqué (perforation, hémorragie, obstruction pylorique).</w:t>
      </w:r>
    </w:p>
    <w:p>
      <w:pPr>
        <w:pStyle w:val="Compact"/>
        <w:numPr>
          <w:ilvl w:val="0"/>
          <w:numId w:val="1071"/>
        </w:numPr>
      </w:pPr>
      <w:r>
        <w:rPr>
          <w:b/>
          <w:bCs/>
        </w:rPr>
        <w:t xml:space="preserve">Résultats</w:t>
      </w:r>
      <w:r>
        <w:t xml:space="preserve"> </w:t>
      </w:r>
      <w:r>
        <w:t xml:space="preserve">: réduction de 50 % des ulcères compliqués sous rofécoxib (0,6 % vs 1,2 %, p &lt; 0,001). Cependant,</w:t>
      </w:r>
      <w:r>
        <w:t xml:space="preserve"> </w:t>
      </w:r>
      <w:r>
        <w:rPr>
          <w:b/>
          <w:bCs/>
        </w:rPr>
        <w:t xml:space="preserve">augmentation significative des infarctus du myocarde</w:t>
      </w:r>
      <w:r>
        <w:t xml:space="preserve"> </w:t>
      </w:r>
      <w:r>
        <w:t xml:space="preserve">sous rofécoxib (0,4 % vs 0,1 %, RR = 4, principalement attribuée par Merck à l’effet cardioprotecteur du naproxène).</w:t>
      </w:r>
    </w:p>
    <w:p>
      <w:pPr>
        <w:pStyle w:val="Compact"/>
        <w:numPr>
          <w:ilvl w:val="0"/>
          <w:numId w:val="1071"/>
        </w:numPr>
      </w:pPr>
      <w:r>
        <w:rPr>
          <w:b/>
          <w:bCs/>
        </w:rPr>
        <w:t xml:space="preserve">Conclusion réglementaire</w:t>
      </w:r>
      <w:r>
        <w:t xml:space="preserve"> </w:t>
      </w:r>
      <w:r>
        <w:t xml:space="preserve">: première alerte cardiovasculaire, justifiant l’ajout d’une mention sur le RCP du rofécoxib.</w:t>
      </w:r>
    </w:p>
    <w:bookmarkEnd w:id="177"/>
    <w:bookmarkStart w:id="178" w:name="X04cc15aa729b9af49b40bdf4cc00774180a111e"/>
    <w:p>
      <w:pPr>
        <w:pStyle w:val="Heading3"/>
      </w:pPr>
      <w:r>
        <w:t xml:space="preserve">2. Essai CLASS (2000) — Celecoxib Long-term Arthritis Safety Study</w:t>
      </w:r>
    </w:p>
    <w:p>
      <w:pPr>
        <w:pStyle w:val="Compact"/>
        <w:numPr>
          <w:ilvl w:val="0"/>
          <w:numId w:val="1072"/>
        </w:numPr>
      </w:pPr>
      <w:r>
        <w:rPr>
          <w:b/>
          <w:bCs/>
        </w:rPr>
        <w:t xml:space="preserve">Population</w:t>
      </w:r>
      <w:r>
        <w:t xml:space="preserve"> </w:t>
      </w:r>
      <w:r>
        <w:t xml:space="preserve">: 8 059 patients atteints d’arthrose ou de polyarthrite rhumatoïde.</w:t>
      </w:r>
    </w:p>
    <w:p>
      <w:pPr>
        <w:pStyle w:val="Compact"/>
        <w:numPr>
          <w:ilvl w:val="0"/>
          <w:numId w:val="1072"/>
        </w:numPr>
      </w:pPr>
      <w:r>
        <w:rPr>
          <w:b/>
          <w:bCs/>
        </w:rPr>
        <w:t xml:space="preserve">Schéma</w:t>
      </w:r>
      <w:r>
        <w:t xml:space="preserve"> </w:t>
      </w:r>
      <w:r>
        <w:t xml:space="preserve">: célécoxib 400 mg x2/j vs ibuprofène 800 mg x3/j ou diclofénac 75 mg x2/j, suivi 6 mois.</w:t>
      </w:r>
    </w:p>
    <w:p>
      <w:pPr>
        <w:pStyle w:val="Compact"/>
        <w:numPr>
          <w:ilvl w:val="0"/>
          <w:numId w:val="1072"/>
        </w:numPr>
      </w:pPr>
      <w:r>
        <w:rPr>
          <w:b/>
          <w:bCs/>
        </w:rPr>
        <w:t xml:space="preserve">Résultats</w:t>
      </w:r>
      <w:r>
        <w:t xml:space="preserve"> </w:t>
      </w:r>
      <w:r>
        <w:t xml:space="preserve">: réduction de 50 % des ulcères compliqués sous célécoxib à 6 mois chez les patients ne prenant pas d’aspirine à faible dose. En cas d’association à l’aspirine, le bénéfice digestif disparaît. Pas de différence significative sur le plan cardiovasculaire vs comparateurs.</w:t>
      </w:r>
    </w:p>
    <w:p>
      <w:pPr>
        <w:pStyle w:val="Compact"/>
        <w:numPr>
          <w:ilvl w:val="0"/>
          <w:numId w:val="1072"/>
        </w:numPr>
      </w:pPr>
      <w:r>
        <w:rPr>
          <w:b/>
          <w:bCs/>
        </w:rPr>
        <w:t xml:space="preserve">Conclusion</w:t>
      </w:r>
      <w:r>
        <w:t xml:space="preserve"> </w:t>
      </w:r>
      <w:r>
        <w:t xml:space="preserve">: confirmation du bénéfice digestif du célécoxib, mais nécessité de poursuivre l’évaluation cardiovasculaire à plus long terme.</w:t>
      </w:r>
    </w:p>
    <w:bookmarkEnd w:id="178"/>
    <w:bookmarkStart w:id="179" w:name="X16668fb0d7f6c5b6de7174cef9111fbbdfffe94"/>
    <w:p>
      <w:pPr>
        <w:pStyle w:val="Heading3"/>
      </w:pPr>
      <w:r>
        <w:t xml:space="preserve">3. Essai APC (2006) — Adenoma Prevention with Celecoxib</w:t>
      </w:r>
    </w:p>
    <w:p>
      <w:pPr>
        <w:pStyle w:val="Compact"/>
        <w:numPr>
          <w:ilvl w:val="0"/>
          <w:numId w:val="1073"/>
        </w:numPr>
      </w:pPr>
      <w:r>
        <w:rPr>
          <w:b/>
          <w:bCs/>
        </w:rPr>
        <w:t xml:space="preserve">Population</w:t>
      </w:r>
      <w:r>
        <w:t xml:space="preserve"> </w:t>
      </w:r>
      <w:r>
        <w:t xml:space="preserve">: 2 035 patients avec antécédents d’adénomes colorectaux, suivi moyen 33 mois.</w:t>
      </w:r>
    </w:p>
    <w:p>
      <w:pPr>
        <w:pStyle w:val="Compact"/>
        <w:numPr>
          <w:ilvl w:val="0"/>
          <w:numId w:val="1073"/>
        </w:numPr>
      </w:pPr>
      <w:r>
        <w:rPr>
          <w:b/>
          <w:bCs/>
        </w:rPr>
        <w:t xml:space="preserve">Schéma</w:t>
      </w:r>
      <w:r>
        <w:t xml:space="preserve"> </w:t>
      </w:r>
      <w:r>
        <w:t xml:space="preserve">: célécoxib 200 mg x2/j ou 400 mg x2/j vs placebo.</w:t>
      </w:r>
    </w:p>
    <w:p>
      <w:pPr>
        <w:pStyle w:val="Compact"/>
        <w:numPr>
          <w:ilvl w:val="0"/>
          <w:numId w:val="1073"/>
        </w:numPr>
      </w:pPr>
      <w:r>
        <w:rPr>
          <w:b/>
          <w:bCs/>
        </w:rPr>
        <w:t xml:space="preserve">Résultats</w:t>
      </w:r>
      <w:r>
        <w:t xml:space="preserve"> </w:t>
      </w:r>
      <w:r>
        <w:t xml:space="preserve">: réduction de 33-45 % des adénomes (critère principal positif) mais</w:t>
      </w:r>
      <w:r>
        <w:t xml:space="preserve"> </w:t>
      </w:r>
      <w:r>
        <w:rPr>
          <w:b/>
          <w:bCs/>
        </w:rPr>
        <w:t xml:space="preserve">augmentation dose-dépendante du risque cardiovasculaire composite</w:t>
      </w:r>
      <w:r>
        <w:t xml:space="preserve"> </w:t>
      </w:r>
      <w:r>
        <w:t xml:space="preserve">(décès CV, infarctus, AVC) : RR = 2,3 (200 mg x2/j), RR = 3,4 (400 mg x2/j).</w:t>
      </w:r>
    </w:p>
    <w:p>
      <w:pPr>
        <w:pStyle w:val="Compact"/>
        <w:numPr>
          <w:ilvl w:val="0"/>
          <w:numId w:val="1073"/>
        </w:numPr>
      </w:pPr>
      <w:r>
        <w:rPr>
          <w:b/>
          <w:bCs/>
        </w:rPr>
        <w:t xml:space="preserve">Conséquence réglementaire</w:t>
      </w:r>
      <w:r>
        <w:t xml:space="preserve"> </w:t>
      </w:r>
      <w:r>
        <w:t xml:space="preserve">: interruption de l’essai, restriction de la prescription du célécoxib aux patients sans antécédent cardiovasculaire, boîte noire de la FDA.</w:t>
      </w:r>
    </w:p>
    <w:bookmarkEnd w:id="179"/>
    <w:bookmarkStart w:id="180" w:name="X9d89bf1d47d4c4e678b6b7a9b0838b72d7ad4f2"/>
    <w:p>
      <w:pPr>
        <w:pStyle w:val="Heading3"/>
      </w:pPr>
      <w:r>
        <w:t xml:space="preserve">4. Essai APPROVe (2004) — Adenomatous Polyp Prevention on Vioxx</w:t>
      </w:r>
    </w:p>
    <w:p>
      <w:pPr>
        <w:pStyle w:val="Compact"/>
        <w:numPr>
          <w:ilvl w:val="0"/>
          <w:numId w:val="1074"/>
        </w:numPr>
      </w:pPr>
      <w:r>
        <w:rPr>
          <w:b/>
          <w:bCs/>
        </w:rPr>
        <w:t xml:space="preserve">Population</w:t>
      </w:r>
      <w:r>
        <w:t xml:space="preserve"> </w:t>
      </w:r>
      <w:r>
        <w:t xml:space="preserve">: 2 586 patients avec antécédents d’adénomes colorectaux.</w:t>
      </w:r>
    </w:p>
    <w:p>
      <w:pPr>
        <w:pStyle w:val="Compact"/>
        <w:numPr>
          <w:ilvl w:val="0"/>
          <w:numId w:val="1074"/>
        </w:numPr>
      </w:pPr>
      <w:r>
        <w:rPr>
          <w:b/>
          <w:bCs/>
        </w:rPr>
        <w:t xml:space="preserve">Schéma</w:t>
      </w:r>
      <w:r>
        <w:t xml:space="preserve"> </w:t>
      </w:r>
      <w:r>
        <w:t xml:space="preserve">: rofécoxib 25 mg/j vs placebo, suivi moyen 3,6 ans.</w:t>
      </w:r>
    </w:p>
    <w:p>
      <w:pPr>
        <w:pStyle w:val="Compact"/>
        <w:numPr>
          <w:ilvl w:val="0"/>
          <w:numId w:val="1074"/>
        </w:numPr>
      </w:pPr>
      <w:r>
        <w:rPr>
          <w:b/>
          <w:bCs/>
        </w:rPr>
        <w:t xml:space="preserve">Résultats</w:t>
      </w:r>
      <w:r>
        <w:t xml:space="preserve"> </w:t>
      </w:r>
      <w:r>
        <w:t xml:space="preserve">: réduction de 25 % des adénomes, mais</w:t>
      </w:r>
      <w:r>
        <w:t xml:space="preserve"> </w:t>
      </w:r>
      <w:r>
        <w:rPr>
          <w:b/>
          <w:bCs/>
        </w:rPr>
        <w:t xml:space="preserve">excès de risque cardiovasculaire persistant après l’arrêt du traitement</w:t>
      </w:r>
      <w:r>
        <w:t xml:space="preserve"> </w:t>
      </w:r>
      <w:r>
        <w:t xml:space="preserve">(RR = 1,9 pendant le traitement, persistance à 1 an après l’arrêt).</w:t>
      </w:r>
    </w:p>
    <w:p>
      <w:pPr>
        <w:pStyle w:val="Compact"/>
        <w:numPr>
          <w:ilvl w:val="0"/>
          <w:numId w:val="1074"/>
        </w:numPr>
      </w:pPr>
      <w:r>
        <w:rPr>
          <w:b/>
          <w:bCs/>
        </w:rPr>
        <w:t xml:space="preserve">Conséquence réglementaire</w:t>
      </w:r>
      <w:r>
        <w:t xml:space="preserve"> </w:t>
      </w:r>
      <w:r>
        <w:t xml:space="preserve">:</w:t>
      </w:r>
      <w:r>
        <w:t xml:space="preserve"> </w:t>
      </w:r>
      <w:r>
        <w:rPr>
          <w:b/>
          <w:bCs/>
        </w:rPr>
        <w:t xml:space="preserve">retrait mondial du rofécoxib (Vioxx) le 30 septembre 2004</w:t>
      </w:r>
      <w:r>
        <w:t xml:space="preserve"> </w:t>
      </w:r>
      <w:r>
        <w:t xml:space="preserve">par Merck. Class action aux États-Unis (4,85 milliards $ de dommages et intérêts).</w:t>
      </w:r>
    </w:p>
    <w:bookmarkEnd w:id="180"/>
    <w:bookmarkStart w:id="181" w:name="X19f50f6572a4c839fd16f535c4f63520a48c216"/>
    <w:p>
      <w:pPr>
        <w:pStyle w:val="Heading3"/>
      </w:pPr>
      <w:r>
        <w:t xml:space="preserve">5. Essai MEDAL (2006) — Multinational Etoricoxib versus Diclofenac Arthritis Long-term</w:t>
      </w:r>
    </w:p>
    <w:p>
      <w:pPr>
        <w:pStyle w:val="Compact"/>
        <w:numPr>
          <w:ilvl w:val="0"/>
          <w:numId w:val="1075"/>
        </w:numPr>
      </w:pPr>
      <w:r>
        <w:rPr>
          <w:b/>
          <w:bCs/>
        </w:rPr>
        <w:t xml:space="preserve">Population</w:t>
      </w:r>
      <w:r>
        <w:t xml:space="preserve"> </w:t>
      </w:r>
      <w:r>
        <w:t xml:space="preserve">: 34 701 patients atteints d’arthrose ou de polyarthrite rhumatoïde, suivi moyen 18 mois.</w:t>
      </w:r>
    </w:p>
    <w:p>
      <w:pPr>
        <w:pStyle w:val="Compact"/>
        <w:numPr>
          <w:ilvl w:val="0"/>
          <w:numId w:val="1075"/>
        </w:numPr>
      </w:pPr>
      <w:r>
        <w:rPr>
          <w:b/>
          <w:bCs/>
        </w:rPr>
        <w:t xml:space="preserve">Schéma</w:t>
      </w:r>
      <w:r>
        <w:t xml:space="preserve"> </w:t>
      </w:r>
      <w:r>
        <w:t xml:space="preserve">: étoricoxib 60-90 mg/j vs diclofénac 150 mg/j.</w:t>
      </w:r>
    </w:p>
    <w:p>
      <w:pPr>
        <w:pStyle w:val="Compact"/>
        <w:numPr>
          <w:ilvl w:val="0"/>
          <w:numId w:val="1075"/>
        </w:numPr>
      </w:pPr>
      <w:r>
        <w:rPr>
          <w:b/>
          <w:bCs/>
        </w:rPr>
        <w:t xml:space="preserve">Résultats</w:t>
      </w:r>
      <w:r>
        <w:t xml:space="preserve"> </w:t>
      </w:r>
      <w:r>
        <w:t xml:space="preserve">:</w:t>
      </w:r>
      <w:r>
        <w:t xml:space="preserve"> </w:t>
      </w:r>
      <w:r>
        <w:rPr>
          <w:b/>
          <w:bCs/>
        </w:rPr>
        <w:t xml:space="preserve">non-infériorité cardiovasculaire</w:t>
      </w:r>
      <w:r>
        <w:t xml:space="preserve"> </w:t>
      </w:r>
      <w:r>
        <w:t xml:space="preserve">de l’étoricoxib vs diclofénac (critère principal atteint) ; réduction de 54 % des ulcères compliqués sous étoricoxib. Cependant, augmentation des événements thrombotiques artériels similaire dans les deux bras (≈ 1,2 % par an) ; augmentation deshospitalisations pour insuffisance cardiaque sous étoricoxib.</w:t>
      </w:r>
    </w:p>
    <w:p>
      <w:pPr>
        <w:pStyle w:val="Compact"/>
        <w:numPr>
          <w:ilvl w:val="0"/>
          <w:numId w:val="1075"/>
        </w:numPr>
      </w:pPr>
      <w:r>
        <w:rPr>
          <w:b/>
          <w:bCs/>
        </w:rPr>
        <w:t xml:space="preserve">Conclusion réglementaire</w:t>
      </w:r>
      <w:r>
        <w:t xml:space="preserve"> </w:t>
      </w:r>
      <w:r>
        <w:t xml:space="preserve">: maintien de l’étoricoxib sur le marché européen, mais refus d’autorisation par la FDA en 2007.</w:t>
      </w:r>
    </w:p>
    <w:bookmarkEnd w:id="181"/>
    <w:bookmarkStart w:id="182" w:name="X5097a11947bf8865097a70b123dc7636e4a8d9d"/>
    <w:p>
      <w:pPr>
        <w:pStyle w:val="Heading3"/>
      </w:pPr>
      <w:r>
        <w:t xml:space="preserve">6. Synthèse des Études sur le Nimésulide (Sulfonanilides)</w:t>
      </w:r>
    </w:p>
    <w:p>
      <w:pPr>
        <w:pStyle w:val="Compact"/>
        <w:numPr>
          <w:ilvl w:val="0"/>
          <w:numId w:val="1076"/>
        </w:numPr>
      </w:pPr>
      <w:r>
        <w:t xml:space="preserve">Plusieurs méta-analyses ont montré un risque d’hépatotoxicité significatif : incidence de cytolyse 5-10 %, hépatite cytolytique aiguë 1/100 000 patients exposés, hépatite fulminante 1/1 000 000 avec mortalité ≈ 10 %.</w:t>
      </w:r>
    </w:p>
    <w:p>
      <w:pPr>
        <w:pStyle w:val="Compact"/>
        <w:numPr>
          <w:ilvl w:val="0"/>
          <w:numId w:val="1076"/>
        </w:numPr>
      </w:pPr>
      <w:r>
        <w:t xml:space="preserve">Étude ESPRIT (European Safety of Nimesulide versus other NSAIDs in routine practice, 2007) : pas de supériorité d’efficacité du nimésulide vs autres AINS, mais risque hépatotoxique supérieur.</w:t>
      </w:r>
    </w:p>
    <w:p>
      <w:pPr>
        <w:pStyle w:val="Compact"/>
        <w:numPr>
          <w:ilvl w:val="0"/>
          <w:numId w:val="1076"/>
        </w:numPr>
      </w:pPr>
      <w:r>
        <w:t xml:space="preserve">Évaluation PRAC-EMA (2012) : maintien sous restrictions strictes (dose 100 mg x2/j, durée 15 jours, contre-indication en cas d’antécédent d’hépatotoxicité).</w:t>
      </w:r>
    </w:p>
    <w:bookmarkEnd w:id="182"/>
    <w:bookmarkStart w:id="183" w:name="X51f34eefeedfffd0fc58a7fd1fa585913060366"/>
    <w:p>
      <w:pPr>
        <w:pStyle w:val="Heading3"/>
      </w:pPr>
      <w:r>
        <w:t xml:space="preserve">7. Implications Pratiques pour la Dispensation en Officine</w:t>
      </w:r>
    </w:p>
    <w:p>
      <w:pPr>
        <w:pStyle w:val="FirstParagraph"/>
      </w:pPr>
      <w:r>
        <w:t xml:space="preserve">Au comptoir, le pharmacien doit :</w:t>
      </w:r>
    </w:p>
    <w:p>
      <w:pPr>
        <w:numPr>
          <w:ilvl w:val="0"/>
          <w:numId w:val="1077"/>
        </w:numPr>
      </w:pPr>
      <w:r>
        <w:rPr>
          <w:b/>
          <w:bCs/>
        </w:rPr>
        <w:t xml:space="preserve">Identifier les patients à haut risque cardiovasculaire</w:t>
      </w:r>
      <w:r>
        <w:t xml:space="preserve"> </w:t>
      </w:r>
      <w:r>
        <w:t xml:space="preserve">avant délivrance de coxibs (célécoxib, étoricoxib) : antécédents d’infarctus, d’AVC, d’artériopathie, d’insuffisance cardiaque, diabète compliqué. Contre-indication absolue ; proposition d’alternative (paracétamol ± opioïde faible) ou retour vers le prescripteur.</w:t>
      </w:r>
    </w:p>
    <w:p>
      <w:pPr>
        <w:numPr>
          <w:ilvl w:val="0"/>
          <w:numId w:val="1077"/>
        </w:numPr>
      </w:pPr>
      <w:r>
        <w:rPr>
          <w:b/>
          <w:bCs/>
        </w:rPr>
        <w:t xml:space="preserve">Identifier les patients à haut risque digestif</w:t>
      </w:r>
      <w:r>
        <w:t xml:space="preserve"> </w:t>
      </w:r>
      <w:r>
        <w:t xml:space="preserve">: âge &gt; 65 ans, ATCD ulcéreux, corticothérapie concomitante, anticoagulants oraux. Proposition systématique d’association à un IPP (oméprazole 20 mg/j, ésoméprazole 20 mg/j, pantoprazole 20 mg/j).</w:t>
      </w:r>
    </w:p>
    <w:p>
      <w:pPr>
        <w:numPr>
          <w:ilvl w:val="0"/>
          <w:numId w:val="1077"/>
        </w:numPr>
      </w:pPr>
      <w:r>
        <w:rPr>
          <w:b/>
          <w:bCs/>
        </w:rPr>
        <w:t xml:space="preserve">Vérifier la tension artérielle</w:t>
      </w:r>
      <w:r>
        <w:t xml:space="preserve"> </w:t>
      </w:r>
      <w:r>
        <w:t xml:space="preserve">avant instauration d’un coxib chez le sujet âgé : objectif &lt; 140/90 mmHg. Si HTA non contrôlée, reporter la délivrance et adresser au prescripteur.</w:t>
      </w:r>
    </w:p>
    <w:p>
      <w:pPr>
        <w:numPr>
          <w:ilvl w:val="0"/>
          <w:numId w:val="1077"/>
        </w:numPr>
      </w:pPr>
      <w:r>
        <w:rPr>
          <w:b/>
          <w:bCs/>
        </w:rPr>
        <w:t xml:space="preserve">Surveiller la fonction rénale</w:t>
      </w:r>
      <w:r>
        <w:t xml:space="preserve"> </w:t>
      </w:r>
      <w:r>
        <w:t xml:space="preserve">: contrôle de la créatininémie et de la kaliémie avant instauration puis tous les 3-6 mois en cas de traitement prolongé. Particulièrement important chez le sujet âgé diabétique ou insuffisant cardiaque.</w:t>
      </w:r>
    </w:p>
    <w:p>
      <w:pPr>
        <w:numPr>
          <w:ilvl w:val="0"/>
          <w:numId w:val="1077"/>
        </w:numPr>
      </w:pPr>
      <w:r>
        <w:rPr>
          <w:b/>
          <w:bCs/>
        </w:rPr>
        <w:t xml:space="preserve">Pour le nimésulide</w:t>
      </w:r>
      <w:r>
        <w:t xml:space="preserve"> </w:t>
      </w:r>
      <w:r>
        <w:t xml:space="preserve">(en seconde intention) : information du patient sur les signes d’ictère (urines foncées, sclères jaunes, prurit) et obligation d’arrêt immédiat. Surveillance des transaminases à J7 et J15.</w:t>
      </w:r>
    </w:p>
    <w:p>
      <w:pPr>
        <w:numPr>
          <w:ilvl w:val="0"/>
          <w:numId w:val="1077"/>
        </w:numPr>
      </w:pPr>
      <w:r>
        <w:rPr>
          <w:b/>
          <w:bCs/>
        </w:rPr>
        <w:t xml:space="preserve">Pour les associations AINS + vasoconstricteur</w:t>
      </w:r>
      <w:r>
        <w:t xml:space="preserve"> </w:t>
      </w:r>
      <w:r>
        <w:t xml:space="preserve">: vérification systématique de la tension artérielle, des antécédents cardiovasculaires, de la prise d’IMAO, et information sur le risque d’insomnie (dernière prise avant 16 h).</w:t>
      </w:r>
    </w:p>
    <w:p>
      <w:pPr>
        <w:numPr>
          <w:ilvl w:val="0"/>
          <w:numId w:val="1077"/>
        </w:numPr>
      </w:pPr>
      <w:r>
        <w:rPr>
          <w:b/>
          <w:bCs/>
        </w:rPr>
        <w:t xml:space="preserve">Pour les associations AINS + myorelaxant</w:t>
      </w:r>
      <w:r>
        <w:t xml:space="preserve"> </w:t>
      </w:r>
      <w:r>
        <w:t xml:space="preserve">: information sur la somnolence (ne pas conduire ni utiliser de machines dangereuses), sur la coloration des urines (sans signification pathologique), sur l’absence d’association avec l’alcool.</w:t>
      </w:r>
    </w:p>
    <w:p>
      <w:pPr>
        <w:numPr>
          <w:ilvl w:val="0"/>
          <w:numId w:val="1077"/>
        </w:numPr>
      </w:pPr>
      <w:r>
        <w:rPr>
          <w:b/>
          <w:bCs/>
        </w:rPr>
        <w:t xml:space="preserve">Pour les collyres AINS + antibiotique</w:t>
      </w:r>
      <w:r>
        <w:t xml:space="preserve"> </w:t>
      </w:r>
      <w:r>
        <w:t xml:space="preserve">: information sur la technique d’instillation (cf. fiche), sur la nécessité de retirer les lentilles de contact, sur la durée maximale de 7 jours, et sur les signes d’alerte (douleur intense, baisse d’acuité visuelle).</w:t>
      </w:r>
    </w:p>
    <w:p>
      <w:r>
        <w:pict>
          <v:rect style="width:0;height:1.5pt" o:hralign="center" o:hrstd="t" o:hr="t"/>
        </w:pict>
      </w:r>
    </w:p>
    <w:p>
      <w:pPr>
        <w:pStyle w:val="FirstParagraph"/>
      </w:pPr>
      <w:r>
        <w:rPr>
          <w:i/>
          <w:iCs/>
        </w:rPr>
        <w:t xml:space="preserve">Sources : VIDAL 2024, ANSM (Résum des Caractéristiques du Produit des spécialités), Thériaque, CRAT (Centre de Renseignement sur les Agents Tératogènes), EMA (European Medicines Agency — évaluations PRAC sur les coxibs et le nimésulide, 2005-2019), FDA (labeling révisé du célécoxib, 2005), Cochrane Database of Systematic Reviews, essais VIGOR, CLASS, APC, APPROVe, MEDAL, EDGE.</w:t>
      </w:r>
    </w:p>
    <w:p>
      <w:r>
        <w:pict>
          <v:rect style="width:0;height:1.5pt" o:hralign="center" o:hrstd="t" o:hr="t"/>
        </w:pict>
      </w:r>
    </w:p>
    <w:bookmarkEnd w:id="183"/>
    <w:bookmarkEnd w:id="184"/>
    <w:bookmarkEnd w:id="185"/>
    <w:bookmarkStart w:id="238" w:name="X2547159749ee8ab07e64470f9096f60fcec43dd"/>
    <w:p>
      <w:pPr>
        <w:pStyle w:val="Heading1"/>
      </w:pPr>
      <w:r>
        <w:t xml:space="preserve">Fascicule III — Section 26 : Antimigraineux, Antigoutteux, Myorelaxants, Antispasmodiques &amp; Anti-inflammatoires intestinaux (5-ASA)</w:t>
      </w:r>
    </w:p>
    <w:p>
      <w:pPr>
        <w:pStyle w:val="BlockText"/>
      </w:pPr>
      <w:r>
        <w:rPr>
          <w:b/>
          <w:bCs/>
        </w:rPr>
        <w:t xml:space="preserve">Périmètre :</w:t>
      </w:r>
      <w:r>
        <w:t xml:space="preserve"> </w:t>
      </w:r>
      <w:r>
        <w:t xml:space="preserve">Cette section regroupe 22 DCI réparties en 14 sous-classes pharmacologiques. Elle couvre la prise en charge symptomatique et de fond de la migraine (triptans, alcaloïdes de l’ergot de seigle, pizotifène), de la goutte (colchicine, inhibiteurs de la xanthine oxydase), des contractures musculaires douloureuses (thiocolchicoside, méthocarbamol, tolpérisone), des douleurs spasmodiques abdomino-pelviennes (phloroglucinol, trimébutine, mébévérine, alvérine, pinavérium, anticholinergiques quaternaires) et des maladies inflammatoires chroniques intestinales (5-ASA : mesalazine, sulfasalazine).</w:t>
      </w:r>
    </w:p>
    <w:p>
      <w:pPr>
        <w:pStyle w:val="BlockText"/>
      </w:pPr>
      <w:r>
        <w:rPr>
          <w:b/>
          <w:bCs/>
        </w:rPr>
        <w:t xml:space="preserve">Objectif pédagogique :</w:t>
      </w:r>
      <w:r>
        <w:t xml:space="preserve"> </w:t>
      </w:r>
      <w:r>
        <w:t xml:space="preserve">Maîtriser les mécanismes moléculaires spécifiques de chaque sous-classe (récepteurs 5-HT1B/1D, xanthine oxydase, tubuline, canaux Na+/Ca2+, PDE4, agonistes opioïdes périphériques, NF-κB), les profils de tolérance et de pharmacocinétique, ainsi que les pièges du comptoir de l’officine algérienne (substitution générique, mises en garde grossesse, surdosage colchicine, syndrome d’hypersensibilité de l’allopurinol, ergotisme).</w:t>
      </w:r>
    </w:p>
    <w:p>
      <w:r>
        <w:pict>
          <v:rect style="width:0;height:1.5pt" o:hralign="center" o:hrstd="t" o:hr="t"/>
        </w:pict>
      </w:r>
    </w:p>
    <w:bookmarkStart w:id="192" w:name="antimigraineux---triptans"/>
    <w:p>
      <w:pPr>
        <w:pStyle w:val="Heading2"/>
      </w:pPr>
      <w:r>
        <w:t xml:space="preserve">1. Antimigraineux - Triptans</w:t>
      </w:r>
    </w:p>
    <w:bookmarkStart w:id="186" w:name="introduction-à-la-sous-classe-6"/>
    <w:p>
      <w:pPr>
        <w:pStyle w:val="Heading3"/>
      </w:pPr>
      <w:r>
        <w:t xml:space="preserve">Introduction à la sous-classe</w:t>
      </w:r>
    </w:p>
    <w:p>
      <w:pPr>
        <w:pStyle w:val="FirstParagraph"/>
      </w:pPr>
      <w:r>
        <w:t xml:space="preserve">Les triptans (dérivés de l’indole-5-HT) sont des</w:t>
      </w:r>
      <w:r>
        <w:t xml:space="preserve"> </w:t>
      </w:r>
      <w:r>
        <w:rPr>
          <w:b/>
          <w:bCs/>
        </w:rPr>
        <w:t xml:space="preserve">agonistes sélectifs des récepteurs sérotoninergiques 5-HT1B et 5-HT1D</w:t>
      </w:r>
      <w:r>
        <w:t xml:space="preserve">, découverts à la fin des années 1980 avec le sumatriptan (1991). Ils représentent le traitement de référence de la crise de migraine modérée à sévère, en cas d’échec ou d’insuffisance des antalgiques de palier 1 (paracétamol, AINS) et de palier 2 (codéine, tramadol). Leur développement a fait passer la migraine d’une maladie</w:t>
      </w:r>
      <w:r>
        <w:t xml:space="preserve"> </w:t>
      </w:r>
      <w:r>
        <w:t xml:space="preserve">“</w:t>
      </w:r>
      <w:r>
        <w:t xml:space="preserve">incurable</w:t>
      </w:r>
      <w:r>
        <w:t xml:space="preserve">”</w:t>
      </w:r>
      <w:r>
        <w:t xml:space="preserve"> </w:t>
      </w:r>
      <w:r>
        <w:t xml:space="preserve">à une pathologie accessible à un traitement ciblé.</w:t>
      </w:r>
    </w:p>
    <w:p>
      <w:pPr>
        <w:pStyle w:val="BodyText"/>
      </w:pPr>
      <w:r>
        <w:t xml:space="preserve">Ils agissent par trois mécanismes complémentaires : (1)</w:t>
      </w:r>
      <w:r>
        <w:t xml:space="preserve"> </w:t>
      </w:r>
      <w:r>
        <w:rPr>
          <w:b/>
          <w:bCs/>
        </w:rPr>
        <w:t xml:space="preserve">vasoconstriction des artères cérébrales extra-piales</w:t>
      </w:r>
      <w:r>
        <w:t xml:space="preserve"> </w:t>
      </w:r>
      <w:r>
        <w:t xml:space="preserve">dilatées pendant la crise (récepteurs 5-HT1B vascularisés) — cette propriété explique l’efficacité mais aussi le risque cardiovasculaire ; (2)</w:t>
      </w:r>
      <w:r>
        <w:t xml:space="preserve"> </w:t>
      </w:r>
      <w:r>
        <w:rPr>
          <w:b/>
          <w:bCs/>
        </w:rPr>
        <w:t xml:space="preserve">inhibition de la neurotransmission trigéminale</w:t>
      </w:r>
      <w:r>
        <w:t xml:space="preserve"> </w:t>
      </w:r>
      <w:r>
        <w:t xml:space="preserve">par action présynaptique sur les fibres afférentes du trijumeau (5-HT1D), diminuant la libération de CGRP (Calcitonin Gene-Related Peptide) et de substance P ; (3)</w:t>
      </w:r>
      <w:r>
        <w:t xml:space="preserve"> </w:t>
      </w:r>
      <w:r>
        <w:rPr>
          <w:b/>
          <w:bCs/>
        </w:rPr>
        <w:t xml:space="preserve">inhibition de la transmission nociceptive au niveau du noyau caudal du trijumeau</w:t>
      </w:r>
      <w:r>
        <w:t xml:space="preserve"> </w:t>
      </w:r>
      <w:r>
        <w:t xml:space="preserve">(action centrale).</w:t>
      </w:r>
    </w:p>
    <w:p>
      <w:pPr>
        <w:pStyle w:val="BodyText"/>
      </w:pPr>
      <w:r>
        <w:t xml:space="preserve">Les différences pharmacocinétiques entre les molécules conditionnent leur profil d’efficacité : le</w:t>
      </w:r>
      <w:r>
        <w:t xml:space="preserve"> </w:t>
      </w:r>
      <w:r>
        <w:rPr>
          <w:b/>
          <w:bCs/>
        </w:rPr>
        <w:t xml:space="preserve">sumatriptan</w:t>
      </w:r>
      <w:r>
        <w:t xml:space="preserve"> </w:t>
      </w:r>
      <w:r>
        <w:t xml:space="preserve">a une biodisponibilité orale faible (~14 %), une demi-vie courte (~2 h) et ne traverse pas la barrière hémato-encéphalique — d’où l’intérêt des formes nasales et sous-cutanées. Le</w:t>
      </w:r>
      <w:r>
        <w:t xml:space="preserve"> </w:t>
      </w:r>
      <w:r>
        <w:rPr>
          <w:b/>
          <w:bCs/>
        </w:rPr>
        <w:t xml:space="preserve">zolmitriptan</w:t>
      </w:r>
      <w:r>
        <w:t xml:space="preserve">, le</w:t>
      </w:r>
      <w:r>
        <w:t xml:space="preserve"> </w:t>
      </w:r>
      <w:r>
        <w:rPr>
          <w:b/>
          <w:bCs/>
        </w:rPr>
        <w:t xml:space="preserve">rizatriptan</w:t>
      </w:r>
      <w:r>
        <w:t xml:space="preserve"> </w:t>
      </w:r>
      <w:r>
        <w:t xml:space="preserve">et l’</w:t>
      </w:r>
      <w:r>
        <w:rPr>
          <w:b/>
          <w:bCs/>
        </w:rPr>
        <w:t xml:space="preserve">eletriptan</w:t>
      </w:r>
      <w:r>
        <w:t xml:space="preserve"> </w:t>
      </w:r>
      <w:r>
        <w:t xml:space="preserve">ont une meilleure pénétration centrale et une plus longue demi-vie (3-6 h). Le</w:t>
      </w:r>
      <w:r>
        <w:t xml:space="preserve"> </w:t>
      </w:r>
      <w:r>
        <w:rPr>
          <w:b/>
          <w:bCs/>
        </w:rPr>
        <w:t xml:space="preserve">naratriptan</w:t>
      </w:r>
      <w:r>
        <w:t xml:space="preserve"> </w:t>
      </w:r>
      <w:r>
        <w:t xml:space="preserve">se distingue par une demi-vie longue (6 h) et une plus grande sélectivité de récepteurs, offrant une meilleure tolérance thoracique au prix d’une efficacité plus lente.</w:t>
      </w:r>
    </w:p>
    <w:p>
      <w:pPr>
        <w:pStyle w:val="BodyText"/>
      </w:pPr>
      <w:r>
        <w:t xml:space="preserve">Tous les triptans sont</w:t>
      </w:r>
      <w:r>
        <w:t xml:space="preserve"> </w:t>
      </w:r>
      <w:r>
        <w:rPr>
          <w:b/>
          <w:bCs/>
        </w:rPr>
        <w:t xml:space="preserve">Liste I en Algérie</w:t>
      </w:r>
      <w:r>
        <w:t xml:space="preserve"> </w:t>
      </w:r>
      <w:r>
        <w:t xml:space="preserve">et strictement délivrés sur ordonnance. La prescription initiale est hospitalière ou réservée au médecin spécialiste (neurologue) selon les recommandations françaises de la HAS, mais en pratique algérienne ils sont aussi prescrits par les médecins généralistes. Le risque principal est le</w:t>
      </w:r>
      <w:r>
        <w:t xml:space="preserve"> </w:t>
      </w:r>
      <w:r>
        <w:rPr>
          <w:b/>
          <w:bCs/>
        </w:rPr>
        <w:t xml:space="preserve">syndrome sérotoninergique</w:t>
      </w:r>
      <w:r>
        <w:t xml:space="preserve"> </w:t>
      </w:r>
      <w:r>
        <w:t xml:space="preserve">en cas d’association aux IMAO ou IRS, et la</w:t>
      </w:r>
      <w:r>
        <w:t xml:space="preserve"> </w:t>
      </w:r>
      <w:r>
        <w:rPr>
          <w:b/>
          <w:bCs/>
        </w:rPr>
        <w:t xml:space="preserve">vasoconstriction coronarienne</w:t>
      </w:r>
      <w:r>
        <w:t xml:space="preserve"> </w:t>
      </w:r>
      <w:r>
        <w:t xml:space="preserve">— contre-indication absolue chez tout patient avec antécédent coronarien, syndrome de Raynaud, HTA non contrôlée ou syndrome de Wolff-Parkinson-White.</w:t>
      </w:r>
    </w:p>
    <w:p>
      <w:r>
        <w:pict>
          <v:rect style="width:0;height:1.5pt" o:hralign="center" o:hrstd="t" o:hr="t"/>
        </w:pict>
      </w:r>
    </w:p>
    <w:bookmarkEnd w:id="186"/>
    <w:bookmarkStart w:id="187" w:name="sumatriptan-seule"/>
    <w:p>
      <w:pPr>
        <w:pStyle w:val="Heading3"/>
      </w:pPr>
      <w:r>
        <w:t xml:space="preserve">1. Sumatriptan (Seule)</w:t>
      </w:r>
    </w:p>
    <w:p>
      <w:pPr>
        <w:pStyle w:val="FirstParagraph"/>
      </w:pPr>
      <w:r>
        <w:rPr>
          <w:b/>
          <w:bCs/>
        </w:rPr>
        <w:t xml:space="preserve">Liste des Catégories :</w:t>
      </w:r>
      <w:r>
        <w:t xml:space="preserve"> </w:t>
      </w:r>
      <w:r>
        <w:t xml:space="preserve">Antimigraineux - Triptans ; Liste I (Algérie).</w:t>
      </w:r>
    </w:p>
    <w:p>
      <w:pPr>
        <w:pStyle w:val="BodyText"/>
      </w:pPr>
      <w:r>
        <w:t xml:space="preserve">Le sumatriptan est le chef de file des triptans, commercialisé depuis 1991 (Imitrex® à l’international). Sa structure dérive du noyau indoléthylamine apparenté à la sérotonine. Il présente une</w:t>
      </w:r>
      <w:r>
        <w:t xml:space="preserve"> </w:t>
      </w:r>
      <w:r>
        <w:rPr>
          <w:b/>
          <w:bCs/>
        </w:rPr>
        <w:t xml:space="preserve">demi-vie d’élimination courte d’environ 2 heures</w:t>
      </w:r>
      <w:r>
        <w:t xml:space="preserve"> </w:t>
      </w:r>
      <w:r>
        <w:t xml:space="preserve">et une biodisponibilité orale modeste (14 %), mais dispose de multiples voies d’administration (orale, nasale, sous-cutanée) qui en font le triptan le plus polyvalent. Il subit un effet de premier passage hépatique important, métabolisé principalement par la MAO-A. C’est le seul triptan recommandé pendant la grossesse migraineuse (CRAT : compatible) en raison d’un recul pharmacovigilance important.</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CALMIG</w:t>
      </w:r>
      <w:r>
        <w:t xml:space="preserve"> </w:t>
      </w:r>
      <w:r>
        <w:t xml:space="preserve">(SARL GROUPE SANTE)</w:t>
      </w:r>
      <w:r>
        <w:t xml:space="preserve"> </w:t>
      </w:r>
      <w:r>
        <w:t xml:space="preserve">- Formes et Dosages : Comprimé 50 mg (boîtes de 2 et 6)</w:t>
      </w:r>
      <w:r>
        <w:t xml:space="preserve"> </w:t>
      </w:r>
      <w:r>
        <w:t xml:space="preserve">- Statut : Actif</w:t>
      </w:r>
      <w:r>
        <w:t xml:space="preserve"> </w:t>
      </w:r>
      <w:r>
        <w:t xml:space="preserve">-</w:t>
      </w:r>
      <w:r>
        <w:t xml:space="preserve"> </w:t>
      </w:r>
      <w:r>
        <w:rPr>
          <w:b/>
          <w:bCs/>
        </w:rPr>
        <w:t xml:space="preserve">MIGREX</w:t>
      </w:r>
      <w:r>
        <w:t xml:space="preserve"> </w:t>
      </w:r>
      <w:r>
        <w:t xml:space="preserve">(LABORATOIRES BEKER)</w:t>
      </w:r>
      <w:r>
        <w:t xml:space="preserve"> </w:t>
      </w:r>
      <w:r>
        <w:t xml:space="preserve">- Formes et Dosages : Comprimé pelliculé 50 mg (boîte de 6)</w:t>
      </w:r>
      <w:r>
        <w:t xml:space="preserve"> </w:t>
      </w:r>
      <w:r>
        <w:t xml:space="preserve">- Statut : Actif</w:t>
      </w:r>
    </w:p>
    <w:p>
      <w:pPr>
        <w:pStyle w:val="BodyText"/>
      </w:pPr>
      <w:r>
        <w:rPr>
          <w:b/>
          <w:bCs/>
        </w:rPr>
        <w:t xml:space="preserve">Sous-classe et Mécanisme d’action :</w:t>
      </w:r>
      <w:r>
        <w:t xml:space="preserve"> </w:t>
      </w:r>
      <w:r>
        <w:t xml:space="preserve">- Sous-classe : Triptan de première génération, agoniste sélectif 5-HT1B/1D ; chef de file de la classe.</w:t>
      </w:r>
      <w:r>
        <w:t xml:space="preserve"> </w:t>
      </w:r>
      <w:r>
        <w:t xml:space="preserve">- Mécanisme d’action : Agoniste sélectif des récepteurs 5-HT1B (vasculaire, vasoconstriction des artères cérébrales extra-piales dilatées) et 5-HT1D (pré-synaptique trigéminal, inhibition libération CGRP/substance P). La biodisponibilité orale faible (14 %) impose des posologies relativement élevées (50-100 mg) et explique l’intérêt historique des formes injectables et nasales non disponibles sur le marché algérien actuel. Demi-vie courte ~2 h.</w:t>
      </w:r>
    </w:p>
    <w:p>
      <w:pPr>
        <w:pStyle w:val="BodyText"/>
      </w:pPr>
      <w:r>
        <w:rPr>
          <w:b/>
          <w:bCs/>
        </w:rPr>
        <w:t xml:space="preserve">Profil Pharmacologique :</w:t>
      </w:r>
      <w:r>
        <w:t xml:space="preserve"> </w:t>
      </w:r>
      <w:r>
        <w:t xml:space="preserve">- Indications : Traitement de la crise de migraine aiguë avec ou sans aura, chez l’adulte (18-65 ans). Ne pas utiliser en prophylaxie. Efficacité optimale si prise précoce (dans l’heure suivant le début de la céphalée).</w:t>
      </w:r>
      <w:r>
        <w:t xml:space="preserve"> </w:t>
      </w:r>
      <w:r>
        <w:t xml:space="preserve">- Contre-indications : Hypersensibilité ; antécédent d’infarctus du myocarde, d’angor ou de vasospasme coronarien ; maladie coronarienne avérée ; syndrome de Wolff-Parkinson-White ou autres anomalies conduction associées ; HTA non contrôlée ; accident vasculaire cérébral ou AIT ; artériopathie oblitérante des membres inférieurs ; insuffisance hépatique sévère ; association avec ergotamine, autres triptans, IMAO-A.</w:t>
      </w:r>
      <w:r>
        <w:t xml:space="preserve"> </w:t>
      </w:r>
      <w:r>
        <w:t xml:space="preserve">- Effets Indésirables : Sensations de chaleur, flush, picotements (paresthésies), sensation d’oppression thoracique (généralement bénigne et transitoire mais nécessitant élimination d’un problème cardiaque), vertiges, somnolence, asthénie, nausées, douleur ou sensation de lourdeur au niveau des membres, du cou ou de la mâchoire ; plus rarement réactions d’hypersensibilité (urticaire, anaphylaxie), troubles visuels transitoires.</w:t>
      </w:r>
    </w:p>
    <w:p>
      <w:pPr>
        <w:pStyle w:val="BodyText"/>
      </w:pPr>
      <w:r>
        <w:rPr>
          <w:b/>
          <w:bCs/>
        </w:rPr>
        <w:t xml:space="preserve">Prévention et Gestion des Effets Indésirables :</w:t>
      </w:r>
      <w:r>
        <w:t xml:space="preserve"> </w:t>
      </w:r>
      <w:r>
        <w:t xml:space="preserve">- Mesures Préventives : Premier prise idéalement sous surveillance médicale chez le patient à risque cardiovasculaire modéré (plus de 40 ans, homme, facteurs de risque) ; ne pas dépasser 200 mg/24 h ; respecter un délai d’au moins 24 h avant administration d’un autre triptan ou d’ergotamine ; informer le patient sur la nature bénigne et transitoire des symptômes thoraciques mais sur la nécessité de consulter en urgence s’ils persistent ou s’accompagnent de dyspnée.</w:t>
      </w:r>
      <w:r>
        <w:t xml:space="preserve"> </w:t>
      </w:r>
      <w:r>
        <w:t xml:space="preserve">- Conduite à Tenir : En cas de douleur thoracique intense ou prolongée : arrêt immédiat, ECG, consultation urgente. En cas d’échec du premier comprimé à 50 mg, ne pas reprendre une deuxième dose sur la même crise (diagnostic à reconsidérer). Réévaluation si &gt;4 jours de traitement par mois (risque de migraine médicamenteuse).</w:t>
      </w:r>
    </w:p>
    <w:p>
      <w:pPr>
        <w:pStyle w:val="BodyText"/>
      </w:pPr>
      <w:r>
        <w:rPr>
          <w:b/>
          <w:bCs/>
        </w:rPr>
        <w:t xml:space="preserve">Interactions Importantes :</w:t>
      </w:r>
      <w:r>
        <w:t xml:space="preserve"> </w:t>
      </w:r>
      <w:r>
        <w:t xml:space="preserve">-</w:t>
      </w:r>
      <w:r>
        <w:t xml:space="preserve"> </w:t>
      </w:r>
      <w:r>
        <w:rPr>
          <w:b/>
          <w:bCs/>
        </w:rPr>
        <w:t xml:space="preserve">Sumatriptan + IMAO-A</w:t>
      </w:r>
      <w:r>
        <w:t xml:space="preserve"> </w:t>
      </w:r>
      <w:r>
        <w:t xml:space="preserve">: risque de syndrome sérotoninergique (CI absolue ; arrêt IMAO 2 semaines avant).</w:t>
      </w:r>
      <w:r>
        <w:t xml:space="preserve"> </w:t>
      </w:r>
      <w:r>
        <w:t xml:space="preserve">-</w:t>
      </w:r>
      <w:r>
        <w:t xml:space="preserve"> </w:t>
      </w:r>
      <w:r>
        <w:rPr>
          <w:b/>
          <w:bCs/>
        </w:rPr>
        <w:t xml:space="preserve">Sumatriptan + ergotamine/dihydroergotamine</w:t>
      </w:r>
      <w:r>
        <w:t xml:space="preserve"> </w:t>
      </w:r>
      <w:r>
        <w:t xml:space="preserve">: vasospasme coronarien additif (CI, respecter 24 h de délai).</w:t>
      </w:r>
      <w:r>
        <w:t xml:space="preserve"> </w:t>
      </w:r>
      <w:r>
        <w:t xml:space="preserve">-</w:t>
      </w:r>
      <w:r>
        <w:t xml:space="preserve"> </w:t>
      </w:r>
      <w:r>
        <w:rPr>
          <w:b/>
          <w:bCs/>
        </w:rPr>
        <w:t xml:space="preserve">Sumatriptan + autres triptans</w:t>
      </w:r>
      <w:r>
        <w:t xml:space="preserve"> </w:t>
      </w:r>
      <w:r>
        <w:t xml:space="preserve">: effet additif vasculaire (CI).</w:t>
      </w:r>
      <w:r>
        <w:t xml:space="preserve"> </w:t>
      </w:r>
      <w:r>
        <w:t xml:space="preserve">-</w:t>
      </w:r>
      <w:r>
        <w:t xml:space="preserve"> </w:t>
      </w:r>
      <w:r>
        <w:rPr>
          <w:b/>
          <w:bCs/>
        </w:rPr>
        <w:t xml:space="preserve">Sumatriptan + IRS/ISRSN</w:t>
      </w:r>
      <w:r>
        <w:t xml:space="preserve"> </w:t>
      </w:r>
      <w:r>
        <w:t xml:space="preserve">: surveillance (risque de syndrome sérotoninergique, bien que rare).</w:t>
      </w:r>
      <w:r>
        <w:t xml:space="preserve"> </w:t>
      </w:r>
      <w:r>
        <w:t xml:space="preserve">-</w:t>
      </w:r>
      <w:r>
        <w:t xml:space="preserve"> </w:t>
      </w:r>
      <w:r>
        <w:rPr>
          <w:b/>
          <w:bCs/>
        </w:rPr>
        <w:t xml:space="preserve">Sumatriptan + lithium, tramadol, tramadol/paracétamol</w:t>
      </w:r>
      <w:r>
        <w:t xml:space="preserve"> </w:t>
      </w:r>
      <w:r>
        <w:t xml:space="preserve">: risque sérotoninergique.</w:t>
      </w:r>
    </w:p>
    <w:p>
      <w:pPr>
        <w:pStyle w:val="BodyText"/>
      </w:pPr>
      <w:r>
        <w:rPr>
          <w:b/>
          <w:bCs/>
        </w:rPr>
        <w:t xml:space="preserve">Grossesse et Allaitement :</w:t>
      </w:r>
      <w:r>
        <w:t xml:space="preserve"> </w:t>
      </w:r>
      <w:r>
        <w:t xml:space="preserve">- Grossesse : Compatible selon le CRAT (centre de référence sur les agents tératogènes). Recul important, plusieurs milliers de grossesses exposées sans sur-risque malformatif. À privilégier si triptan nécessaire pendant la grossesse.</w:t>
      </w:r>
      <w:r>
        <w:t xml:space="preserve"> </w:t>
      </w:r>
      <w:r>
        <w:t xml:space="preserve">- Allaitement : Compatible selon le CRAT. Le sumatriptan passe peu dans le lait maternel. Recommandation : exprimer et jeter le lait dans les 12 heures suivant la prise pour minimiser l’exposition de l’enfant (en pratique souvent omis).</w:t>
      </w:r>
      <w:r>
        <w:t xml:space="preserve"> </w:t>
      </w:r>
      <w:r>
        <w:t xml:space="preserve">- Précisions : Éviter les autres triptans (données plus limitées). En cas de migraines cataméniales, le sumatriptan est le triptan de choix.</w:t>
      </w:r>
    </w:p>
    <w:p>
      <w:pPr>
        <w:pStyle w:val="BodyText"/>
      </w:pPr>
      <w:r>
        <w:rPr>
          <w:b/>
          <w:bCs/>
        </w:rPr>
        <w:t xml:space="preserve">Posologie et Mode d’administration (Standard) :</w:t>
      </w:r>
      <w:r>
        <w:t xml:space="preserve"> </w:t>
      </w:r>
      <w:r>
        <w:t xml:space="preserve">- Adulte (18-65 ans) : 50 mg en prise unique à début de la céphalée ; en cas d’efficacité insuffisante, 100 mg pour la crise suivante. Dose maximale 200 mg/24 h. Ne pas dépasser 2 crises traitées par 24 h.</w:t>
      </w:r>
      <w:r>
        <w:t xml:space="preserve"> </w:t>
      </w:r>
      <w:r>
        <w:t xml:space="preserve">- Enfant/adolescent : Non recommandé avant 18 ans (efficacité et sécurité non établies).</w:t>
      </w:r>
      <w:r>
        <w:t xml:space="preserve"> </w:t>
      </w:r>
      <w:r>
        <w:t xml:space="preserve">- Sujet &gt;65 ans : Usage non recommandé en première intention en raison du risque cardiovasculaire.</w:t>
      </w:r>
      <w:r>
        <w:t xml:space="preserve"> </w:t>
      </w:r>
      <w:r>
        <w:t xml:space="preserve">- Durée : Traitement de la crise ponctuelle. Pas d’utilisation continue. Si &gt;4 jours/mois → consulter pour prophylaxie.</w:t>
      </w:r>
      <w:r>
        <w:t xml:space="preserve"> </w:t>
      </w:r>
      <w:r>
        <w:t xml:space="preserve">- Moment de prise : Dès le début de la phase céphalalgique (pas pendant l’aura). À avaler entier avec un verre d’eau, indépendamment des repas.</w:t>
      </w:r>
    </w:p>
    <w:p>
      <w:pPr>
        <w:pStyle w:val="BodyText"/>
      </w:pPr>
      <w:r>
        <w:rPr>
          <w:b/>
          <w:bCs/>
        </w:rPr>
        <w:t xml:space="preserve">Arbitrage et Bénéfices des Formes Galéniques :</w:t>
      </w:r>
      <w:r>
        <w:t xml:space="preserve"> </w:t>
      </w:r>
      <w:r>
        <w:t xml:space="preserve">- Comprimé 50 mg : forme standard, à avaler. Délai d’action ~30 min. Adapté aux crises modérées à sévères avec nausées modérées.</w:t>
      </w:r>
      <w:r>
        <w:t xml:space="preserve"> </w:t>
      </w:r>
      <w:r>
        <w:t xml:space="preserve">- Formes nasales et sous-cutanées (non disponibles actuellement en Algérie) : utiles en cas de nausées/vomissements majeurs ou crise très sévère (action en 10-15 min pour la forme SC).</w:t>
      </w:r>
      <w:r>
        <w:t xml:space="preserve"> </w:t>
      </w:r>
      <w:r>
        <w:t xml:space="preserve">- Avantage d’une faible boîte (2 comprimés) : adaptation à l’usage occasionnel sans surstock, mais limite la couverture mensuelle des migraineux fréquents.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la crise de migraine lorsqu’elle a déjà commencé. Il ne prévient pas les crises. Prenez-le dès le début de la céphalée, pas avant. Ne pas dépasser 200 mg par 24 heures et ne pas l’associer à d’autres triptans ni à l’ergotamine. Si vous prenez un antidépresseur, signalez-le au médecin.</w:t>
      </w:r>
      <w:r>
        <w:t xml:space="preserve">”</w:t>
      </w:r>
      <w:r>
        <w:t xml:space="preserve"> </w:t>
      </w:r>
      <w:r>
        <w:t xml:space="preserve">- Mode d’utilisation pratique : Avaler le comprimé entier avec un grand verre d’eau. Si la crise récidive dans la même journée, une deuxième prise est possible (espacement de 2 h minimum), sans dépasser 200 mg total. Si échec total après 1 heure, ne pas reprendre une troisième dose et consulter.</w:t>
      </w:r>
    </w:p>
    <w:p>
      <w:pPr>
        <w:pStyle w:val="BodyText"/>
      </w:pPr>
      <w:r>
        <w:rPr>
          <w:b/>
          <w:bCs/>
        </w:rPr>
        <w:t xml:space="preserve">Notes, Règles d’Or &amp; Pièges au Comptoir :</w:t>
      </w:r>
      <w:r>
        <w:t xml:space="preserve"> </w:t>
      </w:r>
      <w:r>
        <w:t xml:space="preserve">- Piège classique : Utilisation en prophylaxie (le patient en prend</w:t>
      </w:r>
      <w:r>
        <w:t xml:space="preserve"> </w:t>
      </w:r>
      <w:r>
        <w:t xml:space="preserve">“</w:t>
      </w:r>
      <w:r>
        <w:t xml:space="preserve">au cas où</w:t>
      </w:r>
      <w:r>
        <w:t xml:space="preserve">”</w:t>
      </w:r>
      <w:r>
        <w:t xml:space="preserve"> </w:t>
      </w:r>
      <w:r>
        <w:t xml:space="preserve">avant la crise) ; association méconnue avec la dihydroergotamine (DHE) prescrite pour le même motif ; oubli de l’interrogatoire cardiovasculaire chez un patient &gt;40 ans (HTA, tabac, diabète, antécédents familiaux coronariens).</w:t>
      </w:r>
      <w:r>
        <w:t xml:space="preserve"> </w:t>
      </w:r>
      <w:r>
        <w:t xml:space="preserve">- Règle de prise : Dès le début de la céphalée (pas pendant l’aura), jamais plus de 200 mg/j, jamais plus de 2 prises par crise.</w:t>
      </w:r>
      <w:r>
        <w:t xml:space="preserve"> </w:t>
      </w:r>
      <w:r>
        <w:t xml:space="preserve">- Préparation et Conservation : Conservation à température ambiante (≤25 °C), à l’abri de l’humidité. Vérifier la date de péremption (boîtes souvent petites et</w:t>
      </w:r>
      <w:r>
        <w:t xml:space="preserve"> </w:t>
      </w:r>
      <w:r>
        <w:t xml:space="preserve">“</w:t>
      </w:r>
      <w:r>
        <w:t xml:space="preserve">oubliées</w:t>
      </w:r>
      <w:r>
        <w:t xml:space="preserve">”</w:t>
      </w:r>
      <w:r>
        <w:t xml:space="preserve"> </w:t>
      </w:r>
      <w:r>
        <w:t xml:space="preserve">en fond de tiroir).</w:t>
      </w:r>
      <w:r>
        <w:t xml:space="preserve"> </w:t>
      </w:r>
      <w:r>
        <w:t xml:space="preserve">- Piège du surdosage / Substitution : Risque de migraine médicamenteuse si usage &gt;10 jours/mois. Le sumatriptan n’est pas substituable par un autre triptan sans avis médical (profil cardiovasculaire différent). Le générique n’est pas disponible en Algérie pour cette molécule ; seules les marques CALMIG et MIGREX sont commercialisées.</w:t>
      </w:r>
    </w:p>
    <w:p>
      <w:r>
        <w:pict>
          <v:rect style="width:0;height:1.5pt" o:hralign="center" o:hrstd="t" o:hr="t"/>
        </w:pict>
      </w:r>
    </w:p>
    <w:bookmarkEnd w:id="187"/>
    <w:bookmarkStart w:id="188" w:name="zolmitriptan-seule"/>
    <w:p>
      <w:pPr>
        <w:pStyle w:val="Heading3"/>
      </w:pPr>
      <w:r>
        <w:t xml:space="preserve">2. Zolmitriptan (Seule)</w:t>
      </w:r>
    </w:p>
    <w:p>
      <w:pPr>
        <w:pStyle w:val="FirstParagraph"/>
      </w:pPr>
      <w:r>
        <w:rPr>
          <w:b/>
          <w:bCs/>
        </w:rPr>
        <w:t xml:space="preserve">Liste des Catégories :</w:t>
      </w:r>
      <w:r>
        <w:t xml:space="preserve"> </w:t>
      </w:r>
      <w:r>
        <w:t xml:space="preserve">Antimigraineux - Triptans ; Liste I (Algérie).</w:t>
      </w:r>
    </w:p>
    <w:p>
      <w:pPr>
        <w:pStyle w:val="BodyText"/>
      </w:pPr>
      <w:r>
        <w:t xml:space="preserve">Le zolmitriptan est un triptan de deuxième génération (commercialisé en 1997 sous le nom de Zomig®) caractérisé par une meilleure biodisponibilité orale (~40 %, contre 14 % pour le sumatriptan) et une lipophilie supérieure permettant un passage de la barrière hémato-encéphalique. Sa demi-vie d’élimination est de l’ordre de 3 heures. Il est métabolisé par le CYP1A2 en métabolites actifs. Disponible en Algérie sous forme de comprimé orodispersible, il présente l’avantage d’une administration sans eau, utile en cas de nausées ou de vomissements accompagnant la crise.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ZOMIPTAN</w:t>
      </w:r>
      <w:r>
        <w:t xml:space="preserve"> </w:t>
      </w:r>
      <w:r>
        <w:t xml:space="preserve">(EL KENDI INDUSTRIE DU MEDICAMENT)</w:t>
      </w:r>
      <w:r>
        <w:t xml:space="preserve"> </w:t>
      </w:r>
      <w:r>
        <w:t xml:space="preserve">- Formes et Dosages : Comprimé orodispersible 2,5 mg (boîte de 1 flacon de 6) ; Comprimé orodispersible 5 mg (boîte de 20)</w:t>
      </w:r>
      <w:r>
        <w:t xml:space="preserve"> </w:t>
      </w:r>
      <w:r>
        <w:t xml:space="preserve">- Statut : Actif</w:t>
      </w:r>
    </w:p>
    <w:p>
      <w:pPr>
        <w:pStyle w:val="BodyText"/>
      </w:pPr>
      <w:r>
        <w:rPr>
          <w:b/>
          <w:bCs/>
        </w:rPr>
        <w:t xml:space="preserve">Sous-classe et Mécanisme d’action :</w:t>
      </w:r>
      <w:r>
        <w:t xml:space="preserve"> </w:t>
      </w:r>
      <w:r>
        <w:t xml:space="preserve">- Sous-classe : Triptan de deuxième génération, agoniste 5-HT1B/1D avec affinité supérieure pour les récepteurs trigéminaux centraux.</w:t>
      </w:r>
      <w:r>
        <w:t xml:space="preserve"> </w:t>
      </w:r>
      <w:r>
        <w:t xml:space="preserve">- Mécanisme d’action : Agoniste 5-HT1B/1D identique au sumatriptan mais avec meilleure pénétration centrale (lipophilie supérieure) et activité sur les récepteurs centraux du noyau caudal du trijumeau. Métabolisme hépatique CYP1A2 en métabolite actif N-déméthylé (potence 5-HT1B/1D 2-6 fois supérieure à la molécule mère). Biodisponibilité ~40 %, demi-vie ~3 h.</w:t>
      </w:r>
    </w:p>
    <w:p>
      <w:pPr>
        <w:pStyle w:val="BodyText"/>
      </w:pPr>
      <w:r>
        <w:rPr>
          <w:b/>
          <w:bCs/>
        </w:rPr>
        <w:t xml:space="preserve">Profil Pharmacologique :</w:t>
      </w:r>
      <w:r>
        <w:t xml:space="preserve"> </w:t>
      </w:r>
      <w:r>
        <w:t xml:space="preserve">- Indications : Traitement de la crise de migraine aiguë avec ou sans aura, chez l’adulte. Efficacité supérieure au sumatriptan oral sur la douleur à 2 h dans certaines études.</w:t>
      </w:r>
      <w:r>
        <w:t xml:space="preserve"> </w:t>
      </w:r>
      <w:r>
        <w:t xml:space="preserve">- Contre-indications : Hypersensibilité ; antécédent d’infarctus du myocarde, angor, vasospasme coronarien, HTA non contrôlée, AVC/AIT, syndrome de Wolff-Parkinson-White, artériopathie oblitérante ; association ergotamine/autres triptans/IMAO-A ; insuffisance hépatique modérée à sévère.</w:t>
      </w:r>
      <w:r>
        <w:t xml:space="preserve"> </w:t>
      </w:r>
      <w:r>
        <w:t xml:space="preserve">- Effets Indésirables : Sensations étranges (picotements, chaleur), sensation d’oppression thoracique, sécheresse buccale, asthénie, somnolence, vertiges, nausées, paresthésies, douleurs cervicales, flush, plus rarement palpitations, tachycardie, hypertension transitoire.</w:t>
      </w:r>
    </w:p>
    <w:p>
      <w:pPr>
        <w:pStyle w:val="BodyText"/>
      </w:pPr>
      <w:r>
        <w:rPr>
          <w:b/>
          <w:bCs/>
        </w:rPr>
        <w:t xml:space="preserve">Prévention et Gestion des Effets Indésirables :</w:t>
      </w:r>
      <w:r>
        <w:t xml:space="preserve"> </w:t>
      </w:r>
      <w:r>
        <w:t xml:space="preserve">- Mesures Préventives : Évaluation cardiovasculaire avant prescription (interrogatoire sur tabac, HTA, diabète, antécédents familiaux) ; premier prise en milieu médicalisé si patient à risque cardiovasculaire modéré ; ne pas dépasser 10 mg/24 h.</w:t>
      </w:r>
      <w:r>
        <w:t xml:space="preserve"> </w:t>
      </w:r>
      <w:r>
        <w:t xml:space="preserve">- Conduite à Tenir : Arrêt immédiat et consultation urgente en cas de douleur thoracique intense, dyspnée, troubles du rythme. En cas d’efficacité partielle, ne pas reprendre une deuxième dose sur la même crise.</w:t>
      </w:r>
    </w:p>
    <w:p>
      <w:pPr>
        <w:pStyle w:val="BodyText"/>
      </w:pPr>
      <w:r>
        <w:rPr>
          <w:b/>
          <w:bCs/>
        </w:rPr>
        <w:t xml:space="preserve">Interactions Importantes :</w:t>
      </w:r>
      <w:r>
        <w:t xml:space="preserve"> </w:t>
      </w:r>
      <w:r>
        <w:t xml:space="preserve">-</w:t>
      </w:r>
      <w:r>
        <w:t xml:space="preserve"> </w:t>
      </w:r>
      <w:r>
        <w:rPr>
          <w:b/>
          <w:bCs/>
        </w:rPr>
        <w:t xml:space="preserve">Zolmitriptan + IMAO-A</w:t>
      </w:r>
      <w:r>
        <w:t xml:space="preserve"> </w:t>
      </w:r>
      <w:r>
        <w:t xml:space="preserve">: augmentation des concentrations plasmatiques (CI absolue, arrêt IMAO 2 semaines avant).</w:t>
      </w:r>
      <w:r>
        <w:t xml:space="preserve"> </w:t>
      </w:r>
      <w:r>
        <w:t xml:space="preserve">-</w:t>
      </w:r>
      <w:r>
        <w:t xml:space="preserve"> </w:t>
      </w:r>
      <w:r>
        <w:rPr>
          <w:b/>
          <w:bCs/>
        </w:rPr>
        <w:t xml:space="preserve">Zolmitriptan + cimétidine, fluvoxamine, contraceptifs oraux</w:t>
      </w:r>
      <w:r>
        <w:t xml:space="preserve"> </w:t>
      </w:r>
      <w:r>
        <w:t xml:space="preserve">(inhibiteurs CYP1A2) : augmentation de l’AUC du zolmitriptan, réduire la dose à 5 mg max et ne pas dépasser 7,5 mg/24 h.</w:t>
      </w:r>
      <w:r>
        <w:t xml:space="preserve"> </w:t>
      </w:r>
      <w:r>
        <w:t xml:space="preserve">-</w:t>
      </w:r>
      <w:r>
        <w:t xml:space="preserve"> </w:t>
      </w:r>
      <w:r>
        <w:rPr>
          <w:b/>
          <w:bCs/>
        </w:rPr>
        <w:t xml:space="preserve">Zolmitriptan + ergotamine/autres triptans</w:t>
      </w:r>
      <w:r>
        <w:t xml:space="preserve"> </w:t>
      </w:r>
      <w:r>
        <w:t xml:space="preserve">: vasospasme additif (CI, 24 h de délai).</w:t>
      </w:r>
      <w:r>
        <w:t xml:space="preserve"> </w:t>
      </w:r>
      <w:r>
        <w:t xml:space="preserve">-</w:t>
      </w:r>
      <w:r>
        <w:t xml:space="preserve"> </w:t>
      </w:r>
      <w:r>
        <w:rPr>
          <w:b/>
          <w:bCs/>
        </w:rPr>
        <w:t xml:space="preserve">Zolmitriptan + IRS</w:t>
      </w:r>
      <w:r>
        <w:t xml:space="preserve"> </w:t>
      </w:r>
      <w:r>
        <w:t xml:space="preserve">: surveillance syndrome sérotoninergique.</w:t>
      </w:r>
    </w:p>
    <w:p>
      <w:pPr>
        <w:pStyle w:val="BodyText"/>
      </w:pPr>
      <w:r>
        <w:rPr>
          <w:b/>
          <w:bCs/>
        </w:rPr>
        <w:t xml:space="preserve">Grossesse et Allaitement :</w:t>
      </w:r>
      <w:r>
        <w:t xml:space="preserve"> </w:t>
      </w:r>
      <w:r>
        <w:t xml:space="preserve">- Grossesse : À éviter par principe (données animales évocatrices d’un effet tératogène à doses élevées, données humaines limitées). Préférer le sumatriptan si un triptan est indispensable pendant la grossesse (CRAT).</w:t>
      </w:r>
      <w:r>
        <w:t xml:space="preserve"> </w:t>
      </w:r>
      <w:r>
        <w:t xml:space="preserve">- Allaitement : Données limitées ; éviter par principe. Le sumatriptan est préféré si triptan nécessaire pendant l’allaitement.</w:t>
      </w:r>
      <w:r>
        <w:t xml:space="preserve"> </w:t>
      </w:r>
      <w:r>
        <w:t xml:space="preserve">- Précisions : La migraine s’améliore souvent pendant la grossesse (2e et 3e trimestres), rendant l’usage de triptans rarement nécessaire.</w:t>
      </w:r>
    </w:p>
    <w:p>
      <w:pPr>
        <w:pStyle w:val="BodyText"/>
      </w:pPr>
      <w:r>
        <w:rPr>
          <w:b/>
          <w:bCs/>
        </w:rPr>
        <w:t xml:space="preserve">Posologie et Mode d’administration (Standard) :</w:t>
      </w:r>
      <w:r>
        <w:t xml:space="preserve"> </w:t>
      </w:r>
      <w:r>
        <w:t xml:space="preserve">- Adulte : 2,5 mg en prise unique dès le début de la céphalée ; peut être augmenté à 5 mg en cas d’efficacité insuffisante. Dose maximale 10 mg/24 h.</w:t>
      </w:r>
      <w:r>
        <w:t xml:space="preserve"> </w:t>
      </w:r>
      <w:r>
        <w:t xml:space="preserve">- Sujet insuffisant hépatique modéré : 2,5 mg max, ne pas dépasser 7,5 mg/24 h.</w:t>
      </w:r>
      <w:r>
        <w:t xml:space="preserve"> </w:t>
      </w:r>
      <w:r>
        <w:t xml:space="preserve">- Enfant : Non recommandé avant 18 ans.</w:t>
      </w:r>
      <w:r>
        <w:t xml:space="preserve"> </w:t>
      </w:r>
      <w:r>
        <w:t xml:space="preserve">- Durée : Traitement de la crise, pas d’usage continu.</w:t>
      </w:r>
      <w:r>
        <w:t xml:space="preserve"> </w:t>
      </w:r>
      <w:r>
        <w:t xml:space="preserve">- Moment de prise : Dès le début de la céphalée. Le comprimé orodispersible se pose sur la langue, se disperse en quelques secondes, puis est avalé avec la salive. Peut être pris avec ou sans eau, indépendamment des repas.</w:t>
      </w:r>
    </w:p>
    <w:p>
      <w:pPr>
        <w:pStyle w:val="BodyText"/>
      </w:pPr>
      <w:r>
        <w:rPr>
          <w:b/>
          <w:bCs/>
        </w:rPr>
        <w:t xml:space="preserve">Arbitrage et Bénéfices des Formes Galéniques :</w:t>
      </w:r>
      <w:r>
        <w:t xml:space="preserve"> </w:t>
      </w:r>
      <w:r>
        <w:t xml:space="preserve">- Comprimé orodispersible : idéal en cas de nausées ou vomissements pendant la crise ; pas besoin d’eau ; absorption rapide au niveau de la cavité buccale puis digestive. Le dosage 2,5 mg permet une titration prudente chez le sujet naïf ou âgé.</w:t>
      </w:r>
      <w:r>
        <w:t xml:space="preserve"> </w:t>
      </w:r>
      <w:r>
        <w:t xml:space="preserve">- Dosage 5 mg : réservé à la migraine sévère connue ou après échec du 2,5 mg.</w:t>
      </w:r>
      <w:r>
        <w:t xml:space="preserve"> </w:t>
      </w:r>
      <w:r>
        <w:t xml:space="preserve">- Conditionnement en boîte de 6 (présentation pilulier) : pratique pour un traitement d’épisode.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comprimé fond sur la langue, vous pouvez le prendre sans eau, ce qui est pratique si vous avez des nausées. Prenez-le dès le début de la céphalée. Ne pas dépasser 10 mg par jour. Si vous prenez un antidépresseur, prévenez votre médecin.</w:t>
      </w:r>
      <w:r>
        <w:t xml:space="preserve">”</w:t>
      </w:r>
      <w:r>
        <w:t xml:space="preserve"> </w:t>
      </w:r>
      <w:r>
        <w:t xml:space="preserve">- Mode d’utilisation pratique : Ouvrir le pilulier, déposer le comprimé sur la langue, fermer la bouche et avaler après dispersion. Ne pas écraser ni croquer. Si la crise récidive, une 2e prise est possible après 2 h.</w:t>
      </w:r>
    </w:p>
    <w:p>
      <w:pPr>
        <w:pStyle w:val="BodyText"/>
      </w:pPr>
      <w:r>
        <w:rPr>
          <w:b/>
          <w:bCs/>
        </w:rPr>
        <w:t xml:space="preserve">Notes, Règles d’Or &amp; Pièges au Comptoir :</w:t>
      </w:r>
      <w:r>
        <w:t xml:space="preserve"> </w:t>
      </w:r>
      <w:r>
        <w:t xml:space="preserve">- Piège classique : Le patient pense que le comprimé orodispersible agit plus vite que le comprimé classique — en réalité, le délai d’action est similaire (~30-45 min), l’avantage est seulement la facilité d’administration en cas de nausées.</w:t>
      </w:r>
      <w:r>
        <w:t xml:space="preserve"> </w:t>
      </w:r>
      <w:r>
        <w:t xml:space="preserve">- Règle de prise : Dès le début de la céphalée ; jamais plus de 10 mg/24 h ; pas d’association avec un autre triptan ou l’ergotamine dans les 24 h.</w:t>
      </w:r>
      <w:r>
        <w:t xml:space="preserve"> </w:t>
      </w:r>
      <w:r>
        <w:t xml:space="preserve">- Préparation et Conservation : Conserver le comprimé orodispersible dans son emballage d’origine (protection de l’humidité) ; ne pas transférer dans un pilulier non hermétique.</w:t>
      </w:r>
      <w:r>
        <w:t xml:space="preserve"> </w:t>
      </w:r>
      <w:r>
        <w:t xml:space="preserve">- Piège du surdosage / Substitution : Risque de migraine médicamenteuse si usage &gt;10 jours/mois. Ne pas substituer par sumatriptan ou autre triptan sans avis médical.</w:t>
      </w:r>
    </w:p>
    <w:p>
      <w:r>
        <w:pict>
          <v:rect style="width:0;height:1.5pt" o:hralign="center" o:hrstd="t" o:hr="t"/>
        </w:pict>
      </w:r>
    </w:p>
    <w:bookmarkEnd w:id="188"/>
    <w:bookmarkStart w:id="189" w:name="naratriptan-seule"/>
    <w:p>
      <w:pPr>
        <w:pStyle w:val="Heading3"/>
      </w:pPr>
      <w:r>
        <w:t xml:space="preserve">3. Naratriptan (Seule)</w:t>
      </w:r>
    </w:p>
    <w:p>
      <w:pPr>
        <w:pStyle w:val="FirstParagraph"/>
      </w:pPr>
      <w:r>
        <w:rPr>
          <w:b/>
          <w:bCs/>
        </w:rPr>
        <w:t xml:space="preserve">Liste des Catégories :</w:t>
      </w:r>
      <w:r>
        <w:t xml:space="preserve"> </w:t>
      </w:r>
      <w:r>
        <w:t xml:space="preserve">Antimigraineux - Triptans ; Liste I (Algérie).</w:t>
      </w:r>
    </w:p>
    <w:p>
      <w:pPr>
        <w:pStyle w:val="BodyText"/>
      </w:pPr>
      <w:r>
        <w:t xml:space="preserve">Le naratriptan (commercialisé en 1997 sous le nom de Naramig®) est un triptan caractérisé par une</w:t>
      </w:r>
      <w:r>
        <w:t xml:space="preserve"> </w:t>
      </w:r>
      <w:r>
        <w:rPr>
          <w:b/>
          <w:bCs/>
        </w:rPr>
        <w:t xml:space="preserve">demi-vie longue d’environ 6 heures</w:t>
      </w:r>
      <w:r>
        <w:t xml:space="preserve"> </w:t>
      </w:r>
      <w:r>
        <w:t xml:space="preserve">(la plus longue de la classe) et une plus grande sélectivité pour les récepteurs 5-HT1B/1D avec moins d’effets vasculaires périphériques. Il présente une biodisponibilité orale élevée (~60 % chez la femme, ~45 % chez l’homme). Sa tolérance thoracique est meilleure que celle du sumatriptan, ce qui en fait une option intéressante chez les patients ayant présenté des sensations d’oppression avec d’autres triptans. En contrepartie, son délai d’action est plus lent et son efficacité à 2 heures légèrement inférieure. En Algérie, le naratriptan est</w:t>
      </w:r>
      <w:r>
        <w:t xml:space="preserve"> </w:t>
      </w:r>
      <w:r>
        <w:rPr>
          <w:b/>
          <w:bCs/>
        </w:rPr>
        <w:t xml:space="preserve">non renouvelable</w:t>
      </w:r>
      <w:r>
        <w:t xml:space="preserve"> </w:t>
      </w:r>
      <w:r>
        <w:t xml:space="preserve">(l’original NARAMIG du laboratoire Glaxo Wellcome n’est plus commercialisé), mais peut faire l’objet d’importation exceptionnelle.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NARAMIG</w:t>
      </w:r>
      <w:r>
        <w:t xml:space="preserve"> </w:t>
      </w:r>
      <w:r>
        <w:t xml:space="preserve">(GLAXO WELLCOME)</w:t>
      </w:r>
      <w:r>
        <w:t xml:space="preserve"> </w:t>
      </w:r>
      <w:r>
        <w:t xml:space="preserve">- Formes et Dosages : Comprimé 2,5 mg (boîte de 6)</w:t>
      </w:r>
      <w:r>
        <w:t xml:space="preserve"> </w:t>
      </w:r>
      <w:r>
        <w:t xml:space="preserve">- Statut : Non Renouvelable</w:t>
      </w:r>
    </w:p>
    <w:p>
      <w:pPr>
        <w:pStyle w:val="BodyText"/>
      </w:pPr>
      <w:r>
        <w:rPr>
          <w:b/>
          <w:bCs/>
        </w:rPr>
        <w:t xml:space="preserve">Sous-classe et Mécanisme d’action :</w:t>
      </w:r>
      <w:r>
        <w:t xml:space="preserve"> </w:t>
      </w:r>
      <w:r>
        <w:t xml:space="preserve">- Sous-classe : Triptan de deuxième génération, agoniste 5-HT1B/1D à longue demi-vie ; triptan</w:t>
      </w:r>
      <w:r>
        <w:t xml:space="preserve"> </w:t>
      </w:r>
      <w:r>
        <w:t xml:space="preserve">“</w:t>
      </w:r>
      <w:r>
        <w:t xml:space="preserve">doux</w:t>
      </w:r>
      <w:r>
        <w:t xml:space="preserve">”</w:t>
      </w:r>
      <w:r>
        <w:t xml:space="preserve"> </w:t>
      </w:r>
      <w:r>
        <w:t xml:space="preserve">de tolérance.</w:t>
      </w:r>
      <w:r>
        <w:t xml:space="preserve"> </w:t>
      </w:r>
      <w:r>
        <w:t xml:space="preserve">- Mécanisme d’action : Agoniste 5-HT1B/1D identique aux autres triptans mais affinité plus marquée pour les récepteurs 5-HT1D (trigéminaux) que pour 5-HT1B (vasculaires), ce qui réduit le risque d’oppression thoracique. Biodisponibilité ~60 %, métabolisme hépatique multiple (CYP450), demi-vie longue ~6 h permettant une couverture prolongée de la crise avec un taux de récidive plus faible.</w:t>
      </w:r>
    </w:p>
    <w:p>
      <w:pPr>
        <w:pStyle w:val="BodyText"/>
      </w:pPr>
      <w:r>
        <w:rPr>
          <w:b/>
          <w:bCs/>
        </w:rPr>
        <w:t xml:space="preserve">Profil Pharmacologique :</w:t>
      </w:r>
      <w:r>
        <w:t xml:space="preserve"> </w:t>
      </w:r>
      <w:r>
        <w:t xml:space="preserve">- Indications : Traitement de la crise de migraine aiguë avec ou sans aura. Particulièrement utile chez les patients présentant des crises prolongées ou récidivantes, ou ayant mal toléré d’autres triptans.</w:t>
      </w:r>
      <w:r>
        <w:t xml:space="preserve"> </w:t>
      </w:r>
      <w:r>
        <w:t xml:space="preserve">- Contre-indications : Hypersensibilité ; antécédent coronarien, angor, vasospasme coronarien, HTA non contrôlée, AVC/AIT, Wolff-Parkinson-White, artériopathie oblitérante ; association ergotamine/autres triptans/IMAO-A ; insuffisance hépatique sévère ; insuffisance rénale sévère.</w:t>
      </w:r>
      <w:r>
        <w:t xml:space="preserve"> </w:t>
      </w:r>
      <w:r>
        <w:t xml:space="preserve">- Effets Indésirables : Mieux toléré que le sumatriptan : moins de flush, moins d’oppression thoracique. Possibles : sensations de picotements, somnolence, vertiges, nausées, sécheresse buccale, asthénie.</w:t>
      </w:r>
    </w:p>
    <w:p>
      <w:pPr>
        <w:pStyle w:val="BodyText"/>
      </w:pPr>
      <w:r>
        <w:rPr>
          <w:b/>
          <w:bCs/>
        </w:rPr>
        <w:t xml:space="preserve">Prévention et Gestion des Effets Indésirables :</w:t>
      </w:r>
      <w:r>
        <w:t xml:space="preserve"> </w:t>
      </w:r>
      <w:r>
        <w:t xml:space="preserve">- Mesures Préventives : Évaluation cardiovasculaire préalable ; chez le patient âgé, démarrer par la dose la plus faible (2,5 mg) ; surveillance en cas d’insuffisance rénale modérée (clairance créatinine 15-49 mL/min, dose maximale 2,5 mg/24 h).</w:t>
      </w:r>
      <w:r>
        <w:t xml:space="preserve"> </w:t>
      </w:r>
      <w:r>
        <w:t xml:space="preserve">- Conduite à Tenir : Arrêt et consultation urgente si douleur thoracique. Ne pas associer à un autre triptan dans les 24 h.</w:t>
      </w:r>
    </w:p>
    <w:p>
      <w:pPr>
        <w:pStyle w:val="BodyText"/>
      </w:pPr>
      <w:r>
        <w:rPr>
          <w:b/>
          <w:bCs/>
        </w:rPr>
        <w:t xml:space="preserve">Interactions Importantes :</w:t>
      </w:r>
      <w:r>
        <w:t xml:space="preserve"> </w:t>
      </w:r>
      <w:r>
        <w:t xml:space="preserve">-</w:t>
      </w:r>
      <w:r>
        <w:t xml:space="preserve"> </w:t>
      </w:r>
      <w:r>
        <w:rPr>
          <w:b/>
          <w:bCs/>
        </w:rPr>
        <w:t xml:space="preserve">Naratriptan + IMAO-A</w:t>
      </w:r>
      <w:r>
        <w:t xml:space="preserve"> </w:t>
      </w:r>
      <w:r>
        <w:t xml:space="preserve">: augmentation des concentrations (CI absolue).</w:t>
      </w:r>
      <w:r>
        <w:t xml:space="preserve"> </w:t>
      </w:r>
      <w:r>
        <w:t xml:space="preserve">-</w:t>
      </w:r>
      <w:r>
        <w:t xml:space="preserve"> </w:t>
      </w:r>
      <w:r>
        <w:rPr>
          <w:b/>
          <w:bCs/>
        </w:rPr>
        <w:t xml:space="preserve">Naratriptan + ergotamine/autres triptans</w:t>
      </w:r>
      <w:r>
        <w:t xml:space="preserve"> </w:t>
      </w:r>
      <w:r>
        <w:t xml:space="preserve">: vasospasme additif (CI, 24 h délai).</w:t>
      </w:r>
      <w:r>
        <w:t xml:space="preserve"> </w:t>
      </w:r>
      <w:r>
        <w:t xml:space="preserve">-</w:t>
      </w:r>
      <w:r>
        <w:t xml:space="preserve"> </w:t>
      </w:r>
      <w:r>
        <w:rPr>
          <w:b/>
          <w:bCs/>
        </w:rPr>
        <w:t xml:space="preserve">Naratriptan + IRS/ISRSN</w:t>
      </w:r>
      <w:r>
        <w:t xml:space="preserve"> </w:t>
      </w:r>
      <w:r>
        <w:t xml:space="preserve">: surveillance (risque sérotoninergique faible).</w:t>
      </w:r>
      <w:r>
        <w:t xml:space="preserve"> </w:t>
      </w:r>
      <w:r>
        <w:t xml:space="preserve">-</w:t>
      </w:r>
      <w:r>
        <w:t xml:space="preserve"> </w:t>
      </w:r>
      <w:r>
        <w:rPr>
          <w:b/>
          <w:bCs/>
        </w:rPr>
        <w:t xml:space="preserve">Naratriptan + contraceptifs oraux</w:t>
      </w:r>
      <w:r>
        <w:t xml:space="preserve"> </w:t>
      </w:r>
      <w:r>
        <w:t xml:space="preserve">: augmentation modérée de l’AUC (réduire la dose si nécessaire).</w:t>
      </w:r>
    </w:p>
    <w:p>
      <w:pPr>
        <w:pStyle w:val="BodyText"/>
      </w:pPr>
      <w:r>
        <w:rPr>
          <w:b/>
          <w:bCs/>
        </w:rPr>
        <w:t xml:space="preserve">Grossesse et Allaitement :</w:t>
      </w:r>
      <w:r>
        <w:t xml:space="preserve"> </w:t>
      </w:r>
      <w:r>
        <w:t xml:space="preserve">- Grossesse : À éviter ; données animales évocatrices d’effets toxiques sur le développement fœtal à doses élevées. Préférer le sumatriptan si un triptan est nécessaire pendant la grossesse.</w:t>
      </w:r>
      <w:r>
        <w:t xml:space="preserve"> </w:t>
      </w:r>
      <w:r>
        <w:t xml:space="preserve">- Allaitement : Données limitées ; éviter par principe.</w:t>
      </w:r>
      <w:r>
        <w:t xml:space="preserve"> </w:t>
      </w:r>
      <w:r>
        <w:t xml:space="preserve">- Précisions : Les données humaines sont insuffisantes, ce qui justifie une position de prudence.</w:t>
      </w:r>
    </w:p>
    <w:p>
      <w:pPr>
        <w:pStyle w:val="BodyText"/>
      </w:pPr>
      <w:r>
        <w:rPr>
          <w:b/>
          <w:bCs/>
        </w:rPr>
        <w:t xml:space="preserve">Posologie et Mode d’administration (Standard) :</w:t>
      </w:r>
      <w:r>
        <w:t xml:space="preserve"> </w:t>
      </w:r>
      <w:r>
        <w:t xml:space="preserve">- Adulte : 2,5 mg en prise unique à début de céphalée. Dose maximale 5 mg/24 h.</w:t>
      </w:r>
      <w:r>
        <w:t xml:space="preserve"> </w:t>
      </w:r>
      <w:r>
        <w:t xml:space="preserve">- Sujet insuffisant rénal (ClCr 15-49 mL/min) : 2,5 mg max, ne pas dépasser 2,5 mg/24 h.</w:t>
      </w:r>
      <w:r>
        <w:t xml:space="preserve"> </w:t>
      </w:r>
      <w:r>
        <w:t xml:space="preserve">- Enfant : Non recommandé avant 18 ans.</w:t>
      </w:r>
      <w:r>
        <w:t xml:space="preserve"> </w:t>
      </w:r>
      <w:r>
        <w:t xml:space="preserve">- Durée : Traitement de la crise, pas d’usage continu.</w:t>
      </w:r>
      <w:r>
        <w:t xml:space="preserve"> </w:t>
      </w:r>
      <w:r>
        <w:t xml:space="preserve">- Moment de prise : Dès le début de la céphalée. Avaler entier avec un verre d’eau, indépendamment des repas.</w:t>
      </w:r>
    </w:p>
    <w:p>
      <w:pPr>
        <w:pStyle w:val="BodyText"/>
      </w:pPr>
      <w:r>
        <w:rPr>
          <w:b/>
          <w:bCs/>
        </w:rPr>
        <w:t xml:space="preserve">Arbitrage et Bénéfices des Formes Galéniques :</w:t>
      </w:r>
      <w:r>
        <w:t xml:space="preserve"> </w:t>
      </w:r>
      <w:r>
        <w:t xml:space="preserve">- Forme unique : comprimé 2,5 mg à avaler. Avantage principal : la longue demi-vie (6 h) permet une couverture prolongée des crises longues et un taux de récidive plus faible que les autres triptans.</w:t>
      </w:r>
      <w:r>
        <w:t xml:space="preserve"> </w:t>
      </w:r>
      <w:r>
        <w:t xml:space="preserve">- Profil de tolérance : à privilégier chez le patient intolérant au sumatriptan ou chez la femme en âge de procréer (en cas de nécessité absolue, après évaluation).</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a une action un peu plus lente que d’autres triptans, mais sa durée d’action est plus longue. Prenez-le dès le début de la céphalée. Ne pas dépasser 5 mg par 24 heures.</w:t>
      </w:r>
      <w:r>
        <w:t xml:space="preserve">”</w:t>
      </w:r>
      <w:r>
        <w:t xml:space="preserve"> </w:t>
      </w:r>
      <w:r>
        <w:t xml:space="preserve">- Mode d’utilisation pratique : Avaler le comprimé entier avec un grand verre d’eau. Si la crise récidive après 4 h, une 2e prise est possible sans dépasser 5 mg/j.</w:t>
      </w:r>
    </w:p>
    <w:p>
      <w:pPr>
        <w:pStyle w:val="BodyText"/>
      </w:pPr>
      <w:r>
        <w:rPr>
          <w:b/>
          <w:bCs/>
        </w:rPr>
        <w:t xml:space="preserve">Notes, Règles d’Or &amp; Pièges au Comptoir :</w:t>
      </w:r>
      <w:r>
        <w:t xml:space="preserve"> </w:t>
      </w:r>
      <w:r>
        <w:t xml:space="preserve">- Piège classique : Patient déçu de l’efficacité à 2 h (plus lente que le sumatriptan) — expliquer le bénéfice de la longue durée d’action.</w:t>
      </w:r>
      <w:r>
        <w:t xml:space="preserve"> </w:t>
      </w:r>
      <w:r>
        <w:t xml:space="preserve">- Règle de prise : Dès le début de la céphalée ; jamais plus de 5 mg/24 h ; pas d’association avec un autre triptan ou l’ergotamine dans les 24 h.</w:t>
      </w:r>
      <w:r>
        <w:t xml:space="preserve"> </w:t>
      </w:r>
      <w:r>
        <w:t xml:space="preserve">- Préparation et Conservation : À température ambiante, à l’abri de l’humidité.</w:t>
      </w:r>
      <w:r>
        <w:t xml:space="preserve"> </w:t>
      </w:r>
      <w:r>
        <w:t xml:space="preserve">- Piège du surdosage / Substitution : Disponibilité algérienne limitée (Non Renouvelable). En cas d’indisponibilité, ne pas substituer arbitrairement par un autre triptan sans avis médical (profil de tolérance différent).</w:t>
      </w:r>
    </w:p>
    <w:p>
      <w:r>
        <w:pict>
          <v:rect style="width:0;height:1.5pt" o:hralign="center" o:hrstd="t" o:hr="t"/>
        </w:pict>
      </w:r>
    </w:p>
    <w:bookmarkEnd w:id="189"/>
    <w:bookmarkStart w:id="190" w:name="rizatriptan-seule"/>
    <w:p>
      <w:pPr>
        <w:pStyle w:val="Heading3"/>
      </w:pPr>
      <w:r>
        <w:t xml:space="preserve">4. Rizatriptan (Seule)</w:t>
      </w:r>
    </w:p>
    <w:p>
      <w:pPr>
        <w:pStyle w:val="FirstParagraph"/>
      </w:pPr>
      <w:r>
        <w:rPr>
          <w:b/>
          <w:bCs/>
        </w:rPr>
        <w:t xml:space="preserve">Liste des Catégories :</w:t>
      </w:r>
      <w:r>
        <w:t xml:space="preserve"> </w:t>
      </w:r>
      <w:r>
        <w:t xml:space="preserve">Antimigraineux - Triptans ; Liste I (Algérie).</w:t>
      </w:r>
    </w:p>
    <w:p>
      <w:pPr>
        <w:pStyle w:val="BodyText"/>
      </w:pPr>
      <w:r>
        <w:t xml:space="preserve">Le rizatriptan (commercialisé en 1998 sous le nom de Maxalt®) est l’un des triptans les plus rapidement actifs par voie orale. Sa biodisponibilité est de l’ordre de 40 %, mais surtout son Tmax est court (~1 h), ce qui en fait un triptan de choix pour les crises nécessitant un soulagement rapide. Sa demi-vie est d’environ 2-3 h. Métabolisé principalement par la MAO-A, comme le sumatriptan. Disponible en Algérie en comprimé orodispersible 10 mg, il offre une alternative intéressante au sumatriptan oral avec un délai d’action plus court.</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MITRIPTAN</w:t>
      </w:r>
      <w:r>
        <w:t xml:space="preserve"> </w:t>
      </w:r>
      <w:r>
        <w:t xml:space="preserve">(EL KENDI INDUSTRIE DU MEDICAMENT)</w:t>
      </w:r>
      <w:r>
        <w:t xml:space="preserve"> </w:t>
      </w:r>
      <w:r>
        <w:t xml:space="preserve">- Formes et Dosages : Comprimé orodispersible 10 mg (boîte de 10)</w:t>
      </w:r>
      <w:r>
        <w:t xml:space="preserve"> </w:t>
      </w:r>
      <w:r>
        <w:t xml:space="preserve">- Statut : Actif</w:t>
      </w:r>
      <w:r>
        <w:t xml:space="preserve"> </w:t>
      </w:r>
      <w:r>
        <w:t xml:space="preserve">-</w:t>
      </w:r>
      <w:r>
        <w:t xml:space="preserve"> </w:t>
      </w:r>
      <w:r>
        <w:rPr>
          <w:b/>
          <w:bCs/>
        </w:rPr>
        <w:t xml:space="preserve">ZORTAN</w:t>
      </w:r>
      <w:r>
        <w:t xml:space="preserve"> </w:t>
      </w:r>
      <w:r>
        <w:t xml:space="preserve">(BIOPHARM)</w:t>
      </w:r>
      <w:r>
        <w:t xml:space="preserve"> </w:t>
      </w:r>
      <w:r>
        <w:t xml:space="preserve">- Formes et Dosages : Comprimé orodispersible 10 mg (pilulier de 6 comprimés)</w:t>
      </w:r>
      <w:r>
        <w:t xml:space="preserve"> </w:t>
      </w:r>
      <w:r>
        <w:t xml:space="preserve">- Statut : Actif</w:t>
      </w:r>
    </w:p>
    <w:p>
      <w:pPr>
        <w:pStyle w:val="BodyText"/>
      </w:pPr>
      <w:r>
        <w:rPr>
          <w:b/>
          <w:bCs/>
        </w:rPr>
        <w:t xml:space="preserve">Sous-classe et Mécanisme d’action :</w:t>
      </w:r>
      <w:r>
        <w:t xml:space="preserve"> </w:t>
      </w:r>
      <w:r>
        <w:t xml:space="preserve">- Sous-classe : Triptan de deuxième génération, agoniste 5-HT1B/1D à délai d’action court.</w:t>
      </w:r>
      <w:r>
        <w:t xml:space="preserve"> </w:t>
      </w:r>
      <w:r>
        <w:t xml:space="preserve">- Mécanisme d’action : Agoniste 5-HT1B/1D identique aux autres triptans. Sa particularité est une cinétique rapide : Tmax ~1 h (le plus court de la classe par voie orale), permettant une efficacité précoce sur la douleur. Biodisponibilité ~40 %, métabolisme MAO-A (proscrit avec IMAO-A), demi-vie ~2-3 h.</w:t>
      </w:r>
    </w:p>
    <w:p>
      <w:pPr>
        <w:pStyle w:val="BodyText"/>
      </w:pPr>
      <w:r>
        <w:rPr>
          <w:b/>
          <w:bCs/>
        </w:rPr>
        <w:t xml:space="preserve">Profil Pharmacologique :</w:t>
      </w:r>
      <w:r>
        <w:t xml:space="preserve"> </w:t>
      </w:r>
      <w:r>
        <w:t xml:space="preserve">- Indications : Traitement de la crise de migraine aiguë avec ou sans aura. Particulièrement utile pour les crises nécessitant un soulagement rapide (crises invalidantes, contexte professionnel).</w:t>
      </w:r>
      <w:r>
        <w:t xml:space="preserve"> </w:t>
      </w:r>
      <w:r>
        <w:t xml:space="preserve">- Contre-indications : Hypersensibilité ; antécédent coronarien, angor, vasospasme, HTA non contrôlée, AVC/AIT, Wolff-Parkinson-White, artériopathie oblitérante ; association ergotamine/autres triptans/IMAO-A ; insuffisance hépatique sévère.</w:t>
      </w:r>
      <w:r>
        <w:t xml:space="preserve"> </w:t>
      </w:r>
      <w:r>
        <w:t xml:space="preserve">- Effets Indésirables : Sensations de picotements, flush, sensation d’oppression thoracique (transitoire), asthénie, somnolence, vertiges, nausées, sécheresse buccale, plus rarement palpitations.</w:t>
      </w:r>
    </w:p>
    <w:p>
      <w:pPr>
        <w:pStyle w:val="BodyText"/>
      </w:pPr>
      <w:r>
        <w:rPr>
          <w:b/>
          <w:bCs/>
        </w:rPr>
        <w:t xml:space="preserve">Prévention et Gestion des Effets Indésirables :</w:t>
      </w:r>
      <w:r>
        <w:t xml:space="preserve"> </w:t>
      </w:r>
      <w:r>
        <w:t xml:space="preserve">- Mesures Préventives : Évaluation cardiovasculaire préalable ; chez le patient sous propranolol, réduire la dose à 5 mg (le propranolol double l’AUC du rizatriptan) ; espace de 2 h entre 2 prises.</w:t>
      </w:r>
      <w:r>
        <w:t xml:space="preserve"> </w:t>
      </w:r>
      <w:r>
        <w:t xml:space="preserve">- Conduite à Tenir : Arrêt immédiat et consultation en urgence si douleur thoracique intense ou prolongée.</w:t>
      </w:r>
    </w:p>
    <w:p>
      <w:pPr>
        <w:pStyle w:val="BodyText"/>
      </w:pPr>
      <w:r>
        <w:rPr>
          <w:b/>
          <w:bCs/>
        </w:rPr>
        <w:t xml:space="preserve">Interactions Importantes :</w:t>
      </w:r>
      <w:r>
        <w:t xml:space="preserve"> </w:t>
      </w:r>
      <w:r>
        <w:t xml:space="preserve">-</w:t>
      </w:r>
      <w:r>
        <w:t xml:space="preserve"> </w:t>
      </w:r>
      <w:r>
        <w:rPr>
          <w:b/>
          <w:bCs/>
        </w:rPr>
        <w:t xml:space="preserve">Rizatriptan + IMAO-A</w:t>
      </w:r>
      <w:r>
        <w:t xml:space="preserve"> </w:t>
      </w:r>
      <w:r>
        <w:t xml:space="preserve">: CI absolue (arrêt IMAO 2 semaines avant).</w:t>
      </w:r>
      <w:r>
        <w:t xml:space="preserve"> </w:t>
      </w:r>
      <w:r>
        <w:t xml:space="preserve">-</w:t>
      </w:r>
      <w:r>
        <w:t xml:space="preserve"> </w:t>
      </w:r>
      <w:r>
        <w:rPr>
          <w:b/>
          <w:bCs/>
        </w:rPr>
        <w:t xml:space="preserve">Rizatriptan + propranolol</w:t>
      </w:r>
      <w:r>
        <w:t xml:space="preserve"> </w:t>
      </w:r>
      <w:r>
        <w:t xml:space="preserve">: doublement de l’AUC → réduire la dose à 5 mg max, ne pas dépasser 15 mg/24 h et espacer de 2 h.</w:t>
      </w:r>
      <w:r>
        <w:t xml:space="preserve"> </w:t>
      </w:r>
      <w:r>
        <w:t xml:space="preserve">-</w:t>
      </w:r>
      <w:r>
        <w:t xml:space="preserve"> </w:t>
      </w:r>
      <w:r>
        <w:rPr>
          <w:b/>
          <w:bCs/>
        </w:rPr>
        <w:t xml:space="preserve">Rizatriptan + ergotamine/autres triptans</w:t>
      </w:r>
      <w:r>
        <w:t xml:space="preserve"> </w:t>
      </w:r>
      <w:r>
        <w:t xml:space="preserve">: CI (24 h délai).</w:t>
      </w:r>
      <w:r>
        <w:t xml:space="preserve"> </w:t>
      </w:r>
      <w:r>
        <w:t xml:space="preserve">-</w:t>
      </w:r>
      <w:r>
        <w:t xml:space="preserve"> </w:t>
      </w:r>
      <w:r>
        <w:rPr>
          <w:b/>
          <w:bCs/>
        </w:rPr>
        <w:t xml:space="preserve">Rizatriptan + IRS</w:t>
      </w:r>
      <w:r>
        <w:t xml:space="preserve"> </w:t>
      </w:r>
      <w:r>
        <w:t xml:space="preserve">: surveillance.</w:t>
      </w:r>
    </w:p>
    <w:p>
      <w:pPr>
        <w:pStyle w:val="BodyText"/>
      </w:pPr>
      <w:r>
        <w:rPr>
          <w:b/>
          <w:bCs/>
        </w:rPr>
        <w:t xml:space="preserve">Grossesse et Allaitement :</w:t>
      </w:r>
      <w:r>
        <w:t xml:space="preserve"> </w:t>
      </w:r>
      <w:r>
        <w:t xml:space="preserve">- Grossesse : À éviter par principe. Préférer le sumatriptan si triptan nécessaire.</w:t>
      </w:r>
      <w:r>
        <w:t xml:space="preserve"> </w:t>
      </w:r>
      <w:r>
        <w:t xml:space="preserve">- Allaitement : À éviter par principe.</w:t>
      </w:r>
      <w:r>
        <w:t xml:space="preserve"> </w:t>
      </w:r>
      <w:r>
        <w:t xml:space="preserve">- Précisions : Le rizatriptan est tératogène chez l’animal à doses élevées. Le CRAT ne recommande pas son utilisation pendant la grossesse en première intention.</w:t>
      </w:r>
    </w:p>
    <w:p>
      <w:pPr>
        <w:pStyle w:val="BodyText"/>
      </w:pPr>
      <w:r>
        <w:rPr>
          <w:b/>
          <w:bCs/>
        </w:rPr>
        <w:t xml:space="preserve">Posologie et Mode d’administration (Standard) :</w:t>
      </w:r>
      <w:r>
        <w:t xml:space="preserve"> </w:t>
      </w:r>
      <w:r>
        <w:t xml:space="preserve">- Adulte : 10 mg en prise unique à début de céphalée. Dose maximale 20 mg/24 h (soit 2 prises espacées d’au moins 2 h).</w:t>
      </w:r>
      <w:r>
        <w:t xml:space="preserve"> </w:t>
      </w:r>
      <w:r>
        <w:t xml:space="preserve">- Patient sous propranolol : 5 mg max par prise, 15 mg max/24 h.</w:t>
      </w:r>
      <w:r>
        <w:t xml:space="preserve"> </w:t>
      </w:r>
      <w:r>
        <w:t xml:space="preserve">- Enfant : À partir de 6 ans et &gt;30 kg : 5 mg ; &gt;40 kg : 10 mg. Utilisation pédiatrique limitée.</w:t>
      </w:r>
      <w:r>
        <w:t xml:space="preserve"> </w:t>
      </w:r>
      <w:r>
        <w:t xml:space="preserve">- Durée : Traitement de la crise. Pas d’usage continu.</w:t>
      </w:r>
      <w:r>
        <w:t xml:space="preserve"> </w:t>
      </w:r>
      <w:r>
        <w:t xml:space="preserve">- Moment de prise : Dès le début de la céphalée. Le comprimé orodispersible se dépose sur la langue, se disperse et est avalé avec la salive. Peut être pris sans eau, indépendamment des repas.</w:t>
      </w:r>
    </w:p>
    <w:p>
      <w:pPr>
        <w:pStyle w:val="BodyText"/>
      </w:pPr>
      <w:r>
        <w:rPr>
          <w:b/>
          <w:bCs/>
        </w:rPr>
        <w:t xml:space="preserve">Arbitrage et Bénéfices des Formes Galéniques :</w:t>
      </w:r>
      <w:r>
        <w:t xml:space="preserve"> </w:t>
      </w:r>
      <w:r>
        <w:t xml:space="preserve">- Comprimé orodispersible : idéal pour les crises avec nausées ou vomissements ; pas besoin d’eau. Le Tmax court en fait le triptan oral le plus rapidement actif.</w:t>
      </w:r>
      <w:r>
        <w:t xml:space="preserve"> </w:t>
      </w:r>
      <w:r>
        <w:t xml:space="preserve">- Pilulier de 6 comprimés (ZORTAN) : pratique pour un traitement d’épisode.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comprimé fond sur la langue et agit rapidement, en environ 30 minutes. Prenez-le dès le début de la céphalée. Ne pas dépasser 20 mg par jour. Si vous prenez un bêta-bloquant, parlez-en à votre médecin, la dose doit être réduite.</w:t>
      </w:r>
      <w:r>
        <w:t xml:space="preserve">”</w:t>
      </w:r>
      <w:r>
        <w:t xml:space="preserve"> </w:t>
      </w:r>
      <w:r>
        <w:t xml:space="preserve">- Mode d’utilisation pratique : Déposer le comprimé sur la langue, laisser se disperser et avaler avec la salive. Si la crise récidive après 2 h, une 2e prise est possible.</w:t>
      </w:r>
    </w:p>
    <w:p>
      <w:pPr>
        <w:pStyle w:val="BodyText"/>
      </w:pPr>
      <w:r>
        <w:rPr>
          <w:b/>
          <w:bCs/>
        </w:rPr>
        <w:t xml:space="preserve">Notes, Règles d’Or &amp; Pièges au Comptoir :</w:t>
      </w:r>
      <w:r>
        <w:t xml:space="preserve"> </w:t>
      </w:r>
      <w:r>
        <w:t xml:space="preserve">- Piège classique : Oubli de demander si le patient prend un bêta-bloquant (propranolol) → risque de surdosage par doublement de l’AUC.</w:t>
      </w:r>
      <w:r>
        <w:t xml:space="preserve"> </w:t>
      </w:r>
      <w:r>
        <w:t xml:space="preserve">- Règle de prise : Dès le début de la céphalée ; 2 h minimum entre 2 prises ; 20 mg max/24 h (15 mg si propranolol).</w:t>
      </w:r>
      <w:r>
        <w:t xml:space="preserve"> </w:t>
      </w:r>
      <w:r>
        <w:t xml:space="preserve">- Préparation et Conservation : Comprimé orodispersible à conserver dans son emballage d’origine (protection humidité).</w:t>
      </w:r>
      <w:r>
        <w:t xml:space="preserve"> </w:t>
      </w:r>
      <w:r>
        <w:t xml:space="preserve">- Piège du surdosage / Substitution : Risque de migraine médicamenteuse si &gt;10 jours/mois. Ne pas substituer par un autre triptan sans avis médical.</w:t>
      </w:r>
    </w:p>
    <w:p>
      <w:r>
        <w:pict>
          <v:rect style="width:0;height:1.5pt" o:hralign="center" o:hrstd="t" o:hr="t"/>
        </w:pict>
      </w:r>
    </w:p>
    <w:bookmarkEnd w:id="190"/>
    <w:bookmarkStart w:id="191" w:name="eletriptan-seule"/>
    <w:p>
      <w:pPr>
        <w:pStyle w:val="Heading3"/>
      </w:pPr>
      <w:r>
        <w:t xml:space="preserve">5. Eletriptan (Seule)</w:t>
      </w:r>
    </w:p>
    <w:p>
      <w:pPr>
        <w:pStyle w:val="FirstParagraph"/>
      </w:pPr>
      <w:r>
        <w:rPr>
          <w:b/>
          <w:bCs/>
        </w:rPr>
        <w:t xml:space="preserve">Liste des Catégories :</w:t>
      </w:r>
      <w:r>
        <w:t xml:space="preserve"> </w:t>
      </w:r>
      <w:r>
        <w:t xml:space="preserve">Antimigraineux - Triptans ; Liste I (Algérie).</w:t>
      </w:r>
    </w:p>
    <w:p>
      <w:pPr>
        <w:pStyle w:val="BodyText"/>
      </w:pPr>
      <w:r>
        <w:t xml:space="preserve">L’eletriptan (commercialisé en 2001 sous le nom de Relpax®) est un triptan de troisième génération caractérisé par une haute affinité pour les récepteurs 5-HT1B/1D et une excellente lipophilie permettant un bon passage central. Sa biodisponibilité orale est d’environ 50 %, et sa demi-vie d’environ 4 h. Il est métabolisé principalement par le CYP3A4. L’eletriptan est réputé pour avoir l’une des meilleures efficacités de la classe en termes de patient répondeur à 2 h, mais présente des interactions médicamenteuses notables via le CYP3A4.</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RELPAX</w:t>
      </w:r>
      <w:r>
        <w:t xml:space="preserve"> </w:t>
      </w:r>
      <w:r>
        <w:t xml:space="preserve">(PFIZER PHARMA GMBH)</w:t>
      </w:r>
      <w:r>
        <w:t xml:space="preserve"> </w:t>
      </w:r>
      <w:r>
        <w:t xml:space="preserve">- Formes et Dosages : Comprimé pelliculé 20 mg (boîte de 3) ; Comprimé pelliculé 40 mg (boîte de 3)</w:t>
      </w:r>
      <w:r>
        <w:t xml:space="preserve"> </w:t>
      </w:r>
      <w:r>
        <w:t xml:space="preserve">- Statut : Actif</w:t>
      </w:r>
    </w:p>
    <w:p>
      <w:pPr>
        <w:pStyle w:val="BodyText"/>
      </w:pPr>
      <w:r>
        <w:rPr>
          <w:b/>
          <w:bCs/>
        </w:rPr>
        <w:t xml:space="preserve">Sous-classe et Mécanisme d’action :</w:t>
      </w:r>
      <w:r>
        <w:t xml:space="preserve"> </w:t>
      </w:r>
      <w:r>
        <w:t xml:space="preserve">- Sous-classe : Triptan de troisième génération, agoniste 5-HT1B/1D à haute affinité et bonne pénétration centrale.</w:t>
      </w:r>
      <w:r>
        <w:t xml:space="preserve"> </w:t>
      </w:r>
      <w:r>
        <w:t xml:space="preserve">- Mécanisme d’action : Agoniste 5-HT1B/1D avec affinité supérieure au sumatriptan (notamment pour les récepteurs trigéminaux centraux). Biodisponibilité ~50 %, métabolisme CYP3A4 (sensible aux inhibiteurs puissants), demi-vie ~4 h.</w:t>
      </w:r>
    </w:p>
    <w:p>
      <w:pPr>
        <w:pStyle w:val="BodyText"/>
      </w:pPr>
      <w:r>
        <w:rPr>
          <w:b/>
          <w:bCs/>
        </w:rPr>
        <w:t xml:space="preserve">Profil Pharmacologique :</w:t>
      </w:r>
      <w:r>
        <w:t xml:space="preserve"> </w:t>
      </w:r>
      <w:r>
        <w:t xml:space="preserve">- Indications : Traitement de la crise de migraine aiguë avec ou sans aura. Souvent utilisé en deuxième intention en cas d’échec d’un autre triptan, en raison de son efficacité supérieure.</w:t>
      </w:r>
      <w:r>
        <w:t xml:space="preserve"> </w:t>
      </w:r>
      <w:r>
        <w:t xml:space="preserve">- Contre-indications : Hypersensibilité ; antécédent coronarien, angor, vasospasme, HTA non contrôlée, AVC/AIT, Wolff-Parkinson-White, artériopathie oblitérante ; association ergotamine/autres triptans/IMAO-A ; insuffisance hépatique sévère ; association avec inhibiteurs puissants du CYP3A4 (ketoconazole, itraconazole, clarithromycine, érythromycine, josamycine, ritonavir, nelfinavir).</w:t>
      </w:r>
      <w:r>
        <w:t xml:space="preserve"> </w:t>
      </w:r>
      <w:r>
        <w:t xml:space="preserve">- Effets Indésirables : Sensations de picotements, flush, sensation d’oppression thoracique, asthénie, somnolence, vertiges, nausées, sécheresse buccale, plus rarement palpitations, hypertension transitoire.</w:t>
      </w:r>
    </w:p>
    <w:p>
      <w:pPr>
        <w:pStyle w:val="BodyText"/>
      </w:pPr>
      <w:r>
        <w:rPr>
          <w:b/>
          <w:bCs/>
        </w:rPr>
        <w:t xml:space="preserve">Prévention et Gestion des Effets Indésirables :</w:t>
      </w:r>
      <w:r>
        <w:t xml:space="preserve"> </w:t>
      </w:r>
      <w:r>
        <w:t xml:space="preserve">- Mesures Préventives : Évaluation cardiovasculaire préalable ; surveillance de la tension artérielle (l’eletriptan peut augmenter modérément la TA) ; vérifier les interactions médicamenteuses (CYP3A4) ; ne pas dépasser 80 mg/24 h.</w:t>
      </w:r>
      <w:r>
        <w:t xml:space="preserve"> </w:t>
      </w:r>
      <w:r>
        <w:t xml:space="preserve">- Conduite à Tenir : Arrêt immédiat et consultation urgente si douleur thoracique intense ou prolongée. Ne pas associer à un autre triptan dans les 24 h.</w:t>
      </w:r>
    </w:p>
    <w:p>
      <w:pPr>
        <w:pStyle w:val="BodyText"/>
      </w:pPr>
      <w:r>
        <w:rPr>
          <w:b/>
          <w:bCs/>
        </w:rPr>
        <w:t xml:space="preserve">Interactions Importantes :</w:t>
      </w:r>
      <w:r>
        <w:t xml:space="preserve"> </w:t>
      </w:r>
      <w:r>
        <w:t xml:space="preserve">-</w:t>
      </w:r>
      <w:r>
        <w:t xml:space="preserve"> </w:t>
      </w:r>
      <w:r>
        <w:rPr>
          <w:b/>
          <w:bCs/>
        </w:rPr>
        <w:t xml:space="preserve">Eletriptan + IMAO-A</w:t>
      </w:r>
      <w:r>
        <w:t xml:space="preserve"> </w:t>
      </w:r>
      <w:r>
        <w:t xml:space="preserve">: CI absolue.</w:t>
      </w:r>
      <w:r>
        <w:t xml:space="preserve"> </w:t>
      </w:r>
      <w:r>
        <w:t xml:space="preserve">-</w:t>
      </w:r>
      <w:r>
        <w:t xml:space="preserve"> </w:t>
      </w:r>
      <w:r>
        <w:rPr>
          <w:b/>
          <w:bCs/>
        </w:rPr>
        <w:t xml:space="preserve">Eletriptan + inhibiteurs puissants du CYP3A4</w:t>
      </w:r>
      <w:r>
        <w:t xml:space="preserve"> </w:t>
      </w:r>
      <w:r>
        <w:t xml:space="preserve">(ketoconazole, itraconazole, clarithromycine, érythromycine, ritonavir, nelfinavir) : CI absolue, multiplication par 5-10 de l’AUC de l’eletriptan.</w:t>
      </w:r>
      <w:r>
        <w:t xml:space="preserve"> </w:t>
      </w:r>
      <w:r>
        <w:t xml:space="preserve">-</w:t>
      </w:r>
      <w:r>
        <w:t xml:space="preserve"> </w:t>
      </w:r>
      <w:r>
        <w:rPr>
          <w:b/>
          <w:bCs/>
        </w:rPr>
        <w:t xml:space="preserve">Eletriptan + ergotamine/autres triptans</w:t>
      </w:r>
      <w:r>
        <w:t xml:space="preserve"> </w:t>
      </w:r>
      <w:r>
        <w:t xml:space="preserve">: CI (24 h délai).</w:t>
      </w:r>
      <w:r>
        <w:t xml:space="preserve"> </w:t>
      </w:r>
      <w:r>
        <w:t xml:space="preserve">-</w:t>
      </w:r>
      <w:r>
        <w:t xml:space="preserve"> </w:t>
      </w:r>
      <w:r>
        <w:rPr>
          <w:b/>
          <w:bCs/>
        </w:rPr>
        <w:t xml:space="preserve">Eletriptan + IRS</w:t>
      </w:r>
      <w:r>
        <w:t xml:space="preserve"> </w:t>
      </w:r>
      <w:r>
        <w:t xml:space="preserve">: surveillance.</w:t>
      </w:r>
      <w:r>
        <w:t xml:space="preserve"> </w:t>
      </w:r>
      <w:r>
        <w:t xml:space="preserve">-</w:t>
      </w:r>
      <w:r>
        <w:t xml:space="preserve"> </w:t>
      </w:r>
      <w:r>
        <w:rPr>
          <w:b/>
          <w:bCs/>
        </w:rPr>
        <w:t xml:space="preserve">Eletriptan + fluoxetine, paroxetine, sertraline</w:t>
      </w:r>
      <w:r>
        <w:t xml:space="preserve"> </w:t>
      </w:r>
      <w:r>
        <w:t xml:space="preserve">: surveillance clinique.</w:t>
      </w:r>
    </w:p>
    <w:p>
      <w:pPr>
        <w:pStyle w:val="BodyText"/>
      </w:pPr>
      <w:r>
        <w:rPr>
          <w:b/>
          <w:bCs/>
        </w:rPr>
        <w:t xml:space="preserve">Grossesse et Allaitement :</w:t>
      </w:r>
      <w:r>
        <w:t xml:space="preserve"> </w:t>
      </w:r>
      <w:r>
        <w:t xml:space="preserve">- Grossesse : À éviter ; données animales évocatrices d’effets tératogènes. Préférer le sumatriptan si triptan nécessaire.</w:t>
      </w:r>
      <w:r>
        <w:t xml:space="preserve"> </w:t>
      </w:r>
      <w:r>
        <w:t xml:space="preserve">- Allaitement : À éviter par principe.</w:t>
      </w:r>
      <w:r>
        <w:t xml:space="preserve"> </w:t>
      </w:r>
      <w:r>
        <w:t xml:space="preserve">- Précisions : Le passage dans le lait maternel est documenté chez l’animal mais limité chez l’homme.</w:t>
      </w:r>
    </w:p>
    <w:p>
      <w:pPr>
        <w:pStyle w:val="BodyText"/>
      </w:pPr>
      <w:r>
        <w:rPr>
          <w:b/>
          <w:bCs/>
        </w:rPr>
        <w:t xml:space="preserve">Posologie et Mode d’administration (Standard) :</w:t>
      </w:r>
      <w:r>
        <w:t xml:space="preserve"> </w:t>
      </w:r>
      <w:r>
        <w:t xml:space="preserve">- Adulte : 40 mg en prise unique à début de céphalée. En cas d’efficacité insuffisante, 80 mg pour la crise suivante. Dose maximale 80 mg/24 h.</w:t>
      </w:r>
      <w:r>
        <w:t xml:space="preserve"> </w:t>
      </w:r>
      <w:r>
        <w:t xml:space="preserve">- Enfant : Non recommandé avant 18 ans.</w:t>
      </w:r>
      <w:r>
        <w:t xml:space="preserve"> </w:t>
      </w:r>
      <w:r>
        <w:t xml:space="preserve">- Durée : Traitement de la crise, pas d’usage continu.</w:t>
      </w:r>
      <w:r>
        <w:t xml:space="preserve"> </w:t>
      </w:r>
      <w:r>
        <w:t xml:space="preserve">- Moment de prise : Dès le début de la céphalée. Avaler entier avec un verre d’eau, indépendamment des repas.</w:t>
      </w:r>
    </w:p>
    <w:p>
      <w:pPr>
        <w:pStyle w:val="BodyText"/>
      </w:pPr>
      <w:r>
        <w:rPr>
          <w:b/>
          <w:bCs/>
        </w:rPr>
        <w:t xml:space="preserve">Arbitrage et Bénéfices des Formes Galéniques :</w:t>
      </w:r>
      <w:r>
        <w:t xml:space="preserve"> </w:t>
      </w:r>
      <w:r>
        <w:t xml:space="preserve">- Comprimé pelliculé 20 mg et 40 mg : permet la titration de la dose. Présentation en boîte de 3 : adaptée à un traitement d’épisode sans surstock.</w:t>
      </w:r>
      <w:r>
        <w:t xml:space="preserve"> </w:t>
      </w:r>
      <w:r>
        <w:t xml:space="preserve">- Le dosage 40 mg est le plus utilisé en pratique ; 20 mg chez le sujet naïf ou âgé ; 80 mg (2 × 40 mg) en cas d’échec à 40 mg.</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est un triptan puissant. Prenez-le dès le début de la céphalée. Ne pas dépasser 80 mg par jour. Si vous prenez certains antibiotiques (clarithromycine, érythromycine) ou antifongiques (ketoconazole), ne le prenez pas sans avis médical.</w:t>
      </w:r>
      <w:r>
        <w:t xml:space="preserve">”</w:t>
      </w:r>
      <w:r>
        <w:t xml:space="preserve"> </w:t>
      </w:r>
      <w:r>
        <w:t xml:space="preserve">- Mode d’utilisation pratique : Avaler le comprimé entier avec un grand verre d’eau. Si la crise récidive après 2 h, une 2e prise est possible sans dépasser 80 mg/j.</w:t>
      </w:r>
    </w:p>
    <w:p>
      <w:pPr>
        <w:pStyle w:val="BodyText"/>
      </w:pPr>
      <w:r>
        <w:rPr>
          <w:b/>
          <w:bCs/>
        </w:rPr>
        <w:t xml:space="preserve">Notes, Règles d’Or &amp; Pièges au Comptoir :</w:t>
      </w:r>
      <w:r>
        <w:t xml:space="preserve"> </w:t>
      </w:r>
      <w:r>
        <w:t xml:space="preserve">- Piège classique : Oubli de l’interaction avec le CYP3A4 (clarithromycine surtout, souvent prescrite). Un patient sous macrolide ne doit pas recevoir d’eletriptan pendant le traitement.</w:t>
      </w:r>
      <w:r>
        <w:t xml:space="preserve"> </w:t>
      </w:r>
      <w:r>
        <w:t xml:space="preserve">- Règle de prise : Dès le début de la céphalée ; 2 h entre 2 prises ; 80 mg max/24 h.</w:t>
      </w:r>
      <w:r>
        <w:t xml:space="preserve"> </w:t>
      </w:r>
      <w:r>
        <w:t xml:space="preserve">- Préparation et Conservation : À température ambiante, à l’abri de l’humidité.</w:t>
      </w:r>
      <w:r>
        <w:t xml:space="preserve"> </w:t>
      </w:r>
      <w:r>
        <w:t xml:space="preserve">- Piège du surdosage / Substitution : Risque de migraine médicamenteuse si &gt;10 jours/mois. Ne pas substituer par un autre triptan sans avis médical. L’eletriptan ne doit pas être initié chez un patient sous inhibiteur puissant du CYP3A4.</w:t>
      </w:r>
    </w:p>
    <w:p>
      <w:r>
        <w:pict>
          <v:rect style="width:0;height:1.5pt" o:hralign="center" o:hrstd="t" o:hr="t"/>
        </w:pict>
      </w:r>
    </w:p>
    <w:bookmarkEnd w:id="191"/>
    <w:bookmarkEnd w:id="192"/>
    <w:bookmarkStart w:id="196" w:name="X660eb7ba246fc59b11936e6e4dbb1d9565c9844"/>
    <w:p>
      <w:pPr>
        <w:pStyle w:val="Heading2"/>
      </w:pPr>
      <w:r>
        <w:t xml:space="preserve">2. Antimigraineux - Alcaloïdes de l’ergot de seigle</w:t>
      </w:r>
    </w:p>
    <w:bookmarkStart w:id="193" w:name="introduction-à-la-sous-classe-7"/>
    <w:p>
      <w:pPr>
        <w:pStyle w:val="Heading3"/>
      </w:pPr>
      <w:r>
        <w:t xml:space="preserve">Introduction à la sous-classe</w:t>
      </w:r>
    </w:p>
    <w:p>
      <w:pPr>
        <w:pStyle w:val="FirstParagraph"/>
      </w:pPr>
      <w:r>
        <w:t xml:space="preserve">Les alcaloïdes de l’ergot de seigle (Claviceps purpurea, parasite du seigle) ont été les premiers antimigraineux spécifiques, utilisés depuis le début du XXe siècle (ergotamine décrite par Stoll en 1918). Ils agissent comme</w:t>
      </w:r>
      <w:r>
        <w:t xml:space="preserve"> </w:t>
      </w:r>
      <w:r>
        <w:rPr>
          <w:b/>
          <w:bCs/>
        </w:rPr>
        <w:t xml:space="preserve">agonistes partiels des récepteurs 5-HT1, α-adrénergiques et dopaminergiques D2</w:t>
      </w:r>
      <w:r>
        <w:t xml:space="preserve">. Leur mécanisme d’action antimigraineux est proche de celui des triptans (vasoconstriction des artères cérébrales extra-piales, inhibition de la neurotransmission trigéminale), mais leur profil d’effets indésirables est beaucoup plus large en raison de l’absence de sélectivité (effets vasculaires systémiques, utérotoniques, α-bloquants). Le principal risque est l’</w:t>
      </w:r>
      <w:r>
        <w:rPr>
          <w:b/>
          <w:bCs/>
        </w:rPr>
        <w:t xml:space="preserve">ergotisme</w:t>
      </w:r>
      <w:r>
        <w:t xml:space="preserve"> </w:t>
      </w:r>
      <w:r>
        <w:t xml:space="preserve">: vasoconstriction prolongée pouvant entraîner ischémie distale (doigts, orteils, mésentérique), nécrose tissulaire, gangrène. La toxicité chronique se manifeste par une fibrose rétro-péritonéale et valvulaire.</w:t>
      </w:r>
    </w:p>
    <w:p>
      <w:pPr>
        <w:pStyle w:val="BodyText"/>
      </w:pPr>
      <w:r>
        <w:t xml:space="preserve">Aujourd’hui, les alcaloïdes de l’ergot de seigle sont en déclin en Algérie comme ailleurs, largement supplantés par les triptans (meilleure tolérance, sélectivité supérieure). L’</w:t>
      </w:r>
      <w:r>
        <w:rPr>
          <w:b/>
          <w:bCs/>
        </w:rPr>
        <w:t xml:space="preserve">ergotamine</w:t>
      </w:r>
      <w:r>
        <w:t xml:space="preserve"> </w:t>
      </w:r>
      <w:r>
        <w:t xml:space="preserve">n’est plus disponible que sous une seule marque active en Algérie (ASIA MIGRAINE). La</w:t>
      </w:r>
      <w:r>
        <w:t xml:space="preserve"> </w:t>
      </w:r>
      <w:r>
        <w:rPr>
          <w:b/>
          <w:bCs/>
        </w:rPr>
        <w:t xml:space="preserve">dihydroergotamine (DHE)</w:t>
      </w:r>
      <w:r>
        <w:t xml:space="preserve">, dérivé semi-synthétique avec un profil vasculaire veineux (moins de vasoconstriction artérielle), n’est plus disponible en Algérie à l’état actif (toutes marques retirées ou non renouvelées). Elle reste utilisée en Europe comme alternative dans les migraines chroniques réfractaires et en médecine hospitalière (forme nasale, forme injectable).</w:t>
      </w:r>
    </w:p>
    <w:p>
      <w:pPr>
        <w:pStyle w:val="BodyText"/>
      </w:pPr>
      <w:r>
        <w:t xml:space="preserve">La place résiduelle de l’ergotamine est limitée aux patients migraineux pour lesquels les triptans sont contre-indiqués ou inefficaces, sous surveillance stricte et en respectant des règles strictes : pas plus de 6 mg par crise, pas plus de 10 mg par semaine, pas d’association avec les triptans ni avec les macrolides, arrêt immédiat en cas de paresthésies ou de douleurs ischémiques.</w:t>
      </w:r>
    </w:p>
    <w:p>
      <w:r>
        <w:pict>
          <v:rect style="width:0;height:1.5pt" o:hralign="center" o:hrstd="t" o:hr="t"/>
        </w:pict>
      </w:r>
    </w:p>
    <w:bookmarkEnd w:id="193"/>
    <w:bookmarkStart w:id="194" w:name="ergotamine-seule"/>
    <w:p>
      <w:pPr>
        <w:pStyle w:val="Heading3"/>
      </w:pPr>
      <w:r>
        <w:t xml:space="preserve">6. Ergotamine (Seule)</w:t>
      </w:r>
    </w:p>
    <w:p>
      <w:pPr>
        <w:pStyle w:val="FirstParagraph"/>
      </w:pPr>
      <w:r>
        <w:rPr>
          <w:b/>
          <w:bCs/>
        </w:rPr>
        <w:t xml:space="preserve">Liste des Catégories :</w:t>
      </w:r>
      <w:r>
        <w:t xml:space="preserve"> </w:t>
      </w:r>
      <w:r>
        <w:t xml:space="preserve">Antimigraineux - Alcaloïdes de l’ergot de seigle ; Libre (Algérie).</w:t>
      </w:r>
    </w:p>
    <w:p>
      <w:pPr>
        <w:pStyle w:val="BodyText"/>
      </w:pPr>
      <w:r>
        <w:t xml:space="preserve">L’ergotamine tartrate est un alcaloïde naturel de l’ergot de seigle, commercialisé depuis 1926. Sa biodisponibilité orale est très variable et faible (~1-2 %), avec un effet de premier passage hépatique important. Sa demi-vie est d’environ 2 h. Elle est métabolisée par le CYP3A4. En raison de son risque d’ergotisme et de fibrose, l’ergotamine est aujourd’hui considérée comme un traitement de seconde ligne, à n’utiliser qu’en cas d’échec ou de contre-indication des triptans. Sa prescription a fortement baissé en Algérie, comme à l’international, et elle n’est plus disponible que sous une seule marque active (ASIA MIGRAINE 1 mg).</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ASIA MIGRAINE</w:t>
      </w:r>
      <w:r>
        <w:t xml:space="preserve"> </w:t>
      </w:r>
      <w:r>
        <w:t xml:space="preserve">(ASIA PHARMACEUTICALS)</w:t>
      </w:r>
      <w:r>
        <w:t xml:space="preserve"> </w:t>
      </w:r>
      <w:r>
        <w:t xml:space="preserve">- Formes et Dosages : Comprimé 1 mg (boîte de 20)</w:t>
      </w:r>
      <w:r>
        <w:t xml:space="preserve"> </w:t>
      </w:r>
      <w:r>
        <w:t xml:space="preserve">- Statut : Actif</w:t>
      </w:r>
    </w:p>
    <w:p>
      <w:pPr>
        <w:pStyle w:val="BodyText"/>
      </w:pPr>
      <w:r>
        <w:rPr>
          <w:b/>
          <w:bCs/>
        </w:rPr>
        <w:t xml:space="preserve">Sous-classe et Mécanisme d’action :</w:t>
      </w:r>
      <w:r>
        <w:t xml:space="preserve"> </w:t>
      </w:r>
      <w:r>
        <w:t xml:space="preserve">- Sous-classe : Alcaloïde naturel de l’ergot de seigle, agoniste partiel 5-HT1B/1D, α-adrénergique et D2.</w:t>
      </w:r>
      <w:r>
        <w:t xml:space="preserve"> </w:t>
      </w:r>
      <w:r>
        <w:t xml:space="preserve">- Mécanisme d’action : Agoniste partiel des récepteurs 5-HT1B (vasoconstriction des artères cérébrales extra-piales), 5-HT1D (inhibition neurotransmission trigéminale), α1/α2-adrénergiques (vasoconstriction systémique) et dopaminergiques D2 (effets émétisants). Moins sélectif que les triptans, d’où un profil d’effets indésirables plus large. Biodisponibilité orale faible (~1-2 %), métabolisme CYP3A4, demi-vie ~2 h.</w:t>
      </w:r>
    </w:p>
    <w:p>
      <w:pPr>
        <w:pStyle w:val="BodyText"/>
      </w:pPr>
      <w:r>
        <w:rPr>
          <w:b/>
          <w:bCs/>
        </w:rPr>
        <w:t xml:space="preserve">Profil Pharmacologique :</w:t>
      </w:r>
      <w:r>
        <w:t xml:space="preserve"> </w:t>
      </w:r>
      <w:r>
        <w:t xml:space="preserve">- Indications : Traitement de la crise de migraine aiguë, en deuxième intention en cas d’échec ou de contre-indication des triptans. Réserve d’usage en raison du risque d’ergotisme.</w:t>
      </w:r>
      <w:r>
        <w:t xml:space="preserve"> </w:t>
      </w:r>
      <w:r>
        <w:t xml:space="preserve">- Contre-indications : Hypersensibilité ; maladie coronarienne, angor, syndrome de Raynaud, artériopathie oblitérante ; HTA non contrôlée ; insuffisance hépatique ou rénale sévère ; septicémie ; grossesse et allaitement (ocytocique, abortif, tératogène) ; association avec triptans, macrolides (CYP3A4), vasopresseurs, sympathomimétiques ; infections à germes résistants ; troubles vasculaires périphériques ; thyrotoxicose.</w:t>
      </w:r>
      <w:r>
        <w:t xml:space="preserve"> </w:t>
      </w:r>
      <w:r>
        <w:t xml:space="preserve">- Effets Indésirables : Nausées, vomissements (effet D2 central), diarrhée, douleurs abdominales ; vasoconstriction périphérique (paresthésies des extrémités, froid aux mains/pieds, cyanose, claudication, ischémie distale) ; céphalées chroniques quotidienne (céphalée de rebond, ergotisme chronique) ; fibrose rétro-péritonéale, pleurale, valvulaire (au long cours) ; ergotisme aigu (ischémie distale, gangrène).</w:t>
      </w:r>
    </w:p>
    <w:p>
      <w:pPr>
        <w:pStyle w:val="BodyText"/>
      </w:pPr>
      <w:r>
        <w:rPr>
          <w:b/>
          <w:bCs/>
        </w:rPr>
        <w:t xml:space="preserve">Prévention et Gestion des Effets Indésirables :</w:t>
      </w:r>
      <w:r>
        <w:t xml:space="preserve"> </w:t>
      </w:r>
      <w:r>
        <w:t xml:space="preserve">- Mesures Préventives : Ne jamais dépasser 6 mg par crise, 10 mg par semaine ; ne pas utiliser &gt;10 jours/mois ; arrêt immédiat en cas de paresthésies des extrémités, de froid persistant, de claudication ; vérifier l’absence d’interaction avec macrolides ; surveillance chez la femme jeune (risque de céphalée chronique quotidienne).</w:t>
      </w:r>
      <w:r>
        <w:t xml:space="preserve"> </w:t>
      </w:r>
      <w:r>
        <w:t xml:space="preserve">- Conduite à Tenir : En cas de signes d’ergotisme (ischémie distale, paresthésies intenses, douleurs musculaires) : arrêt immédiat et urgences vasculaires (thérapeutique : vasodilatateurs artériels, anticoagulation). En cas de céphalée de rebond : arrêt brutal, hydratation, AINS.</w:t>
      </w:r>
    </w:p>
    <w:p>
      <w:pPr>
        <w:pStyle w:val="BodyText"/>
      </w:pPr>
      <w:r>
        <w:rPr>
          <w:b/>
          <w:bCs/>
        </w:rPr>
        <w:t xml:space="preserve">Interactions Importantes :</w:t>
      </w:r>
      <w:r>
        <w:t xml:space="preserve"> </w:t>
      </w:r>
      <w:r>
        <w:t xml:space="preserve">-</w:t>
      </w:r>
      <w:r>
        <w:t xml:space="preserve"> </w:t>
      </w:r>
      <w:r>
        <w:rPr>
          <w:b/>
          <w:bCs/>
        </w:rPr>
        <w:t xml:space="preserve">Ergotamine + macrolides</w:t>
      </w:r>
      <w:r>
        <w:t xml:space="preserve"> </w:t>
      </w:r>
      <w:r>
        <w:t xml:space="preserve">(érythromycine, clarithromycine, télithromycine, josamycine) : ergotisme grave par inhibition du CYP3A4 → CI absolue.</w:t>
      </w:r>
      <w:r>
        <w:t xml:space="preserve"> </w:t>
      </w:r>
      <w:r>
        <w:t xml:space="preserve">-</w:t>
      </w:r>
      <w:r>
        <w:t xml:space="preserve"> </w:t>
      </w:r>
      <w:r>
        <w:rPr>
          <w:b/>
          <w:bCs/>
        </w:rPr>
        <w:t xml:space="preserve">Ergotamine + triptans</w:t>
      </w:r>
      <w:r>
        <w:t xml:space="preserve"> </w:t>
      </w:r>
      <w:r>
        <w:t xml:space="preserve">: vasospasme coronarien additif → CI (24 h délai avant/après).</w:t>
      </w:r>
      <w:r>
        <w:t xml:space="preserve"> </w:t>
      </w:r>
      <w:r>
        <w:t xml:space="preserve">-</w:t>
      </w:r>
      <w:r>
        <w:t xml:space="preserve"> </w:t>
      </w:r>
      <w:r>
        <w:rPr>
          <w:b/>
          <w:bCs/>
        </w:rPr>
        <w:t xml:space="preserve">Ergotamine + inhibiteurs CYP3A4</w:t>
      </w:r>
      <w:r>
        <w:t xml:space="preserve"> </w:t>
      </w:r>
      <w:r>
        <w:t xml:space="preserve">(ritonavir, indinavir, kétoconazole, itraconazole) : ergotisme → CI.</w:t>
      </w:r>
      <w:r>
        <w:t xml:space="preserve"> </w:t>
      </w:r>
      <w:r>
        <w:t xml:space="preserve">-</w:t>
      </w:r>
      <w:r>
        <w:t xml:space="preserve"> </w:t>
      </w:r>
      <w:r>
        <w:rPr>
          <w:b/>
          <w:bCs/>
        </w:rPr>
        <w:t xml:space="preserve">Ergotamine + vasopresseurs/sympathomimétiques</w:t>
      </w:r>
      <w:r>
        <w:t xml:space="preserve"> </w:t>
      </w:r>
      <w:r>
        <w:t xml:space="preserve">(éphédrine, pseudoéphédrine) : hypertension, vasoconstriction additif → CI.</w:t>
      </w:r>
      <w:r>
        <w:t xml:space="preserve"> </w:t>
      </w:r>
      <w:r>
        <w:t xml:space="preserve">-</w:t>
      </w:r>
      <w:r>
        <w:t xml:space="preserve"> </w:t>
      </w:r>
      <w:r>
        <w:rPr>
          <w:b/>
          <w:bCs/>
        </w:rPr>
        <w:t xml:space="preserve">Ergotamine + dopamine, dobutamine</w:t>
      </w:r>
      <w:r>
        <w:t xml:space="preserve"> </w:t>
      </w:r>
      <w:r>
        <w:t xml:space="preserve">: vasoconstriction majorée.</w:t>
      </w:r>
    </w:p>
    <w:p>
      <w:pPr>
        <w:pStyle w:val="BodyText"/>
      </w:pPr>
      <w:r>
        <w:rPr>
          <w:b/>
          <w:bCs/>
        </w:rPr>
        <w:t xml:space="preserve">Grossesse et Allaitement :</w:t>
      </w:r>
      <w:r>
        <w:t xml:space="preserve"> </w:t>
      </w:r>
      <w:r>
        <w:t xml:space="preserve">- Grossesse : CI absolue. L’ergotamine est ocytocique (provoque des contractions utérines), vasoconstrictrice placentaire (risque d’hypotrophie fœtale, d’avortement), tératogène.</w:t>
      </w:r>
      <w:r>
        <w:t xml:space="preserve"> </w:t>
      </w:r>
      <w:r>
        <w:t xml:space="preserve">- Allaitement : CI absolue (ergotisme du nourrisson, vomissements, diarrhée, convulsions).</w:t>
      </w:r>
      <w:r>
        <w:t xml:space="preserve"> </w:t>
      </w:r>
      <w:r>
        <w:t xml:space="preserve">- Précisions : En cas de désir de grossesse, arrêter l’ergotamine et passer au sumatriptan ou aux antalgiques de palier 1/2.</w:t>
      </w:r>
    </w:p>
    <w:p>
      <w:pPr>
        <w:pStyle w:val="BodyText"/>
      </w:pPr>
      <w:r>
        <w:rPr>
          <w:b/>
          <w:bCs/>
        </w:rPr>
        <w:t xml:space="preserve">Posologie et Mode d’administration (Standard) :</w:t>
      </w:r>
      <w:r>
        <w:t xml:space="preserve"> </w:t>
      </w:r>
      <w:r>
        <w:t xml:space="preserve">- Adulte : 1-2 mg dès le début de la céphalée, puis 1-2 mg toutes les 30 min si nécessaire, sans dépasser 6 mg par crise, 10 mg par semaine, 4 jours par semaine.</w:t>
      </w:r>
      <w:r>
        <w:t xml:space="preserve"> </w:t>
      </w:r>
      <w:r>
        <w:t xml:space="preserve">- Enfant : Non recommandé avant 16 ans.</w:t>
      </w:r>
      <w:r>
        <w:t xml:space="preserve"> </w:t>
      </w:r>
      <w:r>
        <w:t xml:space="preserve">- Sujet âgé : À éviter en raison du risque vasculaire.</w:t>
      </w:r>
      <w:r>
        <w:t xml:space="preserve"> </w:t>
      </w:r>
      <w:r>
        <w:t xml:space="preserve">- Durée : Traitement de la crise, jamais en continu. Réévaluer l’usage si &gt;4 crises/mois (prophylaxie à discuter).</w:t>
      </w:r>
      <w:r>
        <w:t xml:space="preserve"> </w:t>
      </w:r>
      <w:r>
        <w:t xml:space="preserve">- Moment de prise : Dès le début de la céphalée. À avaler avec un verre d’eau. En cas de nausées, prise en début de repas possible.</w:t>
      </w:r>
    </w:p>
    <w:p>
      <w:pPr>
        <w:pStyle w:val="BodyText"/>
      </w:pPr>
      <w:r>
        <w:rPr>
          <w:b/>
          <w:bCs/>
        </w:rPr>
        <w:t xml:space="preserve">Arbitrage et Bénéfices des Formes Galéniques :</w:t>
      </w:r>
      <w:r>
        <w:t xml:space="preserve"> </w:t>
      </w:r>
      <w:r>
        <w:t xml:space="preserve">- Forme unique en Algérie : comprimé 1 mg. Présentation en boîte de 20 (peut être en partie non utilisée, ce qui justifie l’éducation du patient sur la nécessité de respecter les doses maximales).</w:t>
      </w:r>
      <w:r>
        <w:t xml:space="preserve"> </w:t>
      </w:r>
      <w:r>
        <w:t xml:space="preserve">- Historiquement, l’ergotamine existait en association avec la caféine (Migwell®) ou en suppositoire ; ces formes ne sont plus disponibles en Algérie.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la crise de migraine. Prenez-le dès le début de la céphalée. Ne dépassez jamais 6 comprimés par crise, ni 10 comprimés par semaine. Si vous prenez un antibiotique de la famille des macrolides, ne le prenez pas. Arrêtez et consultez en urgence si vous avez des picotements dans les mains ou les pieds, ou une douleur au mollet.</w:t>
      </w:r>
      <w:r>
        <w:t xml:space="preserve">”</w:t>
      </w:r>
      <w:r>
        <w:t xml:space="preserve"> </w:t>
      </w:r>
      <w:r>
        <w:t xml:space="preserve">- Mode d’utilisation pratique : Avaler avec un verre d’eau. Noter les prises dans un carnet pour éviter le surdosage (6 mg max par crise, 10 mg max par semaine).</w:t>
      </w:r>
    </w:p>
    <w:p>
      <w:pPr>
        <w:pStyle w:val="BodyText"/>
      </w:pPr>
      <w:r>
        <w:rPr>
          <w:b/>
          <w:bCs/>
        </w:rPr>
        <w:t xml:space="preserve">Notes, Règles d’Or &amp; Pièges au Comptoir :</w:t>
      </w:r>
      <w:r>
        <w:t xml:space="preserve"> </w:t>
      </w:r>
      <w:r>
        <w:t xml:space="preserve">- Piège classique : Prescription d’ergotamine à un patient sous macrolide (interaction gravissime) ; patient qui</w:t>
      </w:r>
      <w:r>
        <w:t xml:space="preserve"> </w:t>
      </w:r>
      <w:r>
        <w:t xml:space="preserve">“</w:t>
      </w:r>
      <w:r>
        <w:t xml:space="preserve">récupère</w:t>
      </w:r>
      <w:r>
        <w:t xml:space="preserve">”</w:t>
      </w:r>
      <w:r>
        <w:t xml:space="preserve"> </w:t>
      </w:r>
      <w:r>
        <w:t xml:space="preserve">un comprimé dans l’armoire à pharmacie d’un proche sans connaître les doses maximales ; oubli du caractère abortif/utérotonique (prescription méconnue chez une femme enceinte migraineuse).</w:t>
      </w:r>
      <w:r>
        <w:t xml:space="preserve"> </w:t>
      </w:r>
      <w:r>
        <w:t xml:space="preserve">- Règle de prise : Dès le début de la céphalée ; 6 mg max/crise ; 10 mg max/semaine ; 4 jours max/mois ; pas d’association avec macrolides ni triptans.</w:t>
      </w:r>
      <w:r>
        <w:t xml:space="preserve"> </w:t>
      </w:r>
      <w:r>
        <w:t xml:space="preserve">- Préparation et Conservation : À température ambiante, à l’abri de la lumière et de l’humidité.</w:t>
      </w:r>
      <w:r>
        <w:t xml:space="preserve"> </w:t>
      </w:r>
      <w:r>
        <w:t xml:space="preserve">- Piège du surdosage / Substitution : Ergotisme aigu potentiellement mortel (gangrène, amputation). Pas de substitution avec un triptan dans les 24 h. Si le patient est sous ergotamine chronique et veut passer aux triptans : arrêt 24 h avant la 1ère prise de triptan.</w:t>
      </w:r>
    </w:p>
    <w:p>
      <w:r>
        <w:pict>
          <v:rect style="width:0;height:1.5pt" o:hralign="center" o:hrstd="t" o:hr="t"/>
        </w:pict>
      </w:r>
    </w:p>
    <w:bookmarkEnd w:id="194"/>
    <w:bookmarkStart w:id="195" w:name="dihydroergotamine-seule"/>
    <w:p>
      <w:pPr>
        <w:pStyle w:val="Heading3"/>
      </w:pPr>
      <w:r>
        <w:t xml:space="preserve">7. Dihydroergotamine (Seule)</w:t>
      </w:r>
    </w:p>
    <w:p>
      <w:pPr>
        <w:pStyle w:val="FirstParagraph"/>
      </w:pPr>
      <w:r>
        <w:rPr>
          <w:b/>
          <w:bCs/>
        </w:rPr>
        <w:t xml:space="preserve">Liste des Catégories :</w:t>
      </w:r>
      <w:r>
        <w:t xml:space="preserve"> </w:t>
      </w:r>
      <w:r>
        <w:t xml:space="preserve">Antimigraineux - Alcaloïdes de l’ergot de seigle ; Liste II (historiquement).</w:t>
      </w:r>
    </w:p>
    <w:p>
      <w:pPr>
        <w:pStyle w:val="BodyText"/>
      </w:pPr>
      <w:r>
        <w:t xml:space="preserve">La dihydroergotamine (DHE) est un dérivé semi-synthétique de l’ergotamine, obtenu par hydrogénation de la double liaison 9-10. Cette modification structural lui confère un profil pharmacologique différent : prédominance de l’effet veinoconstricteur sur l’effet artérioloconstricteur, ce qui réduit le risque d’ergotisme aigu. Sa biodisponibilité orale est très faible (&lt;1 %), d’où l’usage privilégié des formes nasales et injectables dans les pays où elles sont disponibles. En Algérie, la DHE n’est plus disponible à l’état actif (toutes marques retirées ou non renouvelées). Elle reste toutefois utilisée en médecine hospitalière à l’étranger dans les migraines chroniques réfractaires (status migrainosus) par voie IV sous surveillance neurologique.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DIGROMIN</w:t>
      </w:r>
      <w:r>
        <w:t xml:space="preserve"> </w:t>
      </w:r>
      <w:r>
        <w:t xml:space="preserve">(CROVIS PHILCOM)</w:t>
      </w:r>
      <w:r>
        <w:t xml:space="preserve"> </w:t>
      </w:r>
      <w:r>
        <w:t xml:space="preserve">- Formes et Dosages : Solution buvable 2 mg/mL (flacon de 50 mL)</w:t>
      </w:r>
      <w:r>
        <w:t xml:space="preserve"> </w:t>
      </w:r>
      <w:r>
        <w:t xml:space="preserve">- Statut : Non Renouvelable</w:t>
      </w:r>
      <w:r>
        <w:t xml:space="preserve"> </w:t>
      </w:r>
      <w:r>
        <w:t xml:space="preserve">-</w:t>
      </w:r>
      <w:r>
        <w:t xml:space="preserve"> </w:t>
      </w:r>
      <w:r>
        <w:rPr>
          <w:b/>
          <w:bCs/>
        </w:rPr>
        <w:t xml:space="preserve">DITAMIN</w:t>
      </w:r>
      <w:r>
        <w:t xml:space="preserve"> </w:t>
      </w:r>
      <w:r>
        <w:t xml:space="preserve">(LEK)</w:t>
      </w:r>
      <w:r>
        <w:t xml:space="preserve"> </w:t>
      </w:r>
      <w:r>
        <w:t xml:space="preserve">- Formes et Dosages : Solution buvable 2 mg/mL (flacon de 50 mL)</w:t>
      </w:r>
      <w:r>
        <w:t xml:space="preserve"> </w:t>
      </w:r>
      <w:r>
        <w:t xml:space="preserve">- Statut : Non Renouvelable</w:t>
      </w:r>
      <w:r>
        <w:t xml:space="preserve"> </w:t>
      </w:r>
      <w:r>
        <w:t xml:space="preserve">-</w:t>
      </w:r>
      <w:r>
        <w:t xml:space="preserve"> </w:t>
      </w:r>
      <w:r>
        <w:rPr>
          <w:b/>
          <w:bCs/>
        </w:rPr>
        <w:t xml:space="preserve">SEGLOR</w:t>
      </w:r>
      <w:r>
        <w:t xml:space="preserve"> </w:t>
      </w:r>
      <w:r>
        <w:t xml:space="preserve">(SCHWARZ PHARMA A.G.)</w:t>
      </w:r>
      <w:r>
        <w:t xml:space="preserve"> </w:t>
      </w:r>
      <w:r>
        <w:t xml:space="preserve">- Formes et Dosages : Solution buvable en gouttes 2 mg/mL (flacon de 75 mL)</w:t>
      </w:r>
      <w:r>
        <w:t xml:space="preserve"> </w:t>
      </w:r>
      <w:r>
        <w:t xml:space="preserve">- Statut : Non Renouvelable</w:t>
      </w:r>
      <w:r>
        <w:t xml:space="preserve"> </w:t>
      </w:r>
      <w:r>
        <w:t xml:space="preserve">-</w:t>
      </w:r>
      <w:r>
        <w:t xml:space="preserve"> </w:t>
      </w:r>
      <w:r>
        <w:rPr>
          <w:b/>
          <w:bCs/>
        </w:rPr>
        <w:t xml:space="preserve">DIHYDROERGOTAMINE-SANDOZ</w:t>
      </w:r>
      <w:r>
        <w:t xml:space="preserve"> </w:t>
      </w:r>
      <w:r>
        <w:t xml:space="preserve">(NOVARTIS PHARMA S.A.)</w:t>
      </w:r>
      <w:r>
        <w:t xml:space="preserve"> </w:t>
      </w:r>
      <w:r>
        <w:t xml:space="preserve">- Formes et Dosages : Solution injectable 1 mg/mL (boîte de 2 ampoules + kit)</w:t>
      </w:r>
      <w:r>
        <w:t xml:space="preserve"> </w:t>
      </w:r>
      <w:r>
        <w:t xml:space="preserve">- Statut : Retrait (R)</w:t>
      </w:r>
      <w:r>
        <w:t xml:space="preserve"> </w:t>
      </w:r>
      <w:r>
        <w:t xml:space="preserve">-</w:t>
      </w:r>
      <w:r>
        <w:t xml:space="preserve"> </w:t>
      </w:r>
      <w:r>
        <w:rPr>
          <w:b/>
          <w:bCs/>
        </w:rPr>
        <w:t xml:space="preserve">DIHYDROERGOTAMINE-SANDOZ</w:t>
      </w:r>
      <w:r>
        <w:t xml:space="preserve"> </w:t>
      </w:r>
      <w:r>
        <w:t xml:space="preserve">(NOVARTIS PHARMA S.A.)</w:t>
      </w:r>
      <w:r>
        <w:t xml:space="preserve"> </w:t>
      </w:r>
      <w:r>
        <w:t xml:space="preserve">- Formes et Dosages : Solution buvable 2 mg/mL (flacon de 50 mL)</w:t>
      </w:r>
      <w:r>
        <w:t xml:space="preserve"> </w:t>
      </w:r>
      <w:r>
        <w:t xml:space="preserve">- Statut : Retrait (R)</w:t>
      </w:r>
      <w:r>
        <w:t xml:space="preserve"> </w:t>
      </w:r>
      <w:r>
        <w:t xml:space="preserve">-</w:t>
      </w:r>
      <w:r>
        <w:t xml:space="preserve"> </w:t>
      </w:r>
      <w:r>
        <w:rPr>
          <w:b/>
          <w:bCs/>
        </w:rPr>
        <w:t xml:space="preserve">IKARAN</w:t>
      </w:r>
      <w:r>
        <w:t xml:space="preserve"> </w:t>
      </w:r>
      <w:r>
        <w:t xml:space="preserve">(PIERRE FABRE)</w:t>
      </w:r>
      <w:r>
        <w:t xml:space="preserve"> </w:t>
      </w:r>
      <w:r>
        <w:t xml:space="preserve">- Formes et Dosages : Solution buvable 2 mg/mL (flacon de 50 mL)</w:t>
      </w:r>
      <w:r>
        <w:t xml:space="preserve"> </w:t>
      </w:r>
      <w:r>
        <w:t xml:space="preserve">- Statut : Retrait (R)</w:t>
      </w:r>
      <w:r>
        <w:t xml:space="preserve"> </w:t>
      </w:r>
      <w:r>
        <w:t xml:space="preserve">-</w:t>
      </w:r>
      <w:r>
        <w:t xml:space="preserve"> </w:t>
      </w:r>
      <w:r>
        <w:rPr>
          <w:b/>
          <w:bCs/>
        </w:rPr>
        <w:t xml:space="preserve">ISOTAMINE</w:t>
      </w:r>
      <w:r>
        <w:t xml:space="preserve"> </w:t>
      </w:r>
      <w:r>
        <w:t xml:space="preserve">(ISOPHARM)</w:t>
      </w:r>
      <w:r>
        <w:t xml:space="preserve"> </w:t>
      </w:r>
      <w:r>
        <w:t xml:space="preserve">- Formes et Dosages : Gouttes buvables 2 mg/mL (flacon de 50 mL)</w:t>
      </w:r>
      <w:r>
        <w:t xml:space="preserve"> </w:t>
      </w:r>
      <w:r>
        <w:t xml:space="preserve">- Statut : Retrait (R)</w:t>
      </w:r>
      <w:r>
        <w:t xml:space="preserve"> </w:t>
      </w:r>
      <w:r>
        <w:t xml:space="preserve">-</w:t>
      </w:r>
      <w:r>
        <w:t xml:space="preserve"> </w:t>
      </w:r>
      <w:r>
        <w:rPr>
          <w:b/>
          <w:bCs/>
        </w:rPr>
        <w:t xml:space="preserve">TAMIK</w:t>
      </w:r>
      <w:r>
        <w:t xml:space="preserve"> </w:t>
      </w:r>
      <w:r>
        <w:t xml:space="preserve">(IPRAD)</w:t>
      </w:r>
      <w:r>
        <w:t xml:space="preserve"> </w:t>
      </w:r>
      <w:r>
        <w:t xml:space="preserve">- Formes et Dosages : Gélules 3 mg (boîte de 60)</w:t>
      </w:r>
      <w:r>
        <w:t xml:space="preserve"> </w:t>
      </w:r>
      <w:r>
        <w:t xml:space="preserve">- Statut : Retrait (R)</w:t>
      </w:r>
      <w:r>
        <w:t xml:space="preserve"> </w:t>
      </w:r>
      <w:r>
        <w:t xml:space="preserve">-</w:t>
      </w:r>
      <w:r>
        <w:t xml:space="preserve"> </w:t>
      </w:r>
      <w:r>
        <w:rPr>
          <w:b/>
          <w:bCs/>
        </w:rPr>
        <w:t xml:space="preserve">DIERGO SPRAY</w:t>
      </w:r>
      <w:r>
        <w:t xml:space="preserve"> </w:t>
      </w:r>
      <w:r>
        <w:t xml:space="preserve">(NOVARTIS PHARMA S.A.)</w:t>
      </w:r>
      <w:r>
        <w:t xml:space="preserve"> </w:t>
      </w:r>
      <w:r>
        <w:t xml:space="preserve">- Formes et Dosages : Solution pour pulvérisation nasale 4 mg/mL (boîte de 1 ampoule de 1 mL)</w:t>
      </w:r>
      <w:r>
        <w:t xml:space="preserve"> </w:t>
      </w:r>
      <w:r>
        <w:t xml:space="preserve">- Statut : Retrait (R)</w:t>
      </w:r>
      <w:r>
        <w:t xml:space="preserve"> </w:t>
      </w:r>
      <w:r>
        <w:t xml:space="preserve">-</w:t>
      </w:r>
      <w:r>
        <w:t xml:space="preserve"> </w:t>
      </w:r>
      <w:r>
        <w:rPr>
          <w:b/>
          <w:bCs/>
        </w:rPr>
        <w:t xml:space="preserve">SEGLOR</w:t>
      </w:r>
      <w:r>
        <w:t xml:space="preserve"> </w:t>
      </w:r>
      <w:r>
        <w:t xml:space="preserve">(UNION PHARMACEUTIQUE CONSTANTINOISE - UPC)</w:t>
      </w:r>
      <w:r>
        <w:t xml:space="preserve"> </w:t>
      </w:r>
      <w:r>
        <w:t xml:space="preserve">- Formes et Dosages : Gélules 5 mg (boîte de 30)</w:t>
      </w:r>
      <w:r>
        <w:t xml:space="preserve"> </w:t>
      </w:r>
      <w:r>
        <w:t xml:space="preserve">- Statut : Retrait (R)</w:t>
      </w:r>
    </w:p>
    <w:p>
      <w:pPr>
        <w:pStyle w:val="BodyText"/>
      </w:pPr>
      <w:r>
        <w:rPr>
          <w:b/>
          <w:bCs/>
        </w:rPr>
        <w:t xml:space="preserve">Sous-classe et Mécanisme d’action :</w:t>
      </w:r>
      <w:r>
        <w:t xml:space="preserve"> </w:t>
      </w:r>
      <w:r>
        <w:t xml:space="preserve">- Sous-classe : Alcaloïde semi-synthétique de l’ergot de seigle, agoniste partiel 5-HT1B/1D, α-adrénergique et D2, à profil veinoconstricteur prédominant.</w:t>
      </w:r>
      <w:r>
        <w:t xml:space="preserve"> </w:t>
      </w:r>
      <w:r>
        <w:t xml:space="preserve">- Mécanisme d’action : Agoniste partiel 5-HT1B/1D (vasoconstriction des artères cérébrales extra-piales, inhibition trigéminale) et α-adrénergique (prédominance veinoconstrictrice, contrairement à l’ergotamine qui est plutôt artérioloconstrictrice). Biodisponibilité orale très faible (&lt;1 %), métabolisme CYP3A4, demi-vie ~9 h (plus longue que l’ergotamine).</w:t>
      </w:r>
    </w:p>
    <w:p>
      <w:pPr>
        <w:pStyle w:val="BodyText"/>
      </w:pPr>
      <w:r>
        <w:rPr>
          <w:b/>
          <w:bCs/>
        </w:rPr>
        <w:t xml:space="preserve">Profil Pharmacologique :</w:t>
      </w:r>
      <w:r>
        <w:t xml:space="preserve"> </w:t>
      </w:r>
      <w:r>
        <w:t xml:space="preserve">- Indications : Historiquement : traitement de la crise de migraine aiguë, traitement de fond de l’hypotension orthostatique (indication désormais obsolète). Actuellement : la DHE reste utilisée en milieu hospitalier à l’étranger dans le status migrainosus par voie IV.</w:t>
      </w:r>
      <w:r>
        <w:t xml:space="preserve"> </w:t>
      </w:r>
      <w:r>
        <w:t xml:space="preserve">- Contre-indications : Hypersensibilité ; maladie coronarienne, angor, syndrome de Raynaud, artériopathie ; HTA non contrôlée ; insuffisance hépatique ou rénale sévère ; septicémie ; grossesse et allaitement ; association avec triptans, macrolides, vasopresseurs ; troubles vasculaires périphériques.</w:t>
      </w:r>
      <w:r>
        <w:t xml:space="preserve"> </w:t>
      </w:r>
      <w:r>
        <w:t xml:space="preserve">- Effets Indésirables : Nausées, vomissements (effet D2), diarrhée ; vasoconstriction périphérique (plus rare qu’avec l’ergotamine mais possible) ; céphalées de rebond ; fibrose rétro-péritonéale (au long cours) ; ergotisme (aux doses élevées).</w:t>
      </w:r>
    </w:p>
    <w:p>
      <w:pPr>
        <w:pStyle w:val="BodyText"/>
      </w:pPr>
      <w:r>
        <w:rPr>
          <w:b/>
          <w:bCs/>
        </w:rPr>
        <w:t xml:space="preserve">Prévention et Gestion des Effets Indésirables :</w:t>
      </w:r>
      <w:r>
        <w:t xml:space="preserve"> </w:t>
      </w:r>
      <w:r>
        <w:t xml:space="preserve">- Mesures Préventives : Mêmes règles que pour l’ergotamine : dose maximale, surveillance des signes d’ergotisme, vérification des interactions.</w:t>
      </w:r>
      <w:r>
        <w:t xml:space="preserve"> </w:t>
      </w:r>
      <w:r>
        <w:t xml:space="preserve">- Conduite à Tenir : Idem ergotamine.</w:t>
      </w:r>
    </w:p>
    <w:p>
      <w:pPr>
        <w:pStyle w:val="BodyText"/>
      </w:pPr>
      <w:r>
        <w:rPr>
          <w:b/>
          <w:bCs/>
        </w:rPr>
        <w:t xml:space="preserve">Interactions Importantes :</w:t>
      </w:r>
      <w:r>
        <w:t xml:space="preserve"> </w:t>
      </w:r>
      <w:r>
        <w:t xml:space="preserve">-</w:t>
      </w:r>
      <w:r>
        <w:t xml:space="preserve"> </w:t>
      </w:r>
      <w:r>
        <w:rPr>
          <w:b/>
          <w:bCs/>
        </w:rPr>
        <w:t xml:space="preserve">DHE + macrolides</w:t>
      </w:r>
      <w:r>
        <w:t xml:space="preserve"> </w:t>
      </w:r>
      <w:r>
        <w:t xml:space="preserve">: ergotisme → CI absolue.</w:t>
      </w:r>
      <w:r>
        <w:t xml:space="preserve"> </w:t>
      </w:r>
      <w:r>
        <w:t xml:space="preserve">-</w:t>
      </w:r>
      <w:r>
        <w:t xml:space="preserve"> </w:t>
      </w:r>
      <w:r>
        <w:rPr>
          <w:b/>
          <w:bCs/>
        </w:rPr>
        <w:t xml:space="preserve">DHE + triptans</w:t>
      </w:r>
      <w:r>
        <w:t xml:space="preserve"> </w:t>
      </w:r>
      <w:r>
        <w:t xml:space="preserve">: vasospasme → CI (24 h délai).</w:t>
      </w:r>
      <w:r>
        <w:t xml:space="preserve"> </w:t>
      </w:r>
      <w:r>
        <w:t xml:space="preserve">-</w:t>
      </w:r>
      <w:r>
        <w:t xml:space="preserve"> </w:t>
      </w:r>
      <w:r>
        <w:rPr>
          <w:b/>
          <w:bCs/>
        </w:rPr>
        <w:t xml:space="preserve">DHE + inhibiteurs CYP3A4</w:t>
      </w:r>
      <w:r>
        <w:t xml:space="preserve"> </w:t>
      </w:r>
      <w:r>
        <w:t xml:space="preserve">: ergotisme → CI.</w:t>
      </w:r>
      <w:r>
        <w:t xml:space="preserve"> </w:t>
      </w:r>
      <w:r>
        <w:t xml:space="preserve">-</w:t>
      </w:r>
      <w:r>
        <w:t xml:space="preserve"> </w:t>
      </w:r>
      <w:r>
        <w:rPr>
          <w:b/>
          <w:bCs/>
        </w:rPr>
        <w:t xml:space="preserve">DHE + vasopresseurs</w:t>
      </w:r>
      <w:r>
        <w:t xml:space="preserve"> </w:t>
      </w:r>
      <w:r>
        <w:t xml:space="preserve">: hypertension → CI.</w:t>
      </w:r>
    </w:p>
    <w:p>
      <w:pPr>
        <w:pStyle w:val="BodyText"/>
      </w:pPr>
      <w:r>
        <w:rPr>
          <w:b/>
          <w:bCs/>
        </w:rPr>
        <w:t xml:space="preserve">Grossesse et Allaitement :</w:t>
      </w:r>
      <w:r>
        <w:t xml:space="preserve"> </w:t>
      </w:r>
      <w:r>
        <w:t xml:space="preserve">- Grossesse : CI absolue (ocytocique, vasoconstrictrice placentaire, tératogène).</w:t>
      </w:r>
      <w:r>
        <w:t xml:space="preserve"> </w:t>
      </w:r>
      <w:r>
        <w:t xml:space="preserve">- Allaitement : CI absolue (ergotisme du nourrisson).</w:t>
      </w:r>
      <w:r>
        <w:t xml:space="preserve"> </w:t>
      </w:r>
      <w:r>
        <w:t xml:space="preserve">- Précisions : Idem ergotamine.</w:t>
      </w:r>
    </w:p>
    <w:p>
      <w:pPr>
        <w:pStyle w:val="BodyText"/>
      </w:pPr>
      <w:r>
        <w:rPr>
          <w:b/>
          <w:bCs/>
        </w:rPr>
        <w:t xml:space="preserve">Posologie et Mode d’administration (Standard) :</w:t>
      </w:r>
      <w:r>
        <w:t xml:space="preserve"> </w:t>
      </w:r>
      <w:r>
        <w:t xml:space="preserve">- Adulte (historique) : 1-2 mg per os au début de la crise, à répéter toutes les 30 min si besoin, sans dépasser 6 mg par crise, 10 mg par semaine. Forme nasale (Diergo Spray) : 1 pulvérisation par narine (0,5 mg) dès le début de la céphalée, éventuellement renouvelable 15 min après, sans dépasser 4 mg/24 h ni 8 mg/semaine. Forme injectable IM/SC : 1 mg, à répéter si besoin à 1 h, sans dépasser 3 mg/24 h ni 6 mg/semaine.</w:t>
      </w:r>
      <w:r>
        <w:t xml:space="preserve"> </w:t>
      </w:r>
      <w:r>
        <w:t xml:space="preserve">- Enfant : Non recommandé avant 16 ans.</w:t>
      </w:r>
      <w:r>
        <w:t xml:space="preserve"> </w:t>
      </w:r>
      <w:r>
        <w:t xml:space="preserve">- Durée : Traitement de la crise, jamais en continu.</w:t>
      </w:r>
      <w:r>
        <w:t xml:space="preserve"> </w:t>
      </w:r>
      <w:r>
        <w:t xml:space="preserve">- Moment de prise : Dès le début de la céphalée.</w:t>
      </w:r>
    </w:p>
    <w:p>
      <w:pPr>
        <w:pStyle w:val="BodyText"/>
      </w:pPr>
      <w:r>
        <w:rPr>
          <w:b/>
          <w:bCs/>
        </w:rPr>
        <w:t xml:space="preserve">Arbitrage et Bénéfices des Formes Galéniques :</w:t>
      </w:r>
      <w:r>
        <w:t xml:space="preserve"> </w:t>
      </w:r>
      <w:r>
        <w:t xml:space="preserve">- Forme nasale (Diergo Spray) : absorption rapide (Tmax 30-60 min), évite l’effet de premier passage, utilisable en cas de nausées/vomissements. Forme idéale mais retirée du marché algérien.</w:t>
      </w:r>
      <w:r>
        <w:t xml:space="preserve"> </w:t>
      </w:r>
      <w:r>
        <w:t xml:space="preserve">- Forme injectable : usage hospitalier dans le status migrainosus.</w:t>
      </w:r>
      <w:r>
        <w:t xml:space="preserve"> </w:t>
      </w:r>
      <w:r>
        <w:t xml:space="preserve">- Forme orale (gouttes, gélules) : utilisation historique mais biodisponibilité très faible.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n’est plus disponible en Algérie. Si vous étiez sous dihydroergotamine, votre médecin vous proposera une alternative (triptan, ou autre). Ne pas utiliser d’anciennes boîtes restées dans l’armoire à pharmacie (risque de péremption, d’ergotisme, d’interaction avec d’autres médicaments).</w:t>
      </w:r>
      <w:r>
        <w:t xml:space="preserve">”</w:t>
      </w:r>
      <w:r>
        <w:t xml:space="preserve"> </w:t>
      </w:r>
      <w:r>
        <w:t xml:space="preserve">- Mode d’utilisation pratique : Non applicable (médicament indisponible).</w:t>
      </w:r>
    </w:p>
    <w:p>
      <w:pPr>
        <w:pStyle w:val="BodyText"/>
      </w:pPr>
      <w:r>
        <w:rPr>
          <w:b/>
          <w:bCs/>
        </w:rPr>
        <w:t xml:space="preserve">Notes, Règles d’Or &amp; Pièges au Comptoir :</w:t>
      </w:r>
      <w:r>
        <w:t xml:space="preserve"> </w:t>
      </w:r>
      <w:r>
        <w:t xml:space="preserve">- Piège classique : Patient qui vient avec une ancienne ordonnance de DHE et un stock périmé — ne pas délivrer, expliquer l’indisponibilité et orienter vers le médecin pour alternative.</w:t>
      </w:r>
      <w:r>
        <w:t xml:space="preserve"> </w:t>
      </w:r>
      <w:r>
        <w:t xml:space="preserve">- Règle de prise : Même règles que l’ergotamine en cas de disponibilité exceptionnelle.</w:t>
      </w:r>
      <w:r>
        <w:t xml:space="preserve"> </w:t>
      </w:r>
      <w:r>
        <w:t xml:space="preserve">- Préparation et Conservation : Les formes retirées ne doivent pas être délivrées.</w:t>
      </w:r>
      <w:r>
        <w:t xml:space="preserve"> </w:t>
      </w:r>
      <w:r>
        <w:t xml:space="preserve">- Piège du surdosage / Substitution : Substitution par triptan possible après arrêt de la DHE pendant 24 h. Ne pas associer en aucune circonstance.</w:t>
      </w:r>
    </w:p>
    <w:p>
      <w:r>
        <w:pict>
          <v:rect style="width:0;height:1.5pt" o:hralign="center" o:hrstd="t" o:hr="t"/>
        </w:pict>
      </w:r>
    </w:p>
    <w:bookmarkEnd w:id="195"/>
    <w:bookmarkEnd w:id="196"/>
    <w:bookmarkStart w:id="199" w:name="antimigraineux---prophylaxie"/>
    <w:p>
      <w:pPr>
        <w:pStyle w:val="Heading2"/>
      </w:pPr>
      <w:r>
        <w:t xml:space="preserve">3. Antimigraineux - Prophylaxie</w:t>
      </w:r>
    </w:p>
    <w:bookmarkStart w:id="197" w:name="introduction-à-la-sous-classe-8"/>
    <w:p>
      <w:pPr>
        <w:pStyle w:val="Heading3"/>
      </w:pPr>
      <w:r>
        <w:t xml:space="preserve">Introduction à la sous-classe</w:t>
      </w:r>
    </w:p>
    <w:p>
      <w:pPr>
        <w:pStyle w:val="FirstParagraph"/>
      </w:pPr>
      <w:r>
        <w:t xml:space="preserve">Le traitement de fond (prophylaxie) de la migraine est indiqué lorsque les crises sont fréquentes (&gt;3-4 par mois), prolongées, invalidantes, ou résistantes au traitement de crise. Il repose sur plusieurs classes pharmacologiques :</w:t>
      </w:r>
      <w:r>
        <w:t xml:space="preserve"> </w:t>
      </w:r>
      <w:r>
        <w:rPr>
          <w:b/>
          <w:bCs/>
        </w:rPr>
        <w:t xml:space="preserve">bêta-bloquants</w:t>
      </w:r>
      <w:r>
        <w:t xml:space="preserve"> </w:t>
      </w:r>
      <w:r>
        <w:t xml:space="preserve">(propranolol, métoprolol),</w:t>
      </w:r>
      <w:r>
        <w:t xml:space="preserve"> </w:t>
      </w:r>
      <w:r>
        <w:rPr>
          <w:b/>
          <w:bCs/>
        </w:rPr>
        <w:t xml:space="preserve">anti-Calcium</w:t>
      </w:r>
      <w:r>
        <w:t xml:space="preserve"> </w:t>
      </w:r>
      <w:r>
        <w:t xml:space="preserve">(flunarizine, vérapamil),</w:t>
      </w:r>
      <w:r>
        <w:t xml:space="preserve"> </w:t>
      </w:r>
      <w:r>
        <w:rPr>
          <w:b/>
          <w:bCs/>
        </w:rPr>
        <w:t xml:space="preserve">anticonvulsivants</w:t>
      </w:r>
      <w:r>
        <w:t xml:space="preserve"> </w:t>
      </w:r>
      <w:r>
        <w:t xml:space="preserve">(valproate, topiramate),</w:t>
      </w:r>
      <w:r>
        <w:t xml:space="preserve"> </w:t>
      </w:r>
      <w:r>
        <w:rPr>
          <w:b/>
          <w:bCs/>
        </w:rPr>
        <w:t xml:space="preserve">antidépresseurs tricycliques</w:t>
      </w:r>
      <w:r>
        <w:t xml:space="preserve"> </w:t>
      </w:r>
      <w:r>
        <w:t xml:space="preserve">(amitriptyline), et la</w:t>
      </w:r>
      <w:r>
        <w:t xml:space="preserve"> </w:t>
      </w:r>
      <w:r>
        <w:rPr>
          <w:b/>
          <w:bCs/>
        </w:rPr>
        <w:t xml:space="preserve">pizotifène</w:t>
      </w:r>
      <w:r>
        <w:t xml:space="preserve"> </w:t>
      </w:r>
      <w:r>
        <w:t xml:space="preserve">(antagoniste sérotoninergique et histaminique). Plus récemment, les anticorps monoclonaux anti-CGRP (erenumab, galcanezumab, fremanezumab) ont révolutionné la prophylaxie de la migraine chronique, mais ne sont pas disponibles en Algérie.</w:t>
      </w:r>
    </w:p>
    <w:p>
      <w:pPr>
        <w:pStyle w:val="BodyText"/>
      </w:pPr>
      <w:r>
        <w:t xml:space="preserve">La</w:t>
      </w:r>
      <w:r>
        <w:t xml:space="preserve"> </w:t>
      </w:r>
      <w:r>
        <w:rPr>
          <w:b/>
          <w:bCs/>
        </w:rPr>
        <w:t xml:space="preserve">pizotifène</w:t>
      </w:r>
      <w:r>
        <w:t xml:space="preserve"> </w:t>
      </w:r>
      <w:r>
        <w:t xml:space="preserve">est un antagoniste des récepteurs 5-HT2 (sérotonine) et H1 (histamine), structural apparenté à la cyproheptadine et aux tricycliques. Il est utilisé depuis les années 1970 et reste largement prescrit en Algérie en raison de son faible coût et de son efficacité démontrée. Son effet indésirable principal est la</w:t>
      </w:r>
      <w:r>
        <w:t xml:space="preserve"> </w:t>
      </w:r>
      <w:r>
        <w:rPr>
          <w:b/>
          <w:bCs/>
        </w:rPr>
        <w:t xml:space="preserve">sédation et la prise de poids</w:t>
      </w:r>
      <w:r>
        <w:t xml:space="preserve"> </w:t>
      </w:r>
      <w:r>
        <w:t xml:space="preserve">(effet H1 antihistaminique), qui en limitent l’observance. En Algérie, la pizotifène est actuellement non renouvelable (SANMIGRAN, NATIFEN, PIZOFEN, MIGRAZEN), mais peut faire l’objet d’importations exceptionnelles.</w:t>
      </w:r>
    </w:p>
    <w:p>
      <w:r>
        <w:pict>
          <v:rect style="width:0;height:1.5pt" o:hralign="center" o:hrstd="t" o:hr="t"/>
        </w:pict>
      </w:r>
    </w:p>
    <w:bookmarkEnd w:id="197"/>
    <w:bookmarkStart w:id="198" w:name="pizotifène-seule"/>
    <w:p>
      <w:pPr>
        <w:pStyle w:val="Heading3"/>
      </w:pPr>
      <w:r>
        <w:t xml:space="preserve">8. Pizotifène (Seule)</w:t>
      </w:r>
    </w:p>
    <w:p>
      <w:pPr>
        <w:pStyle w:val="FirstParagraph"/>
      </w:pPr>
      <w:r>
        <w:rPr>
          <w:b/>
          <w:bCs/>
        </w:rPr>
        <w:t xml:space="preserve">Liste des Catégories :</w:t>
      </w:r>
      <w:r>
        <w:t xml:space="preserve"> </w:t>
      </w:r>
      <w:r>
        <w:t xml:space="preserve">Antimigraineux - Prophylaxie ; Liste II (Algérie).</w:t>
      </w:r>
    </w:p>
    <w:p>
      <w:pPr>
        <w:pStyle w:val="BodyText"/>
      </w:pPr>
      <w:r>
        <w:t xml:space="preserve">La pizotifène (malate de pizotifène, 0,73 mg = 0,5 mg de base) est un antagoniste des récepteurs 5-HT2A/2C (sérotonine) et H1 (histamine), structurellement apparenté aux tricycliques et à la cyproheptadine. Elle est utilisée comme traitement de fond de la migraine depuis les années 1970. Sa biodisponibilité orale est d’environ 80 %, sa demi-vie d’environ 23 h. Le métabolisme est hépatique (glutathion conjuguaison). Son efficacité antimigraineuse est modérée mais bien démontrée, comparable au propranolol. Ses principaux inconvénients sont la sédation (effet H1) et la prise de poids (effet H1 et 5-HT2C), qui en limitent l’observance.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MIGRAZEN</w:t>
      </w:r>
      <w:r>
        <w:t xml:space="preserve"> </w:t>
      </w:r>
      <w:r>
        <w:t xml:space="preserve">(PHARMALLIANCE)</w:t>
      </w:r>
      <w:r>
        <w:t xml:space="preserve"> </w:t>
      </w:r>
      <w:r>
        <w:t xml:space="preserve">- Formes et Dosages : Comprimé pelliculé 0,5 mg de pizotifène (0,73 mg de malate) (boîte de 50)</w:t>
      </w:r>
      <w:r>
        <w:t xml:space="preserve"> </w:t>
      </w:r>
      <w:r>
        <w:t xml:space="preserve">- Statut : Non Renouvelable</w:t>
      </w:r>
      <w:r>
        <w:t xml:space="preserve"> </w:t>
      </w:r>
      <w:r>
        <w:t xml:space="preserve">-</w:t>
      </w:r>
      <w:r>
        <w:t xml:space="preserve"> </w:t>
      </w:r>
      <w:r>
        <w:rPr>
          <w:b/>
          <w:bCs/>
        </w:rPr>
        <w:t xml:space="preserve">NATIFEN</w:t>
      </w:r>
      <w:r>
        <w:t xml:space="preserve"> </w:t>
      </w:r>
      <w:r>
        <w:t xml:space="preserve">(NOVA ARGENTIA)</w:t>
      </w:r>
      <w:r>
        <w:t xml:space="preserve"> </w:t>
      </w:r>
      <w:r>
        <w:t xml:space="preserve">- Formes et Dosages : Comprimé 0,50 mg (pizotifène maléate 0,73 mg) (boîte de 50)</w:t>
      </w:r>
      <w:r>
        <w:t xml:space="preserve"> </w:t>
      </w:r>
      <w:r>
        <w:t xml:space="preserve">- Statut : Non Renouvelable</w:t>
      </w:r>
      <w:r>
        <w:t xml:space="preserve"> </w:t>
      </w:r>
      <w:r>
        <w:t xml:space="preserve">-</w:t>
      </w:r>
      <w:r>
        <w:t xml:space="preserve"> </w:t>
      </w:r>
      <w:r>
        <w:rPr>
          <w:b/>
          <w:bCs/>
        </w:rPr>
        <w:t xml:space="preserve">PIZOFEN</w:t>
      </w:r>
      <w:r>
        <w:t xml:space="preserve"> </w:t>
      </w:r>
      <w:r>
        <w:t xml:space="preserve">(JORDANIAN PHARMACEUTICAL MANIFACTURING - JPM)</w:t>
      </w:r>
      <w:r>
        <w:t xml:space="preserve"> </w:t>
      </w:r>
      <w:r>
        <w:t xml:space="preserve">- Formes et Dosages : Comprimé 0,50 mg (pizotifène maléate 0,73 mg) (boîte de 30)</w:t>
      </w:r>
      <w:r>
        <w:t xml:space="preserve"> </w:t>
      </w:r>
      <w:r>
        <w:t xml:space="preserve">- Statut : Non Renouvelable</w:t>
      </w:r>
      <w:r>
        <w:t xml:space="preserve"> </w:t>
      </w:r>
      <w:r>
        <w:t xml:space="preserve">-</w:t>
      </w:r>
      <w:r>
        <w:t xml:space="preserve"> </w:t>
      </w:r>
      <w:r>
        <w:rPr>
          <w:b/>
          <w:bCs/>
        </w:rPr>
        <w:t xml:space="preserve">SANMIGRAN</w:t>
      </w:r>
      <w:r>
        <w:t xml:space="preserve"> </w:t>
      </w:r>
      <w:r>
        <w:t xml:space="preserve">(NOVARTIS PHARMA S.A.)</w:t>
      </w:r>
      <w:r>
        <w:t xml:space="preserve"> </w:t>
      </w:r>
      <w:r>
        <w:t xml:space="preserve">- Formes et Dosages : Comprimé pelliculé 0,50 mg (pizotifène maléate 0,73 mg) (boîte de 50)</w:t>
      </w:r>
      <w:r>
        <w:t xml:space="preserve"> </w:t>
      </w:r>
      <w:r>
        <w:t xml:space="preserve">- Statut : Non Renouvelable</w:t>
      </w:r>
    </w:p>
    <w:p>
      <w:pPr>
        <w:pStyle w:val="BodyText"/>
      </w:pPr>
      <w:r>
        <w:rPr>
          <w:b/>
          <w:bCs/>
        </w:rPr>
        <w:t xml:space="preserve">Sous-classe et Mécanisme d’action :</w:t>
      </w:r>
      <w:r>
        <w:t xml:space="preserve"> </w:t>
      </w:r>
      <w:r>
        <w:t xml:space="preserve">- Sous-classe : Antagoniste 5-HT2 et H1, traitement de fond de la migraine.</w:t>
      </w:r>
      <w:r>
        <w:t xml:space="preserve"> </w:t>
      </w:r>
      <w:r>
        <w:t xml:space="preserve">- Mécanisme d’action : Antagoniste des récepteurs 5-HT2A/2C (sérotonine, vasoconstriction et libération de neuropeptides) et H1 (histamine, sédation et appétit). Réduction de la fréquence des crises migraineuses par modulation de la sensibilité vasculaire à la sérotonine et inhibition de la libération de neuropeptides vasoactifs (CGRP, substance P). Biodisponibilité ~80 %, métabolisme hépatique par glutathion conjuguaison, demi-vie ~23 h.</w:t>
      </w:r>
    </w:p>
    <w:p>
      <w:pPr>
        <w:pStyle w:val="BodyText"/>
      </w:pPr>
      <w:r>
        <w:rPr>
          <w:b/>
          <w:bCs/>
        </w:rPr>
        <w:t xml:space="preserve">Profil Pharmacologique :</w:t>
      </w:r>
      <w:r>
        <w:t xml:space="preserve"> </w:t>
      </w:r>
      <w:r>
        <w:t xml:space="preserve">- Indications : Prophylaxie de la migraine (réduction de la fréquence et de l’intensité des crises) chez l’adulte et l’enfant &gt;7 ans. Indication si &gt;3-4 crises par mois, crises prolongées ou invalidantes, échec des triptans/antalgiques.</w:t>
      </w:r>
      <w:r>
        <w:t xml:space="preserve"> </w:t>
      </w:r>
      <w:r>
        <w:t xml:space="preserve">- Contre-indications : Hypersensibilité ; glaucome à angle fermé ; rétention urinaire liée à hypertrophie prostatique ; antécédent de rétention urinaire ; association avec IMAO (respecter 14 jours) ; grossesse et allaitement (par principe, données limitées).</w:t>
      </w:r>
      <w:r>
        <w:t xml:space="preserve"> </w:t>
      </w:r>
      <w:r>
        <w:t xml:space="preserve">- Effets Indésirables : Sédation, somnolence (surtout en début de traitement) ; prise de poids (par augmentation de l’appétit, effet H1 et 5-HT2C) ; sécheresse buccale ; constipation ; vertiges ; plus rarement, hypotension orthostatique, troubles de l’accommodation.</w:t>
      </w:r>
    </w:p>
    <w:p>
      <w:pPr>
        <w:pStyle w:val="BodyText"/>
      </w:pPr>
      <w:r>
        <w:rPr>
          <w:b/>
          <w:bCs/>
        </w:rPr>
        <w:t xml:space="preserve">Prévention et Gestion des Effets Indésirables :</w:t>
      </w:r>
      <w:r>
        <w:t xml:space="preserve"> </w:t>
      </w:r>
      <w:r>
        <w:t xml:space="preserve">- Mesures Préventives : Premier prise le soir (sédation utile pour le sommeil, mais risque de gêne diurne les premiers jours) ; augmentation progressive de la dose (0,5 mg/jour en semaine 1, puis 0,5 mg × 2/jour à partir de la semaine 2, puis 0,5 mg × 3/jour si nécessaire) ; mise en garde sur la conduite automobile en début de traitement ; surveillance du poids ; prévention de la constipation (hydratation, fibres).</w:t>
      </w:r>
      <w:r>
        <w:t xml:space="preserve"> </w:t>
      </w:r>
      <w:r>
        <w:t xml:space="preserve">- Conduite à Tenir : En cas de sédation excessive, fractionner la prise (1/3 matin, 2/3 soir) ou réduire la dose. En cas de prise de poids &gt;5 %, réévaluer le traitement (changement de classe).</w:t>
      </w:r>
    </w:p>
    <w:p>
      <w:pPr>
        <w:pStyle w:val="BodyText"/>
      </w:pPr>
      <w:r>
        <w:rPr>
          <w:b/>
          <w:bCs/>
        </w:rPr>
        <w:t xml:space="preserve">Interactions Importantes :</w:t>
      </w:r>
      <w:r>
        <w:t xml:space="preserve"> </w:t>
      </w:r>
      <w:r>
        <w:t xml:space="preserve">-</w:t>
      </w:r>
      <w:r>
        <w:t xml:space="preserve"> </w:t>
      </w:r>
      <w:r>
        <w:rPr>
          <w:b/>
          <w:bCs/>
        </w:rPr>
        <w:t xml:space="preserve">Pizotifène + IMAO</w:t>
      </w:r>
      <w:r>
        <w:t xml:space="preserve"> </w:t>
      </w:r>
      <w:r>
        <w:t xml:space="preserve">: risque d’effets anticholinergiques additifs majorés (CI relative).</w:t>
      </w:r>
      <w:r>
        <w:t xml:space="preserve"> </w:t>
      </w:r>
      <w:r>
        <w:t xml:space="preserve">-</w:t>
      </w:r>
      <w:r>
        <w:t xml:space="preserve"> </w:t>
      </w:r>
      <w:r>
        <w:rPr>
          <w:b/>
          <w:bCs/>
        </w:rPr>
        <w:t xml:space="preserve">Pizotifène + alcool</w:t>
      </w:r>
      <w:r>
        <w:t xml:space="preserve"> </w:t>
      </w:r>
      <w:r>
        <w:t xml:space="preserve">: potentialisation de la sédation.</w:t>
      </w:r>
      <w:r>
        <w:t xml:space="preserve"> </w:t>
      </w:r>
      <w:r>
        <w:t xml:space="preserve">-</w:t>
      </w:r>
      <w:r>
        <w:t xml:space="preserve"> </w:t>
      </w:r>
      <w:r>
        <w:rPr>
          <w:b/>
          <w:bCs/>
        </w:rPr>
        <w:t xml:space="preserve">Pizotifène + dépresseurs SNC</w:t>
      </w:r>
      <w:r>
        <w:t xml:space="preserve"> </w:t>
      </w:r>
      <w:r>
        <w:t xml:space="preserve">(benzodiazépines, opioïdes, antihistaminiques H1 sédatifs) : sédation additif.</w:t>
      </w:r>
      <w:r>
        <w:t xml:space="preserve"> </w:t>
      </w:r>
      <w:r>
        <w:t xml:space="preserve">-</w:t>
      </w:r>
      <w:r>
        <w:t xml:space="preserve"> </w:t>
      </w:r>
      <w:r>
        <w:rPr>
          <w:b/>
          <w:bCs/>
        </w:rPr>
        <w:t xml:space="preserve">Pizotifène + anticholinergiques</w:t>
      </w:r>
      <w:r>
        <w:t xml:space="preserve"> </w:t>
      </w:r>
      <w:r>
        <w:t xml:space="preserve">: effets additifs (sécheresse buccale, constipation, rétention urinaire).</w:t>
      </w:r>
    </w:p>
    <w:p>
      <w:pPr>
        <w:pStyle w:val="BodyText"/>
      </w:pPr>
      <w:r>
        <w:rPr>
          <w:b/>
          <w:bCs/>
        </w:rPr>
        <w:t xml:space="preserve">Grossesse et Allaitement :</w:t>
      </w:r>
      <w:r>
        <w:t xml:space="preserve"> </w:t>
      </w:r>
      <w:r>
        <w:t xml:space="preserve">- Grossesse : À éviter par principe (données animales évocatrices d’un effet tératogène à doses élevées, données humaines insuffisantes). Préférer le propranolol ou le métoprolol en cas de nécessité de prophylaxie pendant la grossesse.</w:t>
      </w:r>
      <w:r>
        <w:t xml:space="preserve"> </w:t>
      </w:r>
      <w:r>
        <w:t xml:space="preserve">- Allaitement : À éviter (passage dans le lait, sédation du nourrisson).</w:t>
      </w:r>
      <w:r>
        <w:t xml:space="preserve"> </w:t>
      </w:r>
      <w:r>
        <w:t xml:space="preserve">- Précisions : Discuter au cas par cas avec le neurologue.</w:t>
      </w:r>
    </w:p>
    <w:p>
      <w:pPr>
        <w:pStyle w:val="BodyText"/>
      </w:pPr>
      <w:r>
        <w:rPr>
          <w:b/>
          <w:bCs/>
        </w:rPr>
        <w:t xml:space="preserve">Posologie et Mode d’administration (Standard) :</w:t>
      </w:r>
      <w:r>
        <w:t xml:space="preserve"> </w:t>
      </w:r>
      <w:r>
        <w:t xml:space="preserve">- Adulte : Dose initiale 0,5 mg le soir pendant 1 semaine, puis augmentation progressive à 0,5 mg × 2/jour puis 0,5 mg × 3/jour si nécessaire. Dose maximale 1,5 mg/jour (3 comprimés).</w:t>
      </w:r>
      <w:r>
        <w:t xml:space="preserve"> </w:t>
      </w:r>
      <w:r>
        <w:t xml:space="preserve">- Enfant (7-14 ans) : 0,5 mg × 1 à 2/jour.</w:t>
      </w:r>
      <w:r>
        <w:t xml:space="preserve"> </w:t>
      </w:r>
      <w:r>
        <w:t xml:space="preserve">- Durée : Traitement de fond prolongé (3-6 mois minimum), à réévaluer après 6 mois d’efficacité pour discuter un arrêt progressif.</w:t>
      </w:r>
      <w:r>
        <w:t xml:space="preserve"> </w:t>
      </w:r>
      <w:r>
        <w:t xml:space="preserve">- Moment de prise : Le soir en début de traitement (pour minimiser la sédation diurne), puis en 2-3 prises si dose augmentée.</w:t>
      </w:r>
    </w:p>
    <w:p>
      <w:pPr>
        <w:pStyle w:val="BodyText"/>
      </w:pPr>
      <w:r>
        <w:rPr>
          <w:b/>
          <w:bCs/>
        </w:rPr>
        <w:t xml:space="preserve">Arbitrage et Bénéfices des Formes Galéniques :</w:t>
      </w:r>
      <w:r>
        <w:t xml:space="preserve"> </w:t>
      </w:r>
      <w:r>
        <w:t xml:space="preserve">- Forme unique : comprimé 0,5 mg (base pizotifène, équivalent à 0,73 mg de malate). Permet une titration progressive.</w:t>
      </w:r>
      <w:r>
        <w:t xml:space="preserve"> </w:t>
      </w:r>
      <w:r>
        <w:t xml:space="preserve">- Présentation en boîte de 30 ou 50 : couverture mensuelle ou bimensuelle.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est un traitement de fond : il réduit la fréquence des crises mais ne les traite pas quand elles surviennent. Continuez à prendre votre traitement de crise (triptan, antalgique). Prenez la première dose le soir car ce médicament peut donner envie de dormir. Surveillez votre poids. L’effet n’apparaît qu’après 2-4 semaines ; soyez patient.</w:t>
      </w:r>
      <w:r>
        <w:t xml:space="preserve">”</w:t>
      </w:r>
      <w:r>
        <w:t xml:space="preserve"> </w:t>
      </w:r>
      <w:r>
        <w:t xml:space="preserve">- Mode d’utilisation pratique : Premier comprimé le soir pendant 1 semaine, puis augmenter progressivement selon les recommandations du médecin. Ne pas arrêter brutalement en cas d’efficacité.</w:t>
      </w:r>
    </w:p>
    <w:p>
      <w:pPr>
        <w:pStyle w:val="BodyText"/>
      </w:pPr>
      <w:r>
        <w:rPr>
          <w:b/>
          <w:bCs/>
        </w:rPr>
        <w:t xml:space="preserve">Notes, Règles d’Or &amp; Pièges au Comptoir :</w:t>
      </w:r>
      <w:r>
        <w:t xml:space="preserve"> </w:t>
      </w:r>
      <w:r>
        <w:t xml:space="preserve">- Piège classique : Patient qui arrête après 2 semaines</w:t>
      </w:r>
      <w:r>
        <w:t xml:space="preserve"> </w:t>
      </w:r>
      <w:r>
        <w:t xml:space="preserve">“</w:t>
      </w:r>
      <w:r>
        <w:t xml:space="preserve">parce que ça ne marche pas</w:t>
      </w:r>
      <w:r>
        <w:t xml:space="preserve">”</w:t>
      </w:r>
      <w:r>
        <w:t xml:space="preserve"> </w:t>
      </w:r>
      <w:r>
        <w:t xml:space="preserve">— expliquer que l’efficacité n’apparaît qu’après 4-6 semaines. Patient qui prend le pizotifène au moment de la crise (confusion traitement de crise / traitement de fond). Patient qui conduisait le lendemain matin après la 1ère prise du soir (somnolence résiduelle).</w:t>
      </w:r>
      <w:r>
        <w:t xml:space="preserve"> </w:t>
      </w:r>
      <w:r>
        <w:t xml:space="preserve">- Règle de prise : Quotidien en continu, à heure fixe, de préférence le soir au début. Ne pas interrompre brutalement.</w:t>
      </w:r>
      <w:r>
        <w:t xml:space="preserve"> </w:t>
      </w:r>
      <w:r>
        <w:t xml:space="preserve">- Préparation et Conservation : À température ambiante, à l’abri de l’humidité.</w:t>
      </w:r>
      <w:r>
        <w:t xml:space="preserve"> </w:t>
      </w:r>
      <w:r>
        <w:t xml:space="preserve">- Piège du surdosage / Substitution : En cas d’indisponibilité (toutes marques non renouvelables en Algérie actuellement), le médecin pourra orienter vers le propranolol ou l’amitriptyline comme alternative. Ne pas substituer arbitrairement sans avis médical.</w:t>
      </w:r>
    </w:p>
    <w:p>
      <w:r>
        <w:pict>
          <v:rect style="width:0;height:1.5pt" o:hralign="center" o:hrstd="t" o:hr="t"/>
        </w:pict>
      </w:r>
    </w:p>
    <w:bookmarkEnd w:id="198"/>
    <w:bookmarkEnd w:id="199"/>
    <w:bookmarkStart w:id="202" w:name="antigoutteux---alcaloïdes-de-colchique"/>
    <w:p>
      <w:pPr>
        <w:pStyle w:val="Heading2"/>
      </w:pPr>
      <w:r>
        <w:t xml:space="preserve">4. Antigoutteux - Alcaloïdes de colchique</w:t>
      </w:r>
    </w:p>
    <w:bookmarkStart w:id="200" w:name="introduction-à-la-sous-classe-9"/>
    <w:p>
      <w:pPr>
        <w:pStyle w:val="Heading3"/>
      </w:pPr>
      <w:r>
        <w:t xml:space="preserve">Introduction à la sous-classe</w:t>
      </w:r>
    </w:p>
    <w:p>
      <w:pPr>
        <w:pStyle w:val="FirstParagraph"/>
      </w:pPr>
      <w:r>
        <w:t xml:space="preserve">La</w:t>
      </w:r>
      <w:r>
        <w:t xml:space="preserve"> </w:t>
      </w:r>
      <w:r>
        <w:rPr>
          <w:b/>
          <w:bCs/>
        </w:rPr>
        <w:t xml:space="preserve">colchicine</w:t>
      </w:r>
      <w:r>
        <w:t xml:space="preserve"> </w:t>
      </w:r>
      <w:r>
        <w:t xml:space="preserve">est le traitement de référence de la crise de goutte aiguë. C’est un alcaloïde naturel extrait du colchique d’automne (</w:t>
      </w:r>
      <w:r>
        <w:rPr>
          <w:i/>
          <w:iCs/>
        </w:rPr>
        <w:t xml:space="preserve">Colchicum autumnale</w:t>
      </w:r>
      <w:r>
        <w:t xml:space="preserve">), plante extrêmement toxique. Son mécanisme d’action repose sur la</w:t>
      </w:r>
      <w:r>
        <w:t xml:space="preserve"> </w:t>
      </w:r>
      <w:r>
        <w:rPr>
          <w:b/>
          <w:bCs/>
        </w:rPr>
        <w:t xml:space="preserve">liaison à la tubuline</w:t>
      </w:r>
      <w:r>
        <w:t xml:space="preserve">, protéine constitutive des microtubules, empêchant leur polymérisation. Cette action inhibe la</w:t>
      </w:r>
      <w:r>
        <w:t xml:space="preserve"> </w:t>
      </w:r>
      <w:r>
        <w:rPr>
          <w:b/>
          <w:bCs/>
        </w:rPr>
        <w:t xml:space="preserve">migration, la mobilité et la phagocytose des neutrophiles</w:t>
      </w:r>
      <w:r>
        <w:t xml:space="preserve"> </w:t>
      </w:r>
      <w:r>
        <w:t xml:space="preserve">dans l’articulation goutteuse, bloquant ainsi la réaction inflammatoire déclenchée par les cristaux d’urate de sodium. La colchicine n’a pas d’effet sur le métabolisme de l’acide urique : elle n’est pas hypouricémiante. Elle agit uniquement sur l’inflammation.</w:t>
      </w:r>
    </w:p>
    <w:p>
      <w:pPr>
        <w:pStyle w:val="BodyText"/>
      </w:pPr>
      <w:r>
        <w:t xml:space="preserve">Sa toxicité est</w:t>
      </w:r>
      <w:r>
        <w:t xml:space="preserve"> </w:t>
      </w:r>
      <w:r>
        <w:rPr>
          <w:b/>
          <w:bCs/>
        </w:rPr>
        <w:t xml:space="preserve">dose-dépendante et potentiellement mortelle</w:t>
      </w:r>
      <w:r>
        <w:t xml:space="preserve"> </w:t>
      </w:r>
      <w:r>
        <w:t xml:space="preserve">: dose toxique ~0,8 mg/kg, dose létale chez l’adulte ~7-20 mg. Le surdosage provoque un syndrome à trois phases : (1) phase gastro-intestinale (nausées, vomissements, diarrhées profuses, déshydratation) à 2-24 h ; (2) phase multisystémique (cytopénie médullaire, insuffisance rénale aiguë, hépatite, détresse respiratoire, troubles neurologiques) à 24 h-7 j ; (3) phase de récupération (alopécie réversible) à &gt;7 j. Le traitement du surdosage est symptomatique (pas d’antidote spécifique), avec parfois anticorps anti-colchicine.</w:t>
      </w:r>
    </w:p>
    <w:p>
      <w:pPr>
        <w:pStyle w:val="BodyText"/>
      </w:pPr>
      <w:r>
        <w:t xml:space="preserve">La colchicine est métabolisée par le CYP3A4 et la P-glycoprotéine, d’où de nombreuses interactions médicamenteuses graves (macrolides, statines, ciclosporine). Sa demi-vie est longue (~30 h). En Algérie, la colchicine reste disponible en comprimé 1 mg (Opocalcium, Colchimed, Colchimex), en Liste I.</w:t>
      </w:r>
    </w:p>
    <w:p>
      <w:r>
        <w:pict>
          <v:rect style="width:0;height:1.5pt" o:hralign="center" o:hrstd="t" o:hr="t"/>
        </w:pict>
      </w:r>
    </w:p>
    <w:bookmarkEnd w:id="200"/>
    <w:bookmarkStart w:id="201" w:name="colchicine-seule"/>
    <w:p>
      <w:pPr>
        <w:pStyle w:val="Heading3"/>
      </w:pPr>
      <w:r>
        <w:t xml:space="preserve">9. Colchicine (Seule)</w:t>
      </w:r>
    </w:p>
    <w:p>
      <w:pPr>
        <w:pStyle w:val="FirstParagraph"/>
      </w:pPr>
      <w:r>
        <w:rPr>
          <w:b/>
          <w:bCs/>
        </w:rPr>
        <w:t xml:space="preserve">Liste des Catégories :</w:t>
      </w:r>
      <w:r>
        <w:t xml:space="preserve"> </w:t>
      </w:r>
      <w:r>
        <w:t xml:space="preserve">Antigoutteux - Alcaloïdes de colchique ; Liste I (Algérie).</w:t>
      </w:r>
    </w:p>
    <w:p>
      <w:pPr>
        <w:pStyle w:val="BodyText"/>
      </w:pPr>
      <w:r>
        <w:t xml:space="preserve">La colchicine est un alcaloïde antimitotique extrait du colchique d’automne, utilisé depuis des siècles dans le traitement de la goutte. Sa biodisponibilité orale est modeste (45 %) mais suffisante pour l’efficacité. Sa demi-vie est d’environ 30 h, avec accumulation dans les polynucléaires neutrophiles (concentrations leucocytaires 100 fois supérieures aux concentrations plasmatiques). Elle est métabolisée par le CYP3A4 et la P-glycoprotéine, d’où de nombreuses interactions médicamenteuses graves. L’usage récent de faibles doses (FNIH - 1 mg puis 0,5 mg × 2/j) a amélioré la tolérance digestive, mais la colchicine reste un médicament à marge thérapeutique étroite et potentiellement mortel en surdosage.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COLCHICINE OPOCALCIUM</w:t>
      </w:r>
      <w:r>
        <w:t xml:space="preserve"> </w:t>
      </w:r>
      <w:r>
        <w:t xml:space="preserve">(MAYOLY PHARMA FRANCE)</w:t>
      </w:r>
      <w:r>
        <w:t xml:space="preserve"> </w:t>
      </w:r>
      <w:r>
        <w:t xml:space="preserve">- Formes et Dosages : Comprimé sécable 1 mg (boîte de 20)</w:t>
      </w:r>
      <w:r>
        <w:t xml:space="preserve"> </w:t>
      </w:r>
      <w:r>
        <w:t xml:space="preserve">- Statut : Actif</w:t>
      </w:r>
      <w:r>
        <w:t xml:space="preserve"> </w:t>
      </w:r>
      <w:r>
        <w:t xml:space="preserve">-</w:t>
      </w:r>
      <w:r>
        <w:t xml:space="preserve"> </w:t>
      </w:r>
      <w:r>
        <w:rPr>
          <w:b/>
          <w:bCs/>
        </w:rPr>
        <w:t xml:space="preserve">COLCHIMED</w:t>
      </w:r>
      <w:r>
        <w:t xml:space="preserve"> </w:t>
      </w:r>
      <w:r>
        <w:t xml:space="preserve">(INPHA-MEDIS)</w:t>
      </w:r>
      <w:r>
        <w:t xml:space="preserve"> </w:t>
      </w:r>
      <w:r>
        <w:t xml:space="preserve">- Formes et Dosages : Comprimé 1 mg (boîte de 20)</w:t>
      </w:r>
      <w:r>
        <w:t xml:space="preserve"> </w:t>
      </w:r>
      <w:r>
        <w:t xml:space="preserve">- Statut : Actif</w:t>
      </w:r>
      <w:r>
        <w:t xml:space="preserve"> </w:t>
      </w:r>
      <w:r>
        <w:t xml:space="preserve">-</w:t>
      </w:r>
      <w:r>
        <w:t xml:space="preserve"> </w:t>
      </w:r>
      <w:r>
        <w:rPr>
          <w:b/>
          <w:bCs/>
        </w:rPr>
        <w:t xml:space="preserve">COLCHIMEX</w:t>
      </w:r>
      <w:r>
        <w:t xml:space="preserve"> </w:t>
      </w:r>
      <w:r>
        <w:t xml:space="preserve">(KPMA BIOTIC)</w:t>
      </w:r>
      <w:r>
        <w:t xml:space="preserve"> </w:t>
      </w:r>
      <w:r>
        <w:t xml:space="preserve">- Formes et Dosages : Comprimé 1 mg (boîte de 20)</w:t>
      </w:r>
      <w:r>
        <w:t xml:space="preserve"> </w:t>
      </w:r>
      <w:r>
        <w:t xml:space="preserve">- Statut : Actif</w:t>
      </w:r>
    </w:p>
    <w:p>
      <w:pPr>
        <w:pStyle w:val="BodyText"/>
      </w:pPr>
      <w:r>
        <w:rPr>
          <w:b/>
          <w:bCs/>
        </w:rPr>
        <w:t xml:space="preserve">Sous-classe et Mécanisme d’action :</w:t>
      </w:r>
      <w:r>
        <w:t xml:space="preserve"> </w:t>
      </w:r>
      <w:r>
        <w:t xml:space="preserve">- Sous-classe : Alcaloïde du colchique d’automne (</w:t>
      </w:r>
      <w:r>
        <w:rPr>
          <w:i/>
          <w:iCs/>
        </w:rPr>
        <w:t xml:space="preserve">Colchicum autumnale</w:t>
      </w:r>
      <w:r>
        <w:t xml:space="preserve">), antimitotique par inhibition de la polymérisation des microtubules.</w:t>
      </w:r>
      <w:r>
        <w:t xml:space="preserve"> </w:t>
      </w:r>
      <w:r>
        <w:t xml:space="preserve">- Mécanisme d’action : Liaison à la tubuline (subunité β) → inhibition de la polymérisation des microtubules → blocage de la migration, de la mobilité, de la phagocytose et de la libération des granules des polynucléaires neutrophiles → blocage de la réaction inflammatoire déclenchée par les cristaux d’urate de sodium dans l’articulation. Action purement anti-inflammatoire, sans effet hypouricémiant. Biodisponibilité ~45 %, demi-vie ~30 h, concentrations leucocytaires 100× plasmatiques.</w:t>
      </w:r>
    </w:p>
    <w:p>
      <w:pPr>
        <w:pStyle w:val="BodyText"/>
      </w:pPr>
      <w:r>
        <w:rPr>
          <w:b/>
          <w:bCs/>
        </w:rPr>
        <w:t xml:space="preserve">Profil Pharmacologique :</w:t>
      </w:r>
      <w:r>
        <w:t xml:space="preserve"> </w:t>
      </w:r>
      <w:r>
        <w:t xml:space="preserve">- Indications : Crise de goutte aiguë (traitement de la crise) ; prévention des crises de goutte récidivantes (faibles doses) ; maladie périodique (fièvre méditerranéenne familiale) au long cours.</w:t>
      </w:r>
      <w:r>
        <w:t xml:space="preserve"> </w:t>
      </w:r>
      <w:r>
        <w:t xml:space="preserve">- Contre-indications : Hypersensibilité ; insuffisance rénale sévère (ClCr &lt;30 mL/min, sauf maladie périodique) ; insuffisance hépatique sévère ; association avec macrolides (clarithromycine, érythromycine), ciclosporine, inhibiteurs puissants de la P-gp ou du CYP3A4 (ketoconazole, itraconazole, ritonavir) ; grossesse (sauf maladie périodique, où le bénéfice/risque est réévalué) ; allaitement ; enfants &lt;15 ans sauf maladie périodique.</w:t>
      </w:r>
      <w:r>
        <w:t xml:space="preserve"> </w:t>
      </w:r>
      <w:r>
        <w:t xml:space="preserve">- Effets Indésirables : Digestifs précoces (diarrhée, nausées, vomissements, douleurs abdominales) — signe d’alerte pour l’arrêt ; plus rares à dose thérapeutique : éruptions cutanées, alopécie réversible, neuropathie périphérique, myopathie, rhabdomyolyse, cytopénie médullaire (surdosage). Surdosage : syndrome à trois phases (digestive, multisystémique, récupération) potentiellement mortel.</w:t>
      </w:r>
    </w:p>
    <w:p>
      <w:pPr>
        <w:pStyle w:val="BodyText"/>
      </w:pPr>
      <w:r>
        <w:rPr>
          <w:b/>
          <w:bCs/>
        </w:rPr>
        <w:t xml:space="preserve">Prévention et Gestion des Effets Indésirables :</w:t>
      </w:r>
      <w:r>
        <w:t xml:space="preserve"> </w:t>
      </w:r>
      <w:r>
        <w:t xml:space="preserve">- Mesures Préventives : Schéma thérapeutique à faibles doses (FNIH : 1 mg puis 0,5 mg × 2/j pendant 3 jours, sans dépasser 6 mg par crise) ; hydratation abondante (2-3 L/j) ; surveillance de la numération formule sanguine et du bilan hépatique en cas de traitement prolongé ; vérification systématique des interactions (macrolides, statines, ciclosporine, AINS) ; arrêt dès l’apparition de diarrhée.</w:t>
      </w:r>
      <w:r>
        <w:t xml:space="preserve"> </w:t>
      </w:r>
      <w:r>
        <w:t xml:space="preserve">- Conduite à Tenir : En cas de diarrhée ou de vomissements importants : arrêt immédiat. En cas de surdosage : hospitalisation urgente en réanimation (traitement symptomatique, hémodialyse inefficace, anticorps anti-colchicine éventuellement).</w:t>
      </w:r>
    </w:p>
    <w:p>
      <w:pPr>
        <w:pStyle w:val="BodyText"/>
      </w:pPr>
      <w:r>
        <w:rPr>
          <w:b/>
          <w:bCs/>
        </w:rPr>
        <w:t xml:space="preserve">Interactions Importantes :</w:t>
      </w:r>
      <w:r>
        <w:t xml:space="preserve"> </w:t>
      </w:r>
      <w:r>
        <w:t xml:space="preserve">-</w:t>
      </w:r>
      <w:r>
        <w:t xml:space="preserve"> </w:t>
      </w:r>
      <w:r>
        <w:rPr>
          <w:b/>
          <w:bCs/>
        </w:rPr>
        <w:t xml:space="preserve">Colchicine + macrolides</w:t>
      </w:r>
      <w:r>
        <w:t xml:space="preserve"> </w:t>
      </w:r>
      <w:r>
        <w:t xml:space="preserve">(clarithromycine, érythromycine, télithromycine) : CI absolue — baisse de la clearance de la colchicine par CYP3A4 → toxicité grave (cytopénie, rhabdomyolyse, insuffisance rénale), potentiellement mortelle.</w:t>
      </w:r>
      <w:r>
        <w:t xml:space="preserve"> </w:t>
      </w:r>
      <w:r>
        <w:t xml:space="preserve">-</w:t>
      </w:r>
      <w:r>
        <w:t xml:space="preserve"> </w:t>
      </w:r>
      <w:r>
        <w:rPr>
          <w:b/>
          <w:bCs/>
        </w:rPr>
        <w:t xml:space="preserve">Colchicine + statines</w:t>
      </w:r>
      <w:r>
        <w:t xml:space="preserve"> </w:t>
      </w:r>
      <w:r>
        <w:t xml:space="preserve">(simvastatine, atorvastatine, pravastatine) : risque de rhabdomyolyse par augmentation des concentrations musculaires de statine.</w:t>
      </w:r>
      <w:r>
        <w:t xml:space="preserve"> </w:t>
      </w:r>
      <w:r>
        <w:t xml:space="preserve">-</w:t>
      </w:r>
      <w:r>
        <w:t xml:space="preserve"> </w:t>
      </w:r>
      <w:r>
        <w:rPr>
          <w:b/>
          <w:bCs/>
        </w:rPr>
        <w:t xml:space="preserve">Colchicine + ciclosporine</w:t>
      </w:r>
      <w:r>
        <w:t xml:space="preserve"> </w:t>
      </w:r>
      <w:r>
        <w:t xml:space="preserve">: CI relative — augmentation de la toxicité de la colchicine (cytopénie, rhabdomyolyse).</w:t>
      </w:r>
      <w:r>
        <w:t xml:space="preserve"> </w:t>
      </w:r>
      <w:r>
        <w:t xml:space="preserve">-</w:t>
      </w:r>
      <w:r>
        <w:t xml:space="preserve"> </w:t>
      </w:r>
      <w:r>
        <w:rPr>
          <w:b/>
          <w:bCs/>
        </w:rPr>
        <w:t xml:space="preserve">Colchicine + inhibiteurs puissants CYP3A4/P-gp</w:t>
      </w:r>
      <w:r>
        <w:t xml:space="preserve"> </w:t>
      </w:r>
      <w:r>
        <w:t xml:space="preserve">(ketoconazole, itraconazole, ritonavir) : CI absolue.</w:t>
      </w:r>
      <w:r>
        <w:t xml:space="preserve"> </w:t>
      </w:r>
      <w:r>
        <w:t xml:space="preserve">-</w:t>
      </w:r>
      <w:r>
        <w:t xml:space="preserve"> </w:t>
      </w:r>
      <w:r>
        <w:rPr>
          <w:b/>
          <w:bCs/>
        </w:rPr>
        <w:t xml:space="preserve">Colchicine + jus de pamplemousse</w:t>
      </w:r>
      <w:r>
        <w:t xml:space="preserve"> </w:t>
      </w:r>
      <w:r>
        <w:t xml:space="preserve">: à éviter (inhibition CYP3A4 intestinale).</w:t>
      </w:r>
    </w:p>
    <w:p>
      <w:pPr>
        <w:pStyle w:val="BodyText"/>
      </w:pPr>
      <w:r>
        <w:rPr>
          <w:b/>
          <w:bCs/>
        </w:rPr>
        <w:t xml:space="preserve">Grossesse et Allaitement :</w:t>
      </w:r>
      <w:r>
        <w:t xml:space="preserve"> </w:t>
      </w:r>
      <w:r>
        <w:t xml:space="preserve">- Grossesse : CI en cas de crise de goutte aiguë (colchicine tératogène et mutagène en usage ponctuel). En cas de maladie périodique (fièvre méditerranéenne familiale), la colchicine est Compatible selon le CRAT (bénéfice/risque favorable, données importantes chez la femme enceinte atteinte de maladie périodique montrent absence de sur-risque malformatif).</w:t>
      </w:r>
      <w:r>
        <w:t xml:space="preserve"> </w:t>
      </w:r>
      <w:r>
        <w:t xml:space="preserve">- Allaitement : Compatible selon le CRAT (faible passage dans le lait, faible toxicité pour le nourrisson). À utiliser à la dose minimale efficace.</w:t>
      </w:r>
      <w:r>
        <w:t xml:space="preserve"> </w:t>
      </w:r>
      <w:r>
        <w:t xml:space="preserve">- Précisions : Discuter au cas par cas en cas de crise de goutte pendant la grossesse (préférer la corticothérapie locale ou systémique).</w:t>
      </w:r>
    </w:p>
    <w:p>
      <w:pPr>
        <w:pStyle w:val="BodyText"/>
      </w:pPr>
      <w:r>
        <w:rPr>
          <w:b/>
          <w:bCs/>
        </w:rPr>
        <w:t xml:space="preserve">Posologie et Mode d’administration (Standard) :</w:t>
      </w:r>
      <w:r>
        <w:t xml:space="preserve"> </w:t>
      </w:r>
      <w:r>
        <w:t xml:space="preserve">- Adulte, crise de goutte aiguë (schéma FNIH) : 1 mg (1 comprimé) dès le début de la crise, puis 0,5 mg (1/2 comprimé) 1 heure après, puis 0,5 mg × 2/j (matin et soir) pendant 3 jours. Dose maximale 6 mg par crise, 8 mg par semaine.</w:t>
      </w:r>
      <w:r>
        <w:t xml:space="preserve"> </w:t>
      </w:r>
      <w:r>
        <w:t xml:space="preserve">- Adulte, prophylaxie des crises récidivantes : 0,5 mg × 2/j (1 mg/j) en cas de &gt;3 crises/an.</w:t>
      </w:r>
      <w:r>
        <w:t xml:space="preserve"> </w:t>
      </w:r>
      <w:r>
        <w:t xml:space="preserve">- Maladie périodique : 1-2 mg/j (jusqu’à 2,5 mg/j).</w:t>
      </w:r>
      <w:r>
        <w:t xml:space="preserve"> </w:t>
      </w:r>
      <w:r>
        <w:t xml:space="preserve">- Sujet âgé ou insuffisant rénal : réduire la dose de moitié (0,5 mg × 1-2/j max en traitement de crise).</w:t>
      </w:r>
      <w:r>
        <w:t xml:space="preserve"> </w:t>
      </w:r>
      <w:r>
        <w:t xml:space="preserve">- Enfant : À éviter sauf maladie périodique (0,5-1,5 mg/m²/j).</w:t>
      </w:r>
      <w:r>
        <w:t xml:space="preserve"> </w:t>
      </w:r>
      <w:r>
        <w:t xml:space="preserve">- Durée : Crise aiguë : 3 jours. Maladie périodique : au long cours.</w:t>
      </w:r>
      <w:r>
        <w:t xml:space="preserve"> </w:t>
      </w:r>
      <w:r>
        <w:t xml:space="preserve">- Moment de prise : À avaler avec un verre d’eau, pendant ou après le repas (réduit la tolérance digestive).</w:t>
      </w:r>
    </w:p>
    <w:p>
      <w:pPr>
        <w:pStyle w:val="BodyText"/>
      </w:pPr>
      <w:r>
        <w:rPr>
          <w:b/>
          <w:bCs/>
        </w:rPr>
        <w:t xml:space="preserve">Arbitrage et Bénéfices des Formes Galéniques :</w:t>
      </w:r>
      <w:r>
        <w:t xml:space="preserve"> </w:t>
      </w:r>
      <w:r>
        <w:t xml:space="preserve">- Comprimé sécable 1 mg : permet la titration précise (0,5 mg) selon les schémas thérapeutiques (FNIH, prophylaxie).</w:t>
      </w:r>
      <w:r>
        <w:t xml:space="preserve"> </w:t>
      </w:r>
      <w:r>
        <w:t xml:space="preserve">- Forme orale unique en Algérie (pas de forme injectable, contrairement à certains pays).</w:t>
      </w:r>
      <w:r>
        <w:t xml:space="preserve"> </w:t>
      </w:r>
      <w:r>
        <w:t xml:space="preserve">- À l’étranger, forme à 0,5 mg (Colcrys®) existe pour faciliter le dosage prophylactique.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la crise de goutte. Suivez exactement le schéma : 1 comprimé dès le début, puis 1/2 comprimé 1 h après, puis 1/2 comprimé matin et soir pendant 3 jours. Arrêtez dès que vous avez de la diarrhée. Buvez 2-3 litres d’eau par jour. Si vous prenez un antibiotique de la famille des macrolides ou un traitement pour le cholestérol (statine), ne le prenez pas sans avis médical. Ne dépassez jamais 6 comprimés par crise.</w:t>
      </w:r>
      <w:r>
        <w:t xml:space="preserve">”</w:t>
      </w:r>
      <w:r>
        <w:t xml:space="preserve"> </w:t>
      </w:r>
      <w:r>
        <w:t xml:space="preserve">- Mode d’utilisation pratique : Noter l’heure des prises dans un carnet. Boire abondamment. En cas de diarrhée, arrêter immédiatement et consulter.</w:t>
      </w:r>
    </w:p>
    <w:p>
      <w:pPr>
        <w:pStyle w:val="BodyText"/>
      </w:pPr>
      <w:r>
        <w:rPr>
          <w:b/>
          <w:bCs/>
        </w:rPr>
        <w:t xml:space="preserve">Notes, Règles d’Or &amp; Pièges au Comptoir :</w:t>
      </w:r>
      <w:r>
        <w:t xml:space="preserve"> </w:t>
      </w:r>
      <w:r>
        <w:t xml:space="preserve">- Piège classique : Patient qui prend la colchicine au long cours pour la crise aiguë (alors que c’est un traitement de crise, court) ; oubli de demander si le patient prend une statine ou a été sous macrolide récemment ; confusion entre colchicine (traitement de crise) et allopurinol (traitement de fond hypouricémiant) — un patient peut avoir besoin des deux mais pas en même temps de la même façon (l’allopurinol ne doit pas être initié pendant la crise aiguë).</w:t>
      </w:r>
      <w:r>
        <w:t xml:space="preserve"> </w:t>
      </w:r>
      <w:r>
        <w:t xml:space="preserve">- Règle de prise : 1 mg + 0,5 mg + 0,5 mg × 2/j pendant 3 jours ; 6 mg max/crise ; hydratation 2-3 L/j ; arrêt si diarrhée.</w:t>
      </w:r>
      <w:r>
        <w:t xml:space="preserve"> </w:t>
      </w:r>
      <w:r>
        <w:t xml:space="preserve">- Préparation et Conservation : À température ambiante, à l’abri de l’humidité et de la lumière.</w:t>
      </w:r>
      <w:r>
        <w:t xml:space="preserve"> </w:t>
      </w:r>
      <w:r>
        <w:t xml:space="preserve">- Piège du surdosage / Substitution : Surchdosage = mortel. Pas de substitution possible (médicament à marge thérapeutique étroite). Éducation renforcée du patient sur le carnet de suivi des prises.</w:t>
      </w:r>
    </w:p>
    <w:p>
      <w:r>
        <w:pict>
          <v:rect style="width:0;height:1.5pt" o:hralign="center" o:hrstd="t" o:hr="t"/>
        </w:pict>
      </w:r>
    </w:p>
    <w:bookmarkEnd w:id="201"/>
    <w:bookmarkEnd w:id="202"/>
    <w:bookmarkStart w:id="206" w:name="X843de60f6319059ecaab79cd21a9393f2777a1c"/>
    <w:p>
      <w:pPr>
        <w:pStyle w:val="Heading2"/>
      </w:pPr>
      <w:r>
        <w:t xml:space="preserve">5. Antigoutteux - Inhibiteurs de la xanthine oxydase</w:t>
      </w:r>
    </w:p>
    <w:bookmarkStart w:id="203" w:name="introduction-à-la-sous-classe-10"/>
    <w:p>
      <w:pPr>
        <w:pStyle w:val="Heading3"/>
      </w:pPr>
      <w:r>
        <w:t xml:space="preserve">Introduction à la sous-classe</w:t>
      </w:r>
    </w:p>
    <w:p>
      <w:pPr>
        <w:pStyle w:val="FirstParagraph"/>
      </w:pPr>
      <w:r>
        <w:t xml:space="preserve">Les inhibiteurs de la xanthine oxydase (XO) sont le traitement hypouricémiant de fond de la goutte. La xanthine oxydase est l’enzyme qui catalyse les dernières étapes de la dégradation des purines : hypoxanthine → xanthine → acide urique. En inhibant cette enzyme, on réduit la production d’acide urique et on diminue l’uricémie. Deux molécules sont disponibles : l’</w:t>
      </w:r>
      <w:r>
        <w:rPr>
          <w:b/>
          <w:bCs/>
        </w:rPr>
        <w:t xml:space="preserve">allopurinol</w:t>
      </w:r>
      <w:r>
        <w:t xml:space="preserve"> </w:t>
      </w:r>
      <w:r>
        <w:t xml:space="preserve">(analogue structural de l’hypoxanthine, inhibiteur compétitif de la XO, sur le marché depuis 1966) et le</w:t>
      </w:r>
      <w:r>
        <w:t xml:space="preserve"> </w:t>
      </w:r>
      <w:r>
        <w:rPr>
          <w:b/>
          <w:bCs/>
        </w:rPr>
        <w:t xml:space="preserve">fébuxostat</w:t>
      </w:r>
      <w:r>
        <w:t xml:space="preserve"> </w:t>
      </w:r>
      <w:r>
        <w:t xml:space="preserve">(inhibiteur non-purinique de la XO, plus récent, commercialisé depuis 2009).</w:t>
      </w:r>
    </w:p>
    <w:p>
      <w:pPr>
        <w:pStyle w:val="BodyText"/>
      </w:pPr>
      <w:r>
        <w:t xml:space="preserve">L’</w:t>
      </w:r>
      <w:r>
        <w:rPr>
          <w:b/>
          <w:bCs/>
        </w:rPr>
        <w:t xml:space="preserve">allopurinol</w:t>
      </w:r>
      <w:r>
        <w:t xml:space="preserve"> </w:t>
      </w:r>
      <w:r>
        <w:t xml:space="preserve">est une prodrogue métabolisée en oxypurinol (métabolite actif de longue demi-vie ~22 h, permettant une seule prise par jour). Son efficacité est bien démontrée mais son profil de tolérance est marqué par le risque de</w:t>
      </w:r>
      <w:r>
        <w:t xml:space="preserve"> </w:t>
      </w:r>
      <w:r>
        <w:rPr>
          <w:b/>
          <w:bCs/>
        </w:rPr>
        <w:t xml:space="preserve">syndrome d’hypersensibilité médicamenteuse (DRESS - Drug Reaction with Eosinophilia and Systemic Symptoms)</w:t>
      </w:r>
      <w:r>
        <w:t xml:space="preserve">, parfois fatal, particulièrement chez les patients asiatiques porteurs de l’allèle HLA-B</w:t>
      </w:r>
      <w:r>
        <w:rPr>
          <w:i/>
          <w:iCs/>
        </w:rPr>
        <w:t xml:space="preserve">5801 et les patients insuffisants rénaux. Le test HLA-B</w:t>
      </w:r>
      <w:r>
        <w:t xml:space="preserve">5801 est recommandé avant initiation chez les populations à risque (Asiatiques, insuffisants rénaux).</w:t>
      </w:r>
    </w:p>
    <w:p>
      <w:pPr>
        <w:pStyle w:val="BodyText"/>
      </w:pPr>
      <w:r>
        <w:t xml:space="preserve">Le</w:t>
      </w:r>
      <w:r>
        <w:t xml:space="preserve"> </w:t>
      </w:r>
      <w:r>
        <w:rPr>
          <w:b/>
          <w:bCs/>
        </w:rPr>
        <w:t xml:space="preserve">fébuxostat</w:t>
      </w:r>
      <w:r>
        <w:t xml:space="preserve"> </w:t>
      </w:r>
      <w:r>
        <w:t xml:space="preserve">a l’avantage d’être non-purinique (pas de contre-indication en cas d’allergie à l’allopurinol) et d’avoir un métabolisme hépatique prédominant (peu d’ajustement en cas d’insuffisance rénale légère à modérée). Cependant, une alerte de pharmacovigilance (étude CARES, 2018) a montré une surmortalité cardiovasculaire par rapport à l’allopurinol, ce qui a conduit à une mise en garde chez les patients avec antécédent cardiovasculaire. En Algérie, le fébuxostat est disponible en comprimé 40, 80 et 120 mg, et l’allopurinol en comprimé 100 et 300 mg, en Liste I.</w:t>
      </w:r>
    </w:p>
    <w:p>
      <w:r>
        <w:pict>
          <v:rect style="width:0;height:1.5pt" o:hralign="center" o:hrstd="t" o:hr="t"/>
        </w:pict>
      </w:r>
    </w:p>
    <w:bookmarkEnd w:id="203"/>
    <w:bookmarkStart w:id="204" w:name="allopurinol-seule"/>
    <w:p>
      <w:pPr>
        <w:pStyle w:val="Heading3"/>
      </w:pPr>
      <w:r>
        <w:t xml:space="preserve">10. Allopurinol (Seule)</w:t>
      </w:r>
    </w:p>
    <w:p>
      <w:pPr>
        <w:pStyle w:val="FirstParagraph"/>
      </w:pPr>
      <w:r>
        <w:rPr>
          <w:b/>
          <w:bCs/>
        </w:rPr>
        <w:t xml:space="preserve">Liste des Catégories :</w:t>
      </w:r>
      <w:r>
        <w:t xml:space="preserve"> </w:t>
      </w:r>
      <w:r>
        <w:t xml:space="preserve">Antigoutteux - Inhibiteurs de la xanthine oxydase ; Liste I (Algérie).</w:t>
      </w:r>
    </w:p>
    <w:p>
      <w:pPr>
        <w:pStyle w:val="BodyText"/>
      </w:pPr>
      <w:r>
        <w:t xml:space="preserve">L’allopurinol est une prodrogue analogue structural de l’hypoxanthine (substitution d’un atome d’azote en position 8). Inhibiteur compétitif de la xanthine oxydase, il réduit la production d’acide urique à partir de l’hypoxanthine et de la xanthine. Sa biodisponibilité orale est de 80-90 %. Il est métabolisé en oxypurinol, métabolite actif de longue demi-vie (22 h) responsable de l’essentiel de l’effet pharmacologique. L’allopurinol et l’oxypurinol sont éliminés principalement par le rein, d’où la nécessité d’ajustement posologique en cas d’insuffisance rénale. La principale particularité de tolérance est le</w:t>
      </w:r>
      <w:r>
        <w:t xml:space="preserve"> </w:t>
      </w:r>
      <w:r>
        <w:rPr>
          <w:b/>
          <w:bCs/>
        </w:rPr>
        <w:t xml:space="preserve">syndrome d’hypersensibilité (DRESS)</w:t>
      </w:r>
      <w:r>
        <w:t xml:space="preserve">, rare (1/1000 à 1/10000) mais potentiellement mortel, particulièrement chez les porteurs de l’allèle HLA-B*5801 (Asiatiques, insuffisants rénaux).</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LESURIC</w:t>
      </w:r>
      <w:r>
        <w:t xml:space="preserve"> </w:t>
      </w:r>
      <w:r>
        <w:t xml:space="preserve">(LABORATOIRES BEKER)</w:t>
      </w:r>
      <w:r>
        <w:t xml:space="preserve"> </w:t>
      </w:r>
      <w:r>
        <w:t xml:space="preserve">- Formes et Dosages : Comprimé 100 mg (boîte de 30) ; Comprimé 300 mg (boîte de 30)</w:t>
      </w:r>
      <w:r>
        <w:t xml:space="preserve"> </w:t>
      </w:r>
      <w:r>
        <w:t xml:space="preserve">- Statut : Actif</w:t>
      </w:r>
      <w:r>
        <w:t xml:space="preserve"> </w:t>
      </w:r>
      <w:r>
        <w:t xml:space="preserve">-</w:t>
      </w:r>
      <w:r>
        <w:t xml:space="preserve"> </w:t>
      </w:r>
      <w:r>
        <w:rPr>
          <w:b/>
          <w:bCs/>
        </w:rPr>
        <w:t xml:space="preserve">NADLORIC</w:t>
      </w:r>
      <w:r>
        <w:t xml:space="preserve"> </w:t>
      </w:r>
      <w:r>
        <w:t xml:space="preserve">(NADPHARMADIC-PRODUCTION)</w:t>
      </w:r>
      <w:r>
        <w:t xml:space="preserve"> </w:t>
      </w:r>
      <w:r>
        <w:t xml:space="preserve">- Formes et Dosages : Comprimé 100 mg (boîte de 30) ; Comprimé 300 mg (boîte de 30)</w:t>
      </w:r>
      <w:r>
        <w:t xml:space="preserve"> </w:t>
      </w:r>
      <w:r>
        <w:t xml:space="preserve">- Statut : Actif</w:t>
      </w:r>
      <w:r>
        <w:t xml:space="preserve"> </w:t>
      </w:r>
      <w:r>
        <w:t xml:space="preserve">-</w:t>
      </w:r>
      <w:r>
        <w:t xml:space="preserve"> </w:t>
      </w:r>
      <w:r>
        <w:rPr>
          <w:b/>
          <w:bCs/>
        </w:rPr>
        <w:t xml:space="preserve">NO URIC 100</w:t>
      </w:r>
      <w:r>
        <w:t xml:space="preserve"> </w:t>
      </w:r>
      <w:r>
        <w:t xml:space="preserve">(EGYPTIAN INTERNATIONAL PHARMACEUTICAL INDUSTRIES COMPANY - EPICO)</w:t>
      </w:r>
      <w:r>
        <w:t xml:space="preserve"> </w:t>
      </w:r>
      <w:r>
        <w:t xml:space="preserve">- Formes et Dosages : Comprimé 100 mg (boîte de 50)</w:t>
      </w:r>
      <w:r>
        <w:t xml:space="preserve"> </w:t>
      </w:r>
      <w:r>
        <w:t xml:space="preserve">- Statut : Actif</w:t>
      </w:r>
      <w:r>
        <w:t xml:space="preserve"> </w:t>
      </w:r>
      <w:r>
        <w:t xml:space="preserve">-</w:t>
      </w:r>
      <w:r>
        <w:t xml:space="preserve"> </w:t>
      </w:r>
      <w:r>
        <w:rPr>
          <w:b/>
          <w:bCs/>
        </w:rPr>
        <w:t xml:space="preserve">NO URIC 300</w:t>
      </w:r>
      <w:r>
        <w:t xml:space="preserve"> </w:t>
      </w:r>
      <w:r>
        <w:t xml:space="preserve">(EGYPTIAN INTERNATIONAL PHARMACEUTICAL INDUSTRIES COMPANY - EPICO)</w:t>
      </w:r>
      <w:r>
        <w:t xml:space="preserve"> </w:t>
      </w:r>
      <w:r>
        <w:t xml:space="preserve">- Formes et Dosages : Comprimé 300 mg (boîte de 20)</w:t>
      </w:r>
      <w:r>
        <w:t xml:space="preserve"> </w:t>
      </w:r>
      <w:r>
        <w:t xml:space="preserve">- Statut : Actif</w:t>
      </w:r>
      <w:r>
        <w:t xml:space="preserve"> </w:t>
      </w:r>
      <w:r>
        <w:t xml:space="preserve">-</w:t>
      </w:r>
      <w:r>
        <w:t xml:space="preserve"> </w:t>
      </w:r>
      <w:r>
        <w:rPr>
          <w:b/>
          <w:bCs/>
        </w:rPr>
        <w:t xml:space="preserve">ZANURIC 100</w:t>
      </w:r>
      <w:r>
        <w:t xml:space="preserve"> </w:t>
      </w:r>
      <w:r>
        <w:t xml:space="preserve">(RAM PHARMACEUTICAL INDUSTRIES)</w:t>
      </w:r>
      <w:r>
        <w:t xml:space="preserve"> </w:t>
      </w:r>
      <w:r>
        <w:t xml:space="preserve">- Formes et Dosages : Comprimé 100 mg (boîte de 30)</w:t>
      </w:r>
      <w:r>
        <w:t xml:space="preserve"> </w:t>
      </w:r>
      <w:r>
        <w:t xml:space="preserve">- Statut : Actif</w:t>
      </w:r>
      <w:r>
        <w:t xml:space="preserve"> </w:t>
      </w:r>
      <w:r>
        <w:t xml:space="preserve">-</w:t>
      </w:r>
      <w:r>
        <w:t xml:space="preserve"> </w:t>
      </w:r>
      <w:r>
        <w:rPr>
          <w:b/>
          <w:bCs/>
        </w:rPr>
        <w:t xml:space="preserve">ZANURIC</w:t>
      </w:r>
      <w:r>
        <w:t xml:space="preserve"> </w:t>
      </w:r>
      <w:r>
        <w:t xml:space="preserve">(RAM PHARMACEUTICAL INDUSTRIES)</w:t>
      </w:r>
      <w:r>
        <w:t xml:space="preserve"> </w:t>
      </w:r>
      <w:r>
        <w:t xml:space="preserve">- Formes et Dosages : Comprimé 300 mg (boîte de 30)</w:t>
      </w:r>
      <w:r>
        <w:t xml:space="preserve"> </w:t>
      </w:r>
      <w:r>
        <w:t xml:space="preserve">- Statut : Actif</w:t>
      </w:r>
      <w:r>
        <w:t xml:space="preserve"> </w:t>
      </w:r>
      <w:r>
        <w:t xml:space="preserve">-</w:t>
      </w:r>
      <w:r>
        <w:t xml:space="preserve"> </w:t>
      </w:r>
      <w:r>
        <w:rPr>
          <w:b/>
          <w:bCs/>
        </w:rPr>
        <w:t xml:space="preserve">ZYLORIC</w:t>
      </w:r>
      <w:r>
        <w:t xml:space="preserve"> </w:t>
      </w:r>
      <w:r>
        <w:t xml:space="preserve">(LABORATOIRES MERINAL)</w:t>
      </w:r>
      <w:r>
        <w:t xml:space="preserve"> </w:t>
      </w:r>
      <w:r>
        <w:t xml:space="preserve">- Formes et Dosages : Comprimé 100 mg (boîte de 50)</w:t>
      </w:r>
      <w:r>
        <w:t xml:space="preserve"> </w:t>
      </w:r>
      <w:r>
        <w:t xml:space="preserve">- Statut : Actif</w:t>
      </w:r>
      <w:r>
        <w:t xml:space="preserve"> </w:t>
      </w:r>
      <w:r>
        <w:t xml:space="preserve">-</w:t>
      </w:r>
      <w:r>
        <w:t xml:space="preserve"> </w:t>
      </w:r>
      <w:r>
        <w:rPr>
          <w:b/>
          <w:bCs/>
        </w:rPr>
        <w:t xml:space="preserve">URICLAR</w:t>
      </w:r>
      <w:r>
        <w:t xml:space="preserve"> </w:t>
      </w:r>
      <w:r>
        <w:t xml:space="preserve">(LIFEPHARMA)</w:t>
      </w:r>
      <w:r>
        <w:t xml:space="preserve"> </w:t>
      </w:r>
      <w:r>
        <w:t xml:space="preserve">- Formes et Dosages : Comprimé 100 mg (boîte de 50) ; Comprimé 300 mg (boîte de 28)</w:t>
      </w:r>
      <w:r>
        <w:t xml:space="preserve"> </w:t>
      </w:r>
      <w:r>
        <w:t xml:space="preserve">- Statut : Non Renouvelable</w:t>
      </w:r>
      <w:r>
        <w:t xml:space="preserve"> </w:t>
      </w:r>
      <w:r>
        <w:t xml:space="preserve">-</w:t>
      </w:r>
      <w:r>
        <w:t xml:space="preserve"> </w:t>
      </w:r>
      <w:r>
        <w:rPr>
          <w:b/>
          <w:bCs/>
        </w:rPr>
        <w:t xml:space="preserve">ZYLORIC</w:t>
      </w:r>
      <w:r>
        <w:t xml:space="preserve"> </w:t>
      </w:r>
      <w:r>
        <w:t xml:space="preserve">(GLAXOSMITHKLINE)</w:t>
      </w:r>
      <w:r>
        <w:t xml:space="preserve"> </w:t>
      </w:r>
      <w:r>
        <w:t xml:space="preserve">- Formes et Dosages : Comprimé 300 mg (boîte de 28)</w:t>
      </w:r>
      <w:r>
        <w:t xml:space="preserve"> </w:t>
      </w:r>
      <w:r>
        <w:t xml:space="preserve">- Statut : Non Renouvelable</w:t>
      </w:r>
      <w:r>
        <w:t xml:space="preserve"> </w:t>
      </w:r>
      <w:r>
        <w:t xml:space="preserve">-</w:t>
      </w:r>
      <w:r>
        <w:t xml:space="preserve"> </w:t>
      </w:r>
      <w:r>
        <w:rPr>
          <w:b/>
          <w:bCs/>
        </w:rPr>
        <w:t xml:space="preserve">ALLOPURINOL</w:t>
      </w:r>
      <w:r>
        <w:t xml:space="preserve"> </w:t>
      </w:r>
      <w:r>
        <w:t xml:space="preserve">(MEDICUBA)</w:t>
      </w:r>
      <w:r>
        <w:t xml:space="preserve"> </w:t>
      </w:r>
      <w:r>
        <w:t xml:space="preserve">- Formes et Dosages : Comprimé 100 mg (boîte de 10)</w:t>
      </w:r>
      <w:r>
        <w:t xml:space="preserve"> </w:t>
      </w:r>
      <w:r>
        <w:t xml:space="preserve">- Statut : Retrait (R)</w:t>
      </w:r>
      <w:r>
        <w:t xml:space="preserve"> </w:t>
      </w:r>
      <w:r>
        <w:t xml:space="preserve">-</w:t>
      </w:r>
      <w:r>
        <w:t xml:space="preserve"> </w:t>
      </w:r>
      <w:r>
        <w:rPr>
          <w:b/>
          <w:bCs/>
        </w:rPr>
        <w:t xml:space="preserve">ALLOPURINOL-RATIOPHARM</w:t>
      </w:r>
      <w:r>
        <w:t xml:space="preserve"> </w:t>
      </w:r>
      <w:r>
        <w:t xml:space="preserve">(LAFON RATIOPHARM)</w:t>
      </w:r>
      <w:r>
        <w:t xml:space="preserve"> </w:t>
      </w:r>
      <w:r>
        <w:t xml:space="preserve">- Formes et Dosages : Gélule 100 mg (boîte de 28) ; Gélule 300 mg (boîte de 28)</w:t>
      </w:r>
      <w:r>
        <w:t xml:space="preserve"> </w:t>
      </w:r>
      <w:r>
        <w:t xml:space="preserve">- Statut : Retrait (R)</w:t>
      </w:r>
      <w:r>
        <w:t xml:space="preserve"> </w:t>
      </w:r>
      <w:r>
        <w:t xml:space="preserve">-</w:t>
      </w:r>
      <w:r>
        <w:t xml:space="preserve"> </w:t>
      </w:r>
      <w:r>
        <w:rPr>
          <w:b/>
          <w:bCs/>
        </w:rPr>
        <w:t xml:space="preserve">MILURIT</w:t>
      </w:r>
      <w:r>
        <w:t xml:space="preserve"> </w:t>
      </w:r>
      <w:r>
        <w:t xml:space="preserve">(EGIS S.A.)</w:t>
      </w:r>
      <w:r>
        <w:t xml:space="preserve"> </w:t>
      </w:r>
      <w:r>
        <w:t xml:space="preserve">- Formes et Dosages : Comprimé 300 mg (boîte de 30)</w:t>
      </w:r>
      <w:r>
        <w:t xml:space="preserve"> </w:t>
      </w:r>
      <w:r>
        <w:t xml:space="preserve">- Statut : Retrait (R)</w:t>
      </w:r>
      <w:r>
        <w:t xml:space="preserve"> </w:t>
      </w:r>
      <w:r>
        <w:t xml:space="preserve">-</w:t>
      </w:r>
      <w:r>
        <w:t xml:space="preserve"> </w:t>
      </w:r>
      <w:r>
        <w:rPr>
          <w:b/>
          <w:bCs/>
        </w:rPr>
        <w:t xml:space="preserve">URINOL 300</w:t>
      </w:r>
      <w:r>
        <w:t xml:space="preserve"> </w:t>
      </w:r>
      <w:r>
        <w:t xml:space="preserve">(PHARMACARE LIMITED)</w:t>
      </w:r>
      <w:r>
        <w:t xml:space="preserve"> </w:t>
      </w:r>
      <w:r>
        <w:t xml:space="preserve">- Formes et Dosages : Comprimé 300 mg (boîte de 28)</w:t>
      </w:r>
      <w:r>
        <w:t xml:space="preserve"> </w:t>
      </w:r>
      <w:r>
        <w:t xml:space="preserve">- Statut : Retrait (R)</w:t>
      </w:r>
      <w:r>
        <w:t xml:space="preserve"> </w:t>
      </w:r>
      <w:r>
        <w:t xml:space="preserve">-</w:t>
      </w:r>
      <w:r>
        <w:t xml:space="preserve"> </w:t>
      </w:r>
      <w:r>
        <w:rPr>
          <w:b/>
          <w:bCs/>
        </w:rPr>
        <w:t xml:space="preserve">ALURIC</w:t>
      </w:r>
      <w:r>
        <w:t xml:space="preserve"> </w:t>
      </w:r>
      <w:r>
        <w:t xml:space="preserve">(ASIA PHARMACEUTICAL)</w:t>
      </w:r>
      <w:r>
        <w:t xml:space="preserve"> </w:t>
      </w:r>
      <w:r>
        <w:t xml:space="preserve">- Formes et Dosages : Comprimé 300 mg (boîte de 20)</w:t>
      </w:r>
      <w:r>
        <w:t xml:space="preserve"> </w:t>
      </w:r>
      <w:r>
        <w:t xml:space="preserve">- Statut : Retrait (R)</w:t>
      </w:r>
    </w:p>
    <w:p>
      <w:pPr>
        <w:pStyle w:val="BodyText"/>
      </w:pPr>
      <w:r>
        <w:rPr>
          <w:b/>
          <w:bCs/>
        </w:rPr>
        <w:t xml:space="preserve">Sous-classe et Mécanisme d’action :</w:t>
      </w:r>
      <w:r>
        <w:t xml:space="preserve"> </w:t>
      </w:r>
      <w:r>
        <w:t xml:space="preserve">- Sous-classe : Inhibiteur compétitif de la xanthine oxydase, analogue structural de l’hypoxanthine, prodrogue.</w:t>
      </w:r>
      <w:r>
        <w:t xml:space="preserve"> </w:t>
      </w:r>
      <w:r>
        <w:t xml:space="preserve">- Mécanisme d’action : Prodrogue métabolisée en oxypurinol (alloxanthine), qui inhibe la xanthine oxydase → blocage de la conversion de l’hypoxanthine en xanthine puis en acide urique → baisse de la production d’acide urique → baisse de l’uricémie. Diminution des concentrations urinaires et plasmatiques d’acide urique → prévention des dépôts cristallins (goutte, lithiase urique). Biodisponibilité 80-90 %, métabolisme hépatique en oxypurinol (demi-vie 22 h), élimination rénale.</w:t>
      </w:r>
    </w:p>
    <w:p>
      <w:pPr>
        <w:pStyle w:val="BodyText"/>
      </w:pPr>
      <w:r>
        <w:rPr>
          <w:b/>
          <w:bCs/>
        </w:rPr>
        <w:t xml:space="preserve">Profil Pharmacologique :</w:t>
      </w:r>
      <w:r>
        <w:t xml:space="preserve"> </w:t>
      </w:r>
      <w:r>
        <w:t xml:space="preserve">- Indications : Hyperuricémie symptomatique (goutte tophacée, arthrite goutteuse récidivante, lithiase urique), hyperuricémie asymptomatique avec uricémie &gt;750 µmol/L (12 mg/dL) chez l’homme ou &gt;600 µmol/L (10 mg/dL) chez la femme si risque accru. Prévention de la néphropathie urique et de la lyse tumorale (chimiothérapie des hémopathies).</w:t>
      </w:r>
      <w:r>
        <w:t xml:space="preserve"> </w:t>
      </w:r>
      <w:r>
        <w:t xml:space="preserve">- Contre-indications : Hypersensibilité ; crise de goutte aiguë (ne pas initier pendant la crise, mais continuer si déjà sous traitement) ; insuffisance rénale sévère sans adaptation ; allaitement ; syndrome de Lesch-Nyhan (sauf si besoin spécifique).</w:t>
      </w:r>
      <w:r>
        <w:t xml:space="preserve"> </w:t>
      </w:r>
      <w:r>
        <w:t xml:space="preserve">- Effets Indésirables : Éruptions cutanées bénignes (5-10 %, à surveiller) ; syndrome d’hypersensibilité (DRESS) — rare mais grave (fièvre, éruption, éosinophilie, hépatite, insuffisance rénale, multi-viscérale), potentiellement mortel ;augmentation des crises de goutte en début de traitement (mobilisation des dépôts uratiques) ; hépatite cytolytique ; cytopénie médullaire (rare) ; plus rares : neuropathie périphérique, cataracte (au long cours).</w:t>
      </w:r>
    </w:p>
    <w:p>
      <w:pPr>
        <w:pStyle w:val="BodyText"/>
      </w:pPr>
      <w:r>
        <w:rPr>
          <w:b/>
          <w:bCs/>
        </w:rPr>
        <w:t xml:space="preserve">Prévention et Gestion des Effets Indésirables :</w:t>
      </w:r>
      <w:r>
        <w:t xml:space="preserve"> </w:t>
      </w:r>
      <w:r>
        <w:t xml:space="preserve">- Mesures Préventives : Initiation à faible dose (100 mg/j) avec augmentation progressive jusqu’à 300 mg/j (objectif uricémie &lt;360 µmol/L = 6 mg/dL, voire &lt;300 µmol/L = 5 mg/dL si tophi) ; co-prescription de colchicine (0,5-1 mg/j) pendant 3-6 mois pour prévenir les crises en début de traitement ; dépistage HLA-B*5801 avant initiation chez les Asiatiques et insuffisants rénaux (forte prédiction du DRESS) ; surveillance biologique : ASAT/ALAT, créatinine, NFS, uricémie à 1 mois puis tous les 3-6 mois ; éducation du patient sur les signes précoces du DRESS (fièvre, éruption cutanée) → arrêt immédiat et consultation urgente.</w:t>
      </w:r>
      <w:r>
        <w:t xml:space="preserve"> </w:t>
      </w:r>
      <w:r>
        <w:t xml:space="preserve">- Conduite à Tenir : En cas d’éruption cutanée : arrêt immédiat, consultation urgente pour diagnostic (DRESS à évoquer si éruption étendue, fièvre, adénopathies). En cas d’augmentation des crises de goutte en début de traitement : ne pas arrêter l’allopurinol, ajouter de la colchicine prophylactique (0,5-1 mg/j) ou un AINS.</w:t>
      </w:r>
    </w:p>
    <w:p>
      <w:pPr>
        <w:pStyle w:val="BodyText"/>
      </w:pPr>
      <w:r>
        <w:rPr>
          <w:b/>
          <w:bCs/>
        </w:rPr>
        <w:t xml:space="preserve">Interactions Importantes :</w:t>
      </w:r>
      <w:r>
        <w:t xml:space="preserve"> </w:t>
      </w:r>
      <w:r>
        <w:t xml:space="preserve">-</w:t>
      </w:r>
      <w:r>
        <w:t xml:space="preserve"> </w:t>
      </w:r>
      <w:r>
        <w:rPr>
          <w:b/>
          <w:bCs/>
        </w:rPr>
        <w:t xml:space="preserve">Allopurinol + azathioprine / 6-mercaptopurine</w:t>
      </w:r>
      <w:r>
        <w:t xml:space="preserve"> </w:t>
      </w:r>
      <w:r>
        <w:t xml:space="preserve">: l’allopurinol inhibe la xanthine oxydase qui métabolise ces immunosuppresseurs → multiplication par 4-5 des concentrations → toxicité médullaire grave. Réduire la dose d’azathioprine/6-MP à 25 % de la dose initiale, surveillance hématologique rapprochée.</w:t>
      </w:r>
      <w:r>
        <w:t xml:space="preserve"> </w:t>
      </w:r>
      <w:r>
        <w:t xml:space="preserve">-</w:t>
      </w:r>
      <w:r>
        <w:t xml:space="preserve"> </w:t>
      </w:r>
      <w:r>
        <w:rPr>
          <w:b/>
          <w:bCs/>
        </w:rPr>
        <w:t xml:space="preserve">Allopurinol + théophylline</w:t>
      </w:r>
      <w:r>
        <w:t xml:space="preserve"> </w:t>
      </w:r>
      <w:r>
        <w:t xml:space="preserve">: inhibition du métabolisme → toxicité.</w:t>
      </w:r>
      <w:r>
        <w:t xml:space="preserve"> </w:t>
      </w:r>
      <w:r>
        <w:t xml:space="preserve">-</w:t>
      </w:r>
      <w:r>
        <w:t xml:space="preserve"> </w:t>
      </w:r>
      <w:r>
        <w:rPr>
          <w:b/>
          <w:bCs/>
        </w:rPr>
        <w:t xml:space="preserve">Allopurinol + warfarine</w:t>
      </w:r>
      <w:r>
        <w:t xml:space="preserve"> </w:t>
      </w:r>
      <w:r>
        <w:t xml:space="preserve">: potentialisation de l’anticoagulation (surveillance INR).</w:t>
      </w:r>
      <w:r>
        <w:t xml:space="preserve"> </w:t>
      </w:r>
      <w:r>
        <w:t xml:space="preserve">-</w:t>
      </w:r>
      <w:r>
        <w:t xml:space="preserve"> </w:t>
      </w:r>
      <w:r>
        <w:rPr>
          <w:b/>
          <w:bCs/>
        </w:rPr>
        <w:t xml:space="preserve">Allopurinol + didanosine</w:t>
      </w:r>
      <w:r>
        <w:t xml:space="preserve"> </w:t>
      </w:r>
      <w:r>
        <w:t xml:space="preserve">: augmentation des concentrations de didanosine → toxicité.</w:t>
      </w:r>
      <w:r>
        <w:t xml:space="preserve"> </w:t>
      </w:r>
      <w:r>
        <w:t xml:space="preserve">-</w:t>
      </w:r>
      <w:r>
        <w:t xml:space="preserve"> </w:t>
      </w:r>
      <w:r>
        <w:rPr>
          <w:b/>
          <w:bCs/>
        </w:rPr>
        <w:t xml:space="preserve">Allopurinol + diurétiques thiazidiques</w:t>
      </w:r>
      <w:r>
        <w:t xml:space="preserve"> </w:t>
      </w:r>
      <w:r>
        <w:t xml:space="preserve">: augmentation de l’oxypurinol → risque de DRESS.</w:t>
      </w:r>
      <w:r>
        <w:t xml:space="preserve"> </w:t>
      </w:r>
      <w:r>
        <w:t xml:space="preserve">-</w:t>
      </w:r>
      <w:r>
        <w:t xml:space="preserve"> </w:t>
      </w:r>
      <w:r>
        <w:rPr>
          <w:b/>
          <w:bCs/>
        </w:rPr>
        <w:t xml:space="preserve">Allopurinol + sels de fer</w:t>
      </w:r>
      <w:r>
        <w:t xml:space="preserve"> </w:t>
      </w:r>
      <w:r>
        <w:t xml:space="preserve">: diminution de l’absorption de l’allopurinol (espacer de 2 h).</w:t>
      </w:r>
    </w:p>
    <w:p>
      <w:pPr>
        <w:pStyle w:val="BodyText"/>
      </w:pPr>
      <w:r>
        <w:rPr>
          <w:b/>
          <w:bCs/>
        </w:rPr>
        <w:t xml:space="preserve">Grossesse et Allaitement :</w:t>
      </w:r>
      <w:r>
        <w:t xml:space="preserve"> </w:t>
      </w:r>
      <w:r>
        <w:t xml:space="preserve">- Grossesse : Compatible selon le CRAT (données humaines limitées mais rassurantes, en particulier dans la prévention de la lyse tumorale). À éviter en dehors d’indications impératives (lyse tumorale, goutte tophacée sévère) ; préférer l’abstention ou la colchicine en cas de crise isolée.</w:t>
      </w:r>
      <w:r>
        <w:t xml:space="preserve"> </w:t>
      </w:r>
      <w:r>
        <w:t xml:space="preserve">- Allaitement : CI (passage dans le lait, effet sur le métabolisme purique de l’enfant).</w:t>
      </w:r>
      <w:r>
        <w:t xml:space="preserve"> </w:t>
      </w:r>
      <w:r>
        <w:t xml:space="preserve">- Précisions : Discuter au cas par cas avec le rhumatologue.</w:t>
      </w:r>
    </w:p>
    <w:p>
      <w:pPr>
        <w:pStyle w:val="BodyText"/>
      </w:pPr>
      <w:r>
        <w:rPr>
          <w:b/>
          <w:bCs/>
        </w:rPr>
        <w:t xml:space="preserve">Posologie et Mode d’administration (Standard) :</w:t>
      </w:r>
      <w:r>
        <w:t xml:space="preserve"> </w:t>
      </w:r>
      <w:r>
        <w:t xml:space="preserve">- Adulte : Dose initiale 100 mg/j, à augmenter par paliers de 100 mg tous les 15-30 jours jusqu’à obtention d’une uricémie &lt;360 µmol/L (6 mg/dL) ; dose moyenne 200-300 mg/j ; dose maximale 800-900 mg/j (en cas d’insuffisance rénale, adapter).</w:t>
      </w:r>
      <w:r>
        <w:t xml:space="preserve"> </w:t>
      </w:r>
      <w:r>
        <w:t xml:space="preserve">- Sujet âgé : commencer à 50-100 mg/j.</w:t>
      </w:r>
      <w:r>
        <w:t xml:space="preserve"> </w:t>
      </w:r>
      <w:r>
        <w:t xml:space="preserve">- Insuffisance rénale : adapter selon ClCr (100 mg/j si ClCr 30-60 mL/min, 50-100 mg tous les 2-3 jours si ClCr &lt;30 mL/min).</w:t>
      </w:r>
      <w:r>
        <w:t xml:space="preserve"> </w:t>
      </w:r>
      <w:r>
        <w:t xml:space="preserve">- Enfant : 10-20 mg/kg/j (max 400 mg/j) en prévention de la lyse tumorale.</w:t>
      </w:r>
      <w:r>
        <w:t xml:space="preserve"> </w:t>
      </w:r>
      <w:r>
        <w:t xml:space="preserve">- Durée : Au long cours (à vie) pour la goutte chronique. Ne jamais interrompre brutalement (risque de crise aiguë).</w:t>
      </w:r>
      <w:r>
        <w:t xml:space="preserve"> </w:t>
      </w:r>
      <w:r>
        <w:t xml:space="preserve">- Moment de prise : Après le repas, avec un grand verre d’eau. Hydratation abondante (2-3 L/j).</w:t>
      </w:r>
    </w:p>
    <w:p>
      <w:pPr>
        <w:pStyle w:val="BodyText"/>
      </w:pPr>
      <w:r>
        <w:rPr>
          <w:b/>
          <w:bCs/>
        </w:rPr>
        <w:t xml:space="preserve">Arbitrage et Bénéfices des Formes Galéniques :</w:t>
      </w:r>
      <w:r>
        <w:t xml:space="preserve"> </w:t>
      </w:r>
      <w:r>
        <w:t xml:space="preserve">- Comprimé 100 mg : permet l’initiation à faible dose et la titration progressive, particulièrement importante chez le sujet âgé et l’insuffisant rénal.</w:t>
      </w:r>
      <w:r>
        <w:t xml:space="preserve"> </w:t>
      </w:r>
      <w:r>
        <w:t xml:space="preserve">- Comprimé 300 mg : forme d’entretien, prise unique quotidienne pratique.</w:t>
      </w:r>
      <w:r>
        <w:t xml:space="preserve"> </w:t>
      </w:r>
      <w:r>
        <w:t xml:space="preserve">- Présentations en boîtes de 30 (mensuelles) ou 50 (couvrant 1,5 mois).</w:t>
      </w:r>
      <w:r>
        <w:t xml:space="preserve"> </w:t>
      </w:r>
      <w:r>
        <w:t xml:space="preserve">- Aucune forme injectable en Algérie (pour la lyse tumorale, utilisation d’imports exceptionnels de forms IV).</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le fond de la goutte en abaissant le taux d’acide urique. Il ne fait pas effet sur la crise immédiate : si vous avez une crise de goutte maintenant, prenez votre traitement de crise (colchicine, AINS) en plus de l’allopurinol. Ne l’arrêtez pas. Buvez 2-3 litres d’eau par jour. Si vous avez de la fièvre, des boutons sur la peau, arrêtez et consultez en urgence. Les premières semaines, vous pouvez avoir un peu plus de crises de goutte — c’est normal, votre médecin vous donnera de la colchicine pour prévenir.</w:t>
      </w:r>
      <w:r>
        <w:t xml:space="preserve">”</w:t>
      </w:r>
      <w:r>
        <w:t xml:space="preserve"> </w:t>
      </w:r>
      <w:r>
        <w:t xml:space="preserve">- Mode d’utilisation pratique : Prise unique quotidienne (ou 2 prises si dose &gt;300 mg), après le repas. Hydratation abondante. Suivi biologique mensuel en début de traitement (uricémie, créatinine, ASAT/ALAT, NFS).</w:t>
      </w:r>
    </w:p>
    <w:p>
      <w:pPr>
        <w:pStyle w:val="BodyText"/>
      </w:pPr>
      <w:r>
        <w:rPr>
          <w:b/>
          <w:bCs/>
        </w:rPr>
        <w:t xml:space="preserve">Notes, Règles d’Or &amp; Pièges au Comptoir :</w:t>
      </w:r>
      <w:r>
        <w:t xml:space="preserve"> </w:t>
      </w:r>
      <w:r>
        <w:t xml:space="preserve">- Piège classique : Initiation de l’allopurinol pendant une crise de goutte aiguë (à éviter, mais continuer si déjà sous traitement) ; arrêt de l’allopurinol en cas de crise (à l’inverse, continuer) ; oubli de demander si le patient prend de l’azathioprine ou une statine ; oubli de l’éducation sur le DRESS (fièvre + éruption = arrêt et urgence).</w:t>
      </w:r>
      <w:r>
        <w:t xml:space="preserve"> </w:t>
      </w:r>
      <w:r>
        <w:t xml:space="preserve">- Règle de prise : 1 prise/jour après repas ; hydratation ; suivi biologique mensuel initialement.</w:t>
      </w:r>
      <w:r>
        <w:t xml:space="preserve"> </w:t>
      </w:r>
      <w:r>
        <w:t xml:space="preserve">- Préparation et Conservation : À température ambiante, à l’abri de l’humidité.</w:t>
      </w:r>
      <w:r>
        <w:t xml:space="preserve"> </w:t>
      </w:r>
      <w:r>
        <w:t xml:space="preserve">- Piège du surdosage / Substitution : L’allopurinol est substituable entre génériques en Algérie (LESURIC, NADLORIC, ZYLORIC, etc.), avec la même dose. Attention à la substitution par le fébuxostat qui nécessite un schéma d’initiation différent et une évaluation cardiovasculaire préalable.</w:t>
      </w:r>
    </w:p>
    <w:p>
      <w:r>
        <w:pict>
          <v:rect style="width:0;height:1.5pt" o:hralign="center" o:hrstd="t" o:hr="t"/>
        </w:pict>
      </w:r>
    </w:p>
    <w:bookmarkEnd w:id="204"/>
    <w:bookmarkStart w:id="205" w:name="fébuxostat-seule"/>
    <w:p>
      <w:pPr>
        <w:pStyle w:val="Heading3"/>
      </w:pPr>
      <w:r>
        <w:t xml:space="preserve">11. Fébuxostat (Seule)</w:t>
      </w:r>
    </w:p>
    <w:p>
      <w:pPr>
        <w:pStyle w:val="FirstParagraph"/>
      </w:pPr>
      <w:r>
        <w:rPr>
          <w:b/>
          <w:bCs/>
        </w:rPr>
        <w:t xml:space="preserve">Liste des Catégories :</w:t>
      </w:r>
      <w:r>
        <w:t xml:space="preserve"> </w:t>
      </w:r>
      <w:r>
        <w:t xml:space="preserve">Antigoutteux - Inhibiteurs de la xanthine oxydase ; Liste I (Algérie).</w:t>
      </w:r>
    </w:p>
    <w:p>
      <w:pPr>
        <w:pStyle w:val="BodyText"/>
      </w:pPr>
      <w:r>
        <w:t xml:space="preserve">Le fébuxostat est un inhibiteur non-purinique de la xanthine oxydase, commercialisé depuis 2009. Sa structure (dérivé thiazolecarboxylique) est différente de l’allopurinol, ce qui permet son utilisation en cas d’allergie à l’allopurinol. Sa biodisponibilité orale est de 49 %, son métabolisme est hépatique (CYP1A1, 1A2, 2C8, 2C9, UGT) et son élimination est mixte (hépatique ~45 %, rénale ~25 %). Sa demi-vie est d’environ 5-8 h. En raison d’une surmortalité cardiovasculaire observée dans l’étude CARES (2018) par rapport à l’allopurinol, le fébuxostat est désormais à éviter en cas d’antécédent cardiovasculaire établi (mise en garde FDA, EMA).</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ADENUMAX</w:t>
      </w:r>
      <w:r>
        <w:t xml:space="preserve"> </w:t>
      </w:r>
      <w:r>
        <w:t xml:space="preserve">(NOVAPHARM TRADING)</w:t>
      </w:r>
      <w:r>
        <w:t xml:space="preserve"> </w:t>
      </w:r>
      <w:r>
        <w:t xml:space="preserve">- Formes et Dosages : Comprimé pelliculé 80 mg (boîte de 30)</w:t>
      </w:r>
      <w:r>
        <w:t xml:space="preserve"> </w:t>
      </w:r>
      <w:r>
        <w:t xml:space="preserve">- Statut : Actif</w:t>
      </w:r>
      <w:r>
        <w:t xml:space="preserve"> </w:t>
      </w:r>
      <w:r>
        <w:t xml:space="preserve">-</w:t>
      </w:r>
      <w:r>
        <w:t xml:space="preserve"> </w:t>
      </w:r>
      <w:r>
        <w:rPr>
          <w:b/>
          <w:bCs/>
        </w:rPr>
        <w:t xml:space="preserve">FEBOREX</w:t>
      </w:r>
      <w:r>
        <w:t xml:space="preserve"> </w:t>
      </w:r>
      <w:r>
        <w:t xml:space="preserve">(HIKMA PHARMA ALGERIA)</w:t>
      </w:r>
      <w:r>
        <w:t xml:space="preserve"> </w:t>
      </w:r>
      <w:r>
        <w:t xml:space="preserve">- Formes et Dosages : Comprimé pelliculé 40 mg (boîte de 30) ; Comprimé pelliculé 80 mg (boîte de 30) ; Comprimé pelliculé 120 mg (boîte de 30)</w:t>
      </w:r>
      <w:r>
        <w:t xml:space="preserve"> </w:t>
      </w:r>
      <w:r>
        <w:t xml:space="preserve">- Statut : Actif</w:t>
      </w:r>
      <w:r>
        <w:t xml:space="preserve"> </w:t>
      </w:r>
      <w:r>
        <w:t xml:space="preserve">-</w:t>
      </w:r>
      <w:r>
        <w:t xml:space="preserve"> </w:t>
      </w:r>
      <w:r>
        <w:rPr>
          <w:b/>
          <w:bCs/>
        </w:rPr>
        <w:t xml:space="preserve">TAZOTAX</w:t>
      </w:r>
      <w:r>
        <w:t xml:space="preserve"> </w:t>
      </w:r>
      <w:r>
        <w:t xml:space="preserve">(EL KENDI INDUSTRIE DU MEDICAMENT)</w:t>
      </w:r>
      <w:r>
        <w:t xml:space="preserve"> </w:t>
      </w:r>
      <w:r>
        <w:t xml:space="preserve">- Formes et Dosages : Comprimé pelliculé 80 mg (boîte de 30) ; Comprimé pelliculé 120 mg (boîte de 30)</w:t>
      </w:r>
      <w:r>
        <w:t xml:space="preserve"> </w:t>
      </w:r>
      <w:r>
        <w:t xml:space="preserve">- Statut : Actif</w:t>
      </w:r>
    </w:p>
    <w:p>
      <w:pPr>
        <w:pStyle w:val="BodyText"/>
      </w:pPr>
      <w:r>
        <w:rPr>
          <w:b/>
          <w:bCs/>
        </w:rPr>
        <w:t xml:space="preserve">Sous-classe et Mécanisme d’action :</w:t>
      </w:r>
      <w:r>
        <w:t xml:space="preserve"> </w:t>
      </w:r>
      <w:r>
        <w:t xml:space="preserve">- Sous-classe : Inhibiteur non-purinique de la xanthine oxydase, indiqué en cas d’intolérance à l’allopurinol ou en échec thérapeutique.</w:t>
      </w:r>
      <w:r>
        <w:t xml:space="preserve"> </w:t>
      </w:r>
      <w:r>
        <w:t xml:space="preserve">- Mécanisme d’action : Inhibition sélective et non compétitive de la xanthine oxydase → blocage de la conversion hypoxanthine → xanthine → acide urique → baisse de l’uricémie. Non-analogue des purines, donc actif même chez les patients allergiques à l’allopurinol. Biodisponibilité 49 %, métabolisme hépatique (CYP1A1, 1A2, 2C8, 2C9, UGT1A1, 1A3, 1A9), élimination mixte hépatique (~45 %) et rénale (~25 %), demi-vie ~5-8 h.</w:t>
      </w:r>
    </w:p>
    <w:p>
      <w:pPr>
        <w:pStyle w:val="BodyText"/>
      </w:pPr>
      <w:r>
        <w:rPr>
          <w:b/>
          <w:bCs/>
        </w:rPr>
        <w:t xml:space="preserve">Profil Pharmacologique :</w:t>
      </w:r>
      <w:r>
        <w:t xml:space="preserve"> </w:t>
      </w:r>
      <w:r>
        <w:t xml:space="preserve">- Indications : Hyperuricémie chez l’adulte avec manifestations goutteuses déjà observées (arthrite goutteuse, tophi, lithiase urique), en cas d’intolérance ou de contre-indication à l’allopurinol ou en cas d’échec de l’allopurinol à atteindre l’objectif d’uricémie.</w:t>
      </w:r>
      <w:r>
        <w:t xml:space="preserve"> </w:t>
      </w:r>
      <w:r>
        <w:t xml:space="preserve">- Contre-indications : Hypersensibilité ; crise de goutte aiguë (ne pas initier pendant la crise) ; allaitement ; association avec la mercaptopurine (CI absolue) ; insuffisance hépatique sévère ; syndrome de Lesch-Nyhan.</w:t>
      </w:r>
      <w:r>
        <w:t xml:space="preserve"> </w:t>
      </w:r>
      <w:r>
        <w:t xml:space="preserve">- Effets Indésirables : Crises de goutte en début de traitement (mobilisation des dépôts uratiques, ~12 % des cas) ; anomalies du bilan hépatique (ASAT/ALAT) ; nausées, diarrhée ; éruptions cutanées ; plus rares : thrombo-embolie, atteinte cardiovasculaire (alerte FDA, EMA sur la surmortalité cardiovasculaire de l’étude CARES) ; rhabdomyolyse (rare).</w:t>
      </w:r>
    </w:p>
    <w:p>
      <w:pPr>
        <w:pStyle w:val="BodyText"/>
      </w:pPr>
      <w:r>
        <w:rPr>
          <w:b/>
          <w:bCs/>
        </w:rPr>
        <w:t xml:space="preserve">Prévention et Gestion des Effets Indésirables :</w:t>
      </w:r>
      <w:r>
        <w:t xml:space="preserve"> </w:t>
      </w:r>
      <w:r>
        <w:t xml:space="preserve">- Mesures Préventives : Initiation à 80 mg (ou 40 mg chez le sujet à risque), avec augmentation à 120 mg si uricémie non contrôlée à 2-4 semaines ; co-prescription de colchicine (0,5-1 mg/j) pendant 3-6 mois pour prévenir les crises en début de traitement ; surveillance du bilan hépatique (ASAT/ALAT) à 2, 4 puis tous les 3-6 mois ; évaluation cardiovasculaire préalable (préférer l’allopurinol chez le coronarien) ; éducation du patient sur les signes cardiovasculaires (douleur thoracique, dyspnée, AOMI).</w:t>
      </w:r>
      <w:r>
        <w:t xml:space="preserve"> </w:t>
      </w:r>
      <w:r>
        <w:t xml:space="preserve">- Conduite à Tenir : En cas d’anomalie du bilan hépatique &gt;3× LSN : arrêt. En cas de symptômes cardiovasculaires : réévaluation du traitement.</w:t>
      </w:r>
    </w:p>
    <w:p>
      <w:pPr>
        <w:pStyle w:val="BodyText"/>
      </w:pPr>
      <w:r>
        <w:rPr>
          <w:b/>
          <w:bCs/>
        </w:rPr>
        <w:t xml:space="preserve">Interactions Importantes :</w:t>
      </w:r>
      <w:r>
        <w:t xml:space="preserve"> </w:t>
      </w:r>
      <w:r>
        <w:t xml:space="preserve">-</w:t>
      </w:r>
      <w:r>
        <w:t xml:space="preserve"> </w:t>
      </w:r>
      <w:r>
        <w:rPr>
          <w:b/>
          <w:bCs/>
        </w:rPr>
        <w:t xml:space="preserve">Fébuxostat + azathioprine / 6-mercaptopurine</w:t>
      </w:r>
      <w:r>
        <w:t xml:space="preserve"> </w:t>
      </w:r>
      <w:r>
        <w:t xml:space="preserve">: CI absolue (inhibition du métabolisme → toxicité médullaire mortelle).</w:t>
      </w:r>
      <w:r>
        <w:t xml:space="preserve"> </w:t>
      </w:r>
      <w:r>
        <w:t xml:space="preserve">-</w:t>
      </w:r>
      <w:r>
        <w:t xml:space="preserve"> </w:t>
      </w:r>
      <w:r>
        <w:rPr>
          <w:b/>
          <w:bCs/>
        </w:rPr>
        <w:t xml:space="preserve">Fébuxostat + théophylline</w:t>
      </w:r>
      <w:r>
        <w:t xml:space="preserve"> </w:t>
      </w:r>
      <w:r>
        <w:t xml:space="preserve">: augmentation des concentrations de théophylline.</w:t>
      </w:r>
      <w:r>
        <w:t xml:space="preserve"> </w:t>
      </w:r>
      <w:r>
        <w:t xml:space="preserve">-</w:t>
      </w:r>
      <w:r>
        <w:t xml:space="preserve"> </w:t>
      </w:r>
      <w:r>
        <w:rPr>
          <w:b/>
          <w:bCs/>
        </w:rPr>
        <w:t xml:space="preserve">Fébuxostat + didanosine</w:t>
      </w:r>
      <w:r>
        <w:t xml:space="preserve"> </w:t>
      </w:r>
      <w:r>
        <w:t xml:space="preserve">: augmentation des concentrations.</w:t>
      </w:r>
      <w:r>
        <w:t xml:space="preserve"> </w:t>
      </w:r>
      <w:r>
        <w:t xml:space="preserve">-</w:t>
      </w:r>
      <w:r>
        <w:t xml:space="preserve"> </w:t>
      </w:r>
      <w:r>
        <w:rPr>
          <w:b/>
          <w:bCs/>
        </w:rPr>
        <w:t xml:space="preserve">Fébuxostat + warfarine</w:t>
      </w:r>
      <w:r>
        <w:t xml:space="preserve"> </w:t>
      </w:r>
      <w:r>
        <w:t xml:space="preserve">: pas d’interaction significative (contrairement à l’allopurinol).</w:t>
      </w:r>
    </w:p>
    <w:p>
      <w:pPr>
        <w:pStyle w:val="BodyText"/>
      </w:pPr>
      <w:r>
        <w:rPr>
          <w:b/>
          <w:bCs/>
        </w:rPr>
        <w:t xml:space="preserve">Grossesse et Allaitement :</w:t>
      </w:r>
      <w:r>
        <w:t xml:space="preserve"> </w:t>
      </w:r>
      <w:r>
        <w:t xml:space="preserve">- Grossesse : À éviter (données animales évocatrices d’effets tératogènes à doses élevées, données humaines limitées).</w:t>
      </w:r>
      <w:r>
        <w:t xml:space="preserve"> </w:t>
      </w:r>
      <w:r>
        <w:t xml:space="preserve">- Allaitement : CI (passage dans le lait, effet sur le métabolisme purique de l’enfant).</w:t>
      </w:r>
      <w:r>
        <w:t xml:space="preserve"> </w:t>
      </w:r>
      <w:r>
        <w:t xml:space="preserve">- Précisions : Discuter au cas par cas.</w:t>
      </w:r>
    </w:p>
    <w:p>
      <w:pPr>
        <w:pStyle w:val="BodyText"/>
      </w:pPr>
      <w:r>
        <w:rPr>
          <w:b/>
          <w:bCs/>
        </w:rPr>
        <w:t xml:space="preserve">Posologie et Mode d’administration (Standard) :</w:t>
      </w:r>
      <w:r>
        <w:t xml:space="preserve"> </w:t>
      </w:r>
      <w:r>
        <w:t xml:space="preserve">- Adulte : Dose initiale 80 mg/j (ou 40 mg chez le sujet âgé ou fragilisé), à augmenter à 120 mg/j après 2-4 semaines si l’uricémie n’est pas &lt;360 µmol/L (6 mg/dL). Dose maximale 120 mg/j.</w:t>
      </w:r>
      <w:r>
        <w:t xml:space="preserve"> </w:t>
      </w:r>
      <w:r>
        <w:t xml:space="preserve">- Insuffisance rénale légère à modérée (ClCr 30-89 mL/min) : pas d’ajustement.</w:t>
      </w:r>
      <w:r>
        <w:t xml:space="preserve"> </w:t>
      </w:r>
      <w:r>
        <w:t xml:space="preserve">- Insuffisance rénale sévère (ClCr &lt;30 mL/min) : à éviter, ou 40 mg/j avec surveillance.</w:t>
      </w:r>
      <w:r>
        <w:t xml:space="preserve"> </w:t>
      </w:r>
      <w:r>
        <w:t xml:space="preserve">- Enfant : Non recommandé avant 18 ans.</w:t>
      </w:r>
      <w:r>
        <w:t xml:space="preserve"> </w:t>
      </w:r>
      <w:r>
        <w:t xml:space="preserve">- Durée : Au long cours (à vie). Ne pas interrompre brutalement.</w:t>
      </w:r>
      <w:r>
        <w:t xml:space="preserve"> </w:t>
      </w:r>
      <w:r>
        <w:t xml:space="preserve">- Moment de prise : Prise unique quotidienne, indépendamment des repas.</w:t>
      </w:r>
    </w:p>
    <w:p>
      <w:pPr>
        <w:pStyle w:val="BodyText"/>
      </w:pPr>
      <w:r>
        <w:rPr>
          <w:b/>
          <w:bCs/>
        </w:rPr>
        <w:t xml:space="preserve">Arbitrage et Bénéfices des Formes Galéniques :</w:t>
      </w:r>
      <w:r>
        <w:t xml:space="preserve"> </w:t>
      </w:r>
      <w:r>
        <w:t xml:space="preserve">- Comprimé 40, 80 et 120 mg : permet la titration et l’adaptation posologique.</w:t>
      </w:r>
      <w:r>
        <w:t xml:space="preserve"> </w:t>
      </w:r>
      <w:r>
        <w:t xml:space="preserve">- Le dosage 40 mg (FEBOREX) est utile chez le sujet âgé ou fragilisé pour l’initiation.</w:t>
      </w:r>
      <w:r>
        <w:t xml:space="preserve"> </w:t>
      </w:r>
      <w:r>
        <w:t xml:space="preserve">- Forme unique orale (pas de forme injectable).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abaisse le taux d’acide urique dans le sang. Prenez-le une fois par jour, indépendamment des repas. Ne l’arrêtez pas. Les premières semaines, vous pouvez avoir plus de crises de goutte — votre médecin vous donnera de la colchicine pour prévenir. Si vous avez des douleurs à la poitrine ou un essoufflement, consultez en urgence. Une prise de sang sera faite à 2, 4 semaines puis tous les 3-6 mois pour surveiller votre foie et votre taux d’acide urique.</w:t>
      </w:r>
      <w:r>
        <w:t xml:space="preserve">”</w:t>
      </w:r>
      <w:r>
        <w:t xml:space="preserve"> </w:t>
      </w:r>
      <w:r>
        <w:t xml:space="preserve">- Mode d’utilisation pratique : Prise unique quotidienne, indépendamment des repas.</w:t>
      </w:r>
    </w:p>
    <w:p>
      <w:pPr>
        <w:pStyle w:val="BodyText"/>
      </w:pPr>
      <w:r>
        <w:rPr>
          <w:b/>
          <w:bCs/>
        </w:rPr>
        <w:t xml:space="preserve">Notes, Règles d’Or &amp; Pièges au Comptoir :</w:t>
      </w:r>
      <w:r>
        <w:t xml:space="preserve"> </w:t>
      </w:r>
      <w:r>
        <w:t xml:space="preserve">- Piège classique : Initiation pendant une crise aiguë (à éviter) ; oubli de l’évaluation cardiovasculaire (préférer l’allopurinol chez le coronarien) ; oubli de demander si le patient prend de l’azathioprine (CI absolue).</w:t>
      </w:r>
      <w:r>
        <w:t xml:space="preserve"> </w:t>
      </w:r>
      <w:r>
        <w:t xml:space="preserve">- Règle de prise : 1 prise/jour ; suivi biologique mensuel initialement ; co-prescription colchicine prophylactique 3-6 mois.</w:t>
      </w:r>
      <w:r>
        <w:t xml:space="preserve"> </w:t>
      </w:r>
      <w:r>
        <w:t xml:space="preserve">- Préparation et Conservation : À température ambiante, à l’abri de l’humidité.</w:t>
      </w:r>
      <w:r>
        <w:t xml:space="preserve"> </w:t>
      </w:r>
      <w:r>
        <w:t xml:space="preserve">- Piège du surdosage / Substitution : Substitution possible entre ADENUMAX, FEBOREX, TAZOTAX (mêmes dosages) sous réserve de l’avis du médecin. Ne pas substituer par l’allopurinol sans avis médical (profil de tolérance différent).</w:t>
      </w:r>
    </w:p>
    <w:p>
      <w:r>
        <w:pict>
          <v:rect style="width:0;height:1.5pt" o:hralign="center" o:hrstd="t" o:hr="t"/>
        </w:pict>
      </w:r>
    </w:p>
    <w:bookmarkEnd w:id="205"/>
    <w:bookmarkEnd w:id="206"/>
    <w:bookmarkStart w:id="209" w:name="myorelaxants---dérivés-de-colchique"/>
    <w:p>
      <w:pPr>
        <w:pStyle w:val="Heading2"/>
      </w:pPr>
      <w:r>
        <w:t xml:space="preserve">6. Myorelaxants - Dérivés de colchique</w:t>
      </w:r>
    </w:p>
    <w:bookmarkStart w:id="207" w:name="introduction-à-la-sous-classe-11"/>
    <w:p>
      <w:pPr>
        <w:pStyle w:val="Heading3"/>
      </w:pPr>
      <w:r>
        <w:t xml:space="preserve">Introduction à la sous-classe</w:t>
      </w:r>
    </w:p>
    <w:p>
      <w:pPr>
        <w:pStyle w:val="FirstParagraph"/>
      </w:pPr>
      <w:r>
        <w:t xml:space="preserve">Le</w:t>
      </w:r>
      <w:r>
        <w:t xml:space="preserve"> </w:t>
      </w:r>
      <w:r>
        <w:rPr>
          <w:b/>
          <w:bCs/>
        </w:rPr>
        <w:t xml:space="preserve">thiocolchicoside</w:t>
      </w:r>
      <w:r>
        <w:t xml:space="preserve"> </w:t>
      </w:r>
      <w:r>
        <w:t xml:space="preserve">est un dérivé semi-synthétique glycosidé de la colchicine, extrait des graines de</w:t>
      </w:r>
      <w:r>
        <w:t xml:space="preserve"> </w:t>
      </w:r>
      <w:r>
        <w:rPr>
          <w:i/>
          <w:iCs/>
        </w:rPr>
        <w:t xml:space="preserve">Gloriosa superba</w:t>
      </w:r>
      <w:r>
        <w:t xml:space="preserve">. Il possède des propriétés myorelaxantes et anti-inflammatoires, mais sans l’effet antimitotique de la colchicine. Son mécanisme d’action repose principalement sur un</w:t>
      </w:r>
      <w:r>
        <w:t xml:space="preserve"> </w:t>
      </w:r>
      <w:r>
        <w:rPr>
          <w:b/>
          <w:bCs/>
        </w:rPr>
        <w:t xml:space="preserve">antagonisme des récepteurs GABA-A et de la glycine</w:t>
      </w:r>
      <w:r>
        <w:t xml:space="preserve"> </w:t>
      </w:r>
      <w:r>
        <w:t xml:space="preserve">au niveau de la moelle épinière, ce qui entraîne une inhibition des réflexes polysynaptiques responsables de la contracture musculaire. Il est utilisé dans le traitement des contractures musculaires douloureuses du rachis (lombalgies, torticolis, dorsalgies) en traitement court (5-7 jours).</w:t>
      </w:r>
    </w:p>
    <w:p>
      <w:pPr>
        <w:pStyle w:val="BodyText"/>
      </w:pPr>
      <w:r>
        <w:t xml:space="preserve">Le thiocolchicoside a fait l’objet d’une évaluation européenne (PRAC, 2013) qui a conduit à une restriction de ses indications : utilisation uniquement en traitement adjuvant des contractures musculaires douloureuses, en cure courte, et contre-indication chez les patients épileptiques (effet proconvulsivant à doses élevées). Une mise en garde a également été émise sur le risque d’atteinte de la fertilité masculine et féminine à doses élevées (effet génotoxique des métabolites). En Algérie, le thiocolchicoside est disponible en comprimé et gélule de microgranules 4 mg, en Liste I.</w:t>
      </w:r>
    </w:p>
    <w:p>
      <w:r>
        <w:pict>
          <v:rect style="width:0;height:1.5pt" o:hralign="center" o:hrstd="t" o:hr="t"/>
        </w:pict>
      </w:r>
    </w:p>
    <w:bookmarkEnd w:id="207"/>
    <w:bookmarkStart w:id="208" w:name="thiocolchicoside-seule"/>
    <w:p>
      <w:pPr>
        <w:pStyle w:val="Heading3"/>
      </w:pPr>
      <w:r>
        <w:t xml:space="preserve">12. Thiocolchicoside (Seule)</w:t>
      </w:r>
    </w:p>
    <w:p>
      <w:pPr>
        <w:pStyle w:val="FirstParagraph"/>
      </w:pPr>
      <w:r>
        <w:rPr>
          <w:b/>
          <w:bCs/>
        </w:rPr>
        <w:t xml:space="preserve">Liste des Catégories :</w:t>
      </w:r>
      <w:r>
        <w:t xml:space="preserve"> </w:t>
      </w:r>
      <w:r>
        <w:t xml:space="preserve">Myorelaxants - Dérivés de colchique ; Liste I (Algérie).</w:t>
      </w:r>
    </w:p>
    <w:p>
      <w:pPr>
        <w:pStyle w:val="BodyText"/>
      </w:pPr>
      <w:r>
        <w:t xml:space="preserve">Le thiocolchicoside est un hétéroside semi-synthétique dérivé de la colchicine, utilisé depuis 1974 dans le traitement des contractures musculaires douloureuses. Sa biodisponibilité orale est d’environ 25 %, sa demi-vie d’environ 3-4 h. Il est métabolisé en métabolites actifs (dont le SL59.0955, métabolite aglycone) qui présentent une activité GABA-ergique inverse (antagoniste) et une possible génotoxicité à doses élevées. Le PRAC (Comité d’évaluation des risques en pharmacovigilance de l’EMA) a recommandé en 2013 une restriction d’utilisation : traitement court (5-7 jours), dose maximale 8 mg/j (4 mg × 2), contre-indication chez l’épileptique, mise en garde sur la fertilité masculine et féminine.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MIOCED</w:t>
      </w:r>
      <w:r>
        <w:t xml:space="preserve"> </w:t>
      </w:r>
      <w:r>
        <w:t xml:space="preserve">(LABORATOIRES MERINAL)</w:t>
      </w:r>
      <w:r>
        <w:t xml:space="preserve"> </w:t>
      </w:r>
      <w:r>
        <w:t xml:space="preserve">- Formes et Dosages : Microgranule en gélule 4 mg (boîte de 24)</w:t>
      </w:r>
      <w:r>
        <w:t xml:space="preserve"> </w:t>
      </w:r>
      <w:r>
        <w:t xml:space="preserve">- Statut : Actif</w:t>
      </w:r>
      <w:r>
        <w:t xml:space="preserve"> </w:t>
      </w:r>
      <w:r>
        <w:t xml:space="preserve">-</w:t>
      </w:r>
      <w:r>
        <w:t xml:space="preserve"> </w:t>
      </w:r>
      <w:r>
        <w:rPr>
          <w:b/>
          <w:bCs/>
        </w:rPr>
        <w:t xml:space="preserve">RELAXAN</w:t>
      </w:r>
      <w:r>
        <w:t xml:space="preserve"> </w:t>
      </w:r>
      <w:r>
        <w:t xml:space="preserve">(LABORATOIRES SALEM)</w:t>
      </w:r>
      <w:r>
        <w:t xml:space="preserve"> </w:t>
      </w:r>
      <w:r>
        <w:t xml:space="preserve">- Formes et Dosages : Comprimé 4 mg (boîte de 10)</w:t>
      </w:r>
      <w:r>
        <w:t xml:space="preserve"> </w:t>
      </w:r>
      <w:r>
        <w:t xml:space="preserve">- Statut : Actif</w:t>
      </w:r>
    </w:p>
    <w:p>
      <w:pPr>
        <w:pStyle w:val="BodyText"/>
      </w:pPr>
      <w:r>
        <w:rPr>
          <w:b/>
          <w:bCs/>
        </w:rPr>
        <w:t xml:space="preserve">Sous-classe et Mécanisme d’action :</w:t>
      </w:r>
      <w:r>
        <w:t xml:space="preserve"> </w:t>
      </w:r>
      <w:r>
        <w:t xml:space="preserve">- Sous-classe : Dérivé semi-synthétique de la colchicine (hétéroside), myorelaxant d’action centrale par antagonisme GABA-A et glycine.</w:t>
      </w:r>
      <w:r>
        <w:t xml:space="preserve"> </w:t>
      </w:r>
      <w:r>
        <w:t xml:space="preserve">- Mécanisme d’action : Antagoniste compétitif des récepteurs GABA-A et de la glycine au niveau médullaire → inhibition des réflexes polysynaptiques inter-neuronaux responsables de la contracture musculaire → relaxation des muscles striés squelettiques. Effet anti-inflammatoire modéré (inhibition de la migration leucocytaire, mais moins puissant que la colchicine). Biodisponibilité ~25 %, métabolisme hépatique (métabolite aglycone actif), demi-vie ~3-4 h.</w:t>
      </w:r>
    </w:p>
    <w:p>
      <w:pPr>
        <w:pStyle w:val="BodyText"/>
      </w:pPr>
      <w:r>
        <w:rPr>
          <w:b/>
          <w:bCs/>
        </w:rPr>
        <w:t xml:space="preserve">Profil Pharmacologique :</w:t>
      </w:r>
      <w:r>
        <w:t xml:space="preserve"> </w:t>
      </w:r>
      <w:r>
        <w:t xml:space="preserve">- Indications : Traitement adjuvant des contractures musculaires douloureuses du rachis (lombalgies aiguës, torticolis, dorsalgies) en cure courte (5-7 jours).</w:t>
      </w:r>
      <w:r>
        <w:t xml:space="preserve"> </w:t>
      </w:r>
      <w:r>
        <w:t xml:space="preserve">- Contre-indications : Hypersensibilité ; épilepsie (effet proconvulsivant à doses élevées) ; grossesse et allaitement ; femme en âge de procréer sans contraception efficace ; insuffisance rénale sévère ; insuffisance hépatique sévère ; myasthénie.</w:t>
      </w:r>
      <w:r>
        <w:t xml:space="preserve"> </w:t>
      </w:r>
      <w:r>
        <w:t xml:space="preserve">- Effets Indésirables : Somnolence, sédation (effet GABA-ergique inverse) ; nausées, vomissements, diarrhée ; éruptions cutanées ; plus rares : convulsions (à doses élevées ou chez l’épileptique), troubles de la mémoire, atteinte de la fertilité (effet génotoxique des métabolites à doses élevées) ; photo-sensibilité.</w:t>
      </w:r>
    </w:p>
    <w:p>
      <w:pPr>
        <w:pStyle w:val="BodyText"/>
      </w:pPr>
      <w:r>
        <w:rPr>
          <w:b/>
          <w:bCs/>
        </w:rPr>
        <w:t xml:space="preserve">Prévention et Gestion des Effets Indésirables :</w:t>
      </w:r>
      <w:r>
        <w:t xml:space="preserve"> </w:t>
      </w:r>
      <w:r>
        <w:t xml:space="preserve">- Mesures Préventives : Cure courte (5-7 jours max) ; dose maximale 8 mg/j (4 mg × 2) ; pas de conduite automobile en début de traitement ; pas d’éthanol ; contraception obligatoire chez la femme en âge de procréer ; éviter chez l’épileptique.</w:t>
      </w:r>
      <w:r>
        <w:t xml:space="preserve"> </w:t>
      </w:r>
      <w:r>
        <w:t xml:space="preserve">- Conduite à Tenir : En cas de convulsions ou de troubles neurologiques : arrêt immédiat, consultation urgente. En cas de somnolence excessive : réduire la dose.</w:t>
      </w:r>
    </w:p>
    <w:p>
      <w:pPr>
        <w:pStyle w:val="BodyText"/>
      </w:pPr>
      <w:r>
        <w:rPr>
          <w:b/>
          <w:bCs/>
        </w:rPr>
        <w:t xml:space="preserve">Interactions Importantes :</w:t>
      </w:r>
      <w:r>
        <w:t xml:space="preserve"> </w:t>
      </w:r>
      <w:r>
        <w:t xml:space="preserve">-</w:t>
      </w:r>
      <w:r>
        <w:t xml:space="preserve"> </w:t>
      </w:r>
      <w:r>
        <w:rPr>
          <w:b/>
          <w:bCs/>
        </w:rPr>
        <w:t xml:space="preserve">Thiocolchicoside + dépresseurs SNC</w:t>
      </w:r>
      <w:r>
        <w:t xml:space="preserve"> </w:t>
      </w:r>
      <w:r>
        <w:t xml:space="preserve">(benzodiazépines, opioïdes, antihistaminiques H1, alcool) : potentialisation de la sédation.</w:t>
      </w:r>
      <w:r>
        <w:t xml:space="preserve"> </w:t>
      </w:r>
      <w:r>
        <w:t xml:space="preserve">-</w:t>
      </w:r>
      <w:r>
        <w:t xml:space="preserve"> </w:t>
      </w:r>
      <w:r>
        <w:rPr>
          <w:b/>
          <w:bCs/>
        </w:rPr>
        <w:t xml:space="preserve">Thiocolchicoside + anticoagulants oraux</w:t>
      </w:r>
      <w:r>
        <w:t xml:space="preserve"> </w:t>
      </w:r>
      <w:r>
        <w:t xml:space="preserve">: surveillance INR (effet modéré).</w:t>
      </w:r>
      <w:r>
        <w:t xml:space="preserve"> </w:t>
      </w:r>
      <w:r>
        <w:t xml:space="preserve">-</w:t>
      </w:r>
      <w:r>
        <w:t xml:space="preserve"> </w:t>
      </w:r>
      <w:r>
        <w:rPr>
          <w:b/>
          <w:bCs/>
        </w:rPr>
        <w:t xml:space="preserve">Thiocolchicoside + antiépileptiques</w:t>
      </w:r>
      <w:r>
        <w:t xml:space="preserve"> </w:t>
      </w:r>
      <w:r>
        <w:t xml:space="preserve">: diminution possible du seuil épileptogène.</w:t>
      </w:r>
    </w:p>
    <w:p>
      <w:pPr>
        <w:pStyle w:val="BodyText"/>
      </w:pPr>
      <w:r>
        <w:rPr>
          <w:b/>
          <w:bCs/>
        </w:rPr>
        <w:t xml:space="preserve">Grossesse et Allaitement :</w:t>
      </w:r>
      <w:r>
        <w:t xml:space="preserve"> </w:t>
      </w:r>
      <w:r>
        <w:t xml:space="preserve">- Grossesse : CI absolue (effet abortif et génotoxique documenté chez l’animal).</w:t>
      </w:r>
      <w:r>
        <w:t xml:space="preserve"> </w:t>
      </w:r>
      <w:r>
        <w:t xml:space="preserve">- Allaitement : CI absolue (passage dans le lait, effet sur le nourrisson).</w:t>
      </w:r>
      <w:r>
        <w:t xml:space="preserve"> </w:t>
      </w:r>
      <w:r>
        <w:t xml:space="preserve">- Précisions : Femme en âge de procréer : contraception obligatoire pendant et 1 mois après le traitement.</w:t>
      </w:r>
    </w:p>
    <w:p>
      <w:pPr>
        <w:pStyle w:val="BodyText"/>
      </w:pPr>
      <w:r>
        <w:rPr>
          <w:b/>
          <w:bCs/>
        </w:rPr>
        <w:t xml:space="preserve">Posologie et Mode d’administration (Standard) :</w:t>
      </w:r>
      <w:r>
        <w:t xml:space="preserve"> </w:t>
      </w:r>
      <w:r>
        <w:t xml:space="preserve">- Adulte : 4 mg × 2/jour (matin et soir) pendant 5-7 jours maximum. Dose maximale 8 mg/j.</w:t>
      </w:r>
      <w:r>
        <w:t xml:space="preserve"> </w:t>
      </w:r>
      <w:r>
        <w:t xml:space="preserve">- Sujet âgé : commencer par 4 mg/j (le soir), augmenter à 8 mg/j si tolérance correcte.</w:t>
      </w:r>
      <w:r>
        <w:t xml:space="preserve"> </w:t>
      </w:r>
      <w:r>
        <w:t xml:space="preserve">- Enfant : Non recommandé avant 15 ans.</w:t>
      </w:r>
      <w:r>
        <w:t xml:space="preserve"> </w:t>
      </w:r>
      <w:r>
        <w:t xml:space="preserve">- Durée : 5-7 jours maximum (cure courte).</w:t>
      </w:r>
      <w:r>
        <w:t xml:space="preserve"> </w:t>
      </w:r>
      <w:r>
        <w:t xml:space="preserve">- Moment de prise : Pendant ou après les repas (réduit la tolérance digestive). Dernière prise le soir (effet sédatif).</w:t>
      </w:r>
    </w:p>
    <w:p>
      <w:pPr>
        <w:pStyle w:val="BodyText"/>
      </w:pPr>
      <w:r>
        <w:rPr>
          <w:b/>
          <w:bCs/>
        </w:rPr>
        <w:t xml:space="preserve">Arbitrage et Bénéfices des Formes Galéniques :</w:t>
      </w:r>
      <w:r>
        <w:t xml:space="preserve"> </w:t>
      </w:r>
      <w:r>
        <w:t xml:space="preserve">- Comprimé 4 mg (RELAXAN) : forme simple à avaler, pratique pour cure courte.</w:t>
      </w:r>
      <w:r>
        <w:t xml:space="preserve"> </w:t>
      </w:r>
      <w:r>
        <w:t xml:space="preserve">- Microgranule en gélule 4 mg (MIOCED) : forme à libération modifiée potentielle, présentation en boîte de 24 (couvre une cure de 6 jours × 4 mg/j).</w:t>
      </w:r>
      <w:r>
        <w:t xml:space="preserve"> </w:t>
      </w:r>
      <w:r>
        <w:t xml:space="preserve">- Forme injectable IM non disponible en Algérie (existante à l’étranger).</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contracturés. Prenez-le pendant 5 à 7 jours maximum, deux fois par jour. Il peut donner envie de dormir : évitez de conduire les premiers jours. Évitez l’alcool. Si vous êtes enceinte ou envisagez une grossesse, n’utilisez pas ce médicament. Si vous êtes épileptique, ne le prenez pas.</w:t>
      </w:r>
      <w:r>
        <w:t xml:space="preserve">”</w:t>
      </w:r>
      <w:r>
        <w:t xml:space="preserve"> </w:t>
      </w:r>
      <w:r>
        <w:t xml:space="preserve">- Mode d’utilisation pratique : Avaler avec un verre d’eau, pendant les repas. Dernière prise le soir.</w:t>
      </w:r>
    </w:p>
    <w:p>
      <w:pPr>
        <w:pStyle w:val="BodyText"/>
      </w:pPr>
      <w:r>
        <w:rPr>
          <w:b/>
          <w:bCs/>
        </w:rPr>
        <w:t xml:space="preserve">Notes, Règles d’Or &amp; Pièges au Comptoir :</w:t>
      </w:r>
      <w:r>
        <w:t xml:space="preserve"> </w:t>
      </w:r>
      <w:r>
        <w:t xml:space="preserve">- Piège classique : Prescription prolongée &gt;7 jours (hors AMM) ; oubli de demander si la patiente est enceinte ou envisage une grossesse ; oubli de l’épilepsie ; association méconnue avec l’alcool.</w:t>
      </w:r>
      <w:r>
        <w:t xml:space="preserve"> </w:t>
      </w:r>
      <w:r>
        <w:t xml:space="preserve">- Règle de prise : 5-7 jours max ; 8 mg/j max ; dernière prise le soir ; pas d’alcool.</w:t>
      </w:r>
      <w:r>
        <w:t xml:space="preserve"> </w:t>
      </w:r>
      <w:r>
        <w:t xml:space="preserve">- Préparation et Conservation : À température ambiante, à l’abri de l’humidité.</w:t>
      </w:r>
      <w:r>
        <w:t xml:space="preserve"> </w:t>
      </w:r>
      <w:r>
        <w:t xml:space="preserve">- Piège du surdosage / Substitution : Surdosage = risque de convulsions. Substitution possible entre MIOCED et RELAXAN (même dosage 4 mg), sous réserve de l’avis médical.</w:t>
      </w:r>
    </w:p>
    <w:p>
      <w:r>
        <w:pict>
          <v:rect style="width:0;height:1.5pt" o:hralign="center" o:hrstd="t" o:hr="t"/>
        </w:pict>
      </w:r>
    </w:p>
    <w:bookmarkEnd w:id="208"/>
    <w:bookmarkEnd w:id="209"/>
    <w:bookmarkStart w:id="212" w:name="myorelaxants---carbamates"/>
    <w:p>
      <w:pPr>
        <w:pStyle w:val="Heading2"/>
      </w:pPr>
      <w:r>
        <w:t xml:space="preserve">7. Myorelaxants - Carbamates</w:t>
      </w:r>
    </w:p>
    <w:bookmarkStart w:id="210" w:name="introduction-à-la-sous-classe-12"/>
    <w:p>
      <w:pPr>
        <w:pStyle w:val="Heading3"/>
      </w:pPr>
      <w:r>
        <w:t xml:space="preserve">Introduction à la sous-classe</w:t>
      </w:r>
    </w:p>
    <w:p>
      <w:pPr>
        <w:pStyle w:val="FirstParagraph"/>
      </w:pPr>
      <w:r>
        <w:t xml:space="preserve">Les carbamates myorelaxants (méthocarbamol, chlorzoxazone) sont des dépresseurs du système nerveux central dont le mécanisme d’action exact reste mal élucidé. Ils agissent principalement au niveau de la moelle épinière et du tronc cérébral, en inhibant les réflexes polysynaptiques inter-neuronaux responsables de la contracture musculaire. Ils n’ont pas d’action directe sur la fibre musculaire elle-même (pas de curare), ni sur la plaque motrice. Leur effet myorelaxant s’accompagne d’une sédation centrale plus ou moins marquée, qui en limite l’usage chez les patients devant conduire.</w:t>
      </w:r>
    </w:p>
    <w:p>
      <w:pPr>
        <w:pStyle w:val="BodyText"/>
      </w:pPr>
      <w:r>
        <w:t xml:space="preserve">Le</w:t>
      </w:r>
      <w:r>
        <w:t xml:space="preserve"> </w:t>
      </w:r>
      <w:r>
        <w:rPr>
          <w:b/>
          <w:bCs/>
        </w:rPr>
        <w:t xml:space="preserve">méthocarbamol</w:t>
      </w:r>
      <w:r>
        <w:t xml:space="preserve"> </w:t>
      </w:r>
      <w:r>
        <w:t xml:space="preserve">est le représentant principal de cette classe en Algérie. Sa biodisponibilité orale est modeste, sa demi-vie d’environ 1-2 h. Il est métabolisé par le foie (déalkylation et hydroxylation) et éliminé par le rein sous forme de métabolites inactifs. Le méthocarbamol peut donner une coloration brun-noir de l’urine (sans gravité, à signaler au patient). Il est utilisé dans le traitement symptomatique des contractures musculaires douloureuses du rachis en cure courte, en association avec le repos et les antalgiques. La classe est en déclin, supplantée par les myorelaxants à action centrale plus modernes (tolpérisone) qui ont moins d’effets sédatifs.</w:t>
      </w:r>
    </w:p>
    <w:p>
      <w:r>
        <w:pict>
          <v:rect style="width:0;height:1.5pt" o:hralign="center" o:hrstd="t" o:hr="t"/>
        </w:pict>
      </w:r>
    </w:p>
    <w:bookmarkEnd w:id="210"/>
    <w:bookmarkStart w:id="211" w:name="méthocarbamol-seule"/>
    <w:p>
      <w:pPr>
        <w:pStyle w:val="Heading3"/>
      </w:pPr>
      <w:r>
        <w:t xml:space="preserve">13. Méthocarbamol (Seule)</w:t>
      </w:r>
    </w:p>
    <w:p>
      <w:pPr>
        <w:pStyle w:val="FirstParagraph"/>
      </w:pPr>
      <w:r>
        <w:rPr>
          <w:b/>
          <w:bCs/>
        </w:rPr>
        <w:t xml:space="preserve">Liste des Catégories :</w:t>
      </w:r>
      <w:r>
        <w:t xml:space="preserve"> </w:t>
      </w:r>
      <w:r>
        <w:t xml:space="preserve">Myorelaxants - Carbamates ; Liste II (Algérie).</w:t>
      </w:r>
    </w:p>
    <w:p>
      <w:pPr>
        <w:pStyle w:val="BodyText"/>
      </w:pPr>
      <w:r>
        <w:t xml:space="preserve">Le méthocarbamol (commercialisé depuis 1957 sous le nom de Robaxin® à l’étranger) est un carbamate myorelaxant d’action centrale. Sa structure (dérivé du propanediol, apparenté au méprobamate) lui confère un profil sédatisant. Sa biodisponibilité orale est d’environ 30-50 %, sa demi-vie de 1-2 h. Il est métabolisé par le CYP450 hépatique en métabolites inactifs, éliminés par le rein. Une particularité : il peut donner une coloration brun-noir verte de l’urine (par métabolite phénolique), sans signification pathologique mais à signaler au patient pour éviter une inquiétude injustifiée. En Algérie, le méthocarbamol est disponible sous une seule marque (MUSCLAX) en comprimé 500 mg, en Liste II.</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MUSCLAX</w:t>
      </w:r>
      <w:r>
        <w:t xml:space="preserve"> </w:t>
      </w:r>
      <w:r>
        <w:t xml:space="preserve">(LABORATOIRES BEKER)</w:t>
      </w:r>
      <w:r>
        <w:t xml:space="preserve"> </w:t>
      </w:r>
      <w:r>
        <w:t xml:space="preserve">- Formes et Dosages : Comprimé 500 mg (boîtes de 20 et 60)</w:t>
      </w:r>
      <w:r>
        <w:t xml:space="preserve"> </w:t>
      </w:r>
      <w:r>
        <w:t xml:space="preserve">- Statut : Actif</w:t>
      </w:r>
    </w:p>
    <w:p>
      <w:pPr>
        <w:pStyle w:val="BodyText"/>
      </w:pPr>
      <w:r>
        <w:rPr>
          <w:b/>
          <w:bCs/>
        </w:rPr>
        <w:t xml:space="preserve">Sous-classe et Mécanisme d’action :</w:t>
      </w:r>
      <w:r>
        <w:t xml:space="preserve"> </w:t>
      </w:r>
      <w:r>
        <w:t xml:space="preserve">- Sous-classe : Carbamate myorelaxant d’action centrale, dérivé du propanediol, apparenté au méprobamate.</w:t>
      </w:r>
      <w:r>
        <w:t xml:space="preserve"> </w:t>
      </w:r>
      <w:r>
        <w:t xml:space="preserve">- Mécanisme d’action : Dépresseur du SNC, inhibition des réflexes polysynaptiques inter-neuronaux au niveau médullaire et du tronc cérébral → relaxation des muscles striés squelettiques. Pas d’action directe sur la jonction neuromusculaire. Effet sédatif central associé. Biodisponibilité 30-50 %, métabolisme hépatique CYP450, élimination rénale de métabolites inactifs, demi-vie ~1-2 h.</w:t>
      </w:r>
    </w:p>
    <w:p>
      <w:pPr>
        <w:pStyle w:val="BodyText"/>
      </w:pPr>
      <w:r>
        <w:rPr>
          <w:b/>
          <w:bCs/>
        </w:rPr>
        <w:t xml:space="preserve">Profil Pharmacologique :</w:t>
      </w:r>
      <w:r>
        <w:t xml:space="preserve"> </w:t>
      </w:r>
      <w:r>
        <w:t xml:space="preserve">- Indications : Traitement adjuvant des contractures musculaires douloureuses du rachis (lombalgies, torticolis, dorsalgies) en cure courte, en complément du repos et des antalgiques.</w:t>
      </w:r>
      <w:r>
        <w:t xml:space="preserve"> </w:t>
      </w:r>
      <w:r>
        <w:t xml:space="preserve">- Contre-indications : Hypersensibilité ; insuffisance rénale sévère (risque d’accumulation des métabolites) ; myasthénie ; épilepsie non contrôlée ; enfant &lt;12 ans ; grossesse et allaitement (par prudence).</w:t>
      </w:r>
      <w:r>
        <w:t xml:space="preserve"> </w:t>
      </w:r>
      <w:r>
        <w:t xml:space="preserve">- Effets Indésirables : Sédation, somnolence, vertiges ; nausées, vomissements ; coloration verte-brune de l’urine (sans gravité, par métabolite phénolique) ; éruptions cutanées ; plus rares : hypotension, confusion, convulsions (à doses élevées), hépatotoxicité (rare).</w:t>
      </w:r>
    </w:p>
    <w:p>
      <w:pPr>
        <w:pStyle w:val="BodyText"/>
      </w:pPr>
      <w:r>
        <w:rPr>
          <w:b/>
          <w:bCs/>
        </w:rPr>
        <w:t xml:space="preserve">Prévention et Gestion des Effets Indésirables :</w:t>
      </w:r>
      <w:r>
        <w:t xml:space="preserve"> </w:t>
      </w:r>
      <w:r>
        <w:t xml:space="preserve">- Mesures Préventives : Cure courte (7-10 jours) ; pas de conduite automobile en début de traitement ; pas d’alcool ; surveillance de la tolérance digestive.</w:t>
      </w:r>
      <w:r>
        <w:t xml:space="preserve"> </w:t>
      </w:r>
      <w:r>
        <w:t xml:space="preserve">- Conduite à Tenir : En cas de somnolence excessive ou de vertiges : réduire la dose ou arrêter. En cas d’éruption cutanée : arrêter et consulter.</w:t>
      </w:r>
    </w:p>
    <w:p>
      <w:pPr>
        <w:pStyle w:val="BodyText"/>
      </w:pPr>
      <w:r>
        <w:rPr>
          <w:b/>
          <w:bCs/>
        </w:rPr>
        <w:t xml:space="preserve">Interactions Importantes :</w:t>
      </w:r>
      <w:r>
        <w:t xml:space="preserve"> </w:t>
      </w:r>
      <w:r>
        <w:t xml:space="preserve">-</w:t>
      </w:r>
      <w:r>
        <w:t xml:space="preserve"> </w:t>
      </w:r>
      <w:r>
        <w:rPr>
          <w:b/>
          <w:bCs/>
        </w:rPr>
        <w:t xml:space="preserve">Méthocarbamol + dépresseurs SNC</w:t>
      </w:r>
      <w:r>
        <w:t xml:space="preserve"> </w:t>
      </w:r>
      <w:r>
        <w:t xml:space="preserve">(benzodiazépines, opioïdes, antihistaminiques H1, alcool) : potentialisation de la sédation.</w:t>
      </w:r>
      <w:r>
        <w:t xml:space="preserve"> </w:t>
      </w:r>
      <w:r>
        <w:t xml:space="preserve">-</w:t>
      </w:r>
      <w:r>
        <w:t xml:space="preserve"> </w:t>
      </w:r>
      <w:r>
        <w:rPr>
          <w:b/>
          <w:bCs/>
        </w:rPr>
        <w:t xml:space="preserve">Méthocarbamol + antihypertenseurs</w:t>
      </w:r>
      <w:r>
        <w:t xml:space="preserve"> </w:t>
      </w:r>
      <w:r>
        <w:t xml:space="preserve">: risque d’hypotension orthostatique majorée.</w:t>
      </w:r>
      <w:r>
        <w:t xml:space="preserve"> </w:t>
      </w:r>
      <w:r>
        <w:t xml:space="preserve">-</w:t>
      </w:r>
      <w:r>
        <w:t xml:space="preserve"> </w:t>
      </w:r>
      <w:r>
        <w:rPr>
          <w:b/>
          <w:bCs/>
        </w:rPr>
        <w:t xml:space="preserve">Méthocarbamol + IMAO</w:t>
      </w:r>
      <w:r>
        <w:t xml:space="preserve"> </w:t>
      </w:r>
      <w:r>
        <w:t xml:space="preserve">: éviter (risque de crise hypertensive).</w:t>
      </w:r>
    </w:p>
    <w:p>
      <w:pPr>
        <w:pStyle w:val="BodyText"/>
      </w:pPr>
      <w:r>
        <w:rPr>
          <w:b/>
          <w:bCs/>
        </w:rPr>
        <w:t xml:space="preserve">Grossesse et Allaitement :</w:t>
      </w:r>
      <w:r>
        <w:t xml:space="preserve"> </w:t>
      </w:r>
      <w:r>
        <w:t xml:space="preserve">- Grossesse : À éviter par prudence (données animales évocatrices d’effets tératogènes à doses élevées, données humaines limitées). Préférer le paracétamol et la kinésithérapie.</w:t>
      </w:r>
      <w:r>
        <w:t xml:space="preserve"> </w:t>
      </w:r>
      <w:r>
        <w:t xml:space="preserve">- Allaitement : À éviter (passage dans le lait, sédation du nourrisson).</w:t>
      </w:r>
      <w:r>
        <w:t xml:space="preserve"> </w:t>
      </w:r>
      <w:r>
        <w:t xml:space="preserve">- Précisions : Discuter au cas par cas avec le médecin.</w:t>
      </w:r>
    </w:p>
    <w:p>
      <w:pPr>
        <w:pStyle w:val="BodyText"/>
      </w:pPr>
      <w:r>
        <w:rPr>
          <w:b/>
          <w:bCs/>
        </w:rPr>
        <w:t xml:space="preserve">Posologie et Mode d’administration (Standard) :</w:t>
      </w:r>
      <w:r>
        <w:t xml:space="preserve"> </w:t>
      </w:r>
      <w:r>
        <w:t xml:space="preserve">- Adulte : 1,5 g/jour en 3-4 prises (1 comprimé × 3-4/jour), puis 4-4,5 g/jour en entretien. Dose maximale 8 g/j en début de traitement (24-48 h), puis 4-5 g/j.</w:t>
      </w:r>
      <w:r>
        <w:t xml:space="preserve"> </w:t>
      </w:r>
      <w:r>
        <w:t xml:space="preserve">- Sujet âgé : réduire la dose à 1,5-3 g/j.</w:t>
      </w:r>
      <w:r>
        <w:t xml:space="preserve"> </w:t>
      </w:r>
      <w:r>
        <w:t xml:space="preserve">- Enfant &gt;12 ans : 10-15 mg/kg × 3-4/jour.</w:t>
      </w:r>
      <w:r>
        <w:t xml:space="preserve"> </w:t>
      </w:r>
      <w:r>
        <w:t xml:space="preserve">- Durée : 7-10 jours maximum.</w:t>
      </w:r>
      <w:r>
        <w:t xml:space="preserve"> </w:t>
      </w:r>
      <w:r>
        <w:t xml:space="preserve">- Moment de prise : Pendant ou après les repas (réduit la tolérance digestive).</w:t>
      </w:r>
    </w:p>
    <w:p>
      <w:pPr>
        <w:pStyle w:val="BodyText"/>
      </w:pPr>
      <w:r>
        <w:rPr>
          <w:b/>
          <w:bCs/>
        </w:rPr>
        <w:t xml:space="preserve">Arbitrage et Bénéfices des Formes Galéniques :</w:t>
      </w:r>
      <w:r>
        <w:t xml:space="preserve"> </w:t>
      </w:r>
      <w:r>
        <w:t xml:space="preserve">- Comprimé 500 mg : permet une titration flexible.</w:t>
      </w:r>
      <w:r>
        <w:t xml:space="preserve"> </w:t>
      </w:r>
      <w:r>
        <w:t xml:space="preserve">- Présentation en boîte de 20 (cure courte) ou 60 (cure prolongée ou traitement d’entretien, déconseillé).</w:t>
      </w:r>
      <w:r>
        <w:t xml:space="preserve"> </w:t>
      </w:r>
      <w:r>
        <w:t xml:space="preserve">- Forme injectable IM/IV non disponible en Algérie (existante à l’étranger pour les crises sévères).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contracturés. Prenez-le pendant les repas, 3 à 4 fois par jour. Il peut donner envie de dormir : évitez de conduire les premiers jours. Évitez l’alcool. Votre urine peut devenir verte-brune, ce n’est pas grave, c’est le médicament qui s’élimine par les urines.</w:t>
      </w:r>
      <w:r>
        <w:t xml:space="preserve">”</w:t>
      </w:r>
      <w:r>
        <w:t xml:space="preserve"> </w:t>
      </w:r>
      <w:r>
        <w:t xml:space="preserve">- Mode d’utilisation pratique : Avaler avec un verre d’eau, pendant les repas.</w:t>
      </w:r>
    </w:p>
    <w:p>
      <w:pPr>
        <w:pStyle w:val="BodyText"/>
      </w:pPr>
      <w:r>
        <w:rPr>
          <w:b/>
          <w:bCs/>
        </w:rPr>
        <w:t xml:space="preserve">Notes, Règles d’Or &amp; Pièges au Comptoir :</w:t>
      </w:r>
      <w:r>
        <w:t xml:space="preserve"> </w:t>
      </w:r>
      <w:r>
        <w:t xml:space="preserve">- Piège classique : Patient qui conduit un véhicule lourd en début de traitement (sédation) ; patient qui s’inquiète de la couleur de ses urines (à expliquer en préventif) ; association méconnue avec l’alcool.</w:t>
      </w:r>
      <w:r>
        <w:t xml:space="preserve"> </w:t>
      </w:r>
      <w:r>
        <w:t xml:space="preserve">- Règle de prise : 3-4 prises/jour pendant les repas ; pas d’alcool ; cure courte 7-10 jours.</w:t>
      </w:r>
      <w:r>
        <w:t xml:space="preserve"> </w:t>
      </w:r>
      <w:r>
        <w:t xml:space="preserve">- Préparation et Conservation : À température ambiante, à l’abri de l’humidité.</w:t>
      </w:r>
      <w:r>
        <w:t xml:space="preserve"> </w:t>
      </w:r>
      <w:r>
        <w:t xml:space="preserve">- Piège du surdosage / Substitution : Risque de sédation profonde en cas de surdosage. Pas de substitution possible (seule marque MUSCLAX disponible).</w:t>
      </w:r>
    </w:p>
    <w:p>
      <w:r>
        <w:pict>
          <v:rect style="width:0;height:1.5pt" o:hralign="center" o:hrstd="t" o:hr="t"/>
        </w:pict>
      </w:r>
    </w:p>
    <w:bookmarkEnd w:id="211"/>
    <w:bookmarkEnd w:id="212"/>
    <w:bookmarkStart w:id="215" w:name="myorelaxants---dérivés-pipéridiniques"/>
    <w:p>
      <w:pPr>
        <w:pStyle w:val="Heading2"/>
      </w:pPr>
      <w:r>
        <w:t xml:space="preserve">8. Myorelaxants - Dérivés pipéridiniques</w:t>
      </w:r>
    </w:p>
    <w:bookmarkStart w:id="213" w:name="introduction-à-la-sous-classe-13"/>
    <w:p>
      <w:pPr>
        <w:pStyle w:val="Heading3"/>
      </w:pPr>
      <w:r>
        <w:t xml:space="preserve">Introduction à la sous-classe</w:t>
      </w:r>
    </w:p>
    <w:p>
      <w:pPr>
        <w:pStyle w:val="FirstParagraph"/>
      </w:pPr>
      <w:r>
        <w:t xml:space="preserve">Les myorelaxants d’action centrale de la classe des dérivés pipéridiniques (tolpérisone, siladénone, épérisone) agissent par</w:t>
      </w:r>
      <w:r>
        <w:t xml:space="preserve"> </w:t>
      </w:r>
      <w:r>
        <w:rPr>
          <w:b/>
          <w:bCs/>
        </w:rPr>
        <w:t xml:space="preserve">blocage des canaux sodiques et calciques voltage-dépendants</w:t>
      </w:r>
      <w:r>
        <w:t xml:space="preserve"> </w:t>
      </w:r>
      <w:r>
        <w:t xml:space="preserve">au niveau de la moelle épinière et du tronc cérébral. Contrairement aux carbamates, ils sont</w:t>
      </w:r>
      <w:r>
        <w:t xml:space="preserve"> </w:t>
      </w:r>
      <w:r>
        <w:rPr>
          <w:b/>
          <w:bCs/>
        </w:rPr>
        <w:t xml:space="preserve">dépourvus d’effet sédatif</w:t>
      </w:r>
      <w:r>
        <w:t xml:space="preserve"> </w:t>
      </w:r>
      <w:r>
        <w:t xml:space="preserve">car ils ne traversent pas ou peu la barrière hémato-encéphalique. Ils agissent principalement en inhibant les réflexes polysynaptiques médullaires responsables de la contracture musculaire. Ils ont également un effet analgésique central modéré (par blocage des canaux Na+ des nocicepteurs).</w:t>
      </w:r>
    </w:p>
    <w:p>
      <w:pPr>
        <w:pStyle w:val="BodyText"/>
      </w:pPr>
      <w:r>
        <w:t xml:space="preserve">La</w:t>
      </w:r>
      <w:r>
        <w:t xml:space="preserve"> </w:t>
      </w:r>
      <w:r>
        <w:rPr>
          <w:b/>
          <w:bCs/>
        </w:rPr>
        <w:t xml:space="preserve">tolpérisone</w:t>
      </w:r>
      <w:r>
        <w:t xml:space="preserve"> </w:t>
      </w:r>
      <w:r>
        <w:t xml:space="preserve">(commercialisée depuis 1960 sous le nom de Mydocalm® à l’étranger) est le chef de file. Sa biodisponibilité orale est modeste (~20 %), sa demi-vie d’environ 2,5 h. Elle est métabolisée par le foie (conjuguaison et oxydation) et éliminée par le rein. En Algérie, la tolpérisone est largement disponible sous plusieurs marques génériques en comprimé 150 mg, en Liste I. Elle représente le myorelaxant de première intention en raison de son profil de tolérance favorable (pas de sédation, pas de dépendance).</w:t>
      </w:r>
    </w:p>
    <w:p>
      <w:r>
        <w:pict>
          <v:rect style="width:0;height:1.5pt" o:hralign="center" o:hrstd="t" o:hr="t"/>
        </w:pict>
      </w:r>
    </w:p>
    <w:bookmarkEnd w:id="213"/>
    <w:bookmarkStart w:id="214" w:name="tolpérisone-seule"/>
    <w:p>
      <w:pPr>
        <w:pStyle w:val="Heading3"/>
      </w:pPr>
      <w:r>
        <w:t xml:space="preserve">14. Tolpérisone (Seule)</w:t>
      </w:r>
    </w:p>
    <w:p>
      <w:pPr>
        <w:pStyle w:val="FirstParagraph"/>
      </w:pPr>
      <w:r>
        <w:rPr>
          <w:b/>
          <w:bCs/>
        </w:rPr>
        <w:t xml:space="preserve">Liste des Catégories :</w:t>
      </w:r>
      <w:r>
        <w:t xml:space="preserve"> </w:t>
      </w:r>
      <w:r>
        <w:t xml:space="preserve">Myorelaxants - Dérivés pipéridiniques ; Liste I (Algérie).</w:t>
      </w:r>
    </w:p>
    <w:p>
      <w:pPr>
        <w:pStyle w:val="BodyText"/>
      </w:pPr>
      <w:r>
        <w:t xml:space="preserve">La tolpérisone est un myorelaxant d’action centrale de la classe des pipéridines (analogue structural de la siladénone et de l’épérisone). Sa biodisponibilité orale est d’environ 20 %, sa demi-vie de 2,5 h. Elle est métabolisée par le foie (hydroxylation, conjuguaison) et éliminée par le rein sous forme de métabolites. Sa particularité est d’être</w:t>
      </w:r>
      <w:r>
        <w:t xml:space="preserve"> </w:t>
      </w:r>
      <w:r>
        <w:rPr>
          <w:b/>
          <w:bCs/>
        </w:rPr>
        <w:t xml:space="preserve">dépourvue d’effet sédatif</w:t>
      </w:r>
      <w:r>
        <w:t xml:space="preserve"> </w:t>
      </w:r>
      <w:r>
        <w:t xml:space="preserve">(pas de passage de la barrière hémato-encéphalique), ce qui en fait le myorelaxant de choix chez le patient actif ou devant conduire. Elle agit par blocage des canaux sodiques voltage-dépendants au niveau médullaire, inhibant les réflexes polysynaptiques responsables de la contracture musculaire. En Algérie, la tolpérisone est disponible sous plusieurs marques (MYDOCALM, MYORELAX, MYSOLAX, NEOCALM, SOPRICALM, TOLPECALM, MYOLAXAN, TOLPICALM) en comprimé 150 mg, en Liste I.</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MYDOCALM</w:t>
      </w:r>
      <w:r>
        <w:t xml:space="preserve"> </w:t>
      </w:r>
      <w:r>
        <w:t xml:space="preserve">(HIKMA PHARMA ALGERIA)</w:t>
      </w:r>
      <w:r>
        <w:t xml:space="preserve"> </w:t>
      </w:r>
      <w:r>
        <w:t xml:space="preserve">- Formes et Dosages : Comprimé pelliculé 150 mg (boîtes de 10 et 30)</w:t>
      </w:r>
      <w:r>
        <w:t xml:space="preserve"> </w:t>
      </w:r>
      <w:r>
        <w:t xml:space="preserve">- Statut : Actif</w:t>
      </w:r>
      <w:r>
        <w:t xml:space="preserve"> </w:t>
      </w:r>
      <w:r>
        <w:t xml:space="preserve">-</w:t>
      </w:r>
      <w:r>
        <w:t xml:space="preserve"> </w:t>
      </w:r>
      <w:r>
        <w:rPr>
          <w:b/>
          <w:bCs/>
        </w:rPr>
        <w:t xml:space="preserve">MYORELAX</w:t>
      </w:r>
      <w:r>
        <w:t xml:space="preserve"> </w:t>
      </w:r>
      <w:r>
        <w:t xml:space="preserve">(BIOCARE)</w:t>
      </w:r>
      <w:r>
        <w:t xml:space="preserve"> </w:t>
      </w:r>
      <w:r>
        <w:t xml:space="preserve">- Formes et Dosages : Comprimé pelliculé 150 mg (boîte de 30)</w:t>
      </w:r>
      <w:r>
        <w:t xml:space="preserve"> </w:t>
      </w:r>
      <w:r>
        <w:t xml:space="preserve">- Statut : Actif</w:t>
      </w:r>
      <w:r>
        <w:t xml:space="preserve"> </w:t>
      </w:r>
      <w:r>
        <w:t xml:space="preserve">-</w:t>
      </w:r>
      <w:r>
        <w:t xml:space="preserve"> </w:t>
      </w:r>
      <w:r>
        <w:rPr>
          <w:b/>
          <w:bCs/>
        </w:rPr>
        <w:t xml:space="preserve">MYSOLAX</w:t>
      </w:r>
      <w:r>
        <w:t xml:space="preserve"> </w:t>
      </w:r>
      <w:r>
        <w:t xml:space="preserve">(ONYX INDUSTRIE PHARMACEUTIQUE)</w:t>
      </w:r>
      <w:r>
        <w:t xml:space="preserve"> </w:t>
      </w:r>
      <w:r>
        <w:t xml:space="preserve">- Formes et Dosages : Comprimé pelliculé 150 mg (boîtes de 10 et 30)</w:t>
      </w:r>
      <w:r>
        <w:t xml:space="preserve"> </w:t>
      </w:r>
      <w:r>
        <w:t xml:space="preserve">- Statut : Actif</w:t>
      </w:r>
      <w:r>
        <w:t xml:space="preserve"> </w:t>
      </w:r>
      <w:r>
        <w:t xml:space="preserve">-</w:t>
      </w:r>
      <w:r>
        <w:t xml:space="preserve"> </w:t>
      </w:r>
      <w:r>
        <w:rPr>
          <w:b/>
          <w:bCs/>
        </w:rPr>
        <w:t xml:space="preserve">NEOCALM</w:t>
      </w:r>
      <w:r>
        <w:t xml:space="preserve"> </w:t>
      </w:r>
      <w:r>
        <w:t xml:space="preserve">(NEOMEDIC)</w:t>
      </w:r>
      <w:r>
        <w:t xml:space="preserve"> </w:t>
      </w:r>
      <w:r>
        <w:t xml:space="preserve">- Formes et Dosages : Comprimé pelliculé 150 mg (boîtes de 10 et 30)</w:t>
      </w:r>
      <w:r>
        <w:t xml:space="preserve"> </w:t>
      </w:r>
      <w:r>
        <w:t xml:space="preserve">- Statut : Actif</w:t>
      </w:r>
      <w:r>
        <w:t xml:space="preserve"> </w:t>
      </w:r>
      <w:r>
        <w:t xml:space="preserve">-</w:t>
      </w:r>
      <w:r>
        <w:t xml:space="preserve"> </w:t>
      </w:r>
      <w:r>
        <w:rPr>
          <w:b/>
          <w:bCs/>
        </w:rPr>
        <w:t xml:space="preserve">SOPRICALM</w:t>
      </w:r>
      <w:r>
        <w:t xml:space="preserve"> </w:t>
      </w:r>
      <w:r>
        <w:t xml:space="preserve">(SOPRODIM)</w:t>
      </w:r>
      <w:r>
        <w:t xml:space="preserve"> </w:t>
      </w:r>
      <w:r>
        <w:t xml:space="preserve">- Formes et Dosages : Comprimé pelliculé 150 mg (boîte de 30)</w:t>
      </w:r>
      <w:r>
        <w:t xml:space="preserve"> </w:t>
      </w:r>
      <w:r>
        <w:t xml:space="preserve">- Statut : Actif</w:t>
      </w:r>
      <w:r>
        <w:t xml:space="preserve"> </w:t>
      </w:r>
      <w:r>
        <w:t xml:space="preserve">-</w:t>
      </w:r>
      <w:r>
        <w:t xml:space="preserve"> </w:t>
      </w:r>
      <w:r>
        <w:rPr>
          <w:b/>
          <w:bCs/>
        </w:rPr>
        <w:t xml:space="preserve">TOLPECALM</w:t>
      </w:r>
      <w:r>
        <w:t xml:space="preserve"> </w:t>
      </w:r>
      <w:r>
        <w:t xml:space="preserve">(GEOPHARM)</w:t>
      </w:r>
      <w:r>
        <w:t xml:space="preserve"> </w:t>
      </w:r>
      <w:r>
        <w:t xml:space="preserve">- Formes et Dosages : Comprimé pelliculé 150 mg (boîte de 30)</w:t>
      </w:r>
      <w:r>
        <w:t xml:space="preserve"> </w:t>
      </w:r>
      <w:r>
        <w:t xml:space="preserve">- Statut : Actif</w:t>
      </w:r>
      <w:r>
        <w:t xml:space="preserve"> </w:t>
      </w:r>
      <w:r>
        <w:t xml:space="preserve">-</w:t>
      </w:r>
      <w:r>
        <w:t xml:space="preserve"> </w:t>
      </w:r>
      <w:r>
        <w:rPr>
          <w:b/>
          <w:bCs/>
        </w:rPr>
        <w:t xml:space="preserve">MYOLAXAN</w:t>
      </w:r>
      <w:r>
        <w:t xml:space="preserve"> </w:t>
      </w:r>
      <w:r>
        <w:t xml:space="preserve">(PHARMIDAL NS)</w:t>
      </w:r>
      <w:r>
        <w:t xml:space="preserve"> </w:t>
      </w:r>
      <w:r>
        <w:t xml:space="preserve">- Formes et Dosages : Comprimé pelliculé 150 mg (boîte de 30)</w:t>
      </w:r>
      <w:r>
        <w:t xml:space="preserve"> </w:t>
      </w:r>
      <w:r>
        <w:t xml:space="preserve">- Statut : Actif</w:t>
      </w:r>
      <w:r>
        <w:t xml:space="preserve"> </w:t>
      </w:r>
      <w:r>
        <w:t xml:space="preserve">-</w:t>
      </w:r>
      <w:r>
        <w:t xml:space="preserve"> </w:t>
      </w:r>
      <w:r>
        <w:rPr>
          <w:b/>
          <w:bCs/>
        </w:rPr>
        <w:t xml:space="preserve">TOLPICALM</w:t>
      </w:r>
      <w:r>
        <w:t xml:space="preserve"> </w:t>
      </w:r>
      <w:r>
        <w:t xml:space="preserve">(NOVAPHARM TRADING)</w:t>
      </w:r>
      <w:r>
        <w:t xml:space="preserve"> </w:t>
      </w:r>
      <w:r>
        <w:t xml:space="preserve">- Formes et Dosages : Comprimé pelliculé 150 mg (boîte de 30)</w:t>
      </w:r>
      <w:r>
        <w:t xml:space="preserve"> </w:t>
      </w:r>
      <w:r>
        <w:t xml:space="preserve">- Statut : Actif</w:t>
      </w:r>
    </w:p>
    <w:p>
      <w:pPr>
        <w:pStyle w:val="BodyText"/>
      </w:pPr>
      <w:r>
        <w:rPr>
          <w:b/>
          <w:bCs/>
        </w:rPr>
        <w:t xml:space="preserve">Sous-classe et Mécanisme d’action :</w:t>
      </w:r>
      <w:r>
        <w:t xml:space="preserve"> </w:t>
      </w:r>
      <w:r>
        <w:t xml:space="preserve">- Sous-classe : Myorelaxant d’action centrale de la classe des pipéridines, dépourvu d’effet sédatif.</w:t>
      </w:r>
      <w:r>
        <w:t xml:space="preserve"> </w:t>
      </w:r>
      <w:r>
        <w:t xml:space="preserve">- Mécanisme d’action : Blocage des canaux sodiques voltage-dépendants (tetradotoxine-sensibles) au niveau médullaire et tronc cérébral → inhibition des réflexes polysynaptiques inter-neuronaux responsables de la contracture musculaire. Effet analgésique central modéré par blocage des canaux Na+ des nocicepteurs. Pas d’action directe sur la jonction neuromusculaire. Biodisponibilité ~20 %, métabolisme hépatique, demi-vie ~2,5 h. Dépourvu d’effet sédatif (ne traverse pas la BHE).</w:t>
      </w:r>
    </w:p>
    <w:p>
      <w:pPr>
        <w:pStyle w:val="BodyText"/>
      </w:pPr>
      <w:r>
        <w:rPr>
          <w:b/>
          <w:bCs/>
        </w:rPr>
        <w:t xml:space="preserve">Profil Pharmacologique :</w:t>
      </w:r>
      <w:r>
        <w:t xml:space="preserve"> </w:t>
      </w:r>
      <w:r>
        <w:t xml:space="preserve">- Indications : Traitement des contractures musculaires douloureuses : rachis (lombalgies, dorsalgies, cervicalgies), muscles striés périphériques (torticolis, lumbago, spasmophilie), en complément du repos et de la kinésithérapie. Spasticité neurologique centrale (sclérose en plaques, séquelles d’AVC) en deuxième intention.</w:t>
      </w:r>
      <w:r>
        <w:t xml:space="preserve"> </w:t>
      </w:r>
      <w:r>
        <w:t xml:space="preserve">- Contre-indications : Hypersensibilité ; myasthénie ; enfant &lt;3 mois (données insuffisantes) ; grossesse et allaitement (par prudence, données limitées).</w:t>
      </w:r>
      <w:r>
        <w:t xml:space="preserve"> </w:t>
      </w:r>
      <w:r>
        <w:t xml:space="preserve">- Effets Indésirables : Nausées, vomissements, douleurs abdominales ; vertiges, céphalées ; asthénie ; éruptions cutanées ; plus rares : convulsions (à doses élevées), hypotension, confusion.</w:t>
      </w:r>
    </w:p>
    <w:p>
      <w:pPr>
        <w:pStyle w:val="BodyText"/>
      </w:pPr>
      <w:r>
        <w:rPr>
          <w:b/>
          <w:bCs/>
        </w:rPr>
        <w:t xml:space="preserve">Prévention et Gestion des Effets Indésirables :</w:t>
      </w:r>
      <w:r>
        <w:t xml:space="preserve"> </w:t>
      </w:r>
      <w:r>
        <w:t xml:space="preserve">- Mesures Préventives : Cure adaptée (souvent 2-4 semaines), posologie progressive ; prise pendant les repas ; surveillance de la tolérance digestive et neurologique.</w:t>
      </w:r>
      <w:r>
        <w:t xml:space="preserve"> </w:t>
      </w:r>
      <w:r>
        <w:t xml:space="preserve">- Conduite à Tenir : En cas d’effets indésirables marqués : réduire la dose ou arrêter.</w:t>
      </w:r>
    </w:p>
    <w:p>
      <w:pPr>
        <w:pStyle w:val="BodyText"/>
      </w:pPr>
      <w:r>
        <w:rPr>
          <w:b/>
          <w:bCs/>
        </w:rPr>
        <w:t xml:space="preserve">Interactions Importantes :</w:t>
      </w:r>
      <w:r>
        <w:t xml:space="preserve"> </w:t>
      </w:r>
      <w:r>
        <w:t xml:space="preserve">-</w:t>
      </w:r>
      <w:r>
        <w:t xml:space="preserve"> </w:t>
      </w:r>
      <w:r>
        <w:rPr>
          <w:b/>
          <w:bCs/>
        </w:rPr>
        <w:t xml:space="preserve">Tolpérisone + autres myorelaxants</w:t>
      </w:r>
      <w:r>
        <w:t xml:space="preserve"> </w:t>
      </w:r>
      <w:r>
        <w:t xml:space="preserve">: effet additif (surveillance).</w:t>
      </w:r>
      <w:r>
        <w:t xml:space="preserve"> </w:t>
      </w:r>
      <w:r>
        <w:t xml:space="preserve">-</w:t>
      </w:r>
      <w:r>
        <w:t xml:space="preserve"> </w:t>
      </w:r>
      <w:r>
        <w:rPr>
          <w:b/>
          <w:bCs/>
        </w:rPr>
        <w:t xml:space="preserve">Tolpérisone + dépresseurs SNC</w:t>
      </w:r>
      <w:r>
        <w:t xml:space="preserve"> </w:t>
      </w:r>
      <w:r>
        <w:t xml:space="preserve">: peu d’interaction (pas d’effet sédatif propre).</w:t>
      </w:r>
      <w:r>
        <w:t xml:space="preserve"> </w:t>
      </w:r>
      <w:r>
        <w:t xml:space="preserve">-</w:t>
      </w:r>
      <w:r>
        <w:t xml:space="preserve"> </w:t>
      </w:r>
      <w:r>
        <w:rPr>
          <w:b/>
          <w:bCs/>
        </w:rPr>
        <w:t xml:space="preserve">Tolpérisone + méthocarbamol, thiocolchicoside</w:t>
      </w:r>
      <w:r>
        <w:t xml:space="preserve"> </w:t>
      </w:r>
      <w:r>
        <w:t xml:space="preserve">: éviter l’association (effet additif).</w:t>
      </w:r>
    </w:p>
    <w:p>
      <w:pPr>
        <w:pStyle w:val="BodyText"/>
      </w:pPr>
      <w:r>
        <w:rPr>
          <w:b/>
          <w:bCs/>
        </w:rPr>
        <w:t xml:space="preserve">Grossesse et Allaitement :</w:t>
      </w:r>
      <w:r>
        <w:t xml:space="preserve"> </w:t>
      </w:r>
      <w:r>
        <w:t xml:space="preserve">- Grossesse : À éviter par prudence (données animales évocatrices d’effets tératogènes à doses élevées, données humaines limitées).</w:t>
      </w:r>
      <w:r>
        <w:t xml:space="preserve"> </w:t>
      </w:r>
      <w:r>
        <w:t xml:space="preserve">- Allaitement : À éviter (passage dans le lait supposé, données limitées).</w:t>
      </w:r>
      <w:r>
        <w:t xml:space="preserve"> </w:t>
      </w:r>
      <w:r>
        <w:t xml:space="preserve">- Précisions : Discuter au cas par cas.</w:t>
      </w:r>
    </w:p>
    <w:p>
      <w:pPr>
        <w:pStyle w:val="BodyText"/>
      </w:pPr>
      <w:r>
        <w:rPr>
          <w:b/>
          <w:bCs/>
        </w:rPr>
        <w:t xml:space="preserve">Posologie et Mode d’administration (Standard) :</w:t>
      </w:r>
      <w:r>
        <w:t xml:space="preserve"> </w:t>
      </w:r>
      <w:r>
        <w:t xml:space="preserve">- Adulte : 150-450 mg/jour en 2-3 prises, à augmenter progressivement. Dose initiale 50 mg × 3/jour, puis 150 mg × 2-3/jour. Dose maximale 450 mg/jour.</w:t>
      </w:r>
      <w:r>
        <w:t xml:space="preserve"> </w:t>
      </w:r>
      <w:r>
        <w:t xml:space="preserve">- Sujet âgé : commencer par 50 mg × 2-3/jour.</w:t>
      </w:r>
      <w:r>
        <w:t xml:space="preserve"> </w:t>
      </w:r>
      <w:r>
        <w:t xml:space="preserve">- Enfant &gt;3 ans : 5 mg/kg/jour en 2-3 prises.</w:t>
      </w:r>
      <w:r>
        <w:t xml:space="preserve"> </w:t>
      </w:r>
      <w:r>
        <w:t xml:space="preserve">- Durée : 2-4 semaines (cure courte). Au long cours possible en cas de spasticité neurologique chronique.</w:t>
      </w:r>
      <w:r>
        <w:t xml:space="preserve"> </w:t>
      </w:r>
      <w:r>
        <w:t xml:space="preserve">- Moment de prise : Pendant ou après les repas (réduit la tolérance digestive).</w:t>
      </w:r>
    </w:p>
    <w:p>
      <w:pPr>
        <w:pStyle w:val="BodyText"/>
      </w:pPr>
      <w:r>
        <w:rPr>
          <w:b/>
          <w:bCs/>
        </w:rPr>
        <w:t xml:space="preserve">Arbitrage et Bénéfices des Formes Galéniques :</w:t>
      </w:r>
      <w:r>
        <w:t xml:space="preserve"> </w:t>
      </w:r>
      <w:r>
        <w:t xml:space="preserve">- Comprimé 150 mg : dose standard, permet la titration (50 mg = 1/3 comprimé, mais la sécabilité n’est pas standardisée en Algérie).</w:t>
      </w:r>
      <w:r>
        <w:t xml:space="preserve"> </w:t>
      </w:r>
      <w:r>
        <w:t xml:space="preserve">- Présentation en boîte de 10 ou 30 : pratique pour des cures courtes ou mensuelles.</w:t>
      </w:r>
      <w:r>
        <w:t xml:space="preserve"> </w:t>
      </w:r>
      <w:r>
        <w:t xml:space="preserve">- Forme injectable IM/IV non disponible en Algérie (existante à l’étranger pour les crises aiguës).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contracturés. Prenez-le pendant les repas, 2 à 3 fois par jour. Contrairement à d’autres myorelaxants, il ne donne généralement pas envie de dormir, vous pouvez conduire. Si vous avez des nausées, prenez-le après un repas plus complet.</w:t>
      </w:r>
      <w:r>
        <w:t xml:space="preserve">”</w:t>
      </w:r>
      <w:r>
        <w:t xml:space="preserve"> </w:t>
      </w:r>
      <w:r>
        <w:t xml:space="preserve">- Mode d’utilisation pratique : Avaler avec un verre d’eau, pendant les repas. Posologie progressive selon les recommandations du médecin.</w:t>
      </w:r>
    </w:p>
    <w:p>
      <w:pPr>
        <w:pStyle w:val="BodyText"/>
      </w:pPr>
      <w:r>
        <w:rPr>
          <w:b/>
          <w:bCs/>
        </w:rPr>
        <w:t xml:space="preserve">Notes, Règles d’Or &amp; Pièges au Comptoir :</w:t>
      </w:r>
      <w:r>
        <w:t xml:space="preserve"> </w:t>
      </w:r>
      <w:r>
        <w:t xml:space="preserve">- Piège classique : Confusion avec les myorelaxants sédatifs (méthocarbamol, thiocolchicoside) — la tolpérisone est le seul non sédatif disponible en Algérie, ce qui la rend de choix chez le conducteur et le sujet actif. Oubli d’expliquer au patient la spécificité (absence de sédation).</w:t>
      </w:r>
      <w:r>
        <w:t xml:space="preserve"> </w:t>
      </w:r>
      <w:r>
        <w:t xml:space="preserve">- Règle de prise : 2-3 prises/jour pendant les repas ; cure 2-4 semaines.</w:t>
      </w:r>
      <w:r>
        <w:t xml:space="preserve"> </w:t>
      </w:r>
      <w:r>
        <w:t xml:space="preserve">- Préparation et Conservation : À température ambiante, à l’abri de l’humidité.</w:t>
      </w:r>
      <w:r>
        <w:t xml:space="preserve"> </w:t>
      </w:r>
      <w:r>
        <w:t xml:space="preserve">- Piège du surdosage / Substitution : Substitution possible entre les différentes marques (MYDOCALM, MYORELAX, MYSOLAX, NEOCALM, SOPRICALM, TOLPECALM, MYOLAXAN, TOLPICALM) — toutes disponibles en comprimé 150 mg pelliculé. Vérifier la bioéquivalence entre génériques.</w:t>
      </w:r>
    </w:p>
    <w:p>
      <w:r>
        <w:pict>
          <v:rect style="width:0;height:1.5pt" o:hralign="center" o:hrstd="t" o:hr="t"/>
        </w:pict>
      </w:r>
    </w:p>
    <w:bookmarkEnd w:id="214"/>
    <w:bookmarkEnd w:id="215"/>
    <w:bookmarkStart w:id="218" w:name="Xe7b349ae0f5aaf06c74a5ba7f65802ff56a6037"/>
    <w:p>
      <w:pPr>
        <w:pStyle w:val="Heading2"/>
      </w:pPr>
      <w:r>
        <w:t xml:space="preserve">9. Antispasmodiques - Dérivés phloroglucinol</w:t>
      </w:r>
    </w:p>
    <w:bookmarkStart w:id="216" w:name="introduction-à-la-sous-classe-14"/>
    <w:p>
      <w:pPr>
        <w:pStyle w:val="Heading3"/>
      </w:pPr>
      <w:r>
        <w:t xml:space="preserve">Introduction à la sous-classe</w:t>
      </w:r>
    </w:p>
    <w:p>
      <w:pPr>
        <w:pStyle w:val="FirstParagraph"/>
      </w:pPr>
      <w:r>
        <w:t xml:space="preserve">Les dérivés du phloroglucinol sont des antispasmodiques non-atropiniques utilisés depuis les années 1950 dans le traitement des douleurs spasmodiques digestives, gynécologiques et urinaires. Le</w:t>
      </w:r>
      <w:r>
        <w:t xml:space="preserve"> </w:t>
      </w:r>
      <w:r>
        <w:rPr>
          <w:b/>
          <w:bCs/>
        </w:rPr>
        <w:t xml:space="preserve">phloroglucinol</w:t>
      </w:r>
      <w:r>
        <w:t xml:space="preserve"> </w:t>
      </w:r>
      <w:r>
        <w:t xml:space="preserve">(1,3,5-trihydroxybenzène) et son dérivé méthylé, le</w:t>
      </w:r>
      <w:r>
        <w:t xml:space="preserve"> </w:t>
      </w:r>
      <w:r>
        <w:rPr>
          <w:b/>
          <w:bCs/>
        </w:rPr>
        <w:t xml:space="preserve">triméthylphloroglucinol</w:t>
      </w:r>
      <w:r>
        <w:t xml:space="preserve">, agissent par</w:t>
      </w:r>
      <w:r>
        <w:t xml:space="preserve"> </w:t>
      </w:r>
      <w:r>
        <w:rPr>
          <w:b/>
          <w:bCs/>
        </w:rPr>
        <w:t xml:space="preserve">inhibition de la phosphodiestérase (PDE4)</w:t>
      </w:r>
      <w:r>
        <w:t xml:space="preserve"> </w:t>
      </w:r>
      <w:r>
        <w:t xml:space="preserve">des cellules musculaires lisses, ce qui augmente les concentrations intracellulaires d’AMPc et entraîne une relaxation musculaire lisse. Ce mécanisme est indépendant des voies cholinergiques, ce qui explique l’absence d’effets anticholinergiques (sécheresse buccale, troubles visuels, tachycardie, rétention urinaire).</w:t>
      </w:r>
    </w:p>
    <w:p>
      <w:pPr>
        <w:pStyle w:val="BodyText"/>
      </w:pPr>
      <w:r>
        <w:t xml:space="preserve">Le phloroglucinol a une biodisponibilité orale modeste, une demi-vie courte (~1-2 h), d’où la nécessité de prises répétées. Il est souvent associé à la siméticone (antiflatulent) dans les formulations antispasmodiques à visée digestive. En Algérie, le phloroglucinol est disponible sous de très nombreuses marques (METEOLAX, METEOXANE, METEOXYL, SIMEXANE, FLOXANE, EUFOR, EVOGLUCINOL, LEVOSPASME, OROSPASM, PHLOROGLUCINOL BGL, etc.) en comprimé orodispersible 80 mg et 160 mg, en solution injectable IM/IV 40 mg/4 mL, et en association avec la siméticone (80 mg/125 mg). Les comprimés orodispersibles sont particulièrement pratiques en cas de nausées ou chez le sujet âgé. Toutes les formes sont en vente libre (hors Liste I pour la majorité), ce qui en fait un antispasmodique de première intention.</w:t>
      </w:r>
    </w:p>
    <w:p>
      <w:r>
        <w:pict>
          <v:rect style="width:0;height:1.5pt" o:hralign="center" o:hrstd="t" o:hr="t"/>
        </w:pict>
      </w:r>
    </w:p>
    <w:bookmarkEnd w:id="216"/>
    <w:bookmarkStart w:id="217" w:name="X470bb1524ff4d72b8f9626260b739f594ebdcd4"/>
    <w:p>
      <w:pPr>
        <w:pStyle w:val="Heading3"/>
      </w:pPr>
      <w:r>
        <w:t xml:space="preserve">15. Phloroglucinol (± triméthylphloroglucinol) (Seule)</w:t>
      </w:r>
    </w:p>
    <w:p>
      <w:pPr>
        <w:pStyle w:val="FirstParagraph"/>
      </w:pPr>
      <w:r>
        <w:rPr>
          <w:b/>
          <w:bCs/>
        </w:rPr>
        <w:t xml:space="preserve">Liste des Catégories :</w:t>
      </w:r>
      <w:r>
        <w:t xml:space="preserve"> </w:t>
      </w:r>
      <w:r>
        <w:t xml:space="preserve">Antispasmodiques - Dérivés phloroglucinol ; Libre et Liste I (selon formes, Algérie).</w:t>
      </w:r>
    </w:p>
    <w:p>
      <w:pPr>
        <w:pStyle w:val="BodyText"/>
      </w:pPr>
      <w:r>
        <w:t xml:space="preserve">Le phloroglucinol (1,3,5-trihydroxybenzène) est un antispasmodique non-atropinique utilisé depuis 1955 (Spasfon®, commercialisé initialement par la Société Lafon puis Teofarma). Il est souvent associé à son dérivé triméthylé, le triméthylphloroglucinol, qui potentialise son effet. Sa biodisponibilité orale est d’environ 30-50 %, sa demi-vie de 1-2 h, d’où la nécessité de prises répétées (3-6 par jour). Il est éliminé par le rein sous forme inchangée et de métabolites conjugués. En Algérie, le phloroglucinol est disponible sous de très nombreuses formes : comprimé orodispersible 80 et 160 mg, solution injectable IM/IV 40 mg/4 mL (parfois associé à la triméthylphloroglucinol 0,04 mg/4 mL), suppositoire 150 mg, gélule 80 mg/125 mg en association avec la siméticone. La multiplicité des formes et marques témoigne de la popularité de cette molécule dans la pratique algérienne.</w:t>
      </w:r>
    </w:p>
    <w:p>
      <w:pPr>
        <w:pStyle w:val="BodyText"/>
      </w:pPr>
      <w:r>
        <w:rPr>
          <w:b/>
          <w:bCs/>
        </w:rPr>
        <w:t xml:space="preserve">Médicaments disponibles en Algérie (Marques, Laboratoires, Formes et Dosages) :</w:t>
      </w:r>
    </w:p>
    <w:p>
      <w:pPr>
        <w:pStyle w:val="BodyText"/>
      </w:pPr>
      <w:r>
        <w:rPr>
          <w:i/>
          <w:iCs/>
        </w:rPr>
        <w:t xml:space="preserve">Associations phloroglucinol + siméticone :</w:t>
      </w:r>
      <w:r>
        <w:t xml:space="preserve"> </w:t>
      </w:r>
      <w:r>
        <w:t xml:space="preserve">-</w:t>
      </w:r>
      <w:r>
        <w:t xml:space="preserve"> </w:t>
      </w:r>
      <w:r>
        <w:rPr>
          <w:b/>
          <w:bCs/>
        </w:rPr>
        <w:t xml:space="preserve">METEOLAX</w:t>
      </w:r>
      <w:r>
        <w:t xml:space="preserve"> </w:t>
      </w:r>
      <w:r>
        <w:t xml:space="preserve">(NEOMEDIC) — Gélule 80 mg/125 mg, B/60, ACTIF</w:t>
      </w:r>
      <w:r>
        <w:t xml:space="preserve"> </w:t>
      </w:r>
      <w:r>
        <w:t xml:space="preserve">-</w:t>
      </w:r>
      <w:r>
        <w:t xml:space="preserve"> </w:t>
      </w:r>
      <w:r>
        <w:rPr>
          <w:b/>
          <w:bCs/>
        </w:rPr>
        <w:t xml:space="preserve">METEOXANE</w:t>
      </w:r>
      <w:r>
        <w:t xml:space="preserve"> </w:t>
      </w:r>
      <w:r>
        <w:t xml:space="preserve">(ALFA WASSERMANN PHARMA) — Gélule 80 mg/125 mg, B/60, ACTIF</w:t>
      </w:r>
      <w:r>
        <w:t xml:space="preserve"> </w:t>
      </w:r>
      <w:r>
        <w:t xml:space="preserve">-</w:t>
      </w:r>
      <w:r>
        <w:t xml:space="preserve"> </w:t>
      </w:r>
      <w:r>
        <w:rPr>
          <w:b/>
          <w:bCs/>
        </w:rPr>
        <w:t xml:space="preserve">METEOXYL</w:t>
      </w:r>
      <w:r>
        <w:t xml:space="preserve"> </w:t>
      </w:r>
      <w:r>
        <w:t xml:space="preserve">(SANAMED) — Comprimé pelliculé 80 mg/125 mg, B/30, ACTIF</w:t>
      </w:r>
      <w:r>
        <w:t xml:space="preserve"> </w:t>
      </w:r>
      <w:r>
        <w:t xml:space="preserve">-</w:t>
      </w:r>
      <w:r>
        <w:t xml:space="preserve"> </w:t>
      </w:r>
      <w:r>
        <w:rPr>
          <w:b/>
          <w:bCs/>
        </w:rPr>
        <w:t xml:space="preserve">SIMEXANE</w:t>
      </w:r>
      <w:r>
        <w:t xml:space="preserve"> </w:t>
      </w:r>
      <w:r>
        <w:t xml:space="preserve">(LABORATOIRES SALEM) — Gélule 80 mg/125 mg, B/60 et B/30, ACTIF</w:t>
      </w:r>
      <w:r>
        <w:t xml:space="preserve"> </w:t>
      </w:r>
      <w:r>
        <w:t xml:space="preserve">-</w:t>
      </w:r>
      <w:r>
        <w:t xml:space="preserve"> </w:t>
      </w:r>
      <w:r>
        <w:rPr>
          <w:b/>
          <w:bCs/>
        </w:rPr>
        <w:t xml:space="preserve">FLOXANE</w:t>
      </w:r>
      <w:r>
        <w:t xml:space="preserve"> </w:t>
      </w:r>
      <w:r>
        <w:t xml:space="preserve">(LABORATOIRE MOBEN) — Gélule 80 mg/125 mg, B/60, ACTIF</w:t>
      </w:r>
    </w:p>
    <w:p>
      <w:pPr>
        <w:pStyle w:val="BodyText"/>
      </w:pPr>
      <w:r>
        <w:rPr>
          <w:i/>
          <w:iCs/>
        </w:rPr>
        <w:t xml:space="preserve">Phloroglucinol + triméthylphloroglucinol (forme injectable) :</w:t>
      </w:r>
      <w:r>
        <w:t xml:space="preserve"> </w:t>
      </w:r>
      <w:r>
        <w:t xml:space="preserve">-</w:t>
      </w:r>
      <w:r>
        <w:t xml:space="preserve"> </w:t>
      </w:r>
      <w:r>
        <w:rPr>
          <w:b/>
          <w:bCs/>
        </w:rPr>
        <w:t xml:space="preserve">PHLOROXIM</w:t>
      </w:r>
      <w:r>
        <w:t xml:space="preserve"> </w:t>
      </w:r>
      <w:r>
        <w:t xml:space="preserve">(BIOTHERA) — Solution injectable 10 mg/0,01 mg/mL (40 mg/0,04 mg/4 mL), B/5, B/6 et B/50 ampoules de 4 mL, LISTE I, ACTIF</w:t>
      </w:r>
      <w:r>
        <w:t xml:space="preserve"> </w:t>
      </w:r>
      <w:r>
        <w:t xml:space="preserve">-</w:t>
      </w:r>
      <w:r>
        <w:t xml:space="preserve"> </w:t>
      </w:r>
      <w:r>
        <w:rPr>
          <w:b/>
          <w:bCs/>
        </w:rPr>
        <w:t xml:space="preserve">SPASMODYL</w:t>
      </w:r>
      <w:r>
        <w:t xml:space="preserve"> </w:t>
      </w:r>
      <w:r>
        <w:t xml:space="preserve">(LES LABORATOIRES FRATER RAZES) — Solution injectable IM/IV 10 mg/0,01 mg/mL (40 mg/0,04 mg/4 mL), B/5 et B/50 ampoules de 4 mL, LISTE I, ACTIF</w:t>
      </w:r>
    </w:p>
    <w:p>
      <w:pPr>
        <w:pStyle w:val="BodyText"/>
      </w:pPr>
      <w:r>
        <w:rPr>
          <w:i/>
          <w:iCs/>
        </w:rPr>
        <w:t xml:space="preserve">Phloroglucinol seul (comprimé orodispersible 80 mg) :</w:t>
      </w:r>
      <w:r>
        <w:t xml:space="preserve"> </w:t>
      </w:r>
      <w:r>
        <w:t xml:space="preserve">-</w:t>
      </w:r>
      <w:r>
        <w:t xml:space="preserve"> </w:t>
      </w:r>
      <w:r>
        <w:rPr>
          <w:b/>
          <w:bCs/>
        </w:rPr>
        <w:t xml:space="preserve">EUFOR</w:t>
      </w:r>
      <w:r>
        <w:t xml:space="preserve"> </w:t>
      </w:r>
      <w:r>
        <w:t xml:space="preserve">(PHARMALLIANCE) — Comprimé orodispersible 80 mg, B/10 et B/30, ACTIF</w:t>
      </w:r>
      <w:r>
        <w:t xml:space="preserve"> </w:t>
      </w:r>
      <w:r>
        <w:t xml:space="preserve">-</w:t>
      </w:r>
      <w:r>
        <w:t xml:space="preserve"> </w:t>
      </w:r>
      <w:r>
        <w:rPr>
          <w:b/>
          <w:bCs/>
        </w:rPr>
        <w:t xml:space="preserve">EVOGLUCINOL</w:t>
      </w:r>
      <w:r>
        <w:t xml:space="preserve"> </w:t>
      </w:r>
      <w:r>
        <w:t xml:space="preserve">(SARL EVOLAB) — Comprimé orodispersible 80 mg, B/10, ACTIF</w:t>
      </w:r>
      <w:r>
        <w:t xml:space="preserve"> </w:t>
      </w:r>
      <w:r>
        <w:t xml:space="preserve">-</w:t>
      </w:r>
      <w:r>
        <w:t xml:space="preserve"> </w:t>
      </w:r>
      <w:r>
        <w:rPr>
          <w:b/>
          <w:bCs/>
        </w:rPr>
        <w:t xml:space="preserve">LEVOSPASME</w:t>
      </w:r>
      <w:r>
        <w:t xml:space="preserve"> </w:t>
      </w:r>
      <w:r>
        <w:t xml:space="preserve">(NADPHARMADIC-PRODUCTION) — Comprimé orodispersible 80 mg, B/10, ACTIF</w:t>
      </w:r>
      <w:r>
        <w:t xml:space="preserve"> </w:t>
      </w:r>
      <w:r>
        <w:t xml:space="preserve">-</w:t>
      </w:r>
      <w:r>
        <w:t xml:space="preserve"> </w:t>
      </w:r>
      <w:r>
        <w:rPr>
          <w:b/>
          <w:bCs/>
        </w:rPr>
        <w:t xml:space="preserve">OROSPASM</w:t>
      </w:r>
      <w:r>
        <w:t xml:space="preserve"> </w:t>
      </w:r>
      <w:r>
        <w:t xml:space="preserve">(SARL API) — Comprimé orodispersible 80 mg, B/10, ACTIF</w:t>
      </w:r>
      <w:r>
        <w:t xml:space="preserve"> </w:t>
      </w:r>
      <w:r>
        <w:t xml:space="preserve">-</w:t>
      </w:r>
      <w:r>
        <w:t xml:space="preserve"> </w:t>
      </w:r>
      <w:r>
        <w:rPr>
          <w:b/>
          <w:bCs/>
        </w:rPr>
        <w:t xml:space="preserve">PHLOROGLUCINOL BGL</w:t>
      </w:r>
      <w:r>
        <w:t xml:space="preserve"> </w:t>
      </w:r>
      <w:r>
        <w:t xml:space="preserve">(BIOGALENIC) — Comprimé orodispersible 80 mg, B/10, ACTIF</w:t>
      </w:r>
      <w:r>
        <w:t xml:space="preserve"> </w:t>
      </w:r>
      <w:r>
        <w:t xml:space="preserve">-</w:t>
      </w:r>
      <w:r>
        <w:t xml:space="preserve"> </w:t>
      </w:r>
      <w:r>
        <w:rPr>
          <w:b/>
          <w:bCs/>
        </w:rPr>
        <w:t xml:space="preserve">PHLOROGLUCINOL HUP</w:t>
      </w:r>
      <w:r>
        <w:t xml:space="preserve"> </w:t>
      </w:r>
      <w:r>
        <w:t xml:space="preserve">(HUPP PHARMA) — Comprimé orodispersible 80 mg, B/10, ACTIF</w:t>
      </w:r>
      <w:r>
        <w:t xml:space="preserve"> </w:t>
      </w:r>
      <w:r>
        <w:t xml:space="preserve">-</w:t>
      </w:r>
      <w:r>
        <w:t xml:space="preserve"> </w:t>
      </w:r>
      <w:r>
        <w:rPr>
          <w:b/>
          <w:bCs/>
        </w:rPr>
        <w:t xml:space="preserve">PHLOROGLUCINOL IVAL</w:t>
      </w:r>
      <w:r>
        <w:t xml:space="preserve"> </w:t>
      </w:r>
      <w:r>
        <w:t xml:space="preserve">(WORLD MEDECINE LIMITED) — Comprimé orodispersible 80 mg, B/10, ACTIF</w:t>
      </w:r>
      <w:r>
        <w:t xml:space="preserve"> </w:t>
      </w:r>
      <w:r>
        <w:t xml:space="preserve">-</w:t>
      </w:r>
      <w:r>
        <w:t xml:space="preserve"> </w:t>
      </w:r>
      <w:r>
        <w:rPr>
          <w:b/>
          <w:bCs/>
        </w:rPr>
        <w:t xml:space="preserve">PHLOROGLUCINOL MM</w:t>
      </w:r>
      <w:r>
        <w:t xml:space="preserve"> </w:t>
      </w:r>
      <w:r>
        <w:t xml:space="preserve">(LABORATOIRES MM) — Comprimé orodispersible 80 mg, B/10, ACTIF</w:t>
      </w:r>
      <w:r>
        <w:t xml:space="preserve"> </w:t>
      </w:r>
      <w:r>
        <w:t xml:space="preserve">-</w:t>
      </w:r>
      <w:r>
        <w:t xml:space="preserve"> </w:t>
      </w:r>
      <w:r>
        <w:rPr>
          <w:b/>
          <w:bCs/>
        </w:rPr>
        <w:t xml:space="preserve">PHLOROGLUCINOL PHYSIOPHARM</w:t>
      </w:r>
      <w:r>
        <w:t xml:space="preserve"> </w:t>
      </w:r>
      <w:r>
        <w:t xml:space="preserve">(PHYSIOPHARM LABORATOIRES) — Comprimé orodispersible 80 mg, B/10, ACTIF</w:t>
      </w:r>
      <w:r>
        <w:t xml:space="preserve"> </w:t>
      </w:r>
      <w:r>
        <w:t xml:space="preserve">-</w:t>
      </w:r>
      <w:r>
        <w:t xml:space="preserve"> </w:t>
      </w:r>
      <w:r>
        <w:rPr>
          <w:b/>
          <w:bCs/>
        </w:rPr>
        <w:t xml:space="preserve">PHLOROXIM</w:t>
      </w:r>
      <w:r>
        <w:t xml:space="preserve"> </w:t>
      </w:r>
      <w:r>
        <w:t xml:space="preserve">(BIOCARE) — Comprimé orodispersible 80 mg, B/10, ACTIF</w:t>
      </w:r>
      <w:r>
        <w:t xml:space="preserve"> </w:t>
      </w:r>
      <w:r>
        <w:t xml:space="preserve">-</w:t>
      </w:r>
      <w:r>
        <w:t xml:space="preserve"> </w:t>
      </w:r>
      <w:r>
        <w:rPr>
          <w:b/>
          <w:bCs/>
        </w:rPr>
        <w:t xml:space="preserve">PHLOSPASM</w:t>
      </w:r>
      <w:r>
        <w:t xml:space="preserve"> </w:t>
      </w:r>
      <w:r>
        <w:t xml:space="preserve">(TASSILI ARAB PHARMACEUTICAL CO) — Comprimé orodispersible 80 mg, B/20, ACTIF</w:t>
      </w:r>
      <w:r>
        <w:t xml:space="preserve"> </w:t>
      </w:r>
      <w:r>
        <w:t xml:space="preserve">-</w:t>
      </w:r>
      <w:r>
        <w:t xml:space="preserve"> </w:t>
      </w:r>
      <w:r>
        <w:rPr>
          <w:b/>
          <w:bCs/>
        </w:rPr>
        <w:t xml:space="preserve">SPACINOL</w:t>
      </w:r>
      <w:r>
        <w:t xml:space="preserve"> </w:t>
      </w:r>
      <w:r>
        <w:t xml:space="preserve">(LABORATOIRES DE DIAGNOSTIC MAGHREBINS-LDM) — Comprimé orodispersible 80 mg, B/10 et B/20, ACTIF</w:t>
      </w:r>
      <w:r>
        <w:t xml:space="preserve"> </w:t>
      </w:r>
      <w:r>
        <w:t xml:space="preserve">-</w:t>
      </w:r>
      <w:r>
        <w:t xml:space="preserve"> </w:t>
      </w:r>
      <w:r>
        <w:rPr>
          <w:b/>
          <w:bCs/>
        </w:rPr>
        <w:t xml:space="preserve">SPACYL</w:t>
      </w:r>
      <w:r>
        <w:t xml:space="preserve"> </w:t>
      </w:r>
      <w:r>
        <w:t xml:space="preserve">(LABORATOIRES MERINAL) — Comprimé orodispersible 80 mg, B/10 et B/20, ACTIF</w:t>
      </w:r>
      <w:r>
        <w:t xml:space="preserve"> </w:t>
      </w:r>
      <w:r>
        <w:t xml:space="preserve">-</w:t>
      </w:r>
      <w:r>
        <w:t xml:space="preserve"> </w:t>
      </w:r>
      <w:r>
        <w:rPr>
          <w:b/>
          <w:bCs/>
        </w:rPr>
        <w:t xml:space="preserve">SPASFODINE</w:t>
      </w:r>
      <w:r>
        <w:t xml:space="preserve"> </w:t>
      </w:r>
      <w:r>
        <w:t xml:space="preserve">(SANAMED) — Comprimé orodispersible 80 mg, B/10, ACTIF</w:t>
      </w:r>
      <w:r>
        <w:t xml:space="preserve"> </w:t>
      </w:r>
      <w:r>
        <w:t xml:space="preserve">-</w:t>
      </w:r>
      <w:r>
        <w:t xml:space="preserve"> </w:t>
      </w:r>
      <w:r>
        <w:rPr>
          <w:b/>
          <w:bCs/>
        </w:rPr>
        <w:t xml:space="preserve">SPASFOMEX</w:t>
      </w:r>
      <w:r>
        <w:t xml:space="preserve"> </w:t>
      </w:r>
      <w:r>
        <w:t xml:space="preserve">(KPMA BIOTIC) — Comprimé orodispersible 80 mg, B/10, ACTIF</w:t>
      </w:r>
      <w:r>
        <w:t xml:space="preserve"> </w:t>
      </w:r>
      <w:r>
        <w:t xml:space="preserve">-</w:t>
      </w:r>
      <w:r>
        <w:t xml:space="preserve"> </w:t>
      </w:r>
      <w:r>
        <w:rPr>
          <w:b/>
          <w:bCs/>
        </w:rPr>
        <w:t xml:space="preserve">SPASLAM</w:t>
      </w:r>
      <w:r>
        <w:t xml:space="preserve"> </w:t>
      </w:r>
      <w:r>
        <w:t xml:space="preserve">(LABORATOIRE ALGERIEN DU MEDICAMENT) — Comprimé orodispersible 80 mg, B/10, ACTIF</w:t>
      </w:r>
      <w:r>
        <w:t xml:space="preserve"> </w:t>
      </w:r>
      <w:r>
        <w:t xml:space="preserve">-</w:t>
      </w:r>
      <w:r>
        <w:t xml:space="preserve"> </w:t>
      </w:r>
      <w:r>
        <w:rPr>
          <w:b/>
          <w:bCs/>
        </w:rPr>
        <w:t xml:space="preserve">SPASMODYL</w:t>
      </w:r>
      <w:r>
        <w:t xml:space="preserve"> </w:t>
      </w:r>
      <w:r>
        <w:t xml:space="preserve">(FRATER-RAZES FORME SECHE) — Comprimé orodispersible 80 mg, B/10, ACTIF</w:t>
      </w:r>
      <w:r>
        <w:t xml:space="preserve"> </w:t>
      </w:r>
      <w:r>
        <w:t xml:space="preserve">-</w:t>
      </w:r>
      <w:r>
        <w:t xml:space="preserve"> </w:t>
      </w:r>
      <w:r>
        <w:rPr>
          <w:b/>
          <w:bCs/>
        </w:rPr>
        <w:t xml:space="preserve">SPASGEN</w:t>
      </w:r>
      <w:r>
        <w:t xml:space="preserve"> </w:t>
      </w:r>
      <w:r>
        <w:t xml:space="preserve">(GOE PHARM) — Comprimé orodispersible 80 mg, B/10, ACTIF</w:t>
      </w:r>
      <w:r>
        <w:t xml:space="preserve"> </w:t>
      </w:r>
      <w:r>
        <w:t xml:space="preserve">-</w:t>
      </w:r>
      <w:r>
        <w:t xml:space="preserve"> </w:t>
      </w:r>
      <w:r>
        <w:rPr>
          <w:b/>
          <w:bCs/>
        </w:rPr>
        <w:t xml:space="preserve">SPASMOL</w:t>
      </w:r>
      <w:r>
        <w:t xml:space="preserve"> </w:t>
      </w:r>
      <w:r>
        <w:t xml:space="preserve">(LABORATOIRES SALEM) — Comprimé orodispersible 80 mg, B/10, ACTIF</w:t>
      </w:r>
    </w:p>
    <w:p>
      <w:pPr>
        <w:pStyle w:val="BodyText"/>
      </w:pPr>
      <w:r>
        <w:rPr>
          <w:i/>
          <w:iCs/>
        </w:rPr>
        <w:t xml:space="preserve">Phloroglucinol seul (solution injectable IM/IV) :</w:t>
      </w:r>
      <w:r>
        <w:t xml:space="preserve"> </w:t>
      </w:r>
      <w:r>
        <w:t xml:space="preserve">-</w:t>
      </w:r>
      <w:r>
        <w:t xml:space="preserve"> </w:t>
      </w:r>
      <w:r>
        <w:rPr>
          <w:b/>
          <w:bCs/>
        </w:rPr>
        <w:t xml:space="preserve">SPAFON</w:t>
      </w:r>
      <w:r>
        <w:t xml:space="preserve"> </w:t>
      </w:r>
      <w:r>
        <w:t xml:space="preserve">(HUPP PHARMA) — Solution injectable IM/IV 40 mg/4 mL, B/10 ampoules de 4 mL, ACTIF</w:t>
      </w:r>
      <w:r>
        <w:t xml:space="preserve"> </w:t>
      </w:r>
      <w:r>
        <w:t xml:space="preserve">-</w:t>
      </w:r>
      <w:r>
        <w:t xml:space="preserve"> </w:t>
      </w:r>
      <w:r>
        <w:rPr>
          <w:b/>
          <w:bCs/>
        </w:rPr>
        <w:t xml:space="preserve">SPASGEN</w:t>
      </w:r>
      <w:r>
        <w:t xml:space="preserve"> </w:t>
      </w:r>
      <w:r>
        <w:t xml:space="preserve">(GEOPHARM) — Solution injectable IV/IM 40 mg/4 mL, B/10 et B/50 ampoules de 4 mL, LISTE I, ACTIF</w:t>
      </w:r>
      <w:r>
        <w:t xml:space="preserve"> </w:t>
      </w:r>
      <w:r>
        <w:t xml:space="preserve">-</w:t>
      </w:r>
      <w:r>
        <w:t xml:space="preserve"> </w:t>
      </w:r>
      <w:r>
        <w:rPr>
          <w:b/>
          <w:bCs/>
        </w:rPr>
        <w:t xml:space="preserve">SPASMEX</w:t>
      </w:r>
      <w:r>
        <w:t xml:space="preserve"> </w:t>
      </w:r>
      <w:r>
        <w:t xml:space="preserve">(SCHARPER SPA) — Solution injectable IV/IM 40 mg/4 mL, B/10 ampoules de 4 mL, ACTIF</w:t>
      </w:r>
    </w:p>
    <w:p>
      <w:pPr>
        <w:pStyle w:val="BodyText"/>
      </w:pPr>
      <w:r>
        <w:rPr>
          <w:i/>
          <w:iCs/>
        </w:rPr>
        <w:t xml:space="preserve">Phloroglucinol seul (comprimé orodispersible 160 mg) :</w:t>
      </w:r>
      <w:r>
        <w:t xml:space="preserve"> </w:t>
      </w:r>
      <w:r>
        <w:t xml:space="preserve">-</w:t>
      </w:r>
      <w:r>
        <w:t xml:space="preserve"> </w:t>
      </w:r>
      <w:r>
        <w:rPr>
          <w:b/>
          <w:bCs/>
        </w:rPr>
        <w:t xml:space="preserve">LEVOSPASME</w:t>
      </w:r>
      <w:r>
        <w:t xml:space="preserve"> </w:t>
      </w:r>
      <w:r>
        <w:t xml:space="preserve">(NADPHARMADIC-PRODUCTION) — Comprimé orodispersible 160 mg, B/10, ACTIF</w:t>
      </w:r>
      <w:r>
        <w:t xml:space="preserve"> </w:t>
      </w:r>
      <w:r>
        <w:t xml:space="preserve">-</w:t>
      </w:r>
      <w:r>
        <w:t xml:space="preserve"> </w:t>
      </w:r>
      <w:r>
        <w:rPr>
          <w:b/>
          <w:bCs/>
        </w:rPr>
        <w:t xml:space="preserve">PHLOROGLUCINOL HUP</w:t>
      </w:r>
      <w:r>
        <w:t xml:space="preserve"> </w:t>
      </w:r>
      <w:r>
        <w:t xml:space="preserve">(HUPP PHARMA) — Comprimé orodispersible 160 mg, B/20, LISTE I, ACTIF</w:t>
      </w:r>
      <w:r>
        <w:t xml:space="preserve"> </w:t>
      </w:r>
      <w:r>
        <w:t xml:space="preserve">-</w:t>
      </w:r>
      <w:r>
        <w:t xml:space="preserve"> </w:t>
      </w:r>
      <w:r>
        <w:rPr>
          <w:b/>
          <w:bCs/>
        </w:rPr>
        <w:t xml:space="preserve">PHLOSPAM</w:t>
      </w:r>
      <w:r>
        <w:t xml:space="preserve"> </w:t>
      </w:r>
      <w:r>
        <w:t xml:space="preserve">(TASSILI ARAB PHARMACEUTICAL CO) — Comprimé orodispersible 160 mg, B/20, ACTIF</w:t>
      </w:r>
      <w:r>
        <w:t xml:space="preserve"> </w:t>
      </w:r>
      <w:r>
        <w:t xml:space="preserve">-</w:t>
      </w:r>
      <w:r>
        <w:t xml:space="preserve"> </w:t>
      </w:r>
      <w:r>
        <w:rPr>
          <w:b/>
          <w:bCs/>
        </w:rPr>
        <w:t xml:space="preserve">SPACINOL</w:t>
      </w:r>
      <w:r>
        <w:t xml:space="preserve"> </w:t>
      </w:r>
      <w:r>
        <w:t xml:space="preserve">(LABORATOIRES DE DIAGNOSTIC MAGHREBINS-LDM) — Comprimé orodispersible 160 mg, B/10 et B/20, ACTIF</w:t>
      </w:r>
      <w:r>
        <w:t xml:space="preserve"> </w:t>
      </w:r>
      <w:r>
        <w:t xml:space="preserve">-</w:t>
      </w:r>
      <w:r>
        <w:t xml:space="preserve"> </w:t>
      </w:r>
      <w:r>
        <w:rPr>
          <w:b/>
          <w:bCs/>
        </w:rPr>
        <w:t xml:space="preserve">SPASMODYL</w:t>
      </w:r>
      <w:r>
        <w:t xml:space="preserve"> </w:t>
      </w:r>
      <w:r>
        <w:t xml:space="preserve">(FRATER-RAZES FORME SECHE) — Comprimé orodispersible 160 mg, B/10, ACTIF</w:t>
      </w:r>
      <w:r>
        <w:t xml:space="preserve"> </w:t>
      </w:r>
      <w:r>
        <w:t xml:space="preserve">-</w:t>
      </w:r>
      <w:r>
        <w:t xml:space="preserve"> </w:t>
      </w:r>
      <w:r>
        <w:rPr>
          <w:b/>
          <w:bCs/>
        </w:rPr>
        <w:t xml:space="preserve">SPACYL 160</w:t>
      </w:r>
      <w:r>
        <w:t xml:space="preserve"> </w:t>
      </w:r>
      <w:r>
        <w:t xml:space="preserve">(LABORATOIRES MERINAL) — Comprimé orodispersible 160 mg, B/10, ACTIF</w:t>
      </w:r>
      <w:r>
        <w:t xml:space="preserve"> </w:t>
      </w:r>
      <w:r>
        <w:t xml:space="preserve">-</w:t>
      </w:r>
      <w:r>
        <w:t xml:space="preserve"> </w:t>
      </w:r>
      <w:r>
        <w:rPr>
          <w:b/>
          <w:bCs/>
        </w:rPr>
        <w:t xml:space="preserve">SPASMOL</w:t>
      </w:r>
      <w:r>
        <w:t xml:space="preserve"> </w:t>
      </w:r>
      <w:r>
        <w:t xml:space="preserve">(LABORATOIRES SALEM) — Comprimé orodispersible 160 mg, B/10, ACTIF</w:t>
      </w:r>
      <w:r>
        <w:t xml:space="preserve"> </w:t>
      </w:r>
      <w:r>
        <w:t xml:space="preserve">-</w:t>
      </w:r>
      <w:r>
        <w:t xml:space="preserve"> </w:t>
      </w:r>
      <w:r>
        <w:rPr>
          <w:b/>
          <w:bCs/>
        </w:rPr>
        <w:t xml:space="preserve">PHLOROGLUCINOL BGL</w:t>
      </w:r>
      <w:r>
        <w:t xml:space="preserve"> </w:t>
      </w:r>
      <w:r>
        <w:t xml:space="preserve">(BIOGALENIC) — Comprimé orodispersible 160 mg, B/10, ACTIF</w:t>
      </w:r>
    </w:p>
    <w:p>
      <w:pPr>
        <w:pStyle w:val="BodyText"/>
      </w:pPr>
      <w:r>
        <w:rPr>
          <w:i/>
          <w:iCs/>
        </w:rPr>
        <w:t xml:space="preserve">Formes Non Renouvelables (historiques) :</w:t>
      </w:r>
      <w:r>
        <w:t xml:space="preserve"> </w:t>
      </w:r>
      <w:r>
        <w:t xml:space="preserve">-</w:t>
      </w:r>
      <w:r>
        <w:t xml:space="preserve"> </w:t>
      </w:r>
      <w:r>
        <w:rPr>
          <w:b/>
          <w:bCs/>
        </w:rPr>
        <w:t xml:space="preserve">GESPASON</w:t>
      </w:r>
      <w:r>
        <w:t xml:space="preserve"> </w:t>
      </w:r>
      <w:r>
        <w:t xml:space="preserve">(ARAB PHARM) — Suppositoire 150 mg, B/10, NON_RENOUVELABLE</w:t>
      </w:r>
      <w:r>
        <w:t xml:space="preserve"> </w:t>
      </w:r>
      <w:r>
        <w:t xml:space="preserve">-</w:t>
      </w:r>
      <w:r>
        <w:t xml:space="preserve"> </w:t>
      </w:r>
      <w:r>
        <w:rPr>
          <w:b/>
          <w:bCs/>
        </w:rPr>
        <w:t xml:space="preserve">SPASMOL</w:t>
      </w:r>
      <w:r>
        <w:t xml:space="preserve"> </w:t>
      </w:r>
      <w:r>
        <w:t xml:space="preserve">(SALEM) — Suppositoire 150 mg, B/10, NON_RENOUVELABLE</w:t>
      </w:r>
      <w:r>
        <w:t xml:space="preserve"> </w:t>
      </w:r>
      <w:r>
        <w:t xml:space="preserve">-</w:t>
      </w:r>
      <w:r>
        <w:t xml:space="preserve"> </w:t>
      </w:r>
      <w:r>
        <w:rPr>
          <w:b/>
          <w:bCs/>
        </w:rPr>
        <w:t xml:space="preserve">FLOSAS</w:t>
      </w:r>
      <w:r>
        <w:t xml:space="preserve"> </w:t>
      </w:r>
      <w:r>
        <w:t xml:space="preserve">(GROUPE SAIDAL) — Suppositoire 150 mg/150 mg, B/10, NON_RENOUVELABLE</w:t>
      </w:r>
      <w:r>
        <w:t xml:space="preserve"> </w:t>
      </w:r>
      <w:r>
        <w:t xml:space="preserve">-</w:t>
      </w:r>
      <w:r>
        <w:t xml:space="preserve"> </w:t>
      </w:r>
      <w:r>
        <w:rPr>
          <w:b/>
          <w:bCs/>
        </w:rPr>
        <w:t xml:space="preserve">SPASMINE</w:t>
      </w:r>
      <w:r>
        <w:t xml:space="preserve"> </w:t>
      </w:r>
      <w:r>
        <w:t xml:space="preserve">(4A SANTE INDUSTRIE SARL) — Suppositoire 150 mg/150 mg, B/10, NON_RENOUVELABLE</w:t>
      </w:r>
      <w:r>
        <w:t xml:space="preserve"> </w:t>
      </w:r>
      <w:r>
        <w:t xml:space="preserve">-</w:t>
      </w:r>
      <w:r>
        <w:t xml:space="preserve"> </w:t>
      </w:r>
      <w:r>
        <w:rPr>
          <w:b/>
          <w:bCs/>
        </w:rPr>
        <w:t xml:space="preserve">SPASMEFF</w:t>
      </w:r>
      <w:r>
        <w:t xml:space="preserve"> </w:t>
      </w:r>
      <w:r>
        <w:t xml:space="preserve">(ALGERIAN PHARMACEUTICAL INSTITUTE - API) — Comprimé effervescent 80 mg, T/10, NON_RENOUVELABLE</w:t>
      </w:r>
    </w:p>
    <w:p>
      <w:pPr>
        <w:pStyle w:val="BodyText"/>
      </w:pPr>
      <w:r>
        <w:rPr>
          <w:i/>
          <w:iCs/>
        </w:rPr>
        <w:t xml:space="preserve">Formes Retirées (R) :</w:t>
      </w:r>
      <w:r>
        <w:t xml:space="preserve"> </w:t>
      </w:r>
      <w:r>
        <w:t xml:space="preserve">-</w:t>
      </w:r>
      <w:r>
        <w:t xml:space="preserve"> </w:t>
      </w:r>
      <w:r>
        <w:rPr>
          <w:b/>
          <w:bCs/>
        </w:rPr>
        <w:t xml:space="preserve">SPASFON</w:t>
      </w:r>
      <w:r>
        <w:t xml:space="preserve"> </w:t>
      </w:r>
      <w:r>
        <w:t xml:space="preserve">(CEPHALON) — Comprimé enrobé 80 mg, B/30, RETRAIT</w:t>
      </w:r>
      <w:r>
        <w:t xml:space="preserve"> </w:t>
      </w:r>
      <w:r>
        <w:t xml:space="preserve">-</w:t>
      </w:r>
      <w:r>
        <w:t xml:space="preserve"> </w:t>
      </w:r>
      <w:r>
        <w:rPr>
          <w:b/>
          <w:bCs/>
        </w:rPr>
        <w:t xml:space="preserve">SPASFON</w:t>
      </w:r>
      <w:r>
        <w:t xml:space="preserve"> </w:t>
      </w:r>
      <w:r>
        <w:t xml:space="preserve">(CEPHALON) — Solution injectable 10 mg/0,01 mg/mL (40 mg/0,04 mg/4 mL), B/6 ampoules de 4 mL, RETRAIT</w:t>
      </w:r>
      <w:r>
        <w:t xml:space="preserve"> </w:t>
      </w:r>
      <w:r>
        <w:t xml:space="preserve">-</w:t>
      </w:r>
      <w:r>
        <w:t xml:space="preserve"> </w:t>
      </w:r>
      <w:r>
        <w:rPr>
          <w:b/>
          <w:bCs/>
        </w:rPr>
        <w:t xml:space="preserve">PHLOCINAL</w:t>
      </w:r>
      <w:r>
        <w:t xml:space="preserve"> </w:t>
      </w:r>
      <w:r>
        <w:t xml:space="preserve">(SOPHAL SPA) — Solution injectable IM/IV 10 mg/0,01 mg/mL (40 mg/0,04 mg/4 mL), B/6 et B/100 ampoules de 4 mL, RETRAIT</w:t>
      </w:r>
      <w:r>
        <w:t xml:space="preserve"> </w:t>
      </w:r>
      <w:r>
        <w:t xml:space="preserve">-</w:t>
      </w:r>
      <w:r>
        <w:t xml:space="preserve"> </w:t>
      </w:r>
      <w:r>
        <w:rPr>
          <w:b/>
          <w:bCs/>
        </w:rPr>
        <w:t xml:space="preserve">SPASFON</w:t>
      </w:r>
      <w:r>
        <w:t xml:space="preserve"> </w:t>
      </w:r>
      <w:r>
        <w:t xml:space="preserve">(CEPHALON) — Suppositoire 150 mg, B/10, RETRAIT</w:t>
      </w:r>
      <w:r>
        <w:t xml:space="preserve"> </w:t>
      </w:r>
      <w:r>
        <w:t xml:space="preserve">-</w:t>
      </w:r>
      <w:r>
        <w:t xml:space="preserve"> </w:t>
      </w:r>
      <w:r>
        <w:rPr>
          <w:b/>
          <w:bCs/>
        </w:rPr>
        <w:t xml:space="preserve">FLOCINOL</w:t>
      </w:r>
      <w:r>
        <w:t xml:space="preserve"> </w:t>
      </w:r>
      <w:r>
        <w:t xml:space="preserve">(LPA) — Suppositoire 150 mg/150 mg, B/10, RETRAIT</w:t>
      </w:r>
      <w:r>
        <w:t xml:space="preserve"> </w:t>
      </w:r>
      <w:r>
        <w:t xml:space="preserve">-</w:t>
      </w:r>
      <w:r>
        <w:t xml:space="preserve"> </w:t>
      </w:r>
      <w:r>
        <w:rPr>
          <w:b/>
          <w:bCs/>
        </w:rPr>
        <w:t xml:space="preserve">SPASFON LYOC</w:t>
      </w:r>
      <w:r>
        <w:t xml:space="preserve"> </w:t>
      </w:r>
      <w:r>
        <w:t xml:space="preserve">(CEPHALON) — Lyophilisat oral 80 mg, B/10, RETRAIT</w:t>
      </w:r>
      <w:r>
        <w:t xml:space="preserve"> </w:t>
      </w:r>
      <w:r>
        <w:t xml:space="preserve">-</w:t>
      </w:r>
      <w:r>
        <w:t xml:space="preserve"> </w:t>
      </w:r>
      <w:r>
        <w:rPr>
          <w:b/>
          <w:bCs/>
        </w:rPr>
        <w:t xml:space="preserve">PHLOROGLUCINOL MYLAN</w:t>
      </w:r>
      <w:r>
        <w:t xml:space="preserve"> </w:t>
      </w:r>
      <w:r>
        <w:t xml:space="preserve">(MYLAN SAS) — Comprimé orodispersible 80 mg, B/10, RETRAIT</w:t>
      </w:r>
    </w:p>
    <w:p>
      <w:pPr>
        <w:pStyle w:val="BodyText"/>
      </w:pPr>
      <w:r>
        <w:rPr>
          <w:b/>
          <w:bCs/>
        </w:rPr>
        <w:t xml:space="preserve">Sous-classe et Mécanisme d’action :</w:t>
      </w:r>
      <w:r>
        <w:t xml:space="preserve"> </w:t>
      </w:r>
      <w:r>
        <w:t xml:space="preserve">- Sous-classe : Antispasmodique non-atropinique de la classe des dérivés phloroglucinol ; action musculotrope directe.</w:t>
      </w:r>
      <w:r>
        <w:t xml:space="preserve"> </w:t>
      </w:r>
      <w:r>
        <w:t xml:space="preserve">- Mécanisme d’action : Inhibition de la phosphodiestérase 4 (PDE4) des cellules musculaires lisses → augmentation de l’AMPc intracellulaire → relaxation des fibres musculaires lisses (digestives, biliaires, urinaires, utérines, génitales). Action indépendante des voies cholinergiques → absence d’effets anticholinergiques (sécheresse buccale, troubles visuels, tachycardie, rétention). Biodisponibilité ~30-50 %, demi-vie ~1-2 h, élimination rénale.</w:t>
      </w:r>
    </w:p>
    <w:p>
      <w:pPr>
        <w:pStyle w:val="BodyText"/>
      </w:pPr>
      <w:r>
        <w:rPr>
          <w:b/>
          <w:bCs/>
        </w:rPr>
        <w:t xml:space="preserve">Profil Pharmacologique :</w:t>
      </w:r>
      <w:r>
        <w:t xml:space="preserve"> </w:t>
      </w:r>
      <w:r>
        <w:t xml:space="preserve">- Indications : Douleurs spasmodiques digestives (douleurs abdominales, syndromes coliques, ballonnements, dyspepsies, douleurs biliaires), gynécologiques (dysménorrhée, contractions utérines au cours de la grossesse, algies pelviennes), et urinaires (coliques néphrétiques en complément des AINS, de la conduite d’élimination du calcul). En obstétrique : participation à la préparation colique pour examens (Foley).</w:t>
      </w:r>
      <w:r>
        <w:t xml:space="preserve"> </w:t>
      </w:r>
      <w:r>
        <w:t xml:space="preserve">- Contre-indications : Hypersensibilité ; angle fermé du glaucome (par principe, malgré l’absence d’effet anticholinergique pur) ; allaitement (par prudence) ; association phloroglucinol injectable + alcool (risque de réaction disulfiram-like avec la triméthylphloroglucinol).</w:t>
      </w:r>
      <w:r>
        <w:t xml:space="preserve"> </w:t>
      </w:r>
      <w:r>
        <w:t xml:space="preserve">- Effets Indésirables : Très bien toléré ; possibles : nausées, éruptions cutanées, allergie ; forme injectable : sensibilité au point d’injection, hypotension transitoire (en cas d’IV trop rapide), très rarement choc anaphylactique.</w:t>
      </w:r>
    </w:p>
    <w:p>
      <w:pPr>
        <w:pStyle w:val="BodyText"/>
      </w:pPr>
      <w:r>
        <w:rPr>
          <w:b/>
          <w:bCs/>
        </w:rPr>
        <w:t xml:space="preserve">Prévention et Gestion des Effets Indésirables :</w:t>
      </w:r>
      <w:r>
        <w:t xml:space="preserve"> </w:t>
      </w:r>
      <w:r>
        <w:t xml:space="preserve">- Mesures Préventives : Pour la forme injectable IV : injection lente (1-2 min), patient en position couchée. Toujours vérifier l’absence d’allergie connue.</w:t>
      </w:r>
      <w:r>
        <w:t xml:space="preserve"> </w:t>
      </w:r>
      <w:r>
        <w:t xml:space="preserve">- Conduite à Tenir : En cas d’éruption cutanée : arrêt et consultation. En cas de malaise après injection IV : position allongée, surveillance tensionnelle.</w:t>
      </w:r>
    </w:p>
    <w:p>
      <w:pPr>
        <w:pStyle w:val="BodyText"/>
      </w:pPr>
      <w:r>
        <w:rPr>
          <w:b/>
          <w:bCs/>
        </w:rPr>
        <w:t xml:space="preserve">Interactions Importantes :</w:t>
      </w:r>
      <w:r>
        <w:t xml:space="preserve"> </w:t>
      </w:r>
      <w:r>
        <w:t xml:space="preserve">-</w:t>
      </w:r>
      <w:r>
        <w:t xml:space="preserve"> </w:t>
      </w:r>
      <w:r>
        <w:rPr>
          <w:b/>
          <w:bCs/>
        </w:rPr>
        <w:t xml:space="preserve">Phloroglucinol + autres antispasmodiques</w:t>
      </w:r>
      <w:r>
        <w:t xml:space="preserve"> </w:t>
      </w:r>
      <w:r>
        <w:t xml:space="preserve">: effet additif (surveillance, surtout en association avec anticholinergiques).</w:t>
      </w:r>
      <w:r>
        <w:t xml:space="preserve"> </w:t>
      </w:r>
      <w:r>
        <w:t xml:space="preserve">-</w:t>
      </w:r>
      <w:r>
        <w:t xml:space="preserve"> </w:t>
      </w:r>
      <w:r>
        <w:rPr>
          <w:b/>
          <w:bCs/>
        </w:rPr>
        <w:t xml:space="preserve">Phloroglucinol (forme injectable) + alcool</w:t>
      </w:r>
      <w:r>
        <w:t xml:space="preserve"> </w:t>
      </w:r>
      <w:r>
        <w:t xml:space="preserve">: réaction disulfiram-like (nausées, vomissements, flush) — à éviter pendant 48-72 h après injection.</w:t>
      </w:r>
      <w:r>
        <w:t xml:space="preserve"> </w:t>
      </w:r>
      <w:r>
        <w:t xml:space="preserve">-</w:t>
      </w:r>
      <w:r>
        <w:t xml:space="preserve"> </w:t>
      </w:r>
      <w:r>
        <w:rPr>
          <w:b/>
          <w:bCs/>
        </w:rPr>
        <w:t xml:space="preserve">Phloroglucinol + antiarythmiques</w:t>
      </w:r>
      <w:r>
        <w:t xml:space="preserve"> </w:t>
      </w:r>
      <w:r>
        <w:t xml:space="preserve">(lidocaïne, quinidiniques) : surveillance cardiaque en cas d’injection IV.</w:t>
      </w:r>
    </w:p>
    <w:p>
      <w:pPr>
        <w:pStyle w:val="BodyText"/>
      </w:pPr>
      <w:r>
        <w:rPr>
          <w:b/>
          <w:bCs/>
        </w:rPr>
        <w:t xml:space="preserve">Grossesse et Allaitement :</w:t>
      </w:r>
      <w:r>
        <w:t xml:space="preserve"> </w:t>
      </w:r>
      <w:r>
        <w:t xml:space="preserve">- Grossesse : Compatible (données humaines nombreuses rassurantes, notamment en obstétrique ; CRAT favorable). Utilisable pendant toute la grossesse en cas de nécessité (contractions utérines, douleurs spasmodiques gravidiques).</w:t>
      </w:r>
      <w:r>
        <w:t xml:space="preserve"> </w:t>
      </w:r>
      <w:r>
        <w:t xml:space="preserve">- Allaitement : Compatible (faible passage dans le lait, faible toxicité pour le nourrisson).</w:t>
      </w:r>
      <w:r>
        <w:t xml:space="preserve"> </w:t>
      </w:r>
      <w:r>
        <w:t xml:space="preserve">- Précisions : Le phloroglucinol est l’antispasmodique de choix pendant la grossesse.</w:t>
      </w:r>
    </w:p>
    <w:p>
      <w:pPr>
        <w:pStyle w:val="BodyText"/>
      </w:pPr>
      <w:r>
        <w:rPr>
          <w:b/>
          <w:bCs/>
        </w:rPr>
        <w:t xml:space="preserve">Posologie et Mode d’administration (Standard) :</w:t>
      </w:r>
      <w:r>
        <w:t xml:space="preserve"> </w:t>
      </w:r>
      <w:r>
        <w:t xml:space="preserve">- Adulte (comprimé orodispersible 80 mg) : 1 comprimé × 3-6/jour, à laisser fondre sur la langue.</w:t>
      </w:r>
      <w:r>
        <w:t xml:space="preserve"> </w:t>
      </w:r>
      <w:r>
        <w:t xml:space="preserve">- Adulte (comprimé orodispersible 160 mg) : 1 comprimé × 1-3/jour.</w:t>
      </w:r>
      <w:r>
        <w:t xml:space="preserve"> </w:t>
      </w:r>
      <w:r>
        <w:t xml:space="preserve">- Adulte (gélule 80 mg/125 mg avec siméticone) : 1 gélule × 3/jour (avant ou pendant les repas pour la composante siméticone antiflatulente).</w:t>
      </w:r>
      <w:r>
        <w:t xml:space="preserve"> </w:t>
      </w:r>
      <w:r>
        <w:t xml:space="preserve">- Adulte (solution injectable IM/IV 40 mg/4 mL) : 1 ampoule IM ou IV lente, à répéter si besoin après 6 h.</w:t>
      </w:r>
      <w:r>
        <w:t xml:space="preserve"> </w:t>
      </w:r>
      <w:r>
        <w:t xml:space="preserve">- Adulte (suppositoire 150 mg) : 1 suppositoire × 1-3/jour.</w:t>
      </w:r>
      <w:r>
        <w:t xml:space="preserve"> </w:t>
      </w:r>
      <w:r>
        <w:t xml:space="preserve">- Enfant &gt;6 ans (comprimé orodispersible 80 mg) : 1 comprimé × 3/jour.</w:t>
      </w:r>
      <w:r>
        <w:t xml:space="preserve"> </w:t>
      </w:r>
      <w:r>
        <w:t xml:space="preserve">- Enfant &gt;2 ans (lyophilisat oral 80 mg) : 1/2 comprimé × 3/jour.</w:t>
      </w:r>
      <w:r>
        <w:t xml:space="preserve"> </w:t>
      </w:r>
      <w:r>
        <w:t xml:space="preserve">- Nourrisson (solution buvable en gouttes, non disponible en Algérie mais existe) : 1 goutte/kg × 3/jour.</w:t>
      </w:r>
      <w:r>
        <w:t xml:space="preserve"> </w:t>
      </w:r>
      <w:r>
        <w:t xml:space="preserve">- Durée : Quelques jours pour la crise aiguë ; au long cours possible en cas de syndrome fonctionnel chronique.</w:t>
      </w:r>
      <w:r>
        <w:t xml:space="preserve"> </w:t>
      </w:r>
      <w:r>
        <w:t xml:space="preserve">- Moment de prise : Indépendant des repas. Pour la forme associée à la siméticone : pendant ou après les repas (effet antiflatulent).</w:t>
      </w:r>
    </w:p>
    <w:p>
      <w:pPr>
        <w:pStyle w:val="BodyText"/>
      </w:pPr>
      <w:r>
        <w:rPr>
          <w:b/>
          <w:bCs/>
        </w:rPr>
        <w:t xml:space="preserve">Arbitrage et Bénéfices des Formes Galéniques :</w:t>
      </w:r>
      <w:r>
        <w:t xml:space="preserve"> </w:t>
      </w:r>
      <w:r>
        <w:t xml:space="preserve">-</w:t>
      </w:r>
      <w:r>
        <w:t xml:space="preserve"> </w:t>
      </w:r>
      <w:r>
        <w:rPr>
          <w:b/>
          <w:bCs/>
        </w:rPr>
        <w:t xml:space="preserve">Comprimé orodispersible 80 mg</w:t>
      </w:r>
      <w:r>
        <w:t xml:space="preserve"> </w:t>
      </w:r>
      <w:r>
        <w:t xml:space="preserve">: forme de référence, idéale en cas de nausées (fond sur la langue sans eau), pratique pour le sujet âgé et l’enfant. Conditionnements en boîte de 10 ou 30 (couverture de quelques jours à un mois).</w:t>
      </w:r>
      <w:r>
        <w:t xml:space="preserve"> </w:t>
      </w:r>
      <w:r>
        <w:t xml:space="preserve">-</w:t>
      </w:r>
      <w:r>
        <w:t xml:space="preserve"> </w:t>
      </w:r>
      <w:r>
        <w:rPr>
          <w:b/>
          <w:bCs/>
        </w:rPr>
        <w:t xml:space="preserve">Comprimé orodispersible 160 mg</w:t>
      </w:r>
      <w:r>
        <w:t xml:space="preserve"> </w:t>
      </w:r>
      <w:r>
        <w:t xml:space="preserve">: forme à dose double, pratique pour l’adulte nécessitant 3 prises/jour de 80 mg → 1 prise × 3/jour de 160 mg réduit le nombre de comprimés.</w:t>
      </w:r>
      <w:r>
        <w:t xml:space="preserve"> </w:t>
      </w:r>
      <w:r>
        <w:t xml:space="preserve">-</w:t>
      </w:r>
      <w:r>
        <w:t xml:space="preserve"> </w:t>
      </w:r>
      <w:r>
        <w:rPr>
          <w:b/>
          <w:bCs/>
        </w:rPr>
        <w:t xml:space="preserve">Solution injectable IM/IV</w:t>
      </w:r>
      <w:r>
        <w:t xml:space="preserve"> </w:t>
      </w:r>
      <w:r>
        <w:t xml:space="preserve">: usage hospitalier ou en urgence (colique néphrétique, douleur aiguë obstétricale). Liste I pour la forme associée à la triméthylphloroglucinol.</w:t>
      </w:r>
      <w:r>
        <w:t xml:space="preserve"> </w:t>
      </w:r>
      <w:r>
        <w:t xml:space="preserve">-</w:t>
      </w:r>
      <w:r>
        <w:t xml:space="preserve"> </w:t>
      </w:r>
      <w:r>
        <w:rPr>
          <w:b/>
          <w:bCs/>
        </w:rPr>
        <w:t xml:space="preserve">Suppositoire 150 mg</w:t>
      </w:r>
      <w:r>
        <w:t xml:space="preserve"> </w:t>
      </w:r>
      <w:r>
        <w:t xml:space="preserve">: utile en cas de vomissements (forme non renouvelable en Algérie pour l’instant).</w:t>
      </w:r>
      <w:r>
        <w:t xml:space="preserve"> </w:t>
      </w:r>
      <w:r>
        <w:t xml:space="preserve">-</w:t>
      </w:r>
      <w:r>
        <w:t xml:space="preserve"> </w:t>
      </w:r>
      <w:r>
        <w:rPr>
          <w:b/>
          <w:bCs/>
        </w:rPr>
        <w:t xml:space="preserve">Gélule 80 mg/125 mg avec siméticone</w:t>
      </w:r>
      <w:r>
        <w:t xml:space="preserve"> </w:t>
      </w:r>
      <w:r>
        <w:t xml:space="preserve">: indiquée pour les douleurs abdominales avec ballonnement (effet antispasmodique + antiflatulent).</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de l’intestin (et de la vessie, de l’utérus). Prenez-le à la demande, 3 à 6 fois par jour selon la douleur. Le comprimé fond sur la langue, vous n’avez pas besoin d’eau. Il n’y a pas d’effets secondaires majeurs et il peut être pris pendant la grossesse. Si vous avez une douleur très forte ou qui dure, consultez votre médecin.</w:t>
      </w:r>
      <w:r>
        <w:t xml:space="preserve">”</w:t>
      </w:r>
      <w:r>
        <w:t xml:space="preserve"> </w:t>
      </w:r>
      <w:r>
        <w:t xml:space="preserve">- Mode d’utilisation pratique : Déposer le comprimé orodispersible sur la langue, le laisser fondre et avaler avec la salive. Pour la solution injectable IM/IV : administration par un professionnel de santé (IV lente, en 1-2 min, patient couché).</w:t>
      </w:r>
    </w:p>
    <w:p>
      <w:pPr>
        <w:pStyle w:val="BodyText"/>
      </w:pPr>
      <w:r>
        <w:rPr>
          <w:b/>
          <w:bCs/>
        </w:rPr>
        <w:t xml:space="preserve">Notes, Règles d’Or &amp; Pièges au Comptoir :</w:t>
      </w:r>
      <w:r>
        <w:t xml:space="preserve"> </w:t>
      </w:r>
      <w:r>
        <w:t xml:space="preserve">- Piège classique : Patient qui utilise le phloroglucinol à forte dose pendant des semaines sans avis médical pour des douleurs abdominales chroniques non explorées (risque de masquer une pathologie sous-jacente : appendicite, occlusion, cancer colorectal). Oubli de demander si la patiente est enceinte ou allaite (le phloroglucinol est compatible mais il faut vérifier).</w:t>
      </w:r>
      <w:r>
        <w:t xml:space="preserve"> </w:t>
      </w:r>
      <w:r>
        <w:t xml:space="preserve">- Règle de prise : 3-6 prises/jour à la demande ; arrêt si douleur non soulagée ou récidivante → consultation.</w:t>
      </w:r>
      <w:r>
        <w:t xml:space="preserve"> </w:t>
      </w:r>
      <w:r>
        <w:t xml:space="preserve">- Préparation et Conservation : À température ambiante, à l’abri de l’humidité. Les comprimés orodispersibles sont particulièrement sensibles à l’humidité (conserver dans leur emballage d’origine).</w:t>
      </w:r>
      <w:r>
        <w:t xml:space="preserve"> </w:t>
      </w:r>
      <w:r>
        <w:t xml:space="preserve">- Piège du surdosage / Substitution : La multiplicité des marques (≈ 20 marques actives) rend la substitution facile mais nécessite de vérifier la forme galénique (80 vs 160 mg, OD vs injectable). Substitution possible entre génériques équivalents (SPASGEN, SPASMODYL, PHLOROGLUCINOL BGL, EUFOR, etc.).</w:t>
      </w:r>
    </w:p>
    <w:p>
      <w:r>
        <w:pict>
          <v:rect style="width:0;height:1.5pt" o:hralign="center" o:hrstd="t" o:hr="t"/>
        </w:pict>
      </w:r>
    </w:p>
    <w:bookmarkEnd w:id="217"/>
    <w:bookmarkEnd w:id="218"/>
    <w:bookmarkStart w:id="221" w:name="X17e24c326a80ffed238f1104df0ef0c0baa3b32"/>
    <w:p>
      <w:pPr>
        <w:pStyle w:val="Heading2"/>
      </w:pPr>
      <w:r>
        <w:t xml:space="preserve">10. Antispasmodiques - Agonistes opioïdes périphériques</w:t>
      </w:r>
    </w:p>
    <w:bookmarkStart w:id="219" w:name="introduction-à-la-sous-classe-15"/>
    <w:p>
      <w:pPr>
        <w:pStyle w:val="Heading3"/>
      </w:pPr>
      <w:r>
        <w:t xml:space="preserve">Introduction à la sous-classe</w:t>
      </w:r>
    </w:p>
    <w:p>
      <w:pPr>
        <w:pStyle w:val="FirstParagraph"/>
      </w:pPr>
      <w:r>
        <w:t xml:space="preserve">Les antispasmodiques de la classe des agonistes opioïdes périphériques agissent en</w:t>
      </w:r>
      <w:r>
        <w:t xml:space="preserve"> </w:t>
      </w:r>
      <w:r>
        <w:rPr>
          <w:b/>
          <w:bCs/>
        </w:rPr>
        <w:t xml:space="preserve">stimulant les récepteurs opioïdes μ, κ et δ</w:t>
      </w:r>
      <w:r>
        <w:t xml:space="preserve"> </w:t>
      </w:r>
      <w:r>
        <w:t xml:space="preserve">présents sur les terminaisons nerveuses du système entérique. Cette stimulation module la neurotransmission cholinergique et non-cholinergique au niveau du plexus myentérique, ce qui régule le péristaltisme intestinal (action à la fois inhibitrice et stimulatrice selon le niveau de l’axe digestif). La</w:t>
      </w:r>
      <w:r>
        <w:t xml:space="preserve"> </w:t>
      </w:r>
      <w:r>
        <w:rPr>
          <w:b/>
          <w:bCs/>
        </w:rPr>
        <w:t xml:space="preserve">trimébutine</w:t>
      </w:r>
      <w:r>
        <w:t xml:space="preserve"> </w:t>
      </w:r>
      <w:r>
        <w:t xml:space="preserve">est le représentant principal de cette classe, commercialisée depuis 1969 sous le nom de Debridat®. Elle a un effet</w:t>
      </w:r>
      <w:r>
        <w:t xml:space="preserve"> </w:t>
      </w:r>
      <w:r>
        <w:t xml:space="preserve">“</w:t>
      </w:r>
      <w:r>
        <w:t xml:space="preserve">régulateur</w:t>
      </w:r>
      <w:r>
        <w:t xml:space="preserve">”</w:t>
      </w:r>
      <w:r>
        <w:t xml:space="preserve"> </w:t>
      </w:r>
      <w:r>
        <w:t xml:space="preserve">: elle diminue le péristaltisme excessif (diarrhée) et augmente le péristaltisme diminué (constipation), ce qui en fait un traitement de choix du syndrome de l’intestin irritable (SII).</w:t>
      </w:r>
    </w:p>
    <w:p>
      <w:pPr>
        <w:pStyle w:val="BodyText"/>
      </w:pPr>
      <w:r>
        <w:t xml:space="preserve">La trimébutine est faiblement lipophile et ne traverse pas la barrière hémato-encéphalique de manière significative, ce qui explique l’absence d’effets centraux (pas de sédation, pas de dépendance, pas de dépression respiratoire). Sa biodisponibilité orale est de 5-10 % (effet de premier passage), sa demi-vie de 2-3 h. Elle est métabolisée par le foie en métabolites actifs. En Algérie, la trimébutine est disponible en comprimé 100 et 200 mg, en granulé pour suspension buvable en sachets et en flacon, en suppositoire 100 mg, en Liste II. Elle est aussi présente en association (HEMORECT, HEMOLOG, PROCTOLON — suppositoires 120 mg/10 mg avec lidocaïne ; crème rectale 5,8 %/0,5 % avec lidocaïne) pour les indications proctologiques.</w:t>
      </w:r>
    </w:p>
    <w:p>
      <w:r>
        <w:pict>
          <v:rect style="width:0;height:1.5pt" o:hralign="center" o:hrstd="t" o:hr="t"/>
        </w:pict>
      </w:r>
    </w:p>
    <w:bookmarkEnd w:id="219"/>
    <w:bookmarkStart w:id="220" w:name="trimébutine-ruscogénines-seule"/>
    <w:p>
      <w:pPr>
        <w:pStyle w:val="Heading3"/>
      </w:pPr>
      <w:r>
        <w:t xml:space="preserve">16. Trimébutine (± ruscogénines) (Seule)</w:t>
      </w:r>
    </w:p>
    <w:p>
      <w:pPr>
        <w:pStyle w:val="FirstParagraph"/>
      </w:pPr>
      <w:r>
        <w:rPr>
          <w:b/>
          <w:bCs/>
        </w:rPr>
        <w:t xml:space="preserve">Liste des Catégories :</w:t>
      </w:r>
      <w:r>
        <w:t xml:space="preserve"> </w:t>
      </w:r>
      <w:r>
        <w:t xml:space="preserve">Antispasmodiques - Agonistes opioïdes périphériques ; Liste II (Algérie).</w:t>
      </w:r>
    </w:p>
    <w:p>
      <w:pPr>
        <w:pStyle w:val="BodyText"/>
      </w:pPr>
      <w:r>
        <w:t xml:space="preserve">La trimébutine (commercialisée depuis 1969 sous le nom de Debridat®) est un agoniste opioïde périphérique μ, κ et δ utilisé dans le traitement symptomatique des troubles fonctionnels intestinaux. Sa biodisponibilité orale est modeste (5-10 %) en raison d’un effet de premier passage hépatique important, mais ses métabolites (notamment le N-monodéméthyltrimébutine) sont actifs. Sa demi-vie est d’environ 2-3 h. La trimébutine est un</w:t>
      </w:r>
      <w:r>
        <w:t xml:space="preserve"> </w:t>
      </w:r>
      <w:r>
        <w:t xml:space="preserve">“</w:t>
      </w:r>
      <w:r>
        <w:t xml:space="preserve">régulateur</w:t>
      </w:r>
      <w:r>
        <w:t xml:space="preserve">”</w:t>
      </w:r>
      <w:r>
        <w:t xml:space="preserve"> </w:t>
      </w:r>
      <w:r>
        <w:t xml:space="preserve">du péristaltisme : elle stimule les récepteurs μ (inhibition de l’acétylcholine, ralentissement du transit) et les récepteurs κ/δ (effets variés selon le segment digestif), ce qui en fait un traitement de choix du syndrome de l’intestin irritable alternant (mixte diarrhée-constipation). En Algérie, la trimébutine est disponible sous de nombreuses formes et marques : comprimé 100 et 200 mg (DEBRIDAT, GASTRIMED, SAPBRIDATE, TRANSACALM, TRIBEMEX, TRIMEBUTINE B, TRIMEBUTINE BIOCARE, OPTIDAT, DEBRITINE), granulé pour suspension buvable en flacon ou en sachets (COLOSTOP, DEBRITINE, TRIMEDAT, TRIMEBUTINE SAIDAL, etc.), suppositoire 100 mg (DEBRICALM, TRIMEDAT, DIGESTAT), et associations proctologiques avec lidocaïne (HEMORECT, HEMOLOG, PROCTOLON). Toutes les formes sont en Liste II.</w:t>
      </w:r>
    </w:p>
    <w:p>
      <w:pPr>
        <w:pStyle w:val="BodyText"/>
      </w:pPr>
      <w:r>
        <w:rPr>
          <w:b/>
          <w:bCs/>
        </w:rPr>
        <w:t xml:space="preserve">Médicaments disponibles en Algérie (Marques, Laboratoires, Formes et Dosages) :</w:t>
      </w:r>
    </w:p>
    <w:p>
      <w:pPr>
        <w:pStyle w:val="BodyText"/>
      </w:pPr>
      <w:r>
        <w:rPr>
          <w:i/>
          <w:iCs/>
        </w:rPr>
        <w:t xml:space="preserve">Trimébutine seule (comprimé 100 mg) :</w:t>
      </w:r>
      <w:r>
        <w:t xml:space="preserve"> </w:t>
      </w:r>
      <w:r>
        <w:t xml:space="preserve">-</w:t>
      </w:r>
      <w:r>
        <w:t xml:space="preserve"> </w:t>
      </w:r>
      <w:r>
        <w:rPr>
          <w:b/>
          <w:bCs/>
        </w:rPr>
        <w:t xml:space="preserve">DEBRIDAT</w:t>
      </w:r>
      <w:r>
        <w:t xml:space="preserve"> </w:t>
      </w:r>
      <w:r>
        <w:t xml:space="preserve">(UPJOHN SAIDAL PHARMA) — Comprimé pelliculé 100 mg, B/20, ACTIF</w:t>
      </w:r>
      <w:r>
        <w:t xml:space="preserve"> </w:t>
      </w:r>
      <w:r>
        <w:t xml:space="preserve">-</w:t>
      </w:r>
      <w:r>
        <w:t xml:space="preserve"> </w:t>
      </w:r>
      <w:r>
        <w:rPr>
          <w:b/>
          <w:bCs/>
        </w:rPr>
        <w:t xml:space="preserve">GASTRIMED</w:t>
      </w:r>
      <w:r>
        <w:t xml:space="preserve"> </w:t>
      </w:r>
      <w:r>
        <w:t xml:space="preserve">(WORLD MEDECINE LIMITED) — Comprimé 100 mg, B/20, ACTIF</w:t>
      </w:r>
      <w:r>
        <w:t xml:space="preserve"> </w:t>
      </w:r>
      <w:r>
        <w:t xml:space="preserve">-</w:t>
      </w:r>
      <w:r>
        <w:t xml:space="preserve"> </w:t>
      </w:r>
      <w:r>
        <w:rPr>
          <w:b/>
          <w:bCs/>
        </w:rPr>
        <w:t xml:space="preserve">SAPBRIDATE</w:t>
      </w:r>
      <w:r>
        <w:t xml:space="preserve"> </w:t>
      </w:r>
      <w:r>
        <w:t xml:space="preserve">(FRATER-RAZES FORME SECHE) — Comprimé 100 mg, B/20, ACTIF</w:t>
      </w:r>
      <w:r>
        <w:t xml:space="preserve"> </w:t>
      </w:r>
      <w:r>
        <w:t xml:space="preserve">-</w:t>
      </w:r>
      <w:r>
        <w:t xml:space="preserve"> </w:t>
      </w:r>
      <w:r>
        <w:rPr>
          <w:b/>
          <w:bCs/>
        </w:rPr>
        <w:t xml:space="preserve">TRANSACALM</w:t>
      </w:r>
      <w:r>
        <w:t xml:space="preserve"> </w:t>
      </w:r>
      <w:r>
        <w:t xml:space="preserve">(SANDOZ) — Comprimé 100 mg, B/30, ACTIF</w:t>
      </w:r>
      <w:r>
        <w:t xml:space="preserve"> </w:t>
      </w:r>
      <w:r>
        <w:t xml:space="preserve">-</w:t>
      </w:r>
      <w:r>
        <w:t xml:space="preserve"> </w:t>
      </w:r>
      <w:r>
        <w:rPr>
          <w:b/>
          <w:bCs/>
        </w:rPr>
        <w:t xml:space="preserve">TRIBEMEX</w:t>
      </w:r>
      <w:r>
        <w:t xml:space="preserve"> </w:t>
      </w:r>
      <w:r>
        <w:t xml:space="preserve">(KPMA BIOTIC) — Comprimé 100 mg, B/20, ACTIF</w:t>
      </w:r>
      <w:r>
        <w:t xml:space="preserve"> </w:t>
      </w:r>
      <w:r>
        <w:t xml:space="preserve">-</w:t>
      </w:r>
      <w:r>
        <w:t xml:space="preserve"> </w:t>
      </w:r>
      <w:r>
        <w:rPr>
          <w:b/>
          <w:bCs/>
        </w:rPr>
        <w:t xml:space="preserve">TRIMEBUTINE B</w:t>
      </w:r>
      <w:r>
        <w:t xml:space="preserve"> </w:t>
      </w:r>
      <w:r>
        <w:t xml:space="preserve">(BIOGALENIC) — Comprimé 100 mg, B/20, ACTIF</w:t>
      </w:r>
      <w:r>
        <w:t xml:space="preserve"> </w:t>
      </w:r>
      <w:r>
        <w:t xml:space="preserve">-</w:t>
      </w:r>
      <w:r>
        <w:t xml:space="preserve"> </w:t>
      </w:r>
      <w:r>
        <w:rPr>
          <w:b/>
          <w:bCs/>
        </w:rPr>
        <w:t xml:space="preserve">TRIMEBUTINE BIOCARE</w:t>
      </w:r>
      <w:r>
        <w:t xml:space="preserve"> </w:t>
      </w:r>
      <w:r>
        <w:t xml:space="preserve">(BIOCARE) — Comprimé pelliculé 100 mg, B/20, ACTIF</w:t>
      </w:r>
    </w:p>
    <w:p>
      <w:pPr>
        <w:pStyle w:val="BodyText"/>
      </w:pPr>
      <w:r>
        <w:rPr>
          <w:i/>
          <w:iCs/>
        </w:rPr>
        <w:t xml:space="preserve">Trimébutine seule (granulé pour suspension buvable en flacon, 4,8 mg/mL) :</w:t>
      </w:r>
      <w:r>
        <w:t xml:space="preserve"> </w:t>
      </w:r>
      <w:r>
        <w:t xml:space="preserve">-</w:t>
      </w:r>
      <w:r>
        <w:t xml:space="preserve"> </w:t>
      </w:r>
      <w:r>
        <w:rPr>
          <w:b/>
          <w:bCs/>
        </w:rPr>
        <w:t xml:space="preserve">COLOSTOP</w:t>
      </w:r>
      <w:r>
        <w:t xml:space="preserve"> </w:t>
      </w:r>
      <w:r>
        <w:t xml:space="preserve">(PHYSIOPHARM LABORATOIRES) — Granulé pour suspension buvable en flacon 0,787 g/100 g (4,8 mg/mL), FL/250 mL, ACTIF</w:t>
      </w:r>
      <w:r>
        <w:t xml:space="preserve"> </w:t>
      </w:r>
      <w:r>
        <w:t xml:space="preserve">-</w:t>
      </w:r>
      <w:r>
        <w:t xml:space="preserve"> </w:t>
      </w:r>
      <w:r>
        <w:rPr>
          <w:b/>
          <w:bCs/>
        </w:rPr>
        <w:t xml:space="preserve">DEBRITINE</w:t>
      </w:r>
      <w:r>
        <w:t xml:space="preserve"> </w:t>
      </w:r>
      <w:r>
        <w:t xml:space="preserve">(HUPP PHARMA) — Granulé pour suspension buvable en flacon 0,787 g/100 g (4,8 mg/mL), FL/250 mL, ACTIF</w:t>
      </w:r>
      <w:r>
        <w:t xml:space="preserve"> </w:t>
      </w:r>
      <w:r>
        <w:t xml:space="preserve">-</w:t>
      </w:r>
      <w:r>
        <w:t xml:space="preserve"> </w:t>
      </w:r>
      <w:r>
        <w:rPr>
          <w:b/>
          <w:bCs/>
        </w:rPr>
        <w:t xml:space="preserve">TRIMEBUTINE-B</w:t>
      </w:r>
      <w:r>
        <w:t xml:space="preserve"> </w:t>
      </w:r>
      <w:r>
        <w:t xml:space="preserve">(BIOGALENIC) — Granulé pour suspension buvable en flacon 0,787 g/100 g (4,8 mg/mL), FL/250 mL, ACTIF</w:t>
      </w:r>
      <w:r>
        <w:t xml:space="preserve"> </w:t>
      </w:r>
      <w:r>
        <w:t xml:space="preserve">-</w:t>
      </w:r>
      <w:r>
        <w:t xml:space="preserve"> </w:t>
      </w:r>
      <w:r>
        <w:rPr>
          <w:b/>
          <w:bCs/>
        </w:rPr>
        <w:t xml:space="preserve">TRIMEDAT</w:t>
      </w:r>
      <w:r>
        <w:t xml:space="preserve"> </w:t>
      </w:r>
      <w:r>
        <w:t xml:space="preserve">(LIFEPHARMASPA-ITALFARMACO GROUPE) — Granulé pour suspension buvable en flacon 0,787 g/100 g (4,8 mg/mL), FL/250 mL, ACTIF</w:t>
      </w:r>
    </w:p>
    <w:p>
      <w:pPr>
        <w:pStyle w:val="BodyText"/>
      </w:pPr>
      <w:r>
        <w:rPr>
          <w:i/>
          <w:iCs/>
        </w:rPr>
        <w:t xml:space="preserve">Trimébutine seule (granulé pour solution buvable en sachets) :</w:t>
      </w:r>
      <w:r>
        <w:t xml:space="preserve"> </w:t>
      </w:r>
      <w:r>
        <w:t xml:space="preserve">-</w:t>
      </w:r>
      <w:r>
        <w:t xml:space="preserve"> </w:t>
      </w:r>
      <w:r>
        <w:rPr>
          <w:b/>
          <w:bCs/>
        </w:rPr>
        <w:t xml:space="preserve">TRIMEBUTINE SAIDAL</w:t>
      </w:r>
      <w:r>
        <w:t xml:space="preserve"> </w:t>
      </w:r>
      <w:r>
        <w:t xml:space="preserve">(GROUPE SAIDAL) — Granulé pour solution buvable en sachets-dose 74,4 mg/sachet-dose, B/20 et B/30, ACTIF</w:t>
      </w:r>
    </w:p>
    <w:p>
      <w:pPr>
        <w:pStyle w:val="BodyText"/>
      </w:pPr>
      <w:r>
        <w:rPr>
          <w:i/>
          <w:iCs/>
        </w:rPr>
        <w:t xml:space="preserve">Trimébutine seule (suppositoire 100 mg) :</w:t>
      </w:r>
      <w:r>
        <w:t xml:space="preserve"> </w:t>
      </w:r>
      <w:r>
        <w:t xml:space="preserve">-</w:t>
      </w:r>
      <w:r>
        <w:t xml:space="preserve"> </w:t>
      </w:r>
      <w:r>
        <w:rPr>
          <w:b/>
          <w:bCs/>
        </w:rPr>
        <w:t xml:space="preserve">DEBRICALM</w:t>
      </w:r>
      <w:r>
        <w:t xml:space="preserve"> </w:t>
      </w:r>
      <w:r>
        <w:t xml:space="preserve">(4A SANTE INDUSTRIE) — Suppositoire 100 mg, B/10, ACTIF</w:t>
      </w:r>
    </w:p>
    <w:p>
      <w:pPr>
        <w:pStyle w:val="BodyText"/>
      </w:pPr>
      <w:r>
        <w:rPr>
          <w:i/>
          <w:iCs/>
        </w:rPr>
        <w:t xml:space="preserve">Trimébutine seule (comprimé 200 mg) :</w:t>
      </w:r>
      <w:r>
        <w:t xml:space="preserve"> </w:t>
      </w:r>
      <w:r>
        <w:t xml:space="preserve">-</w:t>
      </w:r>
      <w:r>
        <w:t xml:space="preserve"> </w:t>
      </w:r>
      <w:r>
        <w:rPr>
          <w:b/>
          <w:bCs/>
        </w:rPr>
        <w:t xml:space="preserve">COLOSTOP</w:t>
      </w:r>
      <w:r>
        <w:t xml:space="preserve"> </w:t>
      </w:r>
      <w:r>
        <w:t xml:space="preserve">(PHYSIOPHARM LABORATOIRES) — Comprimé 200 mg, B/30, ACTIF</w:t>
      </w:r>
      <w:r>
        <w:t xml:space="preserve"> </w:t>
      </w:r>
      <w:r>
        <w:t xml:space="preserve">-</w:t>
      </w:r>
      <w:r>
        <w:t xml:space="preserve"> </w:t>
      </w:r>
      <w:r>
        <w:rPr>
          <w:b/>
          <w:bCs/>
        </w:rPr>
        <w:t xml:space="preserve">DEBRIDAT</w:t>
      </w:r>
      <w:r>
        <w:t xml:space="preserve"> </w:t>
      </w:r>
      <w:r>
        <w:t xml:space="preserve">(UPJOHN SAIDAL PHARMA) — Comprimé pelliculé 200 mg, B/30, ACTIF</w:t>
      </w:r>
      <w:r>
        <w:t xml:space="preserve"> </w:t>
      </w:r>
      <w:r>
        <w:t xml:space="preserve">-</w:t>
      </w:r>
      <w:r>
        <w:t xml:space="preserve"> </w:t>
      </w:r>
      <w:r>
        <w:rPr>
          <w:b/>
          <w:bCs/>
        </w:rPr>
        <w:t xml:space="preserve">DEBRITINE</w:t>
      </w:r>
      <w:r>
        <w:t xml:space="preserve"> </w:t>
      </w:r>
      <w:r>
        <w:t xml:space="preserve">(HUPP PHARMA) — Comprimé 200 mg, B/30, ACTIF</w:t>
      </w:r>
      <w:r>
        <w:t xml:space="preserve"> </w:t>
      </w:r>
      <w:r>
        <w:t xml:space="preserve">-</w:t>
      </w:r>
      <w:r>
        <w:t xml:space="preserve"> </w:t>
      </w:r>
      <w:r>
        <w:rPr>
          <w:b/>
          <w:bCs/>
        </w:rPr>
        <w:t xml:space="preserve">OPTIDAT</w:t>
      </w:r>
      <w:r>
        <w:t xml:space="preserve"> </w:t>
      </w:r>
      <w:r>
        <w:t xml:space="preserve">(SARL OPTIPHARM) — Comprimé 200 mg, B/30, ACTIF</w:t>
      </w:r>
      <w:r>
        <w:t xml:space="preserve"> </w:t>
      </w:r>
      <w:r>
        <w:t xml:space="preserve">-</w:t>
      </w:r>
      <w:r>
        <w:t xml:space="preserve"> </w:t>
      </w:r>
      <w:r>
        <w:rPr>
          <w:b/>
          <w:bCs/>
        </w:rPr>
        <w:t xml:space="preserve">TRIBEMEX</w:t>
      </w:r>
      <w:r>
        <w:t xml:space="preserve"> </w:t>
      </w:r>
      <w:r>
        <w:t xml:space="preserve">(KPMA BIOTIC) — Comprimé 200 mg, B/30, ACTIF</w:t>
      </w:r>
      <w:r>
        <w:t xml:space="preserve"> </w:t>
      </w:r>
      <w:r>
        <w:t xml:space="preserve">-</w:t>
      </w:r>
      <w:r>
        <w:t xml:space="preserve"> </w:t>
      </w:r>
      <w:r>
        <w:rPr>
          <w:b/>
          <w:bCs/>
        </w:rPr>
        <w:t xml:space="preserve">TRIMEBUTINE B</w:t>
      </w:r>
      <w:r>
        <w:t xml:space="preserve"> </w:t>
      </w:r>
      <w:r>
        <w:t xml:space="preserve">(BIOGALENIC) — Comprimé 200 mg, B/30, ACTIF</w:t>
      </w:r>
      <w:r>
        <w:t xml:space="preserve"> </w:t>
      </w:r>
      <w:r>
        <w:t xml:space="preserve">-</w:t>
      </w:r>
      <w:r>
        <w:t xml:space="preserve"> </w:t>
      </w:r>
      <w:r>
        <w:rPr>
          <w:b/>
          <w:bCs/>
        </w:rPr>
        <w:t xml:space="preserve">TRIMEBUTINE BIOCARE</w:t>
      </w:r>
      <w:r>
        <w:t xml:space="preserve"> </w:t>
      </w:r>
      <w:r>
        <w:t xml:space="preserve">(BIOCARE) — Comprimé pelliculé 200 mg, B/30, ACTIF</w:t>
      </w:r>
    </w:p>
    <w:p>
      <w:pPr>
        <w:pStyle w:val="BodyText"/>
      </w:pPr>
      <w:r>
        <w:rPr>
          <w:i/>
          <w:iCs/>
        </w:rPr>
        <w:t xml:space="preserve">Formes Non Renouvelables :</w:t>
      </w:r>
      <w:r>
        <w:t xml:space="preserve"> </w:t>
      </w:r>
      <w:r>
        <w:t xml:space="preserve">-</w:t>
      </w:r>
      <w:r>
        <w:t xml:space="preserve"> </w:t>
      </w:r>
      <w:r>
        <w:rPr>
          <w:b/>
          <w:bCs/>
        </w:rPr>
        <w:t xml:space="preserve">COLOSTOP</w:t>
      </w:r>
      <w:r>
        <w:t xml:space="preserve"> </w:t>
      </w:r>
      <w:r>
        <w:t xml:space="preserve">(PHYSIOPHARM SARL) — Comprimé 100 mg, B/20, NON_RENOUVELABLE</w:t>
      </w:r>
      <w:r>
        <w:t xml:space="preserve"> </w:t>
      </w:r>
      <w:r>
        <w:t xml:space="preserve">-</w:t>
      </w:r>
      <w:r>
        <w:t xml:space="preserve"> </w:t>
      </w:r>
      <w:r>
        <w:rPr>
          <w:b/>
          <w:bCs/>
        </w:rPr>
        <w:t xml:space="preserve">TRIMEBUTINE HUP</w:t>
      </w:r>
      <w:r>
        <w:t xml:space="preserve"> </w:t>
      </w:r>
      <w:r>
        <w:t xml:space="preserve">(HUP.P.PHARMA SARL) — Comprimé 100 mg, B/30, NON_RENOUVELABLE</w:t>
      </w:r>
      <w:r>
        <w:t xml:space="preserve"> </w:t>
      </w:r>
      <w:r>
        <w:t xml:space="preserve">-</w:t>
      </w:r>
      <w:r>
        <w:t xml:space="preserve"> </w:t>
      </w:r>
      <w:r>
        <w:rPr>
          <w:b/>
          <w:bCs/>
        </w:rPr>
        <w:t xml:space="preserve">TRIMEBUTINE-AGD</w:t>
      </w:r>
      <w:r>
        <w:t xml:space="preserve"> </w:t>
      </w:r>
      <w:r>
        <w:t xml:space="preserve">(ALGERIEN GENERIC DEVELOPPEMENT PHARM - AGD PHARM) — Comprimé 100 mg, B/20, NON_RENOUVELABLE</w:t>
      </w:r>
      <w:r>
        <w:t xml:space="preserve"> </w:t>
      </w:r>
      <w:r>
        <w:t xml:space="preserve">-</w:t>
      </w:r>
      <w:r>
        <w:t xml:space="preserve"> </w:t>
      </w:r>
      <w:r>
        <w:rPr>
          <w:b/>
          <w:bCs/>
        </w:rPr>
        <w:t xml:space="preserve">TRIMEBUTINE IVAL</w:t>
      </w:r>
      <w:r>
        <w:t xml:space="preserve"> </w:t>
      </w:r>
      <w:r>
        <w:t xml:space="preserve">(PHARMA IVAL) — Comprimé 100 mg, B/20, NON_RENOUVELABLE</w:t>
      </w:r>
      <w:r>
        <w:t xml:space="preserve"> </w:t>
      </w:r>
      <w:r>
        <w:t xml:space="preserve">-</w:t>
      </w:r>
      <w:r>
        <w:t xml:space="preserve"> </w:t>
      </w:r>
      <w:r>
        <w:rPr>
          <w:b/>
          <w:bCs/>
        </w:rPr>
        <w:t xml:space="preserve">TRIMEDAT</w:t>
      </w:r>
      <w:r>
        <w:t xml:space="preserve"> </w:t>
      </w:r>
      <w:r>
        <w:t xml:space="preserve">(LIFEPHARMA) — Suppositoire 100 mg, B/10, NON_RENOUVELABLE</w:t>
      </w:r>
      <w:r>
        <w:t xml:space="preserve"> </w:t>
      </w:r>
      <w:r>
        <w:t xml:space="preserve">-</w:t>
      </w:r>
      <w:r>
        <w:t xml:space="preserve"> </w:t>
      </w:r>
      <w:r>
        <w:rPr>
          <w:b/>
          <w:bCs/>
        </w:rPr>
        <w:t xml:space="preserve">DIGESTAT</w:t>
      </w:r>
      <w:r>
        <w:t xml:space="preserve"> </w:t>
      </w:r>
      <w:r>
        <w:t xml:space="preserve">(SALEM) — Suppositoire 100 mg, B/10, NON_RENOUVELABLE</w:t>
      </w:r>
      <w:r>
        <w:t xml:space="preserve"> </w:t>
      </w:r>
      <w:r>
        <w:t xml:space="preserve">-</w:t>
      </w:r>
      <w:r>
        <w:t xml:space="preserve"> </w:t>
      </w:r>
      <w:r>
        <w:rPr>
          <w:b/>
          <w:bCs/>
        </w:rPr>
        <w:t xml:space="preserve">TRIMEBUTINE SAIDAL NOURRISSONS</w:t>
      </w:r>
      <w:r>
        <w:t xml:space="preserve"> </w:t>
      </w:r>
      <w:r>
        <w:t xml:space="preserve">(GROUPE SAIDAL) — Granulés pour suspension buvable en sachet 12 mg, B/20, NON_RENOUVELABLE</w:t>
      </w:r>
      <w:r>
        <w:t xml:space="preserve"> </w:t>
      </w:r>
      <w:r>
        <w:t xml:space="preserve">-</w:t>
      </w:r>
      <w:r>
        <w:t xml:space="preserve"> </w:t>
      </w:r>
      <w:r>
        <w:rPr>
          <w:b/>
          <w:bCs/>
        </w:rPr>
        <w:t xml:space="preserve">TRIMEBUTINE SAIDAL ENFANTS ET NOURRISSONS</w:t>
      </w:r>
      <w:r>
        <w:t xml:space="preserve"> </w:t>
      </w:r>
      <w:r>
        <w:t xml:space="preserve">(GROUPE SAIDAL) — Granulés pour suspension buvable en sachet 24 mg, B/20, NON_RENOUVELABLE</w:t>
      </w:r>
      <w:r>
        <w:t xml:space="preserve"> </w:t>
      </w:r>
      <w:r>
        <w:t xml:space="preserve">-</w:t>
      </w:r>
      <w:r>
        <w:t xml:space="preserve"> </w:t>
      </w:r>
      <w:r>
        <w:rPr>
          <w:b/>
          <w:bCs/>
        </w:rPr>
        <w:t xml:space="preserve">HEMORECT</w:t>
      </w:r>
      <w:r>
        <w:t xml:space="preserve"> </w:t>
      </w:r>
      <w:r>
        <w:t xml:space="preserve">(GROUPE SAIDAL) — Crème rectale 5,8 %/0,5 %, T/20 g, NON_RENOUVELABLE</w:t>
      </w:r>
      <w:r>
        <w:t xml:space="preserve"> </w:t>
      </w:r>
      <w:r>
        <w:t xml:space="preserve">-</w:t>
      </w:r>
      <w:r>
        <w:t xml:space="preserve"> </w:t>
      </w:r>
      <w:r>
        <w:rPr>
          <w:b/>
          <w:bCs/>
        </w:rPr>
        <w:t xml:space="preserve">HEMOLOG</w:t>
      </w:r>
      <w:r>
        <w:t xml:space="preserve"> </w:t>
      </w:r>
      <w:r>
        <w:t xml:space="preserve">(4A SANTE INDUSTRIE SARL) — Crème rectale 5,8 %/0,5 %, T/15 g, NON_RENOUVELABLE</w:t>
      </w:r>
      <w:r>
        <w:t xml:space="preserve"> </w:t>
      </w:r>
      <w:r>
        <w:t xml:space="preserve">-</w:t>
      </w:r>
      <w:r>
        <w:t xml:space="preserve"> </w:t>
      </w:r>
      <w:r>
        <w:rPr>
          <w:b/>
          <w:bCs/>
        </w:rPr>
        <w:t xml:space="preserve">HEMOLOG</w:t>
      </w:r>
      <w:r>
        <w:t xml:space="preserve"> </w:t>
      </w:r>
      <w:r>
        <w:t xml:space="preserve">(4A SANTE INDUSTRIE SARL) — Suppositoire 120 mg/10 mg, B/10, NON_RENOUVELABLE (LISTE I)</w:t>
      </w:r>
      <w:r>
        <w:t xml:space="preserve"> </w:t>
      </w:r>
      <w:r>
        <w:t xml:space="preserve">-</w:t>
      </w:r>
      <w:r>
        <w:t xml:space="preserve"> </w:t>
      </w:r>
      <w:r>
        <w:rPr>
          <w:b/>
          <w:bCs/>
        </w:rPr>
        <w:t xml:space="preserve">HEMORECT</w:t>
      </w:r>
      <w:r>
        <w:t xml:space="preserve"> </w:t>
      </w:r>
      <w:r>
        <w:t xml:space="preserve">(GROUPE SAIDAL) — Suppositoire 120 mg/10 mg, B/10, NON_RENOUVELABLE</w:t>
      </w:r>
      <w:r>
        <w:t xml:space="preserve"> </w:t>
      </w:r>
      <w:r>
        <w:t xml:space="preserve">-</w:t>
      </w:r>
      <w:r>
        <w:t xml:space="preserve"> </w:t>
      </w:r>
      <w:r>
        <w:rPr>
          <w:b/>
          <w:bCs/>
        </w:rPr>
        <w:t xml:space="preserve">PROCTOLON</w:t>
      </w:r>
      <w:r>
        <w:t xml:space="preserve"> </w:t>
      </w:r>
      <w:r>
        <w:t xml:space="preserve">(SALEM) — Suppositoire 120 mg/10 mg, B/10, NON_RENOUVELABLE</w:t>
      </w:r>
      <w:r>
        <w:t xml:space="preserve"> </w:t>
      </w:r>
      <w:r>
        <w:t xml:space="preserve">-</w:t>
      </w:r>
      <w:r>
        <w:t xml:space="preserve"> </w:t>
      </w:r>
      <w:r>
        <w:rPr>
          <w:b/>
          <w:bCs/>
        </w:rPr>
        <w:t xml:space="preserve">RUSCOLOG</w:t>
      </w:r>
      <w:r>
        <w:t xml:space="preserve"> </w:t>
      </w:r>
      <w:r>
        <w:t xml:space="preserve">(BIOPHARM ALGERIE) — Suppositoire 120 mg/10 mg, B/10, NON_RENOUVELABLE</w:t>
      </w:r>
    </w:p>
    <w:p>
      <w:pPr>
        <w:pStyle w:val="BodyText"/>
      </w:pPr>
      <w:r>
        <w:rPr>
          <w:i/>
          <w:iCs/>
        </w:rPr>
        <w:t xml:space="preserve">Formes Retirées (R) :</w:t>
      </w:r>
      <w:r>
        <w:t xml:space="preserve"> </w:t>
      </w:r>
      <w:r>
        <w:t xml:space="preserve">-</w:t>
      </w:r>
      <w:r>
        <w:t xml:space="preserve"> </w:t>
      </w:r>
      <w:r>
        <w:rPr>
          <w:b/>
          <w:bCs/>
        </w:rPr>
        <w:t xml:space="preserve">DEBRIDAT</w:t>
      </w:r>
      <w:r>
        <w:t xml:space="preserve"> </w:t>
      </w:r>
      <w:r>
        <w:t xml:space="preserve">(JOUVEINAL) — Solution injectable 50 mg/5 mL, B/5, RETRAIT (LISTE I)</w:t>
      </w:r>
      <w:r>
        <w:t xml:space="preserve"> </w:t>
      </w:r>
      <w:r>
        <w:t xml:space="preserve">-</w:t>
      </w:r>
      <w:r>
        <w:t xml:space="preserve"> </w:t>
      </w:r>
      <w:r>
        <w:rPr>
          <w:b/>
          <w:bCs/>
        </w:rPr>
        <w:t xml:space="preserve">SPASMONAL</w:t>
      </w:r>
      <w:r>
        <w:t xml:space="preserve"> </w:t>
      </w:r>
      <w:r>
        <w:t xml:space="preserve">(UPC) — Comprimé 100 mg, B/20, RETRAIT</w:t>
      </w:r>
      <w:r>
        <w:t xml:space="preserve"> </w:t>
      </w:r>
      <w:r>
        <w:t xml:space="preserve">-</w:t>
      </w:r>
      <w:r>
        <w:t xml:space="preserve"> </w:t>
      </w:r>
      <w:r>
        <w:rPr>
          <w:b/>
          <w:bCs/>
        </w:rPr>
        <w:t xml:space="preserve">DEBRITINE</w:t>
      </w:r>
      <w:r>
        <w:t xml:space="preserve"> </w:t>
      </w:r>
      <w:r>
        <w:t xml:space="preserve">(VECOPHARM) — Comprimé 100 mg, B/20 et B/30, RETRAIT</w:t>
      </w:r>
      <w:r>
        <w:t xml:space="preserve"> </w:t>
      </w:r>
      <w:r>
        <w:t xml:space="preserve">-</w:t>
      </w:r>
      <w:r>
        <w:t xml:space="preserve"> </w:t>
      </w:r>
      <w:r>
        <w:rPr>
          <w:b/>
          <w:bCs/>
        </w:rPr>
        <w:t xml:space="preserve">TRIMEDAT</w:t>
      </w:r>
      <w:r>
        <w:t xml:space="preserve"> </w:t>
      </w:r>
      <w:r>
        <w:t xml:space="preserve">(LIFEPHARMA) — Comprimé 100 mg, B/20, RETRAIT</w:t>
      </w:r>
      <w:r>
        <w:t xml:space="preserve"> </w:t>
      </w:r>
      <w:r>
        <w:t xml:space="preserve">-</w:t>
      </w:r>
      <w:r>
        <w:t xml:space="preserve"> </w:t>
      </w:r>
      <w:r>
        <w:rPr>
          <w:b/>
          <w:bCs/>
        </w:rPr>
        <w:t xml:space="preserve">TRIMEBUTINE BIOGARAN</w:t>
      </w:r>
      <w:r>
        <w:t xml:space="preserve"> </w:t>
      </w:r>
      <w:r>
        <w:t xml:space="preserve">(BIOGARAN) — Comprimé 100 mg, B/20, RETRAIT</w:t>
      </w:r>
      <w:r>
        <w:t xml:space="preserve"> </w:t>
      </w:r>
      <w:r>
        <w:t xml:space="preserve">-</w:t>
      </w:r>
      <w:r>
        <w:t xml:space="preserve"> </w:t>
      </w:r>
      <w:r>
        <w:rPr>
          <w:b/>
          <w:bCs/>
        </w:rPr>
        <w:t xml:space="preserve">COLOBUTINE</w:t>
      </w:r>
      <w:r>
        <w:t xml:space="preserve"> </w:t>
      </w:r>
      <w:r>
        <w:t xml:space="preserve">(FOURNIER) — Comprimé 100 mg, B/20, RETRAIT</w:t>
      </w:r>
      <w:r>
        <w:t xml:space="preserve"> </w:t>
      </w:r>
      <w:r>
        <w:t xml:space="preserve">-</w:t>
      </w:r>
      <w:r>
        <w:t xml:space="preserve"> </w:t>
      </w:r>
      <w:r>
        <w:rPr>
          <w:b/>
          <w:bCs/>
        </w:rPr>
        <w:t xml:space="preserve">ANASPASMYL</w:t>
      </w:r>
      <w:r>
        <w:t xml:space="preserve"> </w:t>
      </w:r>
      <w:r>
        <w:t xml:space="preserve">(UNILAB PHARMACEUTICALS) — Comprimé 100 mg, B/20, RETRAIT</w:t>
      </w:r>
      <w:r>
        <w:t xml:space="preserve"> </w:t>
      </w:r>
      <w:r>
        <w:t xml:space="preserve">-</w:t>
      </w:r>
      <w:r>
        <w:t xml:space="preserve"> </w:t>
      </w:r>
      <w:r>
        <w:rPr>
          <w:b/>
          <w:bCs/>
        </w:rPr>
        <w:t xml:space="preserve">TRIMEBUTINE G. GAM</w:t>
      </w:r>
      <w:r>
        <w:t xml:space="preserve"> </w:t>
      </w:r>
      <w:r>
        <w:t xml:space="preserve">(G. GAM) — Comprimé 100 mg, B/20, RETRAIT</w:t>
      </w:r>
      <w:r>
        <w:t xml:space="preserve"> </w:t>
      </w:r>
      <w:r>
        <w:t xml:space="preserve">-</w:t>
      </w:r>
      <w:r>
        <w:t xml:space="preserve"> </w:t>
      </w:r>
      <w:r>
        <w:rPr>
          <w:b/>
          <w:bCs/>
        </w:rPr>
        <w:t xml:space="preserve">DEBRIDAT POS</w:t>
      </w:r>
      <w:r>
        <w:t xml:space="preserve"> </w:t>
      </w:r>
      <w:r>
        <w:t xml:space="preserve">(PFIZER PGM) — Granulé pour suspension 7,78 mg/g, FL/250 mL, RETRAIT</w:t>
      </w:r>
      <w:r>
        <w:t xml:space="preserve"> </w:t>
      </w:r>
      <w:r>
        <w:t xml:space="preserve">-</w:t>
      </w:r>
      <w:r>
        <w:t xml:space="preserve"> </w:t>
      </w:r>
      <w:r>
        <w:rPr>
          <w:b/>
          <w:bCs/>
        </w:rPr>
        <w:t xml:space="preserve">DEBRIDAT</w:t>
      </w:r>
      <w:r>
        <w:t xml:space="preserve"> </w:t>
      </w:r>
      <w:r>
        <w:t xml:space="preserve">(PFIZER) — Suppositoire 100 mg, B/10, RETRAIT</w:t>
      </w:r>
      <w:r>
        <w:t xml:space="preserve"> </w:t>
      </w:r>
      <w:r>
        <w:t xml:space="preserve">-</w:t>
      </w:r>
      <w:r>
        <w:t xml:space="preserve"> </w:t>
      </w:r>
      <w:r>
        <w:rPr>
          <w:b/>
          <w:bCs/>
        </w:rPr>
        <w:t xml:space="preserve">DIGESTAT</w:t>
      </w:r>
      <w:r>
        <w:t xml:space="preserve"> </w:t>
      </w:r>
      <w:r>
        <w:t xml:space="preserve">(LABORATOIRES SALEM) — Comprimé 200 mg, B/30, RETRAIT</w:t>
      </w:r>
      <w:r>
        <w:t xml:space="preserve"> </w:t>
      </w:r>
      <w:r>
        <w:t xml:space="preserve">-</w:t>
      </w:r>
      <w:r>
        <w:t xml:space="preserve"> </w:t>
      </w:r>
      <w:r>
        <w:rPr>
          <w:b/>
          <w:bCs/>
        </w:rPr>
        <w:t xml:space="preserve">PROCTOLOG</w:t>
      </w:r>
      <w:r>
        <w:t xml:space="preserve"> </w:t>
      </w:r>
      <w:r>
        <w:t xml:space="preserve">(PFIZER) — Crème rectale 5,8 g/0,5 g/100 g, T/20 g, RETRAIT</w:t>
      </w:r>
      <w:r>
        <w:t xml:space="preserve"> </w:t>
      </w:r>
      <w:r>
        <w:t xml:space="preserve">-</w:t>
      </w:r>
      <w:r>
        <w:t xml:space="preserve"> </w:t>
      </w:r>
      <w:r>
        <w:rPr>
          <w:b/>
          <w:bCs/>
        </w:rPr>
        <w:t xml:space="preserve">PROCTOLOG</w:t>
      </w:r>
      <w:r>
        <w:t xml:space="preserve"> </w:t>
      </w:r>
      <w:r>
        <w:t xml:space="preserve">(PFIZER) — Suppositoire 120 mg/10 mg, B/10, RETRAIT</w:t>
      </w:r>
    </w:p>
    <w:p>
      <w:pPr>
        <w:pStyle w:val="BodyText"/>
      </w:pPr>
      <w:r>
        <w:rPr>
          <w:b/>
          <w:bCs/>
        </w:rPr>
        <w:t xml:space="preserve">Sous-classe et Mécanisme d’action :</w:t>
      </w:r>
      <w:r>
        <w:t xml:space="preserve"> </w:t>
      </w:r>
      <w:r>
        <w:t xml:space="preserve">- Sous-classe : Agoniste opioïde périphérique μ, κ, δ ; antispasmodique</w:t>
      </w:r>
      <w:r>
        <w:t xml:space="preserve"> </w:t>
      </w:r>
      <w:r>
        <w:t xml:space="preserve">“</w:t>
      </w:r>
      <w:r>
        <w:t xml:space="preserve">régulateur</w:t>
      </w:r>
      <w:r>
        <w:t xml:space="preserve">”</w:t>
      </w:r>
      <w:r>
        <w:t xml:space="preserve"> </w:t>
      </w:r>
      <w:r>
        <w:t xml:space="preserve">du péristaltisme.</w:t>
      </w:r>
      <w:r>
        <w:t xml:space="preserve"> </w:t>
      </w:r>
      <w:r>
        <w:t xml:space="preserve">- Mécanisme d’action : Agoniste des récepteurs opioïdes μ, κ et δ présents sur les terminaisons nerveuses du système entérique (plexus myentérique et sous-muqueux) → modulation de la libération d’acétylcholine, de substance P, de VIP et de CGRP → régulation bidirectionnelle du péristaltisme (stimulation si hypokinésie, inhibition si hyperkinésie). Effet</w:t>
      </w:r>
      <w:r>
        <w:t xml:space="preserve"> </w:t>
      </w:r>
      <w:r>
        <w:t xml:space="preserve">“</w:t>
      </w:r>
      <w:r>
        <w:t xml:space="preserve">régulateur</w:t>
      </w:r>
      <w:r>
        <w:t xml:space="preserve">”</w:t>
      </w:r>
      <w:r>
        <w:t xml:space="preserve"> </w:t>
      </w:r>
      <w:r>
        <w:t xml:space="preserve">particulier, sans effet sédatif central (la trimébutine ne traverse pas significativement la BHE). Biodisponibilité 5-10 %, métabolisme hépatique en métabolites actifs, demi-vie ~2-3 h.</w:t>
      </w:r>
    </w:p>
    <w:p>
      <w:pPr>
        <w:pStyle w:val="BodyText"/>
      </w:pPr>
      <w:r>
        <w:rPr>
          <w:b/>
          <w:bCs/>
        </w:rPr>
        <w:t xml:space="preserve">Profil Pharmacologique :</w:t>
      </w:r>
      <w:r>
        <w:t xml:space="preserve"> </w:t>
      </w:r>
      <w:r>
        <w:t xml:space="preserve">- Indications : Troubles fonctionnels intestinaux (syndrome de l’intestin irritable, SII) : douleurs abdominales, troubles du transit (diarrhée, constipation, alternance), ballonnements ; douleurs spasmodiques digestives ; préparation colique (en complément). En proctologie : hémorroïdes, fissure anale (forme suppositoire avec lidocaïne).</w:t>
      </w:r>
      <w:r>
        <w:t xml:space="preserve"> </w:t>
      </w:r>
      <w:r>
        <w:t xml:space="preserve">- Contre-indications : Hypersensibilité ; occlusion intestinale ; iléus paralytique ; enfant &lt;3 mois (données insuffisantes) ; association avec la lidocaïne (forme suppositoire HEMORECT, HEMOLOG, PROCTOLON, RUSCOLOG) : méthémoglobinémie (surveillance).</w:t>
      </w:r>
      <w:r>
        <w:t xml:space="preserve"> </w:t>
      </w:r>
      <w:r>
        <w:t xml:space="preserve">- Effets Indésirables : Très bien toléré ; possibles : nausées, douleurs abdominales transitoires, éruptions cutanées, prurit ; plus rares : réactions allergiques, hypotension transitoire (forme IV, retirée en Algérie). Forme suppositoire avec lidocaïne : méthémoglobinémie (rare).</w:t>
      </w:r>
    </w:p>
    <w:p>
      <w:pPr>
        <w:pStyle w:val="BodyText"/>
      </w:pPr>
      <w:r>
        <w:rPr>
          <w:b/>
          <w:bCs/>
        </w:rPr>
        <w:t xml:space="preserve">Prévention et Gestion des Effets Indésirables :</w:t>
      </w:r>
      <w:r>
        <w:t xml:space="preserve"> </w:t>
      </w:r>
      <w:r>
        <w:t xml:space="preserve">- Mesures Préventives : Prise pendant les repas (réduit la tolérance digestive) ; pas d’usage prolongé sans avis médical (réévaluation à 4 semaines selon les recommandations SII) ; surveillance chez le patient âgé.</w:t>
      </w:r>
      <w:r>
        <w:t xml:space="preserve"> </w:t>
      </w:r>
      <w:r>
        <w:t xml:space="preserve">- Conduite à Tenir : En cas d’effets indésirables marqués : réduire la dose ou arrêter. En cas de persistance des symptômes &gt;4 semaines : consultation médicale pour réévaluation (risque de pathologie organique sous-jacente).</w:t>
      </w:r>
    </w:p>
    <w:p>
      <w:pPr>
        <w:pStyle w:val="BodyText"/>
      </w:pPr>
      <w:r>
        <w:rPr>
          <w:b/>
          <w:bCs/>
        </w:rPr>
        <w:t xml:space="preserve">Interactions Importantes :</w:t>
      </w:r>
      <w:r>
        <w:t xml:space="preserve"> </w:t>
      </w:r>
      <w:r>
        <w:t xml:space="preserve">-</w:t>
      </w:r>
      <w:r>
        <w:t xml:space="preserve"> </w:t>
      </w:r>
      <w:r>
        <w:rPr>
          <w:b/>
          <w:bCs/>
        </w:rPr>
        <w:t xml:space="preserve">Trimébutine + autres antispasmodiques</w:t>
      </w:r>
      <w:r>
        <w:t xml:space="preserve"> </w:t>
      </w:r>
      <w:r>
        <w:t xml:space="preserve">: effet additif (surveillance).</w:t>
      </w:r>
      <w:r>
        <w:t xml:space="preserve"> </w:t>
      </w:r>
      <w:r>
        <w:t xml:space="preserve">-</w:t>
      </w:r>
      <w:r>
        <w:t xml:space="preserve"> </w:t>
      </w:r>
      <w:r>
        <w:rPr>
          <w:b/>
          <w:bCs/>
        </w:rPr>
        <w:t xml:space="preserve">Trimébutine + opioïdes centraux</w:t>
      </w:r>
      <w:r>
        <w:t xml:space="preserve"> </w:t>
      </w:r>
      <w:r>
        <w:t xml:space="preserve">: potentialisation possible (mais la trimébutine a peu d’effet central).</w:t>
      </w:r>
      <w:r>
        <w:t xml:space="preserve"> </w:t>
      </w:r>
      <w:r>
        <w:t xml:space="preserve">-</w:t>
      </w:r>
      <w:r>
        <w:t xml:space="preserve"> </w:t>
      </w:r>
      <w:r>
        <w:rPr>
          <w:b/>
          <w:bCs/>
        </w:rPr>
        <w:t xml:space="preserve">Trimébutine + anticholinergiques</w:t>
      </w:r>
      <w:r>
        <w:t xml:space="preserve"> </w:t>
      </w:r>
      <w:r>
        <w:t xml:space="preserve">: effets additifs (sécheresse buccale, constipation).</w:t>
      </w:r>
      <w:r>
        <w:t xml:space="preserve"> </w:t>
      </w:r>
      <w:r>
        <w:t xml:space="preserve">-</w:t>
      </w:r>
      <w:r>
        <w:t xml:space="preserve"> </w:t>
      </w:r>
      <w:r>
        <w:rPr>
          <w:b/>
          <w:bCs/>
        </w:rPr>
        <w:t xml:space="preserve">Forme suppositoire avec lidocaïne + antiarythmiques</w:t>
      </w:r>
      <w:r>
        <w:t xml:space="preserve"> </w:t>
      </w:r>
      <w:r>
        <w:t xml:space="preserve">: surveillance cardiaque (lidocaïne systémique).</w:t>
      </w:r>
    </w:p>
    <w:p>
      <w:pPr>
        <w:pStyle w:val="BodyText"/>
      </w:pPr>
      <w:r>
        <w:rPr>
          <w:b/>
          <w:bCs/>
        </w:rPr>
        <w:t xml:space="preserve">Grossesse et Allaitement :</w:t>
      </w:r>
      <w:r>
        <w:t xml:space="preserve"> </w:t>
      </w:r>
      <w:r>
        <w:t xml:space="preserve">- Grossesse : À éviter par prudence au 1er trimestre (données animales évocatrices d’un effet sur le développement embryonnaire à doses élevées, données humaines limitées). Compatible aux 2e et 3e trimestres en cas de nécessité.</w:t>
      </w:r>
      <w:r>
        <w:t xml:space="preserve"> </w:t>
      </w:r>
      <w:r>
        <w:t xml:space="preserve">- Allaitement : Compatible (faible passage dans le lait, faible toxicité pour le nourrisson).</w:t>
      </w:r>
      <w:r>
        <w:t xml:space="preserve"> </w:t>
      </w:r>
      <w:r>
        <w:t xml:space="preserve">- Précisions : Discuter au cas par cas avec le médecin.</w:t>
      </w:r>
    </w:p>
    <w:p>
      <w:pPr>
        <w:pStyle w:val="BodyText"/>
      </w:pPr>
      <w:r>
        <w:rPr>
          <w:b/>
          <w:bCs/>
        </w:rPr>
        <w:t xml:space="preserve">Posologie et Mode d’administration (Standard) :</w:t>
      </w:r>
      <w:r>
        <w:t xml:space="preserve"> </w:t>
      </w:r>
      <w:r>
        <w:t xml:space="preserve">- Adulte (comprimé 100 mg) : 1 comprimé × 3/jour, avant les repas.</w:t>
      </w:r>
      <w:r>
        <w:t xml:space="preserve"> </w:t>
      </w:r>
      <w:r>
        <w:t xml:space="preserve">- Adulte (comprimé 200 mg) : 1 comprimé × 2-3/jour, avant les repas.</w:t>
      </w:r>
      <w:r>
        <w:t xml:space="preserve"> </w:t>
      </w:r>
      <w:r>
        <w:t xml:space="preserve">- Adulte (granulé pour suspension buvable en flacon, 4,8 mg/mL) : 5 mL (≈ 24 mg) × 3/jour avant les repas.</w:t>
      </w:r>
      <w:r>
        <w:t xml:space="preserve"> </w:t>
      </w:r>
      <w:r>
        <w:t xml:space="preserve">- Adulte (sachets 74,4 mg) : 1 sachet × 3/jour.</w:t>
      </w:r>
      <w:r>
        <w:t xml:space="preserve"> </w:t>
      </w:r>
      <w:r>
        <w:t xml:space="preserve">- Adulte (suppositoire 100 mg) : 1 suppositoire × 1-2/jour.</w:t>
      </w:r>
      <w:r>
        <w:t xml:space="preserve"> </w:t>
      </w:r>
      <w:r>
        <w:t xml:space="preserve">- Enfant &gt;5 ans : 2 mg/kg × 3/jour avant les repas (granulé pour suspension buvable).</w:t>
      </w:r>
      <w:r>
        <w:t xml:space="preserve"> </w:t>
      </w:r>
      <w:r>
        <w:t xml:space="preserve">- Enfant &lt;5 ans : forme nourrisson si disponible.</w:t>
      </w:r>
      <w:r>
        <w:t xml:space="preserve"> </w:t>
      </w:r>
      <w:r>
        <w:t xml:space="preserve">- Durée : Quelques jours à 4 semaines pour la crise. Au long cours possible en cas de SII chronique, avec réévaluation régulière.</w:t>
      </w:r>
      <w:r>
        <w:t xml:space="preserve"> </w:t>
      </w:r>
      <w:r>
        <w:t xml:space="preserve">- Moment de prise : Avant les repas (effet pharmacologique préventif du réflexe gastrocolique postprandial).</w:t>
      </w:r>
    </w:p>
    <w:p>
      <w:pPr>
        <w:pStyle w:val="BodyText"/>
      </w:pPr>
      <w:r>
        <w:rPr>
          <w:b/>
          <w:bCs/>
        </w:rPr>
        <w:t xml:space="preserve">Arbitrage et Bénéfices des Formes Galéniques :</w:t>
      </w:r>
      <w:r>
        <w:t xml:space="preserve"> </w:t>
      </w:r>
      <w:r>
        <w:t xml:space="preserve">-</w:t>
      </w:r>
      <w:r>
        <w:t xml:space="preserve"> </w:t>
      </w:r>
      <w:r>
        <w:rPr>
          <w:b/>
          <w:bCs/>
        </w:rPr>
        <w:t xml:space="preserve">Comprimé 100 mg</w:t>
      </w:r>
      <w:r>
        <w:t xml:space="preserve"> </w:t>
      </w:r>
      <w:r>
        <w:t xml:space="preserve">: forme standard adulte, pratique pour les cures courtes.</w:t>
      </w:r>
      <w:r>
        <w:t xml:space="preserve"> </w:t>
      </w:r>
      <w:r>
        <w:t xml:space="preserve">-</w:t>
      </w:r>
      <w:r>
        <w:t xml:space="preserve"> </w:t>
      </w:r>
      <w:r>
        <w:rPr>
          <w:b/>
          <w:bCs/>
        </w:rPr>
        <w:t xml:space="preserve">Comprimé 200 mg</w:t>
      </w:r>
      <w:r>
        <w:t xml:space="preserve"> </w:t>
      </w:r>
      <w:r>
        <w:t xml:space="preserve">: forme</w:t>
      </w:r>
      <w:r>
        <w:t xml:space="preserve"> </w:t>
      </w:r>
      <w:r>
        <w:t xml:space="preserve">“</w:t>
      </w:r>
      <w:r>
        <w:t xml:space="preserve">forte</w:t>
      </w:r>
      <w:r>
        <w:t xml:space="preserve">”</w:t>
      </w:r>
      <w:r>
        <w:t xml:space="preserve">, pratique pour les patients nécessitant 3 prises/jour à 100 mg → 2 prises/jour à 200 mg réduit le nombre de comprimés.</w:t>
      </w:r>
      <w:r>
        <w:t xml:space="preserve"> </w:t>
      </w:r>
      <w:r>
        <w:t xml:space="preserve">-</w:t>
      </w:r>
      <w:r>
        <w:t xml:space="preserve"> </w:t>
      </w:r>
      <w:r>
        <w:rPr>
          <w:b/>
          <w:bCs/>
        </w:rPr>
        <w:t xml:space="preserve">Granulé pour suspension buvable en flacon 4,8 mg/mL</w:t>
      </w:r>
      <w:r>
        <w:t xml:space="preserve"> </w:t>
      </w:r>
      <w:r>
        <w:t xml:space="preserve">: forme pédiatrique et adulte, permet la titration précise en fonction du poids.</w:t>
      </w:r>
      <w:r>
        <w:t xml:space="preserve"> </w:t>
      </w:r>
      <w:r>
        <w:t xml:space="preserve">-</w:t>
      </w:r>
      <w:r>
        <w:t xml:space="preserve"> </w:t>
      </w:r>
      <w:r>
        <w:rPr>
          <w:b/>
          <w:bCs/>
        </w:rPr>
        <w:t xml:space="preserve">Sachets 74,4 mg</w:t>
      </w:r>
      <w:r>
        <w:t xml:space="preserve"> </w:t>
      </w:r>
      <w:r>
        <w:t xml:space="preserve">: forme pratique pour l’adulte en déplacement, stability améliorée.</w:t>
      </w:r>
      <w:r>
        <w:t xml:space="preserve"> </w:t>
      </w:r>
      <w:r>
        <w:t xml:space="preserve">-</w:t>
      </w:r>
      <w:r>
        <w:t xml:space="preserve"> </w:t>
      </w:r>
      <w:r>
        <w:rPr>
          <w:b/>
          <w:bCs/>
        </w:rPr>
        <w:t xml:space="preserve">Suppositoire 100 mg</w:t>
      </w:r>
      <w:r>
        <w:t xml:space="preserve"> </w:t>
      </w:r>
      <w:r>
        <w:t xml:space="preserve">: utile en cas de vomissements ou pour action locale proctologique.</w:t>
      </w:r>
      <w:r>
        <w:t xml:space="preserve"> </w:t>
      </w:r>
      <w:r>
        <w:t xml:space="preserve">-</w:t>
      </w:r>
      <w:r>
        <w:t xml:space="preserve"> </w:t>
      </w:r>
      <w:r>
        <w:rPr>
          <w:b/>
          <w:bCs/>
        </w:rPr>
        <w:t xml:space="preserve">Suppositoire 120 mg/10 mg avec lidocaïne (HEMORECT, HEMOLOG, PROCTOLON, RUSCOLOG)</w:t>
      </w:r>
      <w:r>
        <w:t xml:space="preserve"> </w:t>
      </w:r>
      <w:r>
        <w:t xml:space="preserve">: indications hémorroïdaires, fissure anale, avec effet antalgique local additionnel.</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régule le fonctionnement de votre intestin, en cas de douleurs, de ballonnements ou de troubles du transit (diarrhée ou constipation). Prenez-le avant les repas, 2 à 3 fois par jour. L’effet n’apparaît qu’après quelques jours : soyez patient. Si vos symptômes persistent au-delà de 4 semaines, consultez votre médecin pour réévaluation.</w:t>
      </w:r>
      <w:r>
        <w:t xml:space="preserve">”</w:t>
      </w:r>
      <w:r>
        <w:t xml:space="preserve"> </w:t>
      </w:r>
      <w:r>
        <w:t xml:space="preserve">- Mode d’utilisation pratique : Avaler les comprimés avec un verre d’eau, avant les repas. Pour la suspension buvable en flacon : agiter avant emploi, mesurer avec la cuillère doseuse. Pour les sachets : diluer dans un verre d’eau.</w:t>
      </w:r>
    </w:p>
    <w:p>
      <w:pPr>
        <w:pStyle w:val="BodyText"/>
      </w:pPr>
      <w:r>
        <w:rPr>
          <w:b/>
          <w:bCs/>
        </w:rPr>
        <w:t xml:space="preserve">Notes, Règles d’Or &amp; Pièges au Comptoir :</w:t>
      </w:r>
      <w:r>
        <w:t xml:space="preserve"> </w:t>
      </w:r>
      <w:r>
        <w:t xml:space="preserve">- Piège classique : Utilisation prolongée sans réévaluation (risque de masquer une pathologie organique : cancer colorectal, MICI) ; oubli de demander si la patiente est enceinte (à éviter au 1er trimestre) ; confusion avec la phloroglucinol (les deux sont antispasmodiques mais la trimébutine est plus spécifique du SII).</w:t>
      </w:r>
      <w:r>
        <w:t xml:space="preserve"> </w:t>
      </w:r>
      <w:r>
        <w:t xml:space="preserve">- Règle de prise : 2-3 prises/jour avant les repas ; réévaluation à 4 semaines.</w:t>
      </w:r>
      <w:r>
        <w:t xml:space="preserve"> </w:t>
      </w:r>
      <w:r>
        <w:t xml:space="preserve">- Préparation et Conservation : À température ambiante, à l’abri de l’humidité. La suspension buvable en flacon se conserve 1 mois après reconstitution.</w:t>
      </w:r>
      <w:r>
        <w:t xml:space="preserve"> </w:t>
      </w:r>
      <w:r>
        <w:t xml:space="preserve">- Piège du surdosage / Substitution : Substitution possible entre les génériques (DEBRIDAT, GASTRIMED, SAPBRIDATE, TRANSACALM, TRIBEMEX, TRIMEBUTINE B, TRIMEBUTINE BIOCARE, OPTIDAT, DEBRITINE) — tous disponibles en comprimé 100 ou 200 mg. Vérifier la forme galénique lors de la substitution.</w:t>
      </w:r>
    </w:p>
    <w:p>
      <w:r>
        <w:pict>
          <v:rect style="width:0;height:1.5pt" o:hralign="center" o:hrstd="t" o:hr="t"/>
        </w:pict>
      </w:r>
    </w:p>
    <w:bookmarkEnd w:id="220"/>
    <w:bookmarkEnd w:id="221"/>
    <w:bookmarkStart w:id="225" w:name="Xd38776407fcb0fa76c64066277fc6c74c0896d2"/>
    <w:p>
      <w:pPr>
        <w:pStyle w:val="Heading2"/>
      </w:pPr>
      <w:r>
        <w:t xml:space="preserve">11. Antispasmodiques - Spasmolytiques musculotropes</w:t>
      </w:r>
    </w:p>
    <w:bookmarkStart w:id="222" w:name="introduction-à-la-sous-classe-16"/>
    <w:p>
      <w:pPr>
        <w:pStyle w:val="Heading3"/>
      </w:pPr>
      <w:r>
        <w:t xml:space="preserve">Introduction à la sous-classe</w:t>
      </w:r>
    </w:p>
    <w:p>
      <w:pPr>
        <w:pStyle w:val="FirstParagraph"/>
      </w:pPr>
      <w:r>
        <w:t xml:space="preserve">Les spasmolytiques musculotropes agissent directement sur la fibre musculaire lisse digestive, indépendamment des voies nerveuses. Deux mécanismes principaux sont impliqués : (1)</w:t>
      </w:r>
      <w:r>
        <w:t xml:space="preserve"> </w:t>
      </w:r>
      <w:r>
        <w:rPr>
          <w:b/>
          <w:bCs/>
        </w:rPr>
        <w:t xml:space="preserve">inhibition de la phosphodiestérase (PDE)</w:t>
      </w:r>
      <w:r>
        <w:t xml:space="preserve">, augmentant l’AMPc intracellulaire et provoquant la relaxation ; (2)</w:t>
      </w:r>
      <w:r>
        <w:t xml:space="preserve"> </w:t>
      </w:r>
      <w:r>
        <w:rPr>
          <w:b/>
          <w:bCs/>
        </w:rPr>
        <w:t xml:space="preserve">blocage direct des canaux sodiques</w:t>
      </w:r>
      <w:r>
        <w:t xml:space="preserve"> </w:t>
      </w:r>
      <w:r>
        <w:t xml:space="preserve">des cellules musculaires lisses. Ces molécules n’ont pas d’effet anticholinergique central (pas de sédation, pas de troubles cognitifs) ni périphérique (pas de sécheresse buccale, pas de troubles visuels, pas de rétention urinaire).</w:t>
      </w:r>
    </w:p>
    <w:p>
      <w:pPr>
        <w:pStyle w:val="BodyText"/>
      </w:pPr>
      <w:r>
        <w:t xml:space="preserve">La</w:t>
      </w:r>
      <w:r>
        <w:t xml:space="preserve"> </w:t>
      </w:r>
      <w:r>
        <w:rPr>
          <w:b/>
          <w:bCs/>
        </w:rPr>
        <w:t xml:space="preserve">mébévérine</w:t>
      </w:r>
      <w:r>
        <w:t xml:space="preserve"> </w:t>
      </w:r>
      <w:r>
        <w:t xml:space="preserve">(appartenant à la classe des acides benzyloxy-3-(diéthylamino-2-éthyl) propanoïques) agit principalement par blocage des canaux sodiques voltage-dépendants des cellules musculaires lisses digestives, avec un effet direct sur le muscle. Sa particularité est une action sélective sur le tube digestif (peu d’effet vasculaire ou respiratoire). Sa biodisponibilité orale est faible, d’où l’usage privilégié de formes à libération prolongée (LP). En Algérie, la mébévérine est disponible en comprimé 100 mg (DESPAVINE, DUSPAVERINE, MEBEVERINE-SAIDAL, SPALVERINE, SPASCOL, SUMO) et en microgranule en gélule LP 200 mg (DUSPATALIN, DUSPAVERINE, MEBEVAN LP 200, MEBEVERINE BEKER LP, SPALVERINE, SPASCOL LP), en Liste II.</w:t>
      </w:r>
    </w:p>
    <w:p>
      <w:pPr>
        <w:pStyle w:val="BodyText"/>
      </w:pPr>
      <w:r>
        <w:t xml:space="preserve">L’</w:t>
      </w:r>
      <w:r>
        <w:rPr>
          <w:b/>
          <w:bCs/>
        </w:rPr>
        <w:t xml:space="preserve">alvérine</w:t>
      </w:r>
      <w:r>
        <w:t xml:space="preserve"> </w:t>
      </w:r>
      <w:r>
        <w:t xml:space="preserve">(autre spasmolytique musculotrope, dérivé de l’éthylamine) agit par inhibition de la PDE et blocage des canaux calciques des cellules musculaires lisses digestives. Elle est souvent associée à la siméticone (antiflatulent) dans la formulation METEOSPASMYL®. En Algérie, l’association alvérine + siméticone (60 mg/300 mg) est disponible sous les marques ROVASPASMYL, BIOSPASMYL et METEOSPASMYL en capsule molle.</w:t>
      </w:r>
    </w:p>
    <w:p>
      <w:r>
        <w:pict>
          <v:rect style="width:0;height:1.5pt" o:hralign="center" o:hrstd="t" o:hr="t"/>
        </w:pict>
      </w:r>
    </w:p>
    <w:bookmarkEnd w:id="222"/>
    <w:bookmarkStart w:id="223" w:name="alvérine-seule"/>
    <w:p>
      <w:pPr>
        <w:pStyle w:val="Heading3"/>
      </w:pPr>
      <w:r>
        <w:t xml:space="preserve">17. Alvérine (Seule)</w:t>
      </w:r>
    </w:p>
    <w:p>
      <w:pPr>
        <w:pStyle w:val="FirstParagraph"/>
      </w:pPr>
      <w:r>
        <w:rPr>
          <w:b/>
          <w:bCs/>
        </w:rPr>
        <w:t xml:space="preserve">Liste des Catégories :</w:t>
      </w:r>
      <w:r>
        <w:t xml:space="preserve"> </w:t>
      </w:r>
      <w:r>
        <w:t xml:space="preserve">Antispasmodiques - Spasmolytiques musculotropes ; Libre (Algérie).</w:t>
      </w:r>
    </w:p>
    <w:p>
      <w:pPr>
        <w:pStyle w:val="BodyText"/>
      </w:pPr>
      <w:r>
        <w:t xml:space="preserve">L’alvérine est un antispasmodique musculotrope dérivé de la phénoxyéthylamine, commercialisé depuis 1962. Elle agit par inhibition de la phosphodiestérase (PDE) et blocage des canaux calciques voltage-dépendants des cellules musculaires lisses digestives, entraînant une relaxation directe du muscle. Sa biodisponibilité orale est modeste, sa demi-vie d’environ 2 h. Elle est métabolisée par le foie (hydroxylation) et éliminée par le rein. En Algérie, l’alvérine est disponible uniquement en association avec la siméticone (60 mg d’alvérine + 300 mg de siméticone) en capsule molle, sous les marques ROVASPASMYL (Laboratoires ROVAC), BIOSPASMYL (BIOLOGIE ET VITAMINE D’ALGERIE BIOVITAL) et METEOSPASMYL (MAYOLY SPINDLER ALGERIE). Cette association est destinée aux douleurs spasmodiques digestives associées à des ballonnements (météorisme). L’ensemble est en vente libre.</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ROVASPASMYL</w:t>
      </w:r>
      <w:r>
        <w:t xml:space="preserve"> </w:t>
      </w:r>
      <w:r>
        <w:t xml:space="preserve">(LABORATOIRES ROVAC)</w:t>
      </w:r>
      <w:r>
        <w:t xml:space="preserve"> </w:t>
      </w:r>
      <w:r>
        <w:t xml:space="preserve">- Formes et Dosages : Capsule molle 60 mg/300 mg (alvérine/siméticone) (boîte de 20)</w:t>
      </w:r>
      <w:r>
        <w:t xml:space="preserve"> </w:t>
      </w:r>
      <w:r>
        <w:t xml:space="preserve">- Statut : Actif</w:t>
      </w:r>
      <w:r>
        <w:t xml:space="preserve"> </w:t>
      </w:r>
      <w:r>
        <w:t xml:space="preserve">-</w:t>
      </w:r>
      <w:r>
        <w:t xml:space="preserve"> </w:t>
      </w:r>
      <w:r>
        <w:rPr>
          <w:b/>
          <w:bCs/>
        </w:rPr>
        <w:t xml:space="preserve">BIOSPASMYL</w:t>
      </w:r>
      <w:r>
        <w:t xml:space="preserve"> </w:t>
      </w:r>
      <w:r>
        <w:t xml:space="preserve">(BIOLOGIE ET VITAMINE D’ALGERIE BIOVITAL)</w:t>
      </w:r>
      <w:r>
        <w:t xml:space="preserve"> </w:t>
      </w:r>
      <w:r>
        <w:t xml:space="preserve">- Formes et Dosages : Capsule molle 60 mg/300 mg (boîte de 40)</w:t>
      </w:r>
      <w:r>
        <w:t xml:space="preserve"> </w:t>
      </w:r>
      <w:r>
        <w:t xml:space="preserve">- Statut : Actif</w:t>
      </w:r>
      <w:r>
        <w:t xml:space="preserve"> </w:t>
      </w:r>
      <w:r>
        <w:t xml:space="preserve">-</w:t>
      </w:r>
      <w:r>
        <w:t xml:space="preserve"> </w:t>
      </w:r>
      <w:r>
        <w:rPr>
          <w:b/>
          <w:bCs/>
        </w:rPr>
        <w:t xml:space="preserve">METEOSPASMYL</w:t>
      </w:r>
      <w:r>
        <w:t xml:space="preserve"> </w:t>
      </w:r>
      <w:r>
        <w:t xml:space="preserve">(MAYOLY SPINDLER ALGERIE)</w:t>
      </w:r>
      <w:r>
        <w:t xml:space="preserve"> </w:t>
      </w:r>
      <w:r>
        <w:t xml:space="preserve">- Formes et Dosages : Capsule molle 60 mg/300 mg (boîtes de 20 et 40)</w:t>
      </w:r>
      <w:r>
        <w:t xml:space="preserve"> </w:t>
      </w:r>
      <w:r>
        <w:t xml:space="preserve">- Statut : Actif</w:t>
      </w:r>
    </w:p>
    <w:p>
      <w:pPr>
        <w:pStyle w:val="BodyText"/>
      </w:pPr>
      <w:r>
        <w:rPr>
          <w:b/>
          <w:bCs/>
        </w:rPr>
        <w:t xml:space="preserve">Sous-classe et Mécanisme d’action :</w:t>
      </w:r>
      <w:r>
        <w:t xml:space="preserve"> </w:t>
      </w:r>
      <w:r>
        <w:t xml:space="preserve">- Sous-classe : Spasmolytique musculotrope direct, dérivé de la phénoxyéthylamine, en association avec la siméticone (antiflatulent).</w:t>
      </w:r>
      <w:r>
        <w:t xml:space="preserve"> </w:t>
      </w:r>
      <w:r>
        <w:t xml:space="preserve">- Mécanisme d’action : Inhibition de la phosphodiestérase (PDE) des cellules musculaires lisses digestives → augmentation de l’AMPc intracellulaire → relaxation musculaire lisse digestive. Blocage des canaux calciques voltage-dépendants (effet additif). Action directe sur le muscle, indépendante des voies cholinergiques (pas d’effets anticholinergiques). La siméticone associée (300 mg) est un tensioactif qui réduit la tension superficielle des bulles de gaz intestinaux → facilite leur coalescence et leur élimination (effet antiflatulent). Biodisponibilité modeste, demi-vie ~2 h.</w:t>
      </w:r>
    </w:p>
    <w:p>
      <w:pPr>
        <w:pStyle w:val="BodyText"/>
      </w:pPr>
      <w:r>
        <w:rPr>
          <w:b/>
          <w:bCs/>
        </w:rPr>
        <w:t xml:space="preserve">Profil Pharmacologique :</w:t>
      </w:r>
      <w:r>
        <w:t xml:space="preserve"> </w:t>
      </w:r>
      <w:r>
        <w:t xml:space="preserve">- Indications : Douleurs spasmodiques digestives associées à des ballonnements (météorisme, flatulences), syndrome de l’intestin irritable avec météorisme, dyspepsies ballonnement-prédominantes.</w:t>
      </w:r>
      <w:r>
        <w:t xml:space="preserve"> </w:t>
      </w:r>
      <w:r>
        <w:t xml:space="preserve">- Contre-indications : Hypersensibilité ; enfant &lt;12 ans ; association avec la siméticone : surveiller en cas de syndrome occlusif (la siméticone peut masquer les gaz).</w:t>
      </w:r>
      <w:r>
        <w:t xml:space="preserve"> </w:t>
      </w:r>
      <w:r>
        <w:t xml:space="preserve">- Effets Indésirables : Très bien tolérée ; possibles : nausées, éruptions cutanées, allergie ; plus rares : atteinte hépatique (cas exceptionnels).</w:t>
      </w:r>
    </w:p>
    <w:p>
      <w:pPr>
        <w:pStyle w:val="BodyText"/>
      </w:pPr>
      <w:r>
        <w:rPr>
          <w:b/>
          <w:bCs/>
        </w:rPr>
        <w:t xml:space="preserve">Prévention et Gestion des Effets Indésirables :</w:t>
      </w:r>
      <w:r>
        <w:t xml:space="preserve"> </w:t>
      </w:r>
      <w:r>
        <w:t xml:space="preserve">- Mesures Préventives : Prise pendant ou après les repas (effet antiflatulent optimal) ; cure courte (2-3 semaines) avec réévaluation.</w:t>
      </w:r>
      <w:r>
        <w:t xml:space="preserve"> </w:t>
      </w:r>
      <w:r>
        <w:t xml:space="preserve">- Conduite à Tenir : En cas d’effets indésirables marqués : arrêter.</w:t>
      </w:r>
    </w:p>
    <w:p>
      <w:pPr>
        <w:pStyle w:val="BodyText"/>
      </w:pPr>
      <w:r>
        <w:rPr>
          <w:b/>
          <w:bCs/>
        </w:rPr>
        <w:t xml:space="preserve">Interactions Importantes :</w:t>
      </w:r>
      <w:r>
        <w:t xml:space="preserve"> </w:t>
      </w:r>
      <w:r>
        <w:t xml:space="preserve">-</w:t>
      </w:r>
      <w:r>
        <w:t xml:space="preserve"> </w:t>
      </w:r>
      <w:r>
        <w:rPr>
          <w:b/>
          <w:bCs/>
        </w:rPr>
        <w:t xml:space="preserve">Alvérine + autres antispasmodiques</w:t>
      </w:r>
      <w:r>
        <w:t xml:space="preserve"> </w:t>
      </w:r>
      <w:r>
        <w:t xml:space="preserve">: effet additif (surveillance).</w:t>
      </w:r>
      <w:r>
        <w:t xml:space="preserve"> </w:t>
      </w:r>
      <w:r>
        <w:t xml:space="preserve">-</w:t>
      </w:r>
      <w:r>
        <w:t xml:space="preserve"> </w:t>
      </w:r>
      <w:r>
        <w:rPr>
          <w:b/>
          <w:bCs/>
        </w:rPr>
        <w:t xml:space="preserve">Siméticone + anticoagulants oraux</w:t>
      </w:r>
      <w:r>
        <w:t xml:space="preserve"> </w:t>
      </w:r>
      <w:r>
        <w:t xml:space="preserve">: diminution de l’absorption (espacer de 2 h).</w:t>
      </w:r>
      <w:r>
        <w:t xml:space="preserve"> </w:t>
      </w:r>
      <w:r>
        <w:t xml:space="preserve">-</w:t>
      </w:r>
      <w:r>
        <w:t xml:space="preserve"> </w:t>
      </w:r>
      <w:r>
        <w:rPr>
          <w:b/>
          <w:bCs/>
        </w:rPr>
        <w:t xml:space="preserve">Siméticone + thyroxine</w:t>
      </w:r>
      <w:r>
        <w:t xml:space="preserve"> </w:t>
      </w:r>
      <w:r>
        <w:t xml:space="preserve">: diminution de l’absorption (espacer de 4 h).</w:t>
      </w:r>
    </w:p>
    <w:p>
      <w:pPr>
        <w:pStyle w:val="BodyText"/>
      </w:pPr>
      <w:r>
        <w:rPr>
          <w:b/>
          <w:bCs/>
        </w:rPr>
        <w:t xml:space="preserve">Grossesse et Allaitement :</w:t>
      </w:r>
      <w:r>
        <w:t xml:space="preserve"> </w:t>
      </w:r>
      <w:r>
        <w:t xml:space="preserve">- Grossesse : À éviter par prudence (données animales évocatrices d’un effet embryotoxique à doses élevées, données humaines limitées). Préférer le phloroglucinol.</w:t>
      </w:r>
      <w:r>
        <w:t xml:space="preserve"> </w:t>
      </w:r>
      <w:r>
        <w:t xml:space="preserve">- Allaitement : À éviter par prudence (données limitées).</w:t>
      </w:r>
      <w:r>
        <w:t xml:space="preserve"> </w:t>
      </w:r>
      <w:r>
        <w:t xml:space="preserve">- Précisions : Discuter au cas par cas.</w:t>
      </w:r>
    </w:p>
    <w:p>
      <w:pPr>
        <w:pStyle w:val="BodyText"/>
      </w:pPr>
      <w:r>
        <w:rPr>
          <w:b/>
          <w:bCs/>
        </w:rPr>
        <w:t xml:space="preserve">Posologie et Mode d’administration (Standard) :</w:t>
      </w:r>
      <w:r>
        <w:t xml:space="preserve"> </w:t>
      </w:r>
      <w:r>
        <w:t xml:space="preserve">- Adulte : 1 capsule × 2-3/jour, au moment des repas.</w:t>
      </w:r>
      <w:r>
        <w:t xml:space="preserve"> </w:t>
      </w:r>
      <w:r>
        <w:t xml:space="preserve">- Enfant &gt;12 ans : 1 capsule × 2/jour.</w:t>
      </w:r>
      <w:r>
        <w:t xml:space="preserve"> </w:t>
      </w:r>
      <w:r>
        <w:t xml:space="preserve">- Enfant &lt;12 ans : Non recommandé.</w:t>
      </w:r>
      <w:r>
        <w:t xml:space="preserve"> </w:t>
      </w:r>
      <w:r>
        <w:t xml:space="preserve">- Durée : Quelques jours à 2-3 semaines, avec réévaluation.</w:t>
      </w:r>
      <w:r>
        <w:t xml:space="preserve"> </w:t>
      </w:r>
      <w:r>
        <w:t xml:space="preserve">- Moment de prise : Au moment des repas (effet antiflatulent optimal).</w:t>
      </w:r>
    </w:p>
    <w:p>
      <w:pPr>
        <w:pStyle w:val="BodyText"/>
      </w:pPr>
      <w:r>
        <w:rPr>
          <w:b/>
          <w:bCs/>
        </w:rPr>
        <w:t xml:space="preserve">Arbitrage et Bénéfices des Formes Galéniques :</w:t>
      </w:r>
      <w:r>
        <w:t xml:space="preserve"> </w:t>
      </w:r>
      <w:r>
        <w:t xml:space="preserve">- Capsule molle 60 mg/300 mg : association fixe alvérine + siméticone, pratique pour le patient avec double symptôme (spasme + ballonnement). Capsule molle facilitant la déglutition. Présentations en boîte de 20 (cure courte) ou 40 (cure prolongée).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les douleurs du ventre avec des ballonnements. Prenez-le au moment des repas, 2 à 3 fois par jour. La siméticone (l’autre composant) aide à éliminer les gaz. Si vos symptômes persistent au-delà de 2-3 semaines, consultez votre médecin.</w:t>
      </w:r>
      <w:r>
        <w:t xml:space="preserve">”</w:t>
      </w:r>
      <w:r>
        <w:t xml:space="preserve"> </w:t>
      </w:r>
      <w:r>
        <w:t xml:space="preserve">- Mode d’utilisation pratique : Avaler les capsules avec un verre d’eau, au moment des repas.</w:t>
      </w:r>
    </w:p>
    <w:p>
      <w:pPr>
        <w:pStyle w:val="BodyText"/>
      </w:pPr>
      <w:r>
        <w:rPr>
          <w:b/>
          <w:bCs/>
        </w:rPr>
        <w:t xml:space="preserve">Notes, Règles d’Or &amp; Pièges au Comptoir :</w:t>
      </w:r>
      <w:r>
        <w:t xml:space="preserve"> </w:t>
      </w:r>
      <w:r>
        <w:t xml:space="preserve">- Piège classique : Utilisation prolongée sans réévaluation (risque de masquer une pathologie organique) ; oubli de demander si la patiente est enceinte (à éviter au 1er trimestre).</w:t>
      </w:r>
      <w:r>
        <w:t xml:space="preserve"> </w:t>
      </w:r>
      <w:r>
        <w:t xml:space="preserve">- Règle de prise : 2-3 prises/jour au moment des repas ; réévaluation à 2-3 semaines.</w:t>
      </w:r>
      <w:r>
        <w:t xml:space="preserve"> </w:t>
      </w:r>
      <w:r>
        <w:t xml:space="preserve">- Préparation et Conservation : À température ambiante, à l’abri de l’humidité et de la chaleur (les capsules molles sont sensibles à la chaleur).</w:t>
      </w:r>
      <w:r>
        <w:t xml:space="preserve"> </w:t>
      </w:r>
      <w:r>
        <w:t xml:space="preserve">- Piège du surdosage / Substitution : Substitution possible entre ROVASPASMYL, BIOSPASMYL et METEOSPASMYL (même dosage 60 mg/300 mg). Vérifier la quantité (boîte de 20 vs 40) selon la prescription.</w:t>
      </w:r>
    </w:p>
    <w:p>
      <w:r>
        <w:pict>
          <v:rect style="width:0;height:1.5pt" o:hralign="center" o:hrstd="t" o:hr="t"/>
        </w:pict>
      </w:r>
    </w:p>
    <w:bookmarkEnd w:id="223"/>
    <w:bookmarkStart w:id="224" w:name="mébévérine-seule"/>
    <w:p>
      <w:pPr>
        <w:pStyle w:val="Heading3"/>
      </w:pPr>
      <w:r>
        <w:t xml:space="preserve">18. Mébévérine (Seule)</w:t>
      </w:r>
    </w:p>
    <w:p>
      <w:pPr>
        <w:pStyle w:val="FirstParagraph"/>
      </w:pPr>
      <w:r>
        <w:rPr>
          <w:b/>
          <w:bCs/>
        </w:rPr>
        <w:t xml:space="preserve">Liste des Catégories :</w:t>
      </w:r>
      <w:r>
        <w:t xml:space="preserve"> </w:t>
      </w:r>
      <w:r>
        <w:t xml:space="preserve">Antispasmodiques - Spasmolytiques musculotropes ; Liste II (Algérie).</w:t>
      </w:r>
    </w:p>
    <w:p>
      <w:pPr>
        <w:pStyle w:val="BodyText"/>
      </w:pPr>
      <w:r>
        <w:t xml:space="preserve">La mébévérine (chlorhydrate de mébévérine, commercialisée depuis 1965 sous le nom de Duspatalin®) est un antispasmodique musculotrope direct de la classe des acides 3-(4-benzyloxy-3-méthoxyphényl)-2-(diéthylamino)propanoïques. Elle agit par blocage direct des canaux sodiques voltage-dépendants des cellules musculaires lisses digestives, avec une action sélective sur le tube digestif (peu d’effet vasculaire, respiratoire ou biliaire). Sa biodisponibilité orale est modeste, d’où l’usage privilégié de formes à libération prolongée (microgranules LP 200 mg). Sa demi-vie est d’environ 2,5 h. En Algérie, la mébévérine est disponible en comprimé 100 mg (DESPAVINE, DUSPAVERINE, MEBEVERINE-SAIDAL, SPALVERINE, SPASCOL, SUMO) et en microgranule en gélule LP 200 mg (DUSPATALIN, DUSPAVERINE, MEBEVAN LP 200, MEBEVERINE BEKER LP, SPALVERINE, SPASCOL LP), en Liste II. La forme LP 200 mg permet une administration biquotidienne (matin et soir), contre 3 prises/jour pour la forme 100 mg.</w:t>
      </w:r>
    </w:p>
    <w:p>
      <w:pPr>
        <w:pStyle w:val="BodyText"/>
      </w:pPr>
      <w:r>
        <w:rPr>
          <w:b/>
          <w:bCs/>
        </w:rPr>
        <w:t xml:space="preserve">Médicaments disponibles en Algérie (Marques, Laboratoires, Formes et Dosages) :</w:t>
      </w:r>
    </w:p>
    <w:p>
      <w:pPr>
        <w:pStyle w:val="BodyText"/>
      </w:pPr>
      <w:r>
        <w:rPr>
          <w:i/>
          <w:iCs/>
        </w:rPr>
        <w:t xml:space="preserve">Mébévérine 100 mg (comprimé) :</w:t>
      </w:r>
      <w:r>
        <w:t xml:space="preserve"> </w:t>
      </w:r>
      <w:r>
        <w:t xml:space="preserve">-</w:t>
      </w:r>
      <w:r>
        <w:t xml:space="preserve"> </w:t>
      </w:r>
      <w:r>
        <w:rPr>
          <w:b/>
          <w:bCs/>
        </w:rPr>
        <w:t xml:space="preserve">DESPAVINE</w:t>
      </w:r>
      <w:r>
        <w:t xml:space="preserve"> </w:t>
      </w:r>
      <w:r>
        <w:t xml:space="preserve">(BIOGALENIC) — Comprimé pelliculé 100 mg, B/30, ACTIF</w:t>
      </w:r>
      <w:r>
        <w:t xml:space="preserve"> </w:t>
      </w:r>
      <w:r>
        <w:t xml:space="preserve">-</w:t>
      </w:r>
      <w:r>
        <w:t xml:space="preserve"> </w:t>
      </w:r>
      <w:r>
        <w:rPr>
          <w:b/>
          <w:bCs/>
        </w:rPr>
        <w:t xml:space="preserve">DUSPAVERINE</w:t>
      </w:r>
      <w:r>
        <w:t xml:space="preserve"> </w:t>
      </w:r>
      <w:r>
        <w:t xml:space="preserve">(FRATER-RAZES FORME SECHE) — Microgranule en gélule 100 mg, B/30, ACTIF</w:t>
      </w:r>
      <w:r>
        <w:t xml:space="preserve"> </w:t>
      </w:r>
      <w:r>
        <w:t xml:space="preserve">-</w:t>
      </w:r>
      <w:r>
        <w:t xml:space="preserve"> </w:t>
      </w:r>
      <w:r>
        <w:rPr>
          <w:b/>
          <w:bCs/>
        </w:rPr>
        <w:t xml:space="preserve">MEBEVERINE-SAIDAL</w:t>
      </w:r>
      <w:r>
        <w:t xml:space="preserve"> </w:t>
      </w:r>
      <w:r>
        <w:t xml:space="preserve">(GROUPE SAIDAL) — Comprimé enrobé 100 mg, B/30, ACTIF</w:t>
      </w:r>
      <w:r>
        <w:t xml:space="preserve"> </w:t>
      </w:r>
      <w:r>
        <w:t xml:space="preserve">-</w:t>
      </w:r>
      <w:r>
        <w:t xml:space="preserve"> </w:t>
      </w:r>
      <w:r>
        <w:rPr>
          <w:b/>
          <w:bCs/>
        </w:rPr>
        <w:t xml:space="preserve">SPALVERINE</w:t>
      </w:r>
      <w:r>
        <w:t xml:space="preserve"> </w:t>
      </w:r>
      <w:r>
        <w:t xml:space="preserve">(NEOMEDIC) — Gélule 100 mg, B/30, ACTIF</w:t>
      </w:r>
      <w:r>
        <w:t xml:space="preserve"> </w:t>
      </w:r>
      <w:r>
        <w:t xml:space="preserve">-</w:t>
      </w:r>
      <w:r>
        <w:t xml:space="preserve"> </w:t>
      </w:r>
      <w:r>
        <w:rPr>
          <w:b/>
          <w:bCs/>
        </w:rPr>
        <w:t xml:space="preserve">SPASCOL</w:t>
      </w:r>
      <w:r>
        <w:t xml:space="preserve"> </w:t>
      </w:r>
      <w:r>
        <w:t xml:space="preserve">(GENERIC LAB) — Microgranules en gélule 100 mg, B/30, ACTIF</w:t>
      </w:r>
    </w:p>
    <w:p>
      <w:pPr>
        <w:pStyle w:val="BodyText"/>
      </w:pPr>
      <w:r>
        <w:rPr>
          <w:i/>
          <w:iCs/>
        </w:rPr>
        <w:t xml:space="preserve">Mébévérine 200 mg LP (microgranule en gélule à libération prolongée) :</w:t>
      </w:r>
      <w:r>
        <w:t xml:space="preserve"> </w:t>
      </w:r>
      <w:r>
        <w:t xml:space="preserve">-</w:t>
      </w:r>
      <w:r>
        <w:t xml:space="preserve"> </w:t>
      </w:r>
      <w:r>
        <w:rPr>
          <w:b/>
          <w:bCs/>
        </w:rPr>
        <w:t xml:space="preserve">DUSPATALIN</w:t>
      </w:r>
      <w:r>
        <w:t xml:space="preserve"> </w:t>
      </w:r>
      <w:r>
        <w:t xml:space="preserve">(ABBOTT LABORATOIRES GmBH) — Microgranule en gélule LP 200 mg, B/30, ACTIF</w:t>
      </w:r>
      <w:r>
        <w:t xml:space="preserve"> </w:t>
      </w:r>
      <w:r>
        <w:t xml:space="preserve">-</w:t>
      </w:r>
      <w:r>
        <w:t xml:space="preserve"> </w:t>
      </w:r>
      <w:r>
        <w:rPr>
          <w:b/>
          <w:bCs/>
        </w:rPr>
        <w:t xml:space="preserve">DUSPAVERINE</w:t>
      </w:r>
      <w:r>
        <w:t xml:space="preserve"> </w:t>
      </w:r>
      <w:r>
        <w:t xml:space="preserve">(FRATER-RAZES FORME SECHE) — Microgranule en gélule LP 200 mg, B/30, ACTIF</w:t>
      </w:r>
      <w:r>
        <w:t xml:space="preserve"> </w:t>
      </w:r>
      <w:r>
        <w:t xml:space="preserve">-</w:t>
      </w:r>
      <w:r>
        <w:t xml:space="preserve"> </w:t>
      </w:r>
      <w:r>
        <w:rPr>
          <w:b/>
          <w:bCs/>
        </w:rPr>
        <w:t xml:space="preserve">MEBEVAN LP 200</w:t>
      </w:r>
      <w:r>
        <w:t xml:space="preserve"> </w:t>
      </w:r>
      <w:r>
        <w:t xml:space="preserve">(TASSILI ARAB PHARMACEUTICAL CO) — Microgranule en gélule LP 200 mg, B/30, ACTIF</w:t>
      </w:r>
      <w:r>
        <w:t xml:space="preserve"> </w:t>
      </w:r>
      <w:r>
        <w:t xml:space="preserve">-</w:t>
      </w:r>
      <w:r>
        <w:t xml:space="preserve"> </w:t>
      </w:r>
      <w:r>
        <w:rPr>
          <w:b/>
          <w:bCs/>
        </w:rPr>
        <w:t xml:space="preserve">MEBEVERINE BEKER LP</w:t>
      </w:r>
      <w:r>
        <w:t xml:space="preserve"> </w:t>
      </w:r>
      <w:r>
        <w:t xml:space="preserve">(LABORATOIRES BEKER) — Microgranule en gélule LP 200 mg, B/30, ACTIF</w:t>
      </w:r>
      <w:r>
        <w:t xml:space="preserve"> </w:t>
      </w:r>
      <w:r>
        <w:t xml:space="preserve">-</w:t>
      </w:r>
      <w:r>
        <w:t xml:space="preserve"> </w:t>
      </w:r>
      <w:r>
        <w:rPr>
          <w:b/>
          <w:bCs/>
        </w:rPr>
        <w:t xml:space="preserve">SPALVERINE</w:t>
      </w:r>
      <w:r>
        <w:t xml:space="preserve"> </w:t>
      </w:r>
      <w:r>
        <w:t xml:space="preserve">(NEOMEDIC) — Gélule 200 mg, B/30, ACTIF</w:t>
      </w:r>
      <w:r>
        <w:t xml:space="preserve"> </w:t>
      </w:r>
      <w:r>
        <w:t xml:space="preserve">-</w:t>
      </w:r>
      <w:r>
        <w:t xml:space="preserve"> </w:t>
      </w:r>
      <w:r>
        <w:rPr>
          <w:b/>
          <w:bCs/>
        </w:rPr>
        <w:t xml:space="preserve">SPASCOL LP</w:t>
      </w:r>
      <w:r>
        <w:t xml:space="preserve"> </w:t>
      </w:r>
      <w:r>
        <w:t xml:space="preserve">(GENERIC LAB) — Microgranule en gélule LP 200 mg, B/30, ACTIF</w:t>
      </w:r>
    </w:p>
    <w:p>
      <w:pPr>
        <w:pStyle w:val="BodyText"/>
      </w:pPr>
      <w:r>
        <w:rPr>
          <w:i/>
          <w:iCs/>
        </w:rPr>
        <w:t xml:space="preserve">Formes Non Renouvelables :</w:t>
      </w:r>
      <w:r>
        <w:t xml:space="preserve"> </w:t>
      </w:r>
      <w:r>
        <w:t xml:space="preserve">-</w:t>
      </w:r>
      <w:r>
        <w:t xml:space="preserve"> </w:t>
      </w:r>
      <w:r>
        <w:rPr>
          <w:b/>
          <w:bCs/>
        </w:rPr>
        <w:t xml:space="preserve">SUMO</w:t>
      </w:r>
      <w:r>
        <w:t xml:space="preserve"> </w:t>
      </w:r>
      <w:r>
        <w:t xml:space="preserve">(GROUPE SANTE) — Gélule 100 mg, B/30, NON_RENOUVELABLE</w:t>
      </w:r>
      <w:r>
        <w:t xml:space="preserve"> </w:t>
      </w:r>
      <w:r>
        <w:t xml:space="preserve">-</w:t>
      </w:r>
      <w:r>
        <w:t xml:space="preserve"> </w:t>
      </w:r>
      <w:r>
        <w:rPr>
          <w:b/>
          <w:bCs/>
        </w:rPr>
        <w:t xml:space="preserve">BEVACOL</w:t>
      </w:r>
      <w:r>
        <w:t xml:space="preserve"> </w:t>
      </w:r>
      <w:r>
        <w:t xml:space="preserve">(JORDANIAN PHARMACEUTICAL MANUFACTURING - JPM) — Comprimé pelliculé 135 mg, B/48, NON_RENOUVELABLE</w:t>
      </w:r>
    </w:p>
    <w:p>
      <w:pPr>
        <w:pStyle w:val="BodyText"/>
      </w:pPr>
      <w:r>
        <w:rPr>
          <w:i/>
          <w:iCs/>
        </w:rPr>
        <w:t xml:space="preserve">Formes Retirées (R) :</w:t>
      </w:r>
      <w:r>
        <w:t xml:space="preserve"> </w:t>
      </w:r>
      <w:r>
        <w:t xml:space="preserve">-</w:t>
      </w:r>
      <w:r>
        <w:t xml:space="preserve"> </w:t>
      </w:r>
      <w:r>
        <w:rPr>
          <w:b/>
          <w:bCs/>
        </w:rPr>
        <w:t xml:space="preserve">BEVIRAN</w:t>
      </w:r>
      <w:r>
        <w:t xml:space="preserve"> </w:t>
      </w:r>
      <w:r>
        <w:t xml:space="preserve">(GALENICA) — Comprimé 100 mg, B/30, RETRAIT</w:t>
      </w:r>
      <w:r>
        <w:t xml:space="preserve"> </w:t>
      </w:r>
      <w:r>
        <w:t xml:space="preserve">-</w:t>
      </w:r>
      <w:r>
        <w:t xml:space="preserve"> </w:t>
      </w:r>
      <w:r>
        <w:rPr>
          <w:b/>
          <w:bCs/>
        </w:rPr>
        <w:t xml:space="preserve">DUSPAMED</w:t>
      </w:r>
      <w:r>
        <w:t xml:space="preserve"> </w:t>
      </w:r>
      <w:r>
        <w:t xml:space="preserve">(ASIA PHARMACEUTICALS) — Comprimé 100 mg, B/20, RETRAIT</w:t>
      </w:r>
      <w:r>
        <w:t xml:space="preserve"> </w:t>
      </w:r>
      <w:r>
        <w:t xml:space="preserve">-</w:t>
      </w:r>
      <w:r>
        <w:t xml:space="preserve"> </w:t>
      </w:r>
      <w:r>
        <w:rPr>
          <w:b/>
          <w:bCs/>
        </w:rPr>
        <w:t xml:space="preserve">DUSPATALIN</w:t>
      </w:r>
      <w:r>
        <w:t xml:space="preserve"> </w:t>
      </w:r>
      <w:r>
        <w:t xml:space="preserve">(SOLVAY PHARMA) — Comprimé enrobé 100 mg, B/30, RETRAIT</w:t>
      </w:r>
      <w:r>
        <w:t xml:space="preserve"> </w:t>
      </w:r>
      <w:r>
        <w:t xml:space="preserve">-</w:t>
      </w:r>
      <w:r>
        <w:t xml:space="preserve"> </w:t>
      </w:r>
      <w:r>
        <w:rPr>
          <w:b/>
          <w:bCs/>
        </w:rPr>
        <w:t xml:space="preserve">COLOPRIV</w:t>
      </w:r>
      <w:r>
        <w:t xml:space="preserve"> </w:t>
      </w:r>
      <w:r>
        <w:t xml:space="preserve">(BIOTHERAPIE) — Gélule 200 mg, B/30 et B/60, RETRAIT</w:t>
      </w:r>
      <w:r>
        <w:t xml:space="preserve"> </w:t>
      </w:r>
      <w:r>
        <w:t xml:space="preserve">-</w:t>
      </w:r>
      <w:r>
        <w:t xml:space="preserve"> </w:t>
      </w:r>
      <w:r>
        <w:rPr>
          <w:b/>
          <w:bCs/>
        </w:rPr>
        <w:t xml:space="preserve">COLOSPASMIN</w:t>
      </w:r>
      <w:r>
        <w:t xml:space="preserve"> </w:t>
      </w:r>
      <w:r>
        <w:t xml:space="preserve">(MEDIFARMAL) — Comprimé 100 mg, B/20, RETRAIT</w:t>
      </w:r>
      <w:r>
        <w:t xml:space="preserve"> </w:t>
      </w:r>
      <w:r>
        <w:t xml:space="preserve">-</w:t>
      </w:r>
      <w:r>
        <w:t xml:space="preserve"> </w:t>
      </w:r>
      <w:r>
        <w:rPr>
          <w:b/>
          <w:bCs/>
        </w:rPr>
        <w:t xml:space="preserve">SPASMOTALIN</w:t>
      </w:r>
      <w:r>
        <w:t xml:space="preserve"> </w:t>
      </w:r>
      <w:r>
        <w:t xml:space="preserve">(AMRIYA) — Comprimé pelliculé 100 mg, B/30, RETRAIT</w:t>
      </w:r>
      <w:r>
        <w:t xml:space="preserve"> </w:t>
      </w:r>
      <w:r>
        <w:t xml:space="preserve">-</w:t>
      </w:r>
      <w:r>
        <w:t xml:space="preserve"> </w:t>
      </w:r>
      <w:r>
        <w:rPr>
          <w:b/>
          <w:bCs/>
        </w:rPr>
        <w:t xml:space="preserve">MEBEVERINE BIOGARAN</w:t>
      </w:r>
      <w:r>
        <w:t xml:space="preserve"> </w:t>
      </w:r>
      <w:r>
        <w:t xml:space="preserve">(BIOGARAN) — Gélule 200 mg, B/30, RETRAIT</w:t>
      </w:r>
      <w:r>
        <w:t xml:space="preserve"> </w:t>
      </w:r>
      <w:r>
        <w:t xml:space="preserve">-</w:t>
      </w:r>
      <w:r>
        <w:t xml:space="preserve"> </w:t>
      </w:r>
      <w:r>
        <w:rPr>
          <w:b/>
          <w:bCs/>
        </w:rPr>
        <w:t xml:space="preserve">SPASTALIN</w:t>
      </w:r>
      <w:r>
        <w:t xml:space="preserve"> </w:t>
      </w:r>
      <w:r>
        <w:t xml:space="preserve">(PHARCO EGYPTE) — Comprimé 100 mg, B/20, RETRAIT</w:t>
      </w:r>
      <w:r>
        <w:t xml:space="preserve"> </w:t>
      </w:r>
      <w:r>
        <w:t xml:space="preserve">-</w:t>
      </w:r>
      <w:r>
        <w:t xml:space="preserve"> </w:t>
      </w:r>
      <w:r>
        <w:rPr>
          <w:b/>
          <w:bCs/>
        </w:rPr>
        <w:t xml:space="preserve">MEBEVERINE BIOGARAN</w:t>
      </w:r>
      <w:r>
        <w:t xml:space="preserve"> </w:t>
      </w:r>
      <w:r>
        <w:t xml:space="preserve">(BIOGARAN) — Capsule molle 100 mg, B/20, RETRAIT</w:t>
      </w:r>
    </w:p>
    <w:p>
      <w:pPr>
        <w:pStyle w:val="BodyText"/>
      </w:pPr>
      <w:r>
        <w:rPr>
          <w:b/>
          <w:bCs/>
        </w:rPr>
        <w:t xml:space="preserve">Sous-classe et Mécanisme d’action :</w:t>
      </w:r>
      <w:r>
        <w:t xml:space="preserve"> </w:t>
      </w:r>
      <w:r>
        <w:t xml:space="preserve">- Sous-classe : Spasmolytique musculotrope direct, dérivé de l’acide 3-(benzyloxy-3-méthoxyphényl) propanoïque, à action sélective sur le tube digestif.</w:t>
      </w:r>
      <w:r>
        <w:t xml:space="preserve"> </w:t>
      </w:r>
      <w:r>
        <w:t xml:space="preserve">- Mécanisme d’action : Blocage direct des canaux sodiques voltage-dépendants (sensibles à la tétrodotoxine) des cellules musculaires lisses digestives → diminution de l’entrée de sodium → inhibition des potentiels d’action → relaxation musculaire lisse digestive. Action directe sur le muscle, indépendante des voies cholinergiques (pas d’effets anticholinergiques). Action sélective sur le tube digestif (peu d’effet vasculaire, respiratoire ou biliaire). Biodisponibilité modeste, métabolisme hépatique (hydroxylation et déméthylation), demi-vie ~2,5 h. Forme LP 200 mg → libération prolongée 12 h → 2 prises/jour suffisent.</w:t>
      </w:r>
    </w:p>
    <w:p>
      <w:pPr>
        <w:pStyle w:val="BodyText"/>
      </w:pPr>
      <w:r>
        <w:rPr>
          <w:b/>
          <w:bCs/>
        </w:rPr>
        <w:t xml:space="preserve">Profil Pharmacologique :</w:t>
      </w:r>
      <w:r>
        <w:t xml:space="preserve"> </w:t>
      </w:r>
      <w:r>
        <w:t xml:space="preserve">- Indications : Troubles fonctionnels intestinaux (syndrome de l’intestin irritable) : douleurs abdominales, troubles du transit, inconfort digestif. Spasmes digestifs non spécifiques. Syndrome de l’intestin irritable post-prandial.</w:t>
      </w:r>
      <w:r>
        <w:t xml:space="preserve"> </w:t>
      </w:r>
      <w:r>
        <w:t xml:space="preserve">- Contre-indications : Hypersensibilité ; iléus paralytique ; mégacôlon toxique ; enfant &lt;10 ans (données insuffisantes).</w:t>
      </w:r>
      <w:r>
        <w:t xml:space="preserve"> </w:t>
      </w:r>
      <w:r>
        <w:t xml:space="preserve">- Effets Indésirables : Très bien tolérée ; possibles : nausées, éruptions cutanées, allergie, urticaire ; plus rares : angio-œdème (rare).</w:t>
      </w:r>
    </w:p>
    <w:p>
      <w:pPr>
        <w:pStyle w:val="BodyText"/>
      </w:pPr>
      <w:r>
        <w:rPr>
          <w:b/>
          <w:bCs/>
        </w:rPr>
        <w:t xml:space="preserve">Prévention et Gestion des Effets Indésirables :</w:t>
      </w:r>
      <w:r>
        <w:t xml:space="preserve"> </w:t>
      </w:r>
      <w:r>
        <w:t xml:space="preserve">- Mesures Préventives : Prise avant les repas (effet préventif du spasme post-prandial) ; cure adaptée (2-4 semaines), réévaluation à 4 semaines.</w:t>
      </w:r>
      <w:r>
        <w:t xml:space="preserve"> </w:t>
      </w:r>
      <w:r>
        <w:t xml:space="preserve">- Conduite à Tenir : En cas d’éruption cutanée ou d’angio-œdème : arrêt immédiat, consultation urgente.</w:t>
      </w:r>
    </w:p>
    <w:p>
      <w:pPr>
        <w:pStyle w:val="BodyText"/>
      </w:pPr>
      <w:r>
        <w:rPr>
          <w:b/>
          <w:bCs/>
        </w:rPr>
        <w:t xml:space="preserve">Interactions Importantes :</w:t>
      </w:r>
      <w:r>
        <w:t xml:space="preserve"> </w:t>
      </w:r>
      <w:r>
        <w:t xml:space="preserve">-</w:t>
      </w:r>
      <w:r>
        <w:t xml:space="preserve"> </w:t>
      </w:r>
      <w:r>
        <w:rPr>
          <w:b/>
          <w:bCs/>
        </w:rPr>
        <w:t xml:space="preserve">Mébévérine + autres antispasmodiques</w:t>
      </w:r>
      <w:r>
        <w:t xml:space="preserve"> </w:t>
      </w:r>
      <w:r>
        <w:t xml:space="preserve">: effet additif (surveillance).</w:t>
      </w:r>
      <w:r>
        <w:t xml:space="preserve"> </w:t>
      </w:r>
      <w:r>
        <w:t xml:space="preserve">-</w:t>
      </w:r>
      <w:r>
        <w:t xml:space="preserve"> </w:t>
      </w:r>
      <w:r>
        <w:rPr>
          <w:b/>
          <w:bCs/>
        </w:rPr>
        <w:t xml:space="preserve">Mébévérine + anticholinergiques</w:t>
      </w:r>
      <w:r>
        <w:t xml:space="preserve"> </w:t>
      </w:r>
      <w:r>
        <w:t xml:space="preserve">: pas d’interaction notable (la mébévérine n’a pas d’effet anticholinergique).</w:t>
      </w:r>
    </w:p>
    <w:p>
      <w:pPr>
        <w:pStyle w:val="BodyText"/>
      </w:pPr>
      <w:r>
        <w:rPr>
          <w:b/>
          <w:bCs/>
        </w:rPr>
        <w:t xml:space="preserve">Grossesse et Allaitement :</w:t>
      </w:r>
      <w:r>
        <w:t xml:space="preserve"> </w:t>
      </w:r>
      <w:r>
        <w:t xml:space="preserve">- Grossesse : À éviter par prudence au 1er trimestre (données animales évocatrices d’un effet embryotoxique à doses élevées, données humaines limitées). Compatible aux 2e et 3e trimestres en cas de nécessité.</w:t>
      </w:r>
      <w:r>
        <w:t xml:space="preserve"> </w:t>
      </w:r>
      <w:r>
        <w:t xml:space="preserve">- Allaitement : Compatible (faible passage dans le lait, faible toxicité pour le nourrisson).</w:t>
      </w:r>
      <w:r>
        <w:t xml:space="preserve"> </w:t>
      </w:r>
      <w:r>
        <w:t xml:space="preserve">- Précisions : Discuter au cas par cas.</w:t>
      </w:r>
    </w:p>
    <w:p>
      <w:pPr>
        <w:pStyle w:val="BodyText"/>
      </w:pPr>
      <w:r>
        <w:rPr>
          <w:b/>
          <w:bCs/>
        </w:rPr>
        <w:t xml:space="preserve">Posologie et Mode d’administration (Standard) :</w:t>
      </w:r>
      <w:r>
        <w:t xml:space="preserve"> </w:t>
      </w:r>
      <w:r>
        <w:t xml:space="preserve">- Adulte (comprimé 100 mg) : 1 comprimé × 3/jour, avant les repas (ou 2 × 100 mg matin et midi si 3 prises difficiles).</w:t>
      </w:r>
      <w:r>
        <w:t xml:space="preserve"> </w:t>
      </w:r>
      <w:r>
        <w:t xml:space="preserve">- Adulte (microgranule en gélule LP 200 mg) : 1 gélule × 2/jour (matin et soir), avant les repas.</w:t>
      </w:r>
      <w:r>
        <w:t xml:space="preserve"> </w:t>
      </w:r>
      <w:r>
        <w:t xml:space="preserve">- Enfant &gt;10 ans : 1 comprimé 100 mg × 3/jour.</w:t>
      </w:r>
      <w:r>
        <w:t xml:space="preserve"> </w:t>
      </w:r>
      <w:r>
        <w:t xml:space="preserve">- Durée : 2-4 semaines en cure courte. Au long cours possible en cas de SII chronique avec réévaluation.</w:t>
      </w:r>
      <w:r>
        <w:t xml:space="preserve"> </w:t>
      </w:r>
      <w:r>
        <w:t xml:space="preserve">- Moment de prise : Avant les repas (effet préventif du spasme post-prandial). Pour la forme LP : matin et soir à heures fixes.</w:t>
      </w:r>
    </w:p>
    <w:p>
      <w:pPr>
        <w:pStyle w:val="BodyText"/>
      </w:pPr>
      <w:r>
        <w:rPr>
          <w:b/>
          <w:bCs/>
        </w:rPr>
        <w:t xml:space="preserve">Arbitrage et Bénéfices des Formes Galéniques :</w:t>
      </w:r>
      <w:r>
        <w:t xml:space="preserve"> </w:t>
      </w:r>
      <w:r>
        <w:t xml:space="preserve">-</w:t>
      </w:r>
      <w:r>
        <w:t xml:space="preserve"> </w:t>
      </w:r>
      <w:r>
        <w:rPr>
          <w:b/>
          <w:bCs/>
        </w:rPr>
        <w:t xml:space="preserve">Comprimé 100 mg</w:t>
      </w:r>
      <w:r>
        <w:t xml:space="preserve"> </w:t>
      </w:r>
      <w:r>
        <w:t xml:space="preserve">: forme standard, 3 prises/jour avant les repas. Pratique pour les cures courtes.</w:t>
      </w:r>
      <w:r>
        <w:t xml:space="preserve"> </w:t>
      </w:r>
      <w:r>
        <w:t xml:space="preserve">-</w:t>
      </w:r>
      <w:r>
        <w:t xml:space="preserve"> </w:t>
      </w:r>
      <w:r>
        <w:rPr>
          <w:b/>
          <w:bCs/>
        </w:rPr>
        <w:t xml:space="preserve">Microgranule en gélule LP 200 mg</w:t>
      </w:r>
      <w:r>
        <w:t xml:space="preserve"> </w:t>
      </w:r>
      <w:r>
        <w:t xml:space="preserve">: forme à libération prolongée, 2 prises/jour suffisent (matin et soir), observance améliorée. Indiquée en cas de SII chronique nécessitant un traitement prolongé.</w:t>
      </w:r>
      <w:r>
        <w:t xml:space="preserve"> </w:t>
      </w:r>
      <w:r>
        <w:t xml:space="preserve">- Présentations en boîte de 30 (mensuelle pour la forme LP).</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de votre intestin, en cas de douleurs et de troubles du transit. Prenez-le avant les repas, 3 fois par jour pour la forme 100 mg, ou 2 fois par jour pour la forme 200 mg LP. La forme LP (à libération prolongée) agit pendant 12 heures, d’où les 2 prises par jour. Si vos symptômes persistent au-delà de 4 semaines, consultez votre médecin.</w:t>
      </w:r>
      <w:r>
        <w:t xml:space="preserve">”</w:t>
      </w:r>
      <w:r>
        <w:t xml:space="preserve"> </w:t>
      </w:r>
      <w:r>
        <w:t xml:space="preserve">- Mode d’utilisation pratique : Avaler les comprimés ou gélules avec un verre d’eau, avant les repas. Pour la forme LP : ne pas écraser ni croquer (la gélule doit rester intacte pour respecter la libération prolongée).</w:t>
      </w:r>
    </w:p>
    <w:p>
      <w:pPr>
        <w:pStyle w:val="BodyText"/>
      </w:pPr>
      <w:r>
        <w:rPr>
          <w:b/>
          <w:bCs/>
        </w:rPr>
        <w:t xml:space="preserve">Notes, Règles d’Or &amp; Pièges au Comptoir :</w:t>
      </w:r>
      <w:r>
        <w:t xml:space="preserve"> </w:t>
      </w:r>
      <w:r>
        <w:t xml:space="preserve">- Piège classique : Utilisation prolongée sans réévaluation (risque de masquer une pathologie organique) ; oubli de demander si la patiente est enceinte (à éviter au 1er trimestre) ; écrasement ou ouverture de la gélule LP (altère la cinétique).</w:t>
      </w:r>
      <w:r>
        <w:t xml:space="preserve"> </w:t>
      </w:r>
      <w:r>
        <w:t xml:space="preserve">- Règle de prise : 3 prises/jour (forme 100 mg) ou 2 prises/jour (forme LP 200 mg) avant les repas ; réévaluation à 4 semaines.</w:t>
      </w:r>
      <w:r>
        <w:t xml:space="preserve"> </w:t>
      </w:r>
      <w:r>
        <w:t xml:space="preserve">- Préparation et Conservation : À température ambiante, à l’abri de l’humidité. La gélule LP doit être conservée dans son emballage d’origine.</w:t>
      </w:r>
      <w:r>
        <w:t xml:space="preserve"> </w:t>
      </w:r>
      <w:r>
        <w:t xml:space="preserve">- Piège du surdosage / Substitution : Substitution possible entre génériques en respectant la forme galénique (LP vs standard). Attention à ne pas substituer une forme LP par une forme standard sans avis médical (schéma posologique différent).</w:t>
      </w:r>
    </w:p>
    <w:p>
      <w:r>
        <w:pict>
          <v:rect style="width:0;height:1.5pt" o:hralign="center" o:hrstd="t" o:hr="t"/>
        </w:pict>
      </w:r>
    </w:p>
    <w:bookmarkEnd w:id="224"/>
    <w:bookmarkEnd w:id="225"/>
    <w:bookmarkStart w:id="228" w:name="Xc710ee753ffd75eaa5b9e79a677e785e18b35ba"/>
    <w:p>
      <w:pPr>
        <w:pStyle w:val="Heading2"/>
      </w:pPr>
      <w:r>
        <w:t xml:space="preserve">12. Antispasmodiques - Antagonistes calciques intestinaux</w:t>
      </w:r>
    </w:p>
    <w:bookmarkStart w:id="226" w:name="introduction-à-la-sous-classe-17"/>
    <w:p>
      <w:pPr>
        <w:pStyle w:val="Heading3"/>
      </w:pPr>
      <w:r>
        <w:t xml:space="preserve">Introduction à la sous-classe</w:t>
      </w:r>
    </w:p>
    <w:p>
      <w:pPr>
        <w:pStyle w:val="FirstParagraph"/>
      </w:pPr>
      <w:r>
        <w:t xml:space="preserve">Les antagonistes calciques intestinaux agissent par blocage sélectif des canaux calciques voltage-dépendants des cellules musculaires lisses digestives. Contrairement aux antagonistes calciques vasculaires (dihydropyridines, vérapamil, diltiazem), ils ont une action quasi-spécifique sur le tube digestif, avec peu d’effets cardiovasculaires systémiques. Cette sélectivité s’explique par une affinité supérieure pour les canaux calciques de type L du muscle lisse digestif, et une faible absorption systémique.</w:t>
      </w:r>
    </w:p>
    <w:p>
      <w:pPr>
        <w:pStyle w:val="BodyText"/>
      </w:pPr>
      <w:r>
        <w:t xml:space="preserve">Le</w:t>
      </w:r>
      <w:r>
        <w:t xml:space="preserve"> </w:t>
      </w:r>
      <w:r>
        <w:rPr>
          <w:b/>
          <w:bCs/>
        </w:rPr>
        <w:t xml:space="preserve">pinavérium</w:t>
      </w:r>
      <w:r>
        <w:t xml:space="preserve"> </w:t>
      </w:r>
      <w:r>
        <w:t xml:space="preserve">(commercialisé sous le nom de Dicetel®) est le représentant principal de cette classe. C’est un dérivé d’ammonium quaternaire (donc faiblement absorbé, ~1 % de biodisponibilité systémique), ce qui explique son action topique locale digestive et sa faible toxicité systémique. Sa demi-vie systémique est d’environ 1 h, mais la concentration intestinale reste élevée plusieurs heures après la prise. En Algérie, le pinavérium est disponible en comprimé pelliculé 50 mg et 100 mg (DICETEL, PINATEL, PINAVERIUM GL, PINAVERIUM NOVAGENERICS), en Liste II. Il est utilisé dans le traitement des troubles fonctionnels intestinaux avec composante douloureuse, notamment le syndrome de l’intestin irritable.</w:t>
      </w:r>
    </w:p>
    <w:p>
      <w:r>
        <w:pict>
          <v:rect style="width:0;height:1.5pt" o:hralign="center" o:hrstd="t" o:hr="t"/>
        </w:pict>
      </w:r>
    </w:p>
    <w:bookmarkEnd w:id="226"/>
    <w:bookmarkStart w:id="227" w:name="pinavérium-seule"/>
    <w:p>
      <w:pPr>
        <w:pStyle w:val="Heading3"/>
      </w:pPr>
      <w:r>
        <w:t xml:space="preserve">19. Pinavérium (Seule)</w:t>
      </w:r>
    </w:p>
    <w:p>
      <w:pPr>
        <w:pStyle w:val="FirstParagraph"/>
      </w:pPr>
      <w:r>
        <w:rPr>
          <w:b/>
          <w:bCs/>
        </w:rPr>
        <w:t xml:space="preserve">Liste des Catégories :</w:t>
      </w:r>
      <w:r>
        <w:t xml:space="preserve"> </w:t>
      </w:r>
      <w:r>
        <w:t xml:space="preserve">Antispasmodiques - Antagonistes calciques intestinaux ; Liste II (Algérie).</w:t>
      </w:r>
    </w:p>
    <w:p>
      <w:pPr>
        <w:pStyle w:val="BodyText"/>
      </w:pPr>
      <w:r>
        <w:t xml:space="preserve">Le pinavérium (bromure de pinavérium) est un antagoniste calcique intestinal de la classe des ammoniums quaternaires, commercialisé depuis 1975 sous le nom de Dicetel®. Sa structure d’ammonium quaternaire lui confère une très faible absorption systémique (~1 %), ce qui explique son action topique locale digestive et sa tolérance systémique excellente. Sa concentration intestinale reste élevée plusieurs heures après la prise, malgré une demi-vie systémique courte. Il agit par blocage sélectif des canaux calciques voltage-dépendants de type L des cellules musculaires lisses digestives → diminution de l’entrée de calcium intracellulaire → relaxation musculaire lisse digestive. En Algérie, le pinavérium est disponible en comprimé pelliculé 50 mg et 100 mg sous les marques DICETEL (Abbott), PINATEL (Beker), PINAVERIUM GL (Generic Lab) et PINAVERIUM NOVAGENERICS (Novapharm Trading), en Liste II.</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DICETEL</w:t>
      </w:r>
      <w:r>
        <w:t xml:space="preserve"> </w:t>
      </w:r>
      <w:r>
        <w:t xml:space="preserve">(ABBOTT PRODUCTS SAS)</w:t>
      </w:r>
      <w:r>
        <w:t xml:space="preserve"> </w:t>
      </w:r>
      <w:r>
        <w:t xml:space="preserve">- Formes et Dosages : Comprimé pelliculé 50 mg (boîte de 20) ; Comprimé pelliculé 100 mg (boîte de 20)</w:t>
      </w:r>
      <w:r>
        <w:t xml:space="preserve"> </w:t>
      </w:r>
      <w:r>
        <w:t xml:space="preserve">- Statut : Actif</w:t>
      </w:r>
      <w:r>
        <w:t xml:space="preserve"> </w:t>
      </w:r>
      <w:r>
        <w:t xml:space="preserve">-</w:t>
      </w:r>
      <w:r>
        <w:t xml:space="preserve"> </w:t>
      </w:r>
      <w:r>
        <w:rPr>
          <w:b/>
          <w:bCs/>
        </w:rPr>
        <w:t xml:space="preserve">PINAVERIUM NOVAGENERICS</w:t>
      </w:r>
      <w:r>
        <w:t xml:space="preserve"> </w:t>
      </w:r>
      <w:r>
        <w:t xml:space="preserve">(NOVAPHARM TRADING)</w:t>
      </w:r>
      <w:r>
        <w:t xml:space="preserve"> </w:t>
      </w:r>
      <w:r>
        <w:t xml:space="preserve">- Formes et Dosages : Comprimé pelliculé 50 mg (boîte de 20) ; Comprimé pelliculé 100 mg (boîte de 30)</w:t>
      </w:r>
      <w:r>
        <w:t xml:space="preserve"> </w:t>
      </w:r>
      <w:r>
        <w:t xml:space="preserve">- Statut : Actif</w:t>
      </w:r>
      <w:r>
        <w:t xml:space="preserve"> </w:t>
      </w:r>
      <w:r>
        <w:t xml:space="preserve">-</w:t>
      </w:r>
      <w:r>
        <w:t xml:space="preserve"> </w:t>
      </w:r>
      <w:r>
        <w:rPr>
          <w:b/>
          <w:bCs/>
        </w:rPr>
        <w:t xml:space="preserve">PINATEL</w:t>
      </w:r>
      <w:r>
        <w:t xml:space="preserve"> </w:t>
      </w:r>
      <w:r>
        <w:t xml:space="preserve">(LABORATOIRES BEKER)</w:t>
      </w:r>
      <w:r>
        <w:t xml:space="preserve"> </w:t>
      </w:r>
      <w:r>
        <w:t xml:space="preserve">- Formes et Dosages : Comprimé pelliculé 100 mg (boîte de 30)</w:t>
      </w:r>
      <w:r>
        <w:t xml:space="preserve"> </w:t>
      </w:r>
      <w:r>
        <w:t xml:space="preserve">- Statut : Actif</w:t>
      </w:r>
      <w:r>
        <w:t xml:space="preserve"> </w:t>
      </w:r>
      <w:r>
        <w:t xml:space="preserve">-</w:t>
      </w:r>
      <w:r>
        <w:t xml:space="preserve"> </w:t>
      </w:r>
      <w:r>
        <w:rPr>
          <w:b/>
          <w:bCs/>
        </w:rPr>
        <w:t xml:space="preserve">PINAVERIUM GL</w:t>
      </w:r>
      <w:r>
        <w:t xml:space="preserve"> </w:t>
      </w:r>
      <w:r>
        <w:t xml:space="preserve">(GENERIC LAB)</w:t>
      </w:r>
      <w:r>
        <w:t xml:space="preserve"> </w:t>
      </w:r>
      <w:r>
        <w:t xml:space="preserve">- Formes et Dosages : Comprimé pelliculé 100 mg (boîte de 20)</w:t>
      </w:r>
      <w:r>
        <w:t xml:space="preserve"> </w:t>
      </w:r>
      <w:r>
        <w:t xml:space="preserve">- Statut : Actif</w:t>
      </w:r>
    </w:p>
    <w:p>
      <w:pPr>
        <w:pStyle w:val="BodyText"/>
      </w:pPr>
      <w:r>
        <w:rPr>
          <w:b/>
          <w:bCs/>
        </w:rPr>
        <w:t xml:space="preserve">Sous-classe et Mécanisme d’action :</w:t>
      </w:r>
      <w:r>
        <w:t xml:space="preserve"> </w:t>
      </w:r>
      <w:r>
        <w:t xml:space="preserve">- Sous-classe : Antagoniste calcique intestinal de la classe des ammoniums quaternaires, à action topique digestive.</w:t>
      </w:r>
      <w:r>
        <w:t xml:space="preserve"> </w:t>
      </w:r>
      <w:r>
        <w:t xml:space="preserve">- Mécanisme d’action : Blocage sélectif des canaux calciques voltage-dépendants de type L (sensibles aux dihydropyridines) des cellules musculaires lisses digestives → diminution de l’entrée de calcium intracellulaire → inhibition de la contraction musculaire lisse digestive → relaxation. Action quasi-sélective sur le tube digestif (peu d’effet vasculaire systémique) grâce à la très faible absorption systémique (~1 %). Action topique locale digestive prolongée (concentration intestinale élevée plusieurs heures après la prise, malgré une demi-vie systémique courte ~1 h).</w:t>
      </w:r>
    </w:p>
    <w:p>
      <w:pPr>
        <w:pStyle w:val="BodyText"/>
      </w:pPr>
      <w:r>
        <w:rPr>
          <w:b/>
          <w:bCs/>
        </w:rPr>
        <w:t xml:space="preserve">Profil Pharmacologique :</w:t>
      </w:r>
      <w:r>
        <w:t xml:space="preserve"> </w:t>
      </w:r>
      <w:r>
        <w:t xml:space="preserve">- Indications : Troubles fonctionnels intestinaux (syndrome de l’intestin irritable) : douleurs abdominales, troubles du transit, inconfort digestif ; douleurs spasmodiques digestives non spécifiques ; douleurs biliaires fonctionnelles ; syndrome post-cholécystectomie.</w:t>
      </w:r>
      <w:r>
        <w:t xml:space="preserve"> </w:t>
      </w:r>
      <w:r>
        <w:t xml:space="preserve">- Contre-indications : Hypersensibilité ; enfant &lt;15 ans (données insuffisantes) ; grossesse et allaitement (par prudence, données limitées).</w:t>
      </w:r>
      <w:r>
        <w:t xml:space="preserve"> </w:t>
      </w:r>
      <w:r>
        <w:t xml:space="preserve">- Effets Indésirables : Très bien toléré (en raison de la faible absorption systémique) ; possibles : nausées, douleurs abdominales transitoires, éruptions cutanées, allergie ; plus rares : atteinte hépatique (très rares), hypotension transitoire (cas exceptionnels).</w:t>
      </w:r>
    </w:p>
    <w:p>
      <w:pPr>
        <w:pStyle w:val="BodyText"/>
      </w:pPr>
      <w:r>
        <w:rPr>
          <w:b/>
          <w:bCs/>
        </w:rPr>
        <w:t xml:space="preserve">Prévention et Gestion des Effets Indésirables :</w:t>
      </w:r>
      <w:r>
        <w:t xml:space="preserve"> </w:t>
      </w:r>
      <w:r>
        <w:t xml:space="preserve">- Mesures Préventives : Prise pendant les repas (réduit la tolérance digestive) ; cure adaptée (2-4 semaines), réévaluation à 4 semaines.</w:t>
      </w:r>
      <w:r>
        <w:t xml:space="preserve"> </w:t>
      </w:r>
      <w:r>
        <w:t xml:space="preserve">- Conduite à Tenir : En cas d’effets indésirables marqués : arrêter ou réduire la dose.</w:t>
      </w:r>
    </w:p>
    <w:p>
      <w:pPr>
        <w:pStyle w:val="BodyText"/>
      </w:pPr>
      <w:r>
        <w:rPr>
          <w:b/>
          <w:bCs/>
        </w:rPr>
        <w:t xml:space="preserve">Interactions Importantes :</w:t>
      </w:r>
      <w:r>
        <w:t xml:space="preserve"> </w:t>
      </w:r>
      <w:r>
        <w:t xml:space="preserve">-</w:t>
      </w:r>
      <w:r>
        <w:t xml:space="preserve"> </w:t>
      </w:r>
      <w:r>
        <w:rPr>
          <w:b/>
          <w:bCs/>
        </w:rPr>
        <w:t xml:space="preserve">Pinavérium + autres antispasmodiques</w:t>
      </w:r>
      <w:r>
        <w:t xml:space="preserve"> </w:t>
      </w:r>
      <w:r>
        <w:t xml:space="preserve">: effet additif (surveillance).</w:t>
      </w:r>
      <w:r>
        <w:t xml:space="preserve"> </w:t>
      </w:r>
      <w:r>
        <w:t xml:space="preserve">-</w:t>
      </w:r>
      <w:r>
        <w:t xml:space="preserve"> </w:t>
      </w:r>
      <w:r>
        <w:rPr>
          <w:b/>
          <w:bCs/>
        </w:rPr>
        <w:t xml:space="preserve">Pinavérium + anticholinergiques</w:t>
      </w:r>
      <w:r>
        <w:t xml:space="preserve"> </w:t>
      </w:r>
      <w:r>
        <w:t xml:space="preserve">: pas d’interaction notable (le pinavérium n’a pas d’effet anticholinergique).</w:t>
      </w:r>
      <w:r>
        <w:t xml:space="preserve"> </w:t>
      </w:r>
      <w:r>
        <w:t xml:space="preserve">-</w:t>
      </w:r>
      <w:r>
        <w:t xml:space="preserve"> </w:t>
      </w:r>
      <w:r>
        <w:rPr>
          <w:b/>
          <w:bCs/>
        </w:rPr>
        <w:t xml:space="preserve">Pinavérium + jus de pamplemousse</w:t>
      </w:r>
      <w:r>
        <w:t xml:space="preserve"> </w:t>
      </w:r>
      <w:r>
        <w:t xml:space="preserve">: pas d’interaction notable (absorption systémique très faible).</w:t>
      </w:r>
    </w:p>
    <w:p>
      <w:pPr>
        <w:pStyle w:val="BodyText"/>
      </w:pPr>
      <w:r>
        <w:rPr>
          <w:b/>
          <w:bCs/>
        </w:rPr>
        <w:t xml:space="preserve">Grossesse et Allaitement :</w:t>
      </w:r>
      <w:r>
        <w:t xml:space="preserve"> </w:t>
      </w:r>
      <w:r>
        <w:t xml:space="preserve">- Grossesse : À éviter par prudence (données animales évocatrices d’un effet embryo-toxique à doses élevées, données humaines limitées). Préférer le phloroglucinol.</w:t>
      </w:r>
      <w:r>
        <w:t xml:space="preserve"> </w:t>
      </w:r>
      <w:r>
        <w:t xml:space="preserve">- Allaitement : À éviter par prudence (données limitées sur le passage dans le lait).</w:t>
      </w:r>
      <w:r>
        <w:t xml:space="preserve"> </w:t>
      </w:r>
      <w:r>
        <w:t xml:space="preserve">- Précisions : Discuter au cas par cas.</w:t>
      </w:r>
    </w:p>
    <w:p>
      <w:pPr>
        <w:pStyle w:val="BodyText"/>
      </w:pPr>
      <w:r>
        <w:rPr>
          <w:b/>
          <w:bCs/>
        </w:rPr>
        <w:t xml:space="preserve">Posologie et Mode d’administration (Standard) :</w:t>
      </w:r>
      <w:r>
        <w:t xml:space="preserve"> </w:t>
      </w:r>
      <w:r>
        <w:t xml:space="preserve">- Adulte (comprimé 50 mg) : 1 comprimé × 3/jour, pendant les repas.</w:t>
      </w:r>
      <w:r>
        <w:t xml:space="preserve"> </w:t>
      </w:r>
      <w:r>
        <w:t xml:space="preserve">- Adulte (comprimé 100 mg) : 1 comprimé × 2-3/jour, pendant les repas.</w:t>
      </w:r>
      <w:r>
        <w:t xml:space="preserve"> </w:t>
      </w:r>
      <w:r>
        <w:t xml:space="preserve">- Enfant &gt;15 ans : 1 comprimé 50 mg × 3/jour.</w:t>
      </w:r>
      <w:r>
        <w:t xml:space="preserve"> </w:t>
      </w:r>
      <w:r>
        <w:t xml:space="preserve">- Durée : 2-4 semaines en cure courte. Au long cours possible en cas de SII chronique avec réévaluation.</w:t>
      </w:r>
      <w:r>
        <w:t xml:space="preserve"> </w:t>
      </w:r>
      <w:r>
        <w:t xml:space="preserve">- Moment de prise : Pendant les repas (réduit la tolérance digestive et optimise l’action topique).</w:t>
      </w:r>
    </w:p>
    <w:p>
      <w:pPr>
        <w:pStyle w:val="BodyText"/>
      </w:pPr>
      <w:r>
        <w:rPr>
          <w:b/>
          <w:bCs/>
        </w:rPr>
        <w:t xml:space="preserve">Arbitrage et Bénéfices des Formes Galéniques :</w:t>
      </w:r>
      <w:r>
        <w:t xml:space="preserve"> </w:t>
      </w:r>
      <w:r>
        <w:t xml:space="preserve">-</w:t>
      </w:r>
      <w:r>
        <w:t xml:space="preserve"> </w:t>
      </w:r>
      <w:r>
        <w:rPr>
          <w:b/>
          <w:bCs/>
        </w:rPr>
        <w:t xml:space="preserve">Comprimé 50 mg</w:t>
      </w:r>
      <w:r>
        <w:t xml:space="preserve"> </w:t>
      </w:r>
      <w:r>
        <w:t xml:space="preserve">: dose initiale, permet la titration.</w:t>
      </w:r>
      <w:r>
        <w:t xml:space="preserve"> </w:t>
      </w:r>
      <w:r>
        <w:t xml:space="preserve">-</w:t>
      </w:r>
      <w:r>
        <w:t xml:space="preserve"> </w:t>
      </w:r>
      <w:r>
        <w:rPr>
          <w:b/>
          <w:bCs/>
        </w:rPr>
        <w:t xml:space="preserve">Comprimé 100 mg</w:t>
      </w:r>
      <w:r>
        <w:t xml:space="preserve"> </w:t>
      </w:r>
      <w:r>
        <w:t xml:space="preserve">: dose d’entretien, pratique pour les patients nécessitant 3 prises/jour à 50 mg → 2 prises/jour à 100 mg réduit le nombre de comprimés.</w:t>
      </w:r>
      <w:r>
        <w:t xml:space="preserve"> </w:t>
      </w:r>
      <w:r>
        <w:t xml:space="preserve">- Présentation en boîte de 20 ou 30 (couvrant une cure de 1-2 semaines).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de votre intestin en cas de douleurs et de troubles du transit. Prenez-le pendant les repas, 2 à 3 fois par jour. La forme 100 mg vous permet de prendre moins de comprimés que la forme 50 mg. Si vos symptômes persistent au-delà de 4 semaines, consultez votre médecin.</w:t>
      </w:r>
      <w:r>
        <w:t xml:space="preserve">”</w:t>
      </w:r>
      <w:r>
        <w:t xml:space="preserve"> </w:t>
      </w:r>
      <w:r>
        <w:t xml:space="preserve">- Mode d’utilisation pratique : Avaler les comprimés avec un verre d’eau, pendant les repas. Ne pas écraser ni croquer.</w:t>
      </w:r>
    </w:p>
    <w:p>
      <w:pPr>
        <w:pStyle w:val="BodyText"/>
      </w:pPr>
      <w:r>
        <w:rPr>
          <w:b/>
          <w:bCs/>
        </w:rPr>
        <w:t xml:space="preserve">Notes, Règles d’Or &amp; Pièges au Comptoir :</w:t>
      </w:r>
      <w:r>
        <w:t xml:space="preserve"> </w:t>
      </w:r>
      <w:r>
        <w:t xml:space="preserve">- Piège classique : Utilisation prolongée sans réévaluation (risque de masquer une pathologie organique) ; oubli de demander si la patiente est enceinte (à éviter au 1er trimestre).</w:t>
      </w:r>
      <w:r>
        <w:t xml:space="preserve"> </w:t>
      </w:r>
      <w:r>
        <w:t xml:space="preserve">- Règle de prise : 2-3 prises/jour pendant les repas ; réévaluation à 4 semaines.</w:t>
      </w:r>
      <w:r>
        <w:t xml:space="preserve"> </w:t>
      </w:r>
      <w:r>
        <w:t xml:space="preserve">- Préparation et Conservation : À température ambiante, à l’abri de l’humidité.</w:t>
      </w:r>
      <w:r>
        <w:t xml:space="preserve"> </w:t>
      </w:r>
      <w:r>
        <w:t xml:space="preserve">- Piège du surdosage / Substitution : Substitution possible entre DICETEL, PINATEL, PINAVERIUM GL et PINAVERIUM NOVAGENERICS (mêmes dosages 50 et 100 mg). Vérifier la dose prescrite lors de la substitution.</w:t>
      </w:r>
    </w:p>
    <w:p>
      <w:r>
        <w:pict>
          <v:rect style="width:0;height:1.5pt" o:hralign="center" o:hrstd="t" o:hr="t"/>
        </w:pict>
      </w:r>
    </w:p>
    <w:bookmarkEnd w:id="227"/>
    <w:bookmarkEnd w:id="228"/>
    <w:bookmarkStart w:id="231" w:name="antispasmodiques---anticholinergiques"/>
    <w:p>
      <w:pPr>
        <w:pStyle w:val="Heading2"/>
      </w:pPr>
      <w:r>
        <w:t xml:space="preserve">13. Antispasmodiques - Anticholinergiques</w:t>
      </w:r>
    </w:p>
    <w:bookmarkStart w:id="229" w:name="introduction-à-la-sous-classe-18"/>
    <w:p>
      <w:pPr>
        <w:pStyle w:val="Heading3"/>
      </w:pPr>
      <w:r>
        <w:t xml:space="preserve">Introduction à la sous-classe</w:t>
      </w:r>
    </w:p>
    <w:p>
      <w:pPr>
        <w:pStyle w:val="FirstParagraph"/>
      </w:pPr>
      <w:r>
        <w:t xml:space="preserve">Les antispasmodiques anticholinergiques (ou parasympatholytiques) agissent en bloquant les récepteurs muscariniques de l’acétylcholine au niveau des cellules musculaires lisses et des glandes. Ce blocage entraîne une relaxation des muscles lisses (digestifs, biliaires, urinaires, génitaux) et une diminution des sécrétions (salivaires, gastriques, sudorales). Les anticholinergiques de synthèse modernes (sels d’ammonium quaternaire comme le</w:t>
      </w:r>
      <w:r>
        <w:t xml:space="preserve"> </w:t>
      </w:r>
      <w:r>
        <w:rPr>
          <w:b/>
          <w:bCs/>
        </w:rPr>
        <w:t xml:space="preserve">tiémonium</w:t>
      </w:r>
      <w:r>
        <w:t xml:space="preserve"> </w:t>
      </w:r>
      <w:r>
        <w:t xml:space="preserve">et le</w:t>
      </w:r>
      <w:r>
        <w:t xml:space="preserve"> </w:t>
      </w:r>
      <w:r>
        <w:rPr>
          <w:b/>
          <w:bCs/>
        </w:rPr>
        <w:t xml:space="preserve">prifinium</w:t>
      </w:r>
      <w:r>
        <w:t xml:space="preserve">) ont une action périphérique prédominante (peu ou pas de passage de la barrière hémato-encéphalique), ce qui réduit les effets centraux (sédation, troubles cognitifs) mais conserve les effets périphériques (sécheresse buccale, troubles visuels, tachycardie, rétention urinaire).</w:t>
      </w:r>
    </w:p>
    <w:p>
      <w:pPr>
        <w:pStyle w:val="BodyText"/>
      </w:pPr>
      <w:r>
        <w:t xml:space="preserve">Le</w:t>
      </w:r>
      <w:r>
        <w:t xml:space="preserve"> </w:t>
      </w:r>
      <w:r>
        <w:rPr>
          <w:b/>
          <w:bCs/>
        </w:rPr>
        <w:t xml:space="preserve">tiémonium</w:t>
      </w:r>
      <w:r>
        <w:t xml:space="preserve"> </w:t>
      </w:r>
      <w:r>
        <w:t xml:space="preserve">(commercialisé sous le nom de Viscéralgine®) et le</w:t>
      </w:r>
      <w:r>
        <w:t xml:space="preserve"> </w:t>
      </w:r>
      <w:r>
        <w:rPr>
          <w:b/>
          <w:bCs/>
        </w:rPr>
        <w:t xml:space="preserve">prifinium</w:t>
      </w:r>
      <w:r>
        <w:t xml:space="preserve"> </w:t>
      </w:r>
      <w:r>
        <w:t xml:space="preserve">(commercialisé sous le nom de Riabal®) sont les représentants principaux en Algérie. Ils sont indiqués dans les douleurs spasmodiques digestives, biliaires, urinaires et gynécologiques. Leurs contre-indications principales sont le</w:t>
      </w:r>
      <w:r>
        <w:t xml:space="preserve"> </w:t>
      </w:r>
      <w:r>
        <w:rPr>
          <w:b/>
          <w:bCs/>
        </w:rPr>
        <w:t xml:space="preserve">glaucome à angle fermé</w:t>
      </w:r>
      <w:r>
        <w:t xml:space="preserve"> </w:t>
      </w:r>
      <w:r>
        <w:t xml:space="preserve">(risque de crise aiguë), l’</w:t>
      </w:r>
      <w:r>
        <w:rPr>
          <w:b/>
          <w:bCs/>
        </w:rPr>
        <w:t xml:space="preserve">hypertrophie prostatique</w:t>
      </w:r>
      <w:r>
        <w:t xml:space="preserve"> </w:t>
      </w:r>
      <w:r>
        <w:t xml:space="preserve">(risque de rétention urinaire), et le</w:t>
      </w:r>
      <w:r>
        <w:t xml:space="preserve"> </w:t>
      </w:r>
      <w:r>
        <w:rPr>
          <w:b/>
          <w:bCs/>
        </w:rPr>
        <w:t xml:space="preserve">risque de rétention urinaire</w:t>
      </w:r>
      <w:r>
        <w:t xml:space="preserve"> </w:t>
      </w:r>
      <w:r>
        <w:t xml:space="preserve">en général. En Algérie, le tiémonium est disponible en sirop 10 mg/5 mL, en solution injectable IM/IV et en suppositoire 20 mg, en Liste II (historiquement List I pour la forme injectable). Le prifinium (Riabal) était disponible en solution buvable, comprimé et solution injectable, mais toutes les formes sont retirées ou non renouvelables en Algérie.</w:t>
      </w:r>
    </w:p>
    <w:p>
      <w:r>
        <w:pict>
          <v:rect style="width:0;height:1.5pt" o:hralign="center" o:hrstd="t" o:hr="t"/>
        </w:pict>
      </w:r>
    </w:p>
    <w:bookmarkEnd w:id="229"/>
    <w:bookmarkStart w:id="230" w:name="tiémonium-prifinium-seule"/>
    <w:p>
      <w:pPr>
        <w:pStyle w:val="Heading3"/>
      </w:pPr>
      <w:r>
        <w:t xml:space="preserve">20. Tiémonium / Prifinium (Seule)</w:t>
      </w:r>
    </w:p>
    <w:p>
      <w:pPr>
        <w:pStyle w:val="FirstParagraph"/>
      </w:pPr>
      <w:r>
        <w:rPr>
          <w:b/>
          <w:bCs/>
        </w:rPr>
        <w:t xml:space="preserve">Liste des Catégories :</w:t>
      </w:r>
      <w:r>
        <w:t xml:space="preserve"> </w:t>
      </w:r>
      <w:r>
        <w:t xml:space="preserve">Antispasmodiques - Anticholinergiques ; Liste II (Algérie).</w:t>
      </w:r>
    </w:p>
    <w:p>
      <w:pPr>
        <w:pStyle w:val="BodyText"/>
      </w:pPr>
      <w:r>
        <w:t xml:space="preserve">Le tiémonium (iodure de tiémonium, commercialisé sous le nom de Viscéralgine®) et le prifinium (bromure de prifinium, commercialisé sous le nom de Riabal®) sont des anticholinergiques de synthèse de la classe des ammoniums quaternaires. Leur structure d’ammonium quaternaire leur confère une faible absorption systémique et une action périphérique prédominante (peu d’effets centraux). Ils agissent par blocage des récepteurs muscariniques M1, M2 et M3 des cellules musculaires lisses et des glandes → relaxation des muscles lisses (digestifs, biliaires, urinaires, génitaux) et diminution des sécrétions. En Algérie, le tiémonium (TIMONAL, TIMONEX) est disponible en sirop 10 mg/5 mL (Liste II), et le prifinium (RIABAL) était disponible en solution buvable 2 mg/0,4 mL (Liste I), en comprimé 30 mg (Liste I) et en solution injectable 7,5 mg/mL (Liste I), mais toutes les formes du prifinium sont retirées ou non renouvelables.</w:t>
      </w:r>
    </w:p>
    <w:p>
      <w:pPr>
        <w:pStyle w:val="BodyText"/>
      </w:pPr>
      <w:r>
        <w:rPr>
          <w:b/>
          <w:bCs/>
        </w:rPr>
        <w:t xml:space="preserve">Médicaments disponibles en Algérie (Marques, Laboratoires, Formes et Dosages) :</w:t>
      </w:r>
    </w:p>
    <w:p>
      <w:pPr>
        <w:pStyle w:val="BodyText"/>
      </w:pPr>
      <w:r>
        <w:rPr>
          <w:i/>
          <w:iCs/>
        </w:rPr>
        <w:t xml:space="preserve">Tiémonium (formes actives) :</w:t>
      </w:r>
      <w:r>
        <w:t xml:space="preserve"> </w:t>
      </w:r>
      <w:r>
        <w:t xml:space="preserve">-</w:t>
      </w:r>
      <w:r>
        <w:t xml:space="preserve"> </w:t>
      </w:r>
      <w:r>
        <w:rPr>
          <w:b/>
          <w:bCs/>
        </w:rPr>
        <w:t xml:space="preserve">TIMONAL</w:t>
      </w:r>
      <w:r>
        <w:t xml:space="preserve"> </w:t>
      </w:r>
      <w:r>
        <w:t xml:space="preserve">(GROUPE SAIDAL) — Sirop 10 mg/5 mL, FL/125 mL, LISTE II, ACTIF</w:t>
      </w:r>
      <w:r>
        <w:t xml:space="preserve"> </w:t>
      </w:r>
      <w:r>
        <w:t xml:space="preserve">-</w:t>
      </w:r>
      <w:r>
        <w:t xml:space="preserve"> </w:t>
      </w:r>
      <w:r>
        <w:rPr>
          <w:b/>
          <w:bCs/>
        </w:rPr>
        <w:t xml:space="preserve">TIMONEX</w:t>
      </w:r>
      <w:r>
        <w:t xml:space="preserve"> </w:t>
      </w:r>
      <w:r>
        <w:t xml:space="preserve">(KPMA BIOTIC) — Solution buvable 10 mg/5 mL, FL/150 mL, LISTE II, ACTIF</w:t>
      </w:r>
    </w:p>
    <w:p>
      <w:pPr>
        <w:pStyle w:val="BodyText"/>
      </w:pPr>
      <w:r>
        <w:rPr>
          <w:i/>
          <w:iCs/>
        </w:rPr>
        <w:t xml:space="preserve">Tiémonium (formes Non Renouvelables) :</w:t>
      </w:r>
      <w:r>
        <w:t xml:space="preserve"> </w:t>
      </w:r>
      <w:r>
        <w:t xml:space="preserve">-</w:t>
      </w:r>
      <w:r>
        <w:t xml:space="preserve"> </w:t>
      </w:r>
      <w:r>
        <w:rPr>
          <w:b/>
          <w:bCs/>
        </w:rPr>
        <w:t xml:space="preserve">RIABAL</w:t>
      </w:r>
      <w:r>
        <w:t xml:space="preserve"> </w:t>
      </w:r>
      <w:r>
        <w:t xml:space="preserve">(HIKMA PHARMACEUTICALS) — Solution injectable 7,5 mg/mL (15 mg/2 mL), B/6 ampoules de 2 mL, LISTE I, NON_RENOUVELABLE</w:t>
      </w:r>
      <w:r>
        <w:t xml:space="preserve"> </w:t>
      </w:r>
      <w:r>
        <w:t xml:space="preserve">-</w:t>
      </w:r>
      <w:r>
        <w:t xml:space="preserve"> </w:t>
      </w:r>
      <w:r>
        <w:rPr>
          <w:b/>
          <w:bCs/>
        </w:rPr>
        <w:t xml:space="preserve">TIMONAL</w:t>
      </w:r>
      <w:r>
        <w:t xml:space="preserve"> </w:t>
      </w:r>
      <w:r>
        <w:t xml:space="preserve">(GROUPE SAIDAL) — Solution injectable IM/IV 5 mg/2 mL, B/5 et B/50 ampoules de 2 mL, LISTE II, NON_RENOUVELABLE</w:t>
      </w:r>
      <w:r>
        <w:t xml:space="preserve"> </w:t>
      </w:r>
      <w:r>
        <w:t xml:space="preserve">-</w:t>
      </w:r>
      <w:r>
        <w:t xml:space="preserve"> </w:t>
      </w:r>
      <w:r>
        <w:rPr>
          <w:b/>
          <w:bCs/>
        </w:rPr>
        <w:t xml:space="preserve">TIMONAL</w:t>
      </w:r>
      <w:r>
        <w:t xml:space="preserve"> </w:t>
      </w:r>
      <w:r>
        <w:t xml:space="preserve">(GROUPE SAIDAL) — Suppositoire 20 mg, B/10, LISTE II, NON_RENOUVELABLE</w:t>
      </w:r>
      <w:r>
        <w:t xml:space="preserve"> </w:t>
      </w:r>
      <w:r>
        <w:t xml:space="preserve">-</w:t>
      </w:r>
      <w:r>
        <w:t xml:space="preserve"> </w:t>
      </w:r>
      <w:r>
        <w:rPr>
          <w:b/>
          <w:bCs/>
        </w:rPr>
        <w:t xml:space="preserve">VISCERAL</w:t>
      </w:r>
      <w:r>
        <w:t xml:space="preserve"> </w:t>
      </w:r>
      <w:r>
        <w:t xml:space="preserve">(4A SANTE INDUSTRIE SARL) — Suppositoire 20 mg, B/10, LISTE II, NON_RENOUVELABLE</w:t>
      </w:r>
      <w:r>
        <w:t xml:space="preserve"> </w:t>
      </w:r>
      <w:r>
        <w:t xml:space="preserve">-</w:t>
      </w:r>
      <w:r>
        <w:t xml:space="preserve"> </w:t>
      </w:r>
      <w:r>
        <w:rPr>
          <w:b/>
          <w:bCs/>
        </w:rPr>
        <w:t xml:space="preserve">VISCERALENE</w:t>
      </w:r>
      <w:r>
        <w:t xml:space="preserve"> </w:t>
      </w:r>
      <w:r>
        <w:t xml:space="preserve">(SALEM) — Suppositoire 20 mg, B/10, LISTE II, NON_RENOUVELABLE</w:t>
      </w:r>
      <w:r>
        <w:t xml:space="preserve"> </w:t>
      </w:r>
      <w:r>
        <w:t xml:space="preserve">-</w:t>
      </w:r>
      <w:r>
        <w:t xml:space="preserve"> </w:t>
      </w:r>
      <w:r>
        <w:rPr>
          <w:b/>
          <w:bCs/>
        </w:rPr>
        <w:t xml:space="preserve">TIMOZINE</w:t>
      </w:r>
      <w:r>
        <w:t xml:space="preserve"> </w:t>
      </w:r>
      <w:r>
        <w:t xml:space="preserve">(GROUPE SANTE) — Sirop 10 mg/5 mL, FL/100 mL, LISTE II, NON_RENOUVELABLE</w:t>
      </w:r>
      <w:r>
        <w:t xml:space="preserve"> </w:t>
      </w:r>
      <w:r>
        <w:t xml:space="preserve">-</w:t>
      </w:r>
      <w:r>
        <w:t xml:space="preserve"> </w:t>
      </w:r>
      <w:r>
        <w:rPr>
          <w:b/>
          <w:bCs/>
        </w:rPr>
        <w:t xml:space="preserve">ISOSPALGINE</w:t>
      </w:r>
      <w:r>
        <w:t xml:space="preserve"> </w:t>
      </w:r>
      <w:r>
        <w:t xml:space="preserve">(ISOPHARM) — Sirop 10 mg/5 mL, FL/150 mL, LISTE II, NON_RENOUVELABLE</w:t>
      </w:r>
      <w:r>
        <w:t xml:space="preserve"> </w:t>
      </w:r>
      <w:r>
        <w:t xml:space="preserve">-</w:t>
      </w:r>
      <w:r>
        <w:t xml:space="preserve"> </w:t>
      </w:r>
      <w:r>
        <w:rPr>
          <w:b/>
          <w:bCs/>
        </w:rPr>
        <w:t xml:space="preserve">TIMADLINE</w:t>
      </w:r>
      <w:r>
        <w:t xml:space="preserve"> </w:t>
      </w:r>
      <w:r>
        <w:t xml:space="preserve">(LABORATOIRE ALGERIEN DU MEDICAMENT - LAM) — Sirop 10 mg/5 mL, FL/125 mL, LISTE II, NON_RENOUVELABLE</w:t>
      </w:r>
      <w:r>
        <w:t xml:space="preserve"> </w:t>
      </w:r>
      <w:r>
        <w:t xml:space="preserve">-</w:t>
      </w:r>
      <w:r>
        <w:t xml:space="preserve"> </w:t>
      </w:r>
      <w:r>
        <w:rPr>
          <w:b/>
          <w:bCs/>
        </w:rPr>
        <w:t xml:space="preserve">SOMALGINE</w:t>
      </w:r>
      <w:r>
        <w:t xml:space="preserve"> </w:t>
      </w:r>
      <w:r>
        <w:t xml:space="preserve">(SOMEDIAL SPA) — Sirop 10 mg/5 mL, B/1 FL de 125 mL, LISTE II, NON_RENOUVELABLE</w:t>
      </w:r>
    </w:p>
    <w:p>
      <w:pPr>
        <w:pStyle w:val="BodyText"/>
      </w:pPr>
      <w:r>
        <w:rPr>
          <w:i/>
          <w:iCs/>
        </w:rPr>
        <w:t xml:space="preserve">Prifinium (formes Non Renouvelables) :</w:t>
      </w:r>
      <w:r>
        <w:t xml:space="preserve"> </w:t>
      </w:r>
      <w:r>
        <w:t xml:space="preserve">-</w:t>
      </w:r>
      <w:r>
        <w:t xml:space="preserve"> </w:t>
      </w:r>
      <w:r>
        <w:rPr>
          <w:b/>
          <w:bCs/>
        </w:rPr>
        <w:t xml:space="preserve">RIABAL</w:t>
      </w:r>
      <w:r>
        <w:t xml:space="preserve"> </w:t>
      </w:r>
      <w:r>
        <w:t xml:space="preserve">(CHIESI S.A.) — Solution buvable 2 mg/0,4 mL, FL/50 mL, LISTE I, NON_RENOUVELABLE</w:t>
      </w:r>
      <w:r>
        <w:t xml:space="preserve"> </w:t>
      </w:r>
      <w:r>
        <w:t xml:space="preserve">-</w:t>
      </w:r>
      <w:r>
        <w:t xml:space="preserve"> </w:t>
      </w:r>
      <w:r>
        <w:rPr>
          <w:b/>
          <w:bCs/>
        </w:rPr>
        <w:t xml:space="preserve">RIABAL</w:t>
      </w:r>
      <w:r>
        <w:t xml:space="preserve"> </w:t>
      </w:r>
      <w:r>
        <w:t xml:space="preserve">(HIKMA PHARMACEUTICALS) — Comprimé pelliculé 30 mg, B/20, LISTE I, NON_RENOUVELABLE</w:t>
      </w:r>
    </w:p>
    <w:p>
      <w:pPr>
        <w:pStyle w:val="BodyText"/>
      </w:pPr>
      <w:r>
        <w:rPr>
          <w:i/>
          <w:iCs/>
        </w:rPr>
        <w:t xml:space="preserve">Formes Retirées (R) :</w:t>
      </w:r>
      <w:r>
        <w:t xml:space="preserve"> </w:t>
      </w:r>
      <w:r>
        <w:t xml:space="preserve">-</w:t>
      </w:r>
      <w:r>
        <w:t xml:space="preserve"> </w:t>
      </w:r>
      <w:r>
        <w:rPr>
          <w:b/>
          <w:bCs/>
        </w:rPr>
        <w:t xml:space="preserve">VISCERALGINE</w:t>
      </w:r>
      <w:r>
        <w:t xml:space="preserve"> </w:t>
      </w:r>
      <w:r>
        <w:t xml:space="preserve">(ORGANON S.A.) — Solution injectable 5 mg/2 mL, B/10 ampoules de 2 mL, RETRAIT (Liste II)</w:t>
      </w:r>
      <w:r>
        <w:t xml:space="preserve"> </w:t>
      </w:r>
      <w:r>
        <w:t xml:space="preserve">-</w:t>
      </w:r>
      <w:r>
        <w:t xml:space="preserve"> </w:t>
      </w:r>
      <w:r>
        <w:rPr>
          <w:b/>
          <w:bCs/>
        </w:rPr>
        <w:t xml:space="preserve">VISCERALGINE</w:t>
      </w:r>
      <w:r>
        <w:t xml:space="preserve"> </w:t>
      </w:r>
      <w:r>
        <w:t xml:space="preserve">(ORGANON S.A.) — Suppositoire 20 mg, B/20, RETRAIT (Liste II)</w:t>
      </w:r>
      <w:r>
        <w:t xml:space="preserve"> </w:t>
      </w:r>
      <w:r>
        <w:t xml:space="preserve">-</w:t>
      </w:r>
      <w:r>
        <w:t xml:space="preserve"> </w:t>
      </w:r>
      <w:r>
        <w:rPr>
          <w:b/>
          <w:bCs/>
        </w:rPr>
        <w:t xml:space="preserve">TIEMONE</w:t>
      </w:r>
      <w:r>
        <w:t xml:space="preserve"> </w:t>
      </w:r>
      <w:r>
        <w:t xml:space="preserve">(LPA) — Sirop 10 mg/5 mL, FL/125 mL, RETRAIT (Liste II)</w:t>
      </w:r>
      <w:r>
        <w:t xml:space="preserve"> </w:t>
      </w:r>
      <w:r>
        <w:t xml:space="preserve">-</w:t>
      </w:r>
      <w:r>
        <w:t xml:space="preserve"> </w:t>
      </w:r>
      <w:r>
        <w:rPr>
          <w:b/>
          <w:bCs/>
        </w:rPr>
        <w:t xml:space="preserve">VISCERALGINE</w:t>
      </w:r>
      <w:r>
        <w:t xml:space="preserve"> </w:t>
      </w:r>
      <w:r>
        <w:t xml:space="preserve">(ORGANON S.A.) — Sirop 10 mg/5 mL, FL/150 mL, RETRAIT (Liste II)</w:t>
      </w:r>
    </w:p>
    <w:p>
      <w:pPr>
        <w:pStyle w:val="BodyText"/>
      </w:pPr>
      <w:r>
        <w:rPr>
          <w:b/>
          <w:bCs/>
        </w:rPr>
        <w:t xml:space="preserve">Sous-classe et Mécanisme d’action :</w:t>
      </w:r>
      <w:r>
        <w:t xml:space="preserve"> </w:t>
      </w:r>
      <w:r>
        <w:t xml:space="preserve">- Sous-classe : Anticholinergique de synthèse de la classe des ammoniums quaternaires (sels d’ammonium quaternaires), action périphérique prédominante.</w:t>
      </w:r>
      <w:r>
        <w:t xml:space="preserve"> </w:t>
      </w:r>
      <w:r>
        <w:t xml:space="preserve">- Mécanisme d’action : Blocage compétitif des récepteurs muscariniques M1 (ganglions, SNC), M2 (cœur, SNC) et M3 (cellules musculaires lisses, glandes) de l’acétylcholine → relaxation des muscles lisses (digestifs, biliaires, urinaires, génitaux) → effet antispasmodique ; diminution des sécrétions (salivaires, gastriques, sudorales, bronchiques) ; mydriase et cycloplégie ; tachycardie. Action périphérique prédominante (peu d’effets centraux) en raison de la structure d’ammonium quaternaire qui limite le passage de la BHE. Faible absorption systémique (~10-20 %).</w:t>
      </w:r>
    </w:p>
    <w:p>
      <w:pPr>
        <w:pStyle w:val="BodyText"/>
      </w:pPr>
      <w:r>
        <w:rPr>
          <w:b/>
          <w:bCs/>
        </w:rPr>
        <w:t xml:space="preserve">Profil Pharmacologique :</w:t>
      </w:r>
      <w:r>
        <w:t xml:space="preserve"> </w:t>
      </w:r>
      <w:r>
        <w:t xml:space="preserve">- Indications : Douleurs spasmodiques digestives (douleurs abdominales, syndromes coliques), biliaires (colique hépatique), urinaires (colique néphrétique en complément), gynécologiques (dysménorrhée, contractions utérines). Antispasmodique à visée diagnostique (préparation à certains examens endoscopiques).</w:t>
      </w:r>
      <w:r>
        <w:t xml:space="preserve"> </w:t>
      </w:r>
      <w:r>
        <w:t xml:space="preserve">- Contre-indications : Hypersensibilité ;</w:t>
      </w:r>
      <w:r>
        <w:t xml:space="preserve"> </w:t>
      </w:r>
      <w:r>
        <w:rPr>
          <w:b/>
          <w:bCs/>
        </w:rPr>
        <w:t xml:space="preserve">glaucome à angle fermé</w:t>
      </w:r>
      <w:r>
        <w:t xml:space="preserve"> </w:t>
      </w:r>
      <w:r>
        <w:t xml:space="preserve">(risque de crise aiguë par mydriase) ;</w:t>
      </w:r>
      <w:r>
        <w:t xml:space="preserve"> </w:t>
      </w:r>
      <w:r>
        <w:rPr>
          <w:b/>
          <w:bCs/>
        </w:rPr>
        <w:t xml:space="preserve">hypertrophie prostatique</w:t>
      </w:r>
      <w:r>
        <w:t xml:space="preserve"> </w:t>
      </w:r>
      <w:r>
        <w:t xml:space="preserve">(risque de rétention urinaire aiguë) ;</w:t>
      </w:r>
      <w:r>
        <w:t xml:space="preserve"> </w:t>
      </w:r>
      <w:r>
        <w:rPr>
          <w:b/>
          <w:bCs/>
        </w:rPr>
        <w:t xml:space="preserve">risque de rétention urinaire</w:t>
      </w:r>
      <w:r>
        <w:t xml:space="preserve"> </w:t>
      </w:r>
      <w:r>
        <w:t xml:space="preserve">(atonie vésicale) ;</w:t>
      </w:r>
      <w:r>
        <w:t xml:space="preserve"> </w:t>
      </w:r>
      <w:r>
        <w:rPr>
          <w:b/>
          <w:bCs/>
        </w:rPr>
        <w:t xml:space="preserve">atonie intestinale</w:t>
      </w:r>
      <w:r>
        <w:t xml:space="preserve"> </w:t>
      </w:r>
      <w:r>
        <w:t xml:space="preserve">(iléus paralytique, mégacôlon toxique) ;</w:t>
      </w:r>
      <w:r>
        <w:t xml:space="preserve"> </w:t>
      </w:r>
      <w:r>
        <w:rPr>
          <w:b/>
          <w:bCs/>
        </w:rPr>
        <w:t xml:space="preserve">myasthénie</w:t>
      </w:r>
      <w:r>
        <w:t xml:space="preserve"> </w:t>
      </w:r>
      <w:r>
        <w:t xml:space="preserve">;</w:t>
      </w:r>
      <w:r>
        <w:t xml:space="preserve"> </w:t>
      </w:r>
      <w:r>
        <w:rPr>
          <w:b/>
          <w:bCs/>
        </w:rPr>
        <w:t xml:space="preserve">tachyarythmie</w:t>
      </w:r>
      <w:r>
        <w:t xml:space="preserve"> </w:t>
      </w:r>
      <w:r>
        <w:t xml:space="preserve">; enfant &lt;2 ans (sauf si nécessaire, sur avis spécialisé) ; allaitement.</w:t>
      </w:r>
      <w:r>
        <w:t xml:space="preserve"> </w:t>
      </w:r>
      <w:r>
        <w:t xml:space="preserve">- Effets Indésirables : Sécheresse buccale, constipation, troubles de l’accommodation, mydriase, tachycardie, rétention urinaire, flush, plus rares : confusion (surtout chez le sujet âgé), hallucinations, délire anticholinergique (effet central en cas de surdosage).</w:t>
      </w:r>
    </w:p>
    <w:p>
      <w:pPr>
        <w:pStyle w:val="BodyText"/>
      </w:pPr>
      <w:r>
        <w:rPr>
          <w:b/>
          <w:bCs/>
        </w:rPr>
        <w:t xml:space="preserve">Prévention et Gestion des Effets Indésirables :</w:t>
      </w:r>
      <w:r>
        <w:t xml:space="preserve"> </w:t>
      </w:r>
      <w:r>
        <w:t xml:space="preserve">- Mesures Préventives : Vérifier systématiquement l’absence de glaucome (interrogatoire), d’hypertrophie prostatique (interrogatoire masculin), de rétention urinaire (interrogatoire) ; éviter chez le sujet âgé fragile (risque de confusion) ; prise pendant les repas (réduit la tolérance digestive) ; hydratation pour prévenir la constipation.</w:t>
      </w:r>
      <w:r>
        <w:t xml:space="preserve"> </w:t>
      </w:r>
      <w:r>
        <w:t xml:space="preserve">- Conduite à Tenir : En cas de rétention urinaire ou de troubles visuels marqués : arrêt immédiat et consultation. En cas de confusion chez le sujet âgé : arrêt immédiat.</w:t>
      </w:r>
    </w:p>
    <w:p>
      <w:pPr>
        <w:pStyle w:val="BodyText"/>
      </w:pPr>
      <w:r>
        <w:rPr>
          <w:b/>
          <w:bCs/>
        </w:rPr>
        <w:t xml:space="preserve">Interactions Importantes :</w:t>
      </w:r>
      <w:r>
        <w:t xml:space="preserve"> </w:t>
      </w:r>
      <w:r>
        <w:t xml:space="preserve">-</w:t>
      </w:r>
      <w:r>
        <w:t xml:space="preserve"> </w:t>
      </w:r>
      <w:r>
        <w:rPr>
          <w:b/>
          <w:bCs/>
        </w:rPr>
        <w:t xml:space="preserve">Tiémonium/Prifinium + autres anticholinergiques</w:t>
      </w:r>
      <w:r>
        <w:t xml:space="preserve"> </w:t>
      </w:r>
      <w:r>
        <w:t xml:space="preserve">(atropine, tropatépine, ipratropium, oxybutynine) : effets additifs (sécheresse buccale, rétention urinaire, troubles visuels, tachycardie).</w:t>
      </w:r>
      <w:r>
        <w:t xml:space="preserve"> </w:t>
      </w:r>
      <w:r>
        <w:t xml:space="preserve">-</w:t>
      </w:r>
      <w:r>
        <w:t xml:space="preserve"> </w:t>
      </w:r>
      <w:r>
        <w:rPr>
          <w:b/>
          <w:bCs/>
        </w:rPr>
        <w:t xml:space="preserve">Tiémonium/Prifinium + antidépresseurs tricycliques</w:t>
      </w:r>
      <w:r>
        <w:t xml:space="preserve"> </w:t>
      </w:r>
      <w:r>
        <w:t xml:space="preserve">(amitriptyline, imipramine) : effets anticholinergiques additifs.</w:t>
      </w:r>
      <w:r>
        <w:t xml:space="preserve"> </w:t>
      </w:r>
      <w:r>
        <w:t xml:space="preserve">-</w:t>
      </w:r>
      <w:r>
        <w:t xml:space="preserve"> </w:t>
      </w:r>
      <w:r>
        <w:rPr>
          <w:b/>
          <w:bCs/>
        </w:rPr>
        <w:t xml:space="preserve">Tiémonium/Prifinium + antihistaminiques H1 sédatifs</w:t>
      </w:r>
      <w:r>
        <w:t xml:space="preserve"> </w:t>
      </w:r>
      <w:r>
        <w:t xml:space="preserve">(hydroxyzine, prométhazine) : effets additifs.</w:t>
      </w:r>
      <w:r>
        <w:t xml:space="preserve"> </w:t>
      </w:r>
      <w:r>
        <w:t xml:space="preserve">-</w:t>
      </w:r>
      <w:r>
        <w:t xml:space="preserve"> </w:t>
      </w:r>
      <w:r>
        <w:rPr>
          <w:b/>
          <w:bCs/>
        </w:rPr>
        <w:t xml:space="preserve">Tiémonium/Prifinium + IMAO</w:t>
      </w:r>
      <w:r>
        <w:t xml:space="preserve"> </w:t>
      </w:r>
      <w:r>
        <w:t xml:space="preserve">: risque de crise hypertensive (CI relative).</w:t>
      </w:r>
      <w:r>
        <w:t xml:space="preserve"> </w:t>
      </w:r>
      <w:r>
        <w:t xml:space="preserve">-</w:t>
      </w:r>
      <w:r>
        <w:t xml:space="preserve"> </w:t>
      </w:r>
      <w:r>
        <w:rPr>
          <w:b/>
          <w:bCs/>
        </w:rPr>
        <w:t xml:space="preserve">Tiémonium/Prifinium + halopéridol, phénothiazines</w:t>
      </w:r>
      <w:r>
        <w:t xml:space="preserve"> </w:t>
      </w:r>
      <w:r>
        <w:t xml:space="preserve">: effets anticholinergiques additifs.</w:t>
      </w:r>
      <w:r>
        <w:t xml:space="preserve"> </w:t>
      </w:r>
      <w:r>
        <w:t xml:space="preserve">-</w:t>
      </w:r>
      <w:r>
        <w:t xml:space="preserve"> </w:t>
      </w:r>
      <w:r>
        <w:rPr>
          <w:b/>
          <w:bCs/>
        </w:rPr>
        <w:t xml:space="preserve">Tiémonium/Prifinium + amphétamines, cocaïne</w:t>
      </w:r>
      <w:r>
        <w:t xml:space="preserve"> </w:t>
      </w:r>
      <w:r>
        <w:t xml:space="preserve">: risque de crise hypertensive par synergie sympathique.</w:t>
      </w:r>
    </w:p>
    <w:p>
      <w:pPr>
        <w:pStyle w:val="BodyText"/>
      </w:pPr>
      <w:r>
        <w:rPr>
          <w:b/>
          <w:bCs/>
        </w:rPr>
        <w:t xml:space="preserve">Grossesse et Allaitement :</w:t>
      </w:r>
      <w:r>
        <w:t xml:space="preserve"> </w:t>
      </w:r>
      <w:r>
        <w:t xml:space="preserve">- Grossesse : À éviter par prudence (données animales évocatrices d’un effet tératogène à doses élevées, données humaines limitées). Préférer le phloroglucinol (antispasmodique de choix pendant la grossesse).</w:t>
      </w:r>
      <w:r>
        <w:t xml:space="preserve"> </w:t>
      </w:r>
      <w:r>
        <w:t xml:space="preserve">- Allaitement : À éviter (passage dans le lait, effets anticholinergiques sur le nourrisson : sécheresse buccale, tachycardie, troubles visuels).</w:t>
      </w:r>
      <w:r>
        <w:t xml:space="preserve"> </w:t>
      </w:r>
      <w:r>
        <w:t xml:space="preserve">- Précisions : Le tiémonium/prifinium n’est pas l’antispasmodique de choix chez la femme enceinte ou allaitante.</w:t>
      </w:r>
    </w:p>
    <w:p>
      <w:pPr>
        <w:pStyle w:val="BodyText"/>
      </w:pPr>
      <w:r>
        <w:rPr>
          <w:b/>
          <w:bCs/>
        </w:rPr>
        <w:t xml:space="preserve">Posologie et Mode d’administration (Standard) :</w:t>
      </w:r>
      <w:r>
        <w:t xml:space="preserve"> </w:t>
      </w:r>
      <w:r>
        <w:t xml:space="preserve">- Adulte (sirop 10 mg/5 mL, soit 2 mg/mL) : 1 à 2 cuillères à soupe (15-30 mL, soit 30-60 mg) × 3/jour.</w:t>
      </w:r>
      <w:r>
        <w:t xml:space="preserve"> </w:t>
      </w:r>
      <w:r>
        <w:t xml:space="preserve">- Adulte (suppositoire 20 mg) : 1 suppositoire × 1-3/jour.</w:t>
      </w:r>
      <w:r>
        <w:t xml:space="preserve"> </w:t>
      </w:r>
      <w:r>
        <w:t xml:space="preserve">- Adulte (solution injectable IM/IV 5 mg/2 mL ou 7,5 mg/mL) : 1 ampoule IM ou IV lente, à répéter si besoin après 6 h.</w:t>
      </w:r>
      <w:r>
        <w:t xml:space="preserve"> </w:t>
      </w:r>
      <w:r>
        <w:t xml:space="preserve">- Enfant &gt;2 ans (sirop 10 mg/5 mL) : 1 cuillère à café (5 mL, soit 10 mg) par tranche de 10 kg, × 3/jour.</w:t>
      </w:r>
      <w:r>
        <w:t xml:space="preserve"> </w:t>
      </w:r>
      <w:r>
        <w:t xml:space="preserve">- Enfant &lt;2 ans : à éviter.</w:t>
      </w:r>
      <w:r>
        <w:t xml:space="preserve"> </w:t>
      </w:r>
      <w:r>
        <w:t xml:space="preserve">- Durée : Quelques jours pour la crise aiguë ; réévaluation à 1-2 semaines.</w:t>
      </w:r>
      <w:r>
        <w:t xml:space="preserve"> </w:t>
      </w:r>
      <w:r>
        <w:t xml:space="preserve">- Moment de prise : Pendant ou après les repas (réduit la tolérance digestive).</w:t>
      </w:r>
    </w:p>
    <w:p>
      <w:pPr>
        <w:pStyle w:val="BodyText"/>
      </w:pPr>
      <w:r>
        <w:rPr>
          <w:b/>
          <w:bCs/>
        </w:rPr>
        <w:t xml:space="preserve">Arbitrage et Bénéfices des Formes Galéniques :</w:t>
      </w:r>
      <w:r>
        <w:t xml:space="preserve"> </w:t>
      </w:r>
      <w:r>
        <w:t xml:space="preserve">-</w:t>
      </w:r>
      <w:r>
        <w:t xml:space="preserve"> </w:t>
      </w:r>
      <w:r>
        <w:rPr>
          <w:b/>
          <w:bCs/>
        </w:rPr>
        <w:t xml:space="preserve">Sirop 10 mg/5 mL</w:t>
      </w:r>
      <w:r>
        <w:t xml:space="preserve"> </w:t>
      </w:r>
      <w:r>
        <w:t xml:space="preserve">: forme de référence, permet la titration précise en fonction du poids, particulièrement utile en pédiatrie.</w:t>
      </w:r>
      <w:r>
        <w:t xml:space="preserve"> </w:t>
      </w:r>
      <w:r>
        <w:t xml:space="preserve">-</w:t>
      </w:r>
      <w:r>
        <w:t xml:space="preserve"> </w:t>
      </w:r>
      <w:r>
        <w:rPr>
          <w:b/>
          <w:bCs/>
        </w:rPr>
        <w:t xml:space="preserve">Suppositoire 20 mg</w:t>
      </w:r>
      <w:r>
        <w:t xml:space="preserve"> </w:t>
      </w:r>
      <w:r>
        <w:t xml:space="preserve">: utile en cas de vomissements ou pour action locale digestive.</w:t>
      </w:r>
      <w:r>
        <w:t xml:space="preserve"> </w:t>
      </w:r>
      <w:r>
        <w:t xml:space="preserve">-</w:t>
      </w:r>
      <w:r>
        <w:t xml:space="preserve"> </w:t>
      </w:r>
      <w:r>
        <w:rPr>
          <w:b/>
          <w:bCs/>
        </w:rPr>
        <w:t xml:space="preserve">Solution injectable IM/IV</w:t>
      </w:r>
      <w:r>
        <w:t xml:space="preserve"> </w:t>
      </w:r>
      <w:r>
        <w:t xml:space="preserve">: usage hospitalier ou en urgence (colique néphrétique, douleur aiguë).</w:t>
      </w:r>
      <w:r>
        <w:t xml:space="preserve"> </w:t>
      </w:r>
      <w:r>
        <w:t xml:space="preserve">- Présentation en flacon de 100, 125 ou 150 mL (couvrant 5-7 jours de traitement à dose moyenne).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détend les muscles de l’intestin (et de la vessie, des voies biliaires). Prenez-le pendant les repas, 3 fois par jour. Il peut donner une sécheresse de la bouche : buvez de l’eau. Si vous avez des difficultés à uriner, des troubles de la vue ou une accélération du cœur, arrêtez et consultez. Si vous avez un glaucome ou un problème de prostate, ne le prenez pas.</w:t>
      </w:r>
      <w:r>
        <w:t xml:space="preserve">”</w:t>
      </w:r>
      <w:r>
        <w:t xml:space="preserve"> </w:t>
      </w:r>
      <w:r>
        <w:t xml:space="preserve">- Mode d’utilisation pratique : Pour le sirop : agiter avant emploi, mesurer avec la cuillère doseuse. Pour les suppositoires : à conserver au réfrigérateur si la température ambiante dépasse 25 °C.</w:t>
      </w:r>
    </w:p>
    <w:p>
      <w:pPr>
        <w:pStyle w:val="BodyText"/>
      </w:pPr>
      <w:r>
        <w:rPr>
          <w:b/>
          <w:bCs/>
        </w:rPr>
        <w:t xml:space="preserve">Notes, Règles d’Or &amp; Pièges au Comptoir :</w:t>
      </w:r>
      <w:r>
        <w:t xml:space="preserve"> </w:t>
      </w:r>
      <w:r>
        <w:t xml:space="preserve">- Piège classique : Oubli de demander si le patient a un glaucome (CI absolue — risque de crise aiguë de glaucome par fermeture de l’angle) ou une hypertrophie prostatique (CI relative — risque de rétention urinaire aiguë) ; oubli de demander si la patiente est enceinte ou allaite (à éviter) ; prescription prolongée chez le sujet âgé (risque de confusion, de syndrome anticholinergique).</w:t>
      </w:r>
      <w:r>
        <w:t xml:space="preserve"> </w:t>
      </w:r>
      <w:r>
        <w:t xml:space="preserve">- Règle de prise : 3 prises/jour pendant les repas ; durée courte (1-2 semaines) ; à éviter chez le sujet âgé fragile.</w:t>
      </w:r>
      <w:r>
        <w:t xml:space="preserve"> </w:t>
      </w:r>
      <w:r>
        <w:t xml:space="preserve">- Préparation et Conservation : À température ambiante, à l’abri de l’humidité. Les suppositoires à conserver au réfrigérateur si température ambiante &gt;25 °C.</w:t>
      </w:r>
      <w:r>
        <w:t xml:space="preserve"> </w:t>
      </w:r>
      <w:r>
        <w:t xml:space="preserve">- Piège du surdosage / Substitution : Risque de syndrome anticholinergique en cas de surdosage (sécheresse buccale, mydriase, tachycardie, rétention urinaire, confusion, hallucinations) — traitement symptomatique (physostigmine éventuellement en milieu hospitalier). Substitution possible entre les marques de tiémonium (TIMONAL, TIMONEX) pour le sirop 10 mg/5 mL. Le prifinium n’est plus disponible en Algérie (formes retirées/non renouvelables), à signaler au patient qui viendrait avec une ancienne ordonnance.</w:t>
      </w:r>
    </w:p>
    <w:p>
      <w:r>
        <w:pict>
          <v:rect style="width:0;height:1.5pt" o:hralign="center" o:hrstd="t" o:hr="t"/>
        </w:pict>
      </w:r>
    </w:p>
    <w:bookmarkEnd w:id="230"/>
    <w:bookmarkEnd w:id="231"/>
    <w:bookmarkStart w:id="235" w:name="anti-inflammatoires-intestinaux-5-asa"/>
    <w:p>
      <w:pPr>
        <w:pStyle w:val="Heading2"/>
      </w:pPr>
      <w:r>
        <w:t xml:space="preserve">14. Anti-inflammatoires intestinaux (5-ASA)</w:t>
      </w:r>
    </w:p>
    <w:bookmarkStart w:id="232" w:name="introduction-à-la-sous-classe-19"/>
    <w:p>
      <w:pPr>
        <w:pStyle w:val="Heading3"/>
      </w:pPr>
      <w:r>
        <w:t xml:space="preserve">Introduction à la sous-classe</w:t>
      </w:r>
    </w:p>
    <w:p>
      <w:pPr>
        <w:pStyle w:val="FirstParagraph"/>
      </w:pPr>
      <w:r>
        <w:t xml:space="preserve">Les anti-inflammatoires intestinaux de la classe des 5-ASA (acide 5-aminosalicylique) sont le traitement de fond des</w:t>
      </w:r>
      <w:r>
        <w:t xml:space="preserve"> </w:t>
      </w:r>
      <w:r>
        <w:rPr>
          <w:b/>
          <w:bCs/>
        </w:rPr>
        <w:t xml:space="preserve">maladies inflammatoires chroniques intestinales (MICI)</w:t>
      </w:r>
      <w:r>
        <w:t xml:space="preserve"> </w:t>
      </w:r>
      <w:r>
        <w:t xml:space="preserve">: rectocolite hémorragique (RCH) et maladie de Crohn (MC). Le 5-ASA est un dérivé de l’acide salicylique dans lequel le groupe acide est substitué par un groupe amino en position 5. Cette modification structural lui confère une action anti-inflammatoire locale intestinale, sans les propriétés analgésiques et antipyrétiques systémiques de l’aspirine. Le mécanisme d’action est pluridimensionnel : (1)</w:t>
      </w:r>
      <w:r>
        <w:t xml:space="preserve"> </w:t>
      </w:r>
      <w:r>
        <w:rPr>
          <w:b/>
          <w:bCs/>
        </w:rPr>
        <w:t xml:space="preserve">inhibition de la cyclo-oxygénase et de la lipoxygénase</w:t>
      </w:r>
      <w:r>
        <w:t xml:space="preserve">, réduisant la synthèse des prostaglandines et des leucotriènes pro-inflammatoires ; (2)</w:t>
      </w:r>
      <w:r>
        <w:t xml:space="preserve"> </w:t>
      </w:r>
      <w:r>
        <w:rPr>
          <w:b/>
          <w:bCs/>
        </w:rPr>
        <w:t xml:space="preserve">inhibition du facteur de transcription NF-κB</w:t>
      </w:r>
      <w:r>
        <w:t xml:space="preserve">, réduisant l’expression des gènes pro-inflammatoires (TNF-α, IL-1, IL-6, IL-8) ; (3)</w:t>
      </w:r>
      <w:r>
        <w:t xml:space="preserve"> </w:t>
      </w:r>
      <w:r>
        <w:rPr>
          <w:b/>
          <w:bCs/>
        </w:rPr>
        <w:t xml:space="preserve">inhibition de la PPAR-γ</w:t>
      </w:r>
      <w:r>
        <w:t xml:space="preserve"> </w:t>
      </w:r>
      <w:r>
        <w:t xml:space="preserve">(récepteur nucléaire), modulant la différenciation des cellules épithéliales ; (4)</w:t>
      </w:r>
      <w:r>
        <w:t xml:space="preserve"> </w:t>
      </w:r>
      <w:r>
        <w:rPr>
          <w:b/>
          <w:bCs/>
        </w:rPr>
        <w:t xml:space="preserve">inhibition de l’activation des lymphocytes T</w:t>
      </w:r>
      <w:r>
        <w:t xml:space="preserve"> </w:t>
      </w:r>
      <w:r>
        <w:t xml:space="preserve">et de la migration des neutrophiles.</w:t>
      </w:r>
    </w:p>
    <w:p>
      <w:pPr>
        <w:pStyle w:val="BodyText"/>
      </w:pPr>
      <w:r>
        <w:t xml:space="preserve">La</w:t>
      </w:r>
      <w:r>
        <w:t xml:space="preserve"> </w:t>
      </w:r>
      <w:r>
        <w:rPr>
          <w:b/>
          <w:bCs/>
        </w:rPr>
        <w:t xml:space="preserve">mesalazine</w:t>
      </w:r>
      <w:r>
        <w:t xml:space="preserve"> </w:t>
      </w:r>
      <w:r>
        <w:t xml:space="preserve">(5-ASA pur) est la molécule de référence, commercialisée depuis les années 1980 (Pentasa®, Asacol®). Sa particularité est d’agir topiquement sur la muqueuse intestinale, d’où le développement de formes galéniques à libération ciblée (comprimés gastro-résistants, microgranules LP, suppositoires, suspensions rectales) pour atteindre le segment pathologique (côlon droit, côlon gauche, rectum). La biodisponibilité systémique est faible (20-30 %), l’élimination est rénale sous forme de N-acétyl-5-ASA (métabolite inactif). Le principal effet indésirable systémique est la</w:t>
      </w:r>
      <w:r>
        <w:t xml:space="preserve"> </w:t>
      </w:r>
      <w:r>
        <w:rPr>
          <w:b/>
          <w:bCs/>
        </w:rPr>
        <w:t xml:space="preserve">néphrotoxicité</w:t>
      </w:r>
      <w:r>
        <w:t xml:space="preserve"> </w:t>
      </w:r>
      <w:r>
        <w:t xml:space="preserve">(néphrite interstitielle, surveillance créatinine et protéinurie).</w:t>
      </w:r>
    </w:p>
    <w:p>
      <w:pPr>
        <w:pStyle w:val="BodyText"/>
      </w:pPr>
      <w:r>
        <w:t xml:space="preserve">La</w:t>
      </w:r>
      <w:r>
        <w:t xml:space="preserve"> </w:t>
      </w:r>
      <w:r>
        <w:rPr>
          <w:b/>
          <w:bCs/>
        </w:rPr>
        <w:t xml:space="preserve">salazosulfapyridine (sulfasalazine)</w:t>
      </w:r>
      <w:r>
        <w:t xml:space="preserve"> </w:t>
      </w:r>
      <w:r>
        <w:t xml:space="preserve">est une prodrogue combinant le 5-ASA (actif) et la sulfapyridine (transporteur) par une liaison azo. Cette liaison est clivée par les bactéries coliques en 5-ASA (libéré dans le côlon) et sulfapyridine (absorbée systémiquement, métabolisée par acétylation hépatique). La sulfasalazine est historiquement la première molécule de la classe (1942) mais a été largement supplantée par la mesalazine en raison de la toxicité de la sulfapyridine (hématologique, hépatique, hémo-lytique chez les déficients en G6PD). En Algérie, la mesalazine est largement disponible sous de nombreuses marques et formes galéniques ; la sulfasalazine est uniquement disponible sous la marque SALAZOPYRIN EN (Pharmacia Upjohn) en comprimé 500 mg, mais en statut Non Renouvelable — ce qui rend l’approvisionnement difficile et justifie une substitution par mesalazine.</w:t>
      </w:r>
    </w:p>
    <w:p>
      <w:r>
        <w:pict>
          <v:rect style="width:0;height:1.5pt" o:hralign="center" o:hrstd="t" o:hr="t"/>
        </w:pict>
      </w:r>
    </w:p>
    <w:bookmarkEnd w:id="232"/>
    <w:bookmarkStart w:id="233" w:name="mesalazine-5-asa-seule"/>
    <w:p>
      <w:pPr>
        <w:pStyle w:val="Heading3"/>
      </w:pPr>
      <w:r>
        <w:t xml:space="preserve">21. Mesalazine (5-ASA) (Seule)</w:t>
      </w:r>
    </w:p>
    <w:p>
      <w:pPr>
        <w:pStyle w:val="FirstParagraph"/>
      </w:pPr>
      <w:r>
        <w:rPr>
          <w:b/>
          <w:bCs/>
        </w:rPr>
        <w:t xml:space="preserve">Liste des Catégories :</w:t>
      </w:r>
      <w:r>
        <w:t xml:space="preserve"> </w:t>
      </w:r>
      <w:r>
        <w:t xml:space="preserve">Anti-inflammatoires intestinaux (5-ASA) ; Liste II (Algérie).</w:t>
      </w:r>
    </w:p>
    <w:p>
      <w:pPr>
        <w:pStyle w:val="BodyText"/>
      </w:pPr>
      <w:r>
        <w:t xml:space="preserve">La mesalazine (acide 5-aminosalicylique ou 5-ASA) est le traitement de fond de référence des maladies inflammatoires chroniques intestinales (RCH et maladie de Crohn). Commercialisée depuis les années 1980 (Pentasa®, Asacol®, Rowasa®), elle agit par inhibition pluridimensionnelle de la cascade inflammatoire intestinale : (1) inhibition de la cyclo-oxygénase et de la lipoxygénase → réduction des prostaglandines et leucotriènes pro-inflammatoires ; (2) inhibition du facteur de transcription NF-κB → réduction de l’expression des gènes pro-inflammatoires (TNF-α, IL-1, IL-6, IL-8) ; (3) inhibition de la PPAR-γ ; (4) inhibition de l’activation lymphocytaire T et de la migration des neutrophiles. Sa biodisponibilité systémique est faible (20-30 %), son élimination est rénale sous forme de N-acétyl-5-ASA (métabolite inactif). La demi-vie d’élimination est d’environ 1-2 h pour la mesalazine et 5-10 h pour le métabolite. En Algérie, la mesalazine est disponible sous de nombreuses marques et formes galéniques : comprimé gastro-résistant 500 mg, microgranule en gélule LP 500 mg, microgranule en sachet LP 500 mg/1 g/2 g, suppositoire 500 mg et 1 g, suspension rectale 1 g/100 mL, en Liste II.</w:t>
      </w:r>
    </w:p>
    <w:p>
      <w:pPr>
        <w:pStyle w:val="BodyText"/>
      </w:pPr>
      <w:r>
        <w:rPr>
          <w:b/>
          <w:bCs/>
        </w:rPr>
        <w:t xml:space="preserve">Médicaments disponibles en Algérie (Marques, Laboratoires, Formes et Dosages) :</w:t>
      </w:r>
    </w:p>
    <w:p>
      <w:pPr>
        <w:pStyle w:val="BodyText"/>
      </w:pPr>
      <w:r>
        <w:rPr>
          <w:i/>
          <w:iCs/>
        </w:rPr>
        <w:t xml:space="preserve">Mesalazine comprimé gastro-résistant / comprimé LP :</w:t>
      </w:r>
      <w:r>
        <w:t xml:space="preserve"> </w:t>
      </w:r>
      <w:r>
        <w:t xml:space="preserve">-</w:t>
      </w:r>
      <w:r>
        <w:t xml:space="preserve"> </w:t>
      </w:r>
      <w:r>
        <w:rPr>
          <w:b/>
          <w:bCs/>
        </w:rPr>
        <w:t xml:space="preserve">LANVASA</w:t>
      </w:r>
      <w:r>
        <w:t xml:space="preserve"> </w:t>
      </w:r>
      <w:r>
        <w:t xml:space="preserve">(LABORATOIRE MOBEN) — Comprimé gastro-résistant 500 mg, B/90, LISTE II, ACTIF</w:t>
      </w:r>
      <w:r>
        <w:t xml:space="preserve"> </w:t>
      </w:r>
      <w:r>
        <w:t xml:space="preserve">-</w:t>
      </w:r>
      <w:r>
        <w:t xml:space="preserve"> </w:t>
      </w:r>
      <w:r>
        <w:rPr>
          <w:b/>
          <w:bCs/>
        </w:rPr>
        <w:t xml:space="preserve">MELAZA</w:t>
      </w:r>
      <w:r>
        <w:t xml:space="preserve"> </w:t>
      </w:r>
      <w:r>
        <w:t xml:space="preserve">(BIOPHARM) — Gélule à libération prolongée 500 mg, B/90, LISTE II, ACTIF</w:t>
      </w:r>
      <w:r>
        <w:t xml:space="preserve"> </w:t>
      </w:r>
      <w:r>
        <w:t xml:space="preserve">-</w:t>
      </w:r>
      <w:r>
        <w:t xml:space="preserve"> </w:t>
      </w:r>
      <w:r>
        <w:rPr>
          <w:b/>
          <w:bCs/>
        </w:rPr>
        <w:t xml:space="preserve">PENTASA</w:t>
      </w:r>
      <w:r>
        <w:t xml:space="preserve"> </w:t>
      </w:r>
      <w:r>
        <w:t xml:space="preserve">(FERRING GMBH) — Comprimé à libération prolongée 500 mg, B/100, LISTE II, ACTIF</w:t>
      </w:r>
      <w:r>
        <w:t xml:space="preserve"> </w:t>
      </w:r>
      <w:r>
        <w:t xml:space="preserve">-</w:t>
      </w:r>
      <w:r>
        <w:t xml:space="preserve"> </w:t>
      </w:r>
      <w:r>
        <w:rPr>
          <w:b/>
          <w:bCs/>
        </w:rPr>
        <w:t xml:space="preserve">ROWASA</w:t>
      </w:r>
      <w:r>
        <w:t xml:space="preserve"> </w:t>
      </w:r>
      <w:r>
        <w:t xml:space="preserve">(SOLVAY PHARMA) — Comprimé gastro-résistant 500 mg, B/90, NON_RENOUVELABLE</w:t>
      </w:r>
    </w:p>
    <w:p>
      <w:pPr>
        <w:pStyle w:val="BodyText"/>
      </w:pPr>
      <w:r>
        <w:rPr>
          <w:i/>
          <w:iCs/>
        </w:rPr>
        <w:t xml:space="preserve">Mesalazine suppositoire :</w:t>
      </w:r>
      <w:r>
        <w:t xml:space="preserve"> </w:t>
      </w:r>
      <w:r>
        <w:t xml:space="preserve">-</w:t>
      </w:r>
      <w:r>
        <w:t xml:space="preserve"> </w:t>
      </w:r>
      <w:r>
        <w:rPr>
          <w:b/>
          <w:bCs/>
        </w:rPr>
        <w:t xml:space="preserve">MELAZA</w:t>
      </w:r>
      <w:r>
        <w:t xml:space="preserve"> </w:t>
      </w:r>
      <w:r>
        <w:t xml:space="preserve">(BIOPHARM) — Suppositoire 500 mg, B/15, LISTE II, ACTIF ; Suppositoire 1 g, B/15, ACTIF</w:t>
      </w:r>
      <w:r>
        <w:t xml:space="preserve"> </w:t>
      </w:r>
      <w:r>
        <w:t xml:space="preserve">-</w:t>
      </w:r>
      <w:r>
        <w:t xml:space="preserve"> </w:t>
      </w:r>
      <w:r>
        <w:rPr>
          <w:b/>
          <w:bCs/>
        </w:rPr>
        <w:t xml:space="preserve">ROWASA</w:t>
      </w:r>
      <w:r>
        <w:t xml:space="preserve"> </w:t>
      </w:r>
      <w:r>
        <w:t xml:space="preserve">(SOLVAY PHARMA) — Suppositoire 500 mg, B/30, ACTIF</w:t>
      </w:r>
      <w:r>
        <w:t xml:space="preserve"> </w:t>
      </w:r>
      <w:r>
        <w:t xml:space="preserve">-</w:t>
      </w:r>
      <w:r>
        <w:t xml:space="preserve"> </w:t>
      </w:r>
      <w:r>
        <w:rPr>
          <w:b/>
          <w:bCs/>
        </w:rPr>
        <w:t xml:space="preserve">SALAZA</w:t>
      </w:r>
      <w:r>
        <w:t xml:space="preserve"> </w:t>
      </w:r>
      <w:r>
        <w:t xml:space="preserve">(LABORATOIRES SALEM) — Suppositoire 500 mg, B/15, ACTIF ; Suppositoire 1 g, B/15, ACTIF</w:t>
      </w:r>
      <w:r>
        <w:t xml:space="preserve"> </w:t>
      </w:r>
      <w:r>
        <w:t xml:space="preserve">-</w:t>
      </w:r>
      <w:r>
        <w:t xml:space="preserve"> </w:t>
      </w:r>
      <w:r>
        <w:rPr>
          <w:b/>
          <w:bCs/>
        </w:rPr>
        <w:t xml:space="preserve">ROVAZINE</w:t>
      </w:r>
      <w:r>
        <w:t xml:space="preserve"> </w:t>
      </w:r>
      <w:r>
        <w:t xml:space="preserve">(4A SANTE INDUSTRIE SARL) — Suppositoire 500 mg, B/30, NON_RENOUVELABLE</w:t>
      </w:r>
      <w:r>
        <w:t xml:space="preserve"> </w:t>
      </w:r>
      <w:r>
        <w:t xml:space="preserve">-</w:t>
      </w:r>
      <w:r>
        <w:t xml:space="preserve"> </w:t>
      </w:r>
      <w:r>
        <w:rPr>
          <w:b/>
          <w:bCs/>
        </w:rPr>
        <w:t xml:space="preserve">ROZAVA</w:t>
      </w:r>
      <w:r>
        <w:t xml:space="preserve"> </w:t>
      </w:r>
      <w:r>
        <w:t xml:space="preserve">(LPA) — Suppositoire 500 mg, B/30, RETRAIT</w:t>
      </w:r>
    </w:p>
    <w:p>
      <w:pPr>
        <w:pStyle w:val="BodyText"/>
      </w:pPr>
      <w:r>
        <w:rPr>
          <w:i/>
          <w:iCs/>
        </w:rPr>
        <w:t xml:space="preserve">Mesalazine suspension rectale :</w:t>
      </w:r>
      <w:r>
        <w:t xml:space="preserve"> </w:t>
      </w:r>
      <w:r>
        <w:t xml:space="preserve">-</w:t>
      </w:r>
      <w:r>
        <w:t xml:space="preserve"> </w:t>
      </w:r>
      <w:r>
        <w:rPr>
          <w:b/>
          <w:bCs/>
        </w:rPr>
        <w:t xml:space="preserve">PENTASA</w:t>
      </w:r>
      <w:r>
        <w:t xml:space="preserve"> </w:t>
      </w:r>
      <w:r>
        <w:t xml:space="preserve">(FERRING SAS) — Suspension rectale 1 g/100 mL, B/7 récipients unidoses en flacon PE de 100 mL avec canule, ACTIF</w:t>
      </w:r>
    </w:p>
    <w:p>
      <w:pPr>
        <w:pStyle w:val="BodyText"/>
      </w:pPr>
      <w:r>
        <w:rPr>
          <w:i/>
          <w:iCs/>
        </w:rPr>
        <w:t xml:space="preserve">Mesalazine microgranule à libération prolongée en sachet :</w:t>
      </w:r>
      <w:r>
        <w:t xml:space="preserve"> </w:t>
      </w:r>
      <w:r>
        <w:t xml:space="preserve">-</w:t>
      </w:r>
      <w:r>
        <w:t xml:space="preserve"> </w:t>
      </w:r>
      <w:r>
        <w:rPr>
          <w:b/>
          <w:bCs/>
        </w:rPr>
        <w:t xml:space="preserve">MELAZA</w:t>
      </w:r>
      <w:r>
        <w:t xml:space="preserve"> </w:t>
      </w:r>
      <w:r>
        <w:t xml:space="preserve">(BIOPHARM) — Microgranule à LP en sachet 1 g, B/120 sachets, LISTE II, ACTIF ; Microgranule en sachet LP 2 g, B/60, LISTE II, ACTIF</w:t>
      </w:r>
      <w:r>
        <w:t xml:space="preserve"> </w:t>
      </w:r>
      <w:r>
        <w:t xml:space="preserve">-</w:t>
      </w:r>
      <w:r>
        <w:t xml:space="preserve"> </w:t>
      </w:r>
      <w:r>
        <w:rPr>
          <w:b/>
          <w:bCs/>
        </w:rPr>
        <w:t xml:space="preserve">PENTAZINE LP</w:t>
      </w:r>
      <w:r>
        <w:t xml:space="preserve"> </w:t>
      </w:r>
      <w:r>
        <w:t xml:space="preserve">(FRATER-RAZES FORME SECHE) — Microgranule à LP en sachet 1 g, B/120 sachets, LISTE II, ACTIF ; Microgranule en sachet LP 500 mg/sachet, B/60 sachets, LISTE II, ACTIF</w:t>
      </w:r>
    </w:p>
    <w:p>
      <w:pPr>
        <w:pStyle w:val="BodyText"/>
      </w:pPr>
      <w:r>
        <w:rPr>
          <w:i/>
          <w:iCs/>
        </w:rPr>
        <w:t xml:space="preserve">Formes Retirées (R) :</w:t>
      </w:r>
      <w:r>
        <w:t xml:space="preserve"> </w:t>
      </w:r>
      <w:r>
        <w:t xml:space="preserve">-</w:t>
      </w:r>
      <w:r>
        <w:t xml:space="preserve"> </w:t>
      </w:r>
      <w:r>
        <w:rPr>
          <w:b/>
          <w:bCs/>
        </w:rPr>
        <w:t xml:space="preserve">ROZAVA</w:t>
      </w:r>
      <w:r>
        <w:t xml:space="preserve"> </w:t>
      </w:r>
      <w:r>
        <w:t xml:space="preserve">(LPA) — Suppositoire 500 mg, B/30, RETRAIT</w:t>
      </w:r>
      <w:r>
        <w:t xml:space="preserve"> </w:t>
      </w:r>
      <w:r>
        <w:t xml:space="preserve">-</w:t>
      </w:r>
      <w:r>
        <w:t xml:space="preserve"> </w:t>
      </w:r>
      <w:r>
        <w:rPr>
          <w:b/>
          <w:bCs/>
        </w:rPr>
        <w:t xml:space="preserve">PENTASA</w:t>
      </w:r>
      <w:r>
        <w:t xml:space="preserve"> </w:t>
      </w:r>
      <w:r>
        <w:t xml:space="preserve">(FERRING SAS) — Suppositoire 1 g, B/15, RETRAIT</w:t>
      </w:r>
      <w:r>
        <w:t xml:space="preserve"> </w:t>
      </w:r>
      <w:r>
        <w:t xml:space="preserve">-</w:t>
      </w:r>
      <w:r>
        <w:t xml:space="preserve"> </w:t>
      </w:r>
      <w:r>
        <w:rPr>
          <w:b/>
          <w:bCs/>
        </w:rPr>
        <w:t xml:space="preserve">PENTASA</w:t>
      </w:r>
      <w:r>
        <w:t xml:space="preserve"> </w:t>
      </w:r>
      <w:r>
        <w:t xml:space="preserve">(FERRING SAS) — Granulés en sachet 1 g/sachet, B/120 sachets, RETRAIT</w:t>
      </w:r>
    </w:p>
    <w:p>
      <w:pPr>
        <w:pStyle w:val="BodyText"/>
      </w:pPr>
      <w:r>
        <w:rPr>
          <w:i/>
          <w:iCs/>
        </w:rPr>
        <w:t xml:space="preserve">Forme Non Renouvelable :</w:t>
      </w:r>
      <w:r>
        <w:t xml:space="preserve"> </w:t>
      </w:r>
      <w:r>
        <w:t xml:space="preserve">-</w:t>
      </w:r>
      <w:r>
        <w:t xml:space="preserve"> </w:t>
      </w:r>
      <w:r>
        <w:rPr>
          <w:b/>
          <w:bCs/>
        </w:rPr>
        <w:t xml:space="preserve">PENTASA</w:t>
      </w:r>
      <w:r>
        <w:t xml:space="preserve"> </w:t>
      </w:r>
      <w:r>
        <w:t xml:space="preserve">(FERRING SAS) — Granulés en sachet 1 g/sachet, B/120 sachets, NON_RENOUVELABLE</w:t>
      </w:r>
    </w:p>
    <w:p>
      <w:pPr>
        <w:pStyle w:val="BodyText"/>
      </w:pPr>
      <w:r>
        <w:rPr>
          <w:b/>
          <w:bCs/>
        </w:rPr>
        <w:t xml:space="preserve">Sous-classe et Mécanisme d’action :</w:t>
      </w:r>
      <w:r>
        <w:t xml:space="preserve"> </w:t>
      </w:r>
      <w:r>
        <w:t xml:space="preserve">- Sous-classe : Anti-inflammatoire intestinal de la classe des 5-ASA (acide 5-aminosalicylique), traitement de fond des MICI.</w:t>
      </w:r>
      <w:r>
        <w:t xml:space="preserve"> </w:t>
      </w:r>
      <w:r>
        <w:t xml:space="preserve">- Mécanisme d’action : Action pluridimensionnelle anti-inflammatoire locale intestinale : (1) inhibition de la cyclo-oxygénase (COX) et de la lipoxygénase (LOX) → réduction des prostaglandines (PGE2) et des leucotriènes (LTB4) pro-inflammatoires ; (2) inhibition du facteur de transcription NF-κB → réduction de l’expression des gènes pro-inflammatoires (TNF-α, IL-1β, IL-6, IL-8) ; (3) inhibition de la PPAR-γ (récepteur nucléaire) → modulation de la différenciation des cellules épithéliales ; (4) inhibition de l’activation des lymphocytes T et de la migration des neutrophiles ; (5) action antioxydante (piégeage des radicaux libres). Biodisponibilité systémique faible (20-30 %), élimination rénale sous forme de N-acétyl-5-ASA (métabolite inactif). Demi-vie ~1-2 h (mesalazine) et 5-10 h (métabolite).</w:t>
      </w:r>
    </w:p>
    <w:p>
      <w:pPr>
        <w:pStyle w:val="BodyText"/>
      </w:pPr>
      <w:r>
        <w:rPr>
          <w:b/>
          <w:bCs/>
        </w:rPr>
        <w:t xml:space="preserve">Profil Pharmacologique :</w:t>
      </w:r>
      <w:r>
        <w:t xml:space="preserve"> </w:t>
      </w:r>
      <w:r>
        <w:t xml:space="preserve">- Indications : Rectocolite hémorragique (RCH) : traitement de fond de la poussée et d’entretien de la rémission (formes légères à modérées). Maladie de Crohn (MC) : traitement de fond (colique, iléocolique). Formes topiques : RCH distale (rectite, rectosigmoïdite) en suppositoire ou lavement.</w:t>
      </w:r>
      <w:r>
        <w:t xml:space="preserve"> </w:t>
      </w:r>
      <w:r>
        <w:t xml:space="preserve">- Contre-indications : Hypersensibilité (y compris aux salicylés) ; insuffisance rénale sévère (ClCr &lt;30 mL/min) ; insuffisance hépatique sévère ; enfant &lt;2 ans (données insuffisantes) ; déficit en G6PD (risque d’hémolyse, surveillance) ; allaitement (à éviter sauf nécessité absolue) ; dernière partie de la grossesse (à éviter par prudence, risque d’hypertension pulmonaire persistante du nouveau-né — débat récent).</w:t>
      </w:r>
      <w:r>
        <w:t xml:space="preserve"> </w:t>
      </w:r>
      <w:r>
        <w:t xml:space="preserve">- Effets Indésirables : Nausées, vomissements, diarrhée, douleurs abdominales, céphalées ; éruptions cutanées, urticaire ; plus rares :</w:t>
      </w:r>
      <w:r>
        <w:t xml:space="preserve"> </w:t>
      </w:r>
      <w:r>
        <w:rPr>
          <w:b/>
          <w:bCs/>
        </w:rPr>
        <w:t xml:space="preserve">hépatite cytolytique</w:t>
      </w:r>
      <w:r>
        <w:t xml:space="preserve">,</w:t>
      </w:r>
      <w:r>
        <w:t xml:space="preserve"> </w:t>
      </w:r>
      <w:r>
        <w:rPr>
          <w:b/>
          <w:bCs/>
        </w:rPr>
        <w:t xml:space="preserve">pancréatite aiguë</w:t>
      </w:r>
      <w:r>
        <w:t xml:space="preserve">,</w:t>
      </w:r>
      <w:r>
        <w:t xml:space="preserve"> </w:t>
      </w:r>
      <w:r>
        <w:rPr>
          <w:b/>
          <w:bCs/>
        </w:rPr>
        <w:t xml:space="preserve">néphrite interstitielle</w:t>
      </w:r>
      <w:r>
        <w:t xml:space="preserve"> </w:t>
      </w:r>
      <w:r>
        <w:t xml:space="preserve">(néphrotoxicité de classe, à surveiller), pneumopathie d’hypersensibilité, péricardite, alvéolite, cytopénie médullaire (rare). Le syndrome d’hypersensibilité médicamenteuse (DRESS) est possible, surtout chez les patients allergiques aux salicylés.</w:t>
      </w:r>
    </w:p>
    <w:p>
      <w:pPr>
        <w:pStyle w:val="BodyText"/>
      </w:pPr>
      <w:r>
        <w:rPr>
          <w:b/>
          <w:bCs/>
        </w:rPr>
        <w:t xml:space="preserve">Prévention et Gestion des Effets Indésirables :</w:t>
      </w:r>
      <w:r>
        <w:t xml:space="preserve"> </w:t>
      </w:r>
      <w:r>
        <w:t xml:space="preserve">- Mesures Préventives : Surveillance biologique régulière : créatinine et protéinurie à l’initiation, puis tous les 3 mois la première année, puis tous les 6 mois ; ASAT/ALAT à l’initiation puis tous les 3 mois ; NFS plaquettes (surtout si sulfasalazine) ; éducation du patient sur les signes précoces d’atteinte rénale (œdèmes, oligurie), hépatique (ictère, prurit), pancréatique (douleur épigastrique intense), pulmonaire (toux, dyspnée). Vérifier l’absence d’allergie aux salicylés avant initiation.</w:t>
      </w:r>
      <w:r>
        <w:t xml:space="preserve"> </w:t>
      </w:r>
      <w:r>
        <w:t xml:space="preserve">- Conduite à Tenir : En cas d’augmentation de la créatinine &gt;30 % de la valeur initiale : arrêt immédiat. En cas d’ictère, de douleur épigastrique intense ou de toux dyspnée : arrêt et consultation urgente. En cas d’éruption cutanée étendue avec fièvre : arrêt immédiat (DRESS).</w:t>
      </w:r>
    </w:p>
    <w:p>
      <w:pPr>
        <w:pStyle w:val="BodyText"/>
      </w:pPr>
      <w:r>
        <w:rPr>
          <w:b/>
          <w:bCs/>
        </w:rPr>
        <w:t xml:space="preserve">Interactions Importantes :</w:t>
      </w:r>
      <w:r>
        <w:t xml:space="preserve"> </w:t>
      </w:r>
      <w:r>
        <w:t xml:space="preserve">-</w:t>
      </w:r>
      <w:r>
        <w:t xml:space="preserve"> </w:t>
      </w:r>
      <w:r>
        <w:rPr>
          <w:b/>
          <w:bCs/>
        </w:rPr>
        <w:t xml:space="preserve">Mesalazine + azathioprine / 6-mercaptopurine</w:t>
      </w:r>
      <w:r>
        <w:t xml:space="preserve"> </w:t>
      </w:r>
      <w:r>
        <w:t xml:space="preserve">: augmentation de la toxicité médullaire de l’azathioprine (par inhibition de la voie de métabolisation TPMT) → surveillance NFS hématologique rapprochée, voire réduction de la dose d’azathioprine.</w:t>
      </w:r>
      <w:r>
        <w:t xml:space="preserve"> </w:t>
      </w:r>
      <w:r>
        <w:t xml:space="preserve">-</w:t>
      </w:r>
      <w:r>
        <w:t xml:space="preserve"> </w:t>
      </w:r>
      <w:r>
        <w:rPr>
          <w:b/>
          <w:bCs/>
        </w:rPr>
        <w:t xml:space="preserve">Mesalazine + anticoagulants oraux (warfarine)</w:t>
      </w:r>
      <w:r>
        <w:t xml:space="preserve"> </w:t>
      </w:r>
      <w:r>
        <w:t xml:space="preserve">: potentialisation de l’anticoagulation (surveillance INR).</w:t>
      </w:r>
      <w:r>
        <w:t xml:space="preserve"> </w:t>
      </w:r>
      <w:r>
        <w:t xml:space="preserve">-</w:t>
      </w:r>
      <w:r>
        <w:t xml:space="preserve"> </w:t>
      </w:r>
      <w:r>
        <w:rPr>
          <w:b/>
          <w:bCs/>
        </w:rPr>
        <w:t xml:space="preserve">Mesalazine + glucocorticoïdes</w:t>
      </w:r>
      <w:r>
        <w:t xml:space="preserve"> </w:t>
      </w:r>
      <w:r>
        <w:t xml:space="preserve">: risque majoré d’effets indésirables digestifs.</w:t>
      </w:r>
      <w:r>
        <w:t xml:space="preserve"> </w:t>
      </w:r>
      <w:r>
        <w:t xml:space="preserve">-</w:t>
      </w:r>
      <w:r>
        <w:t xml:space="preserve"> </w:t>
      </w:r>
      <w:r>
        <w:rPr>
          <w:b/>
          <w:bCs/>
        </w:rPr>
        <w:t xml:space="preserve">Mesalazine + lactulose, antibiotiques modifiant la flore</w:t>
      </w:r>
      <w:r>
        <w:t xml:space="preserve"> </w:t>
      </w:r>
      <w:r>
        <w:t xml:space="preserve">: modification possible de la libération du 5-ASA (surtout pour les formes dépendant du clivage bactérien comme la sulfasalazine).</w:t>
      </w:r>
      <w:r>
        <w:t xml:space="preserve"> </w:t>
      </w:r>
      <w:r>
        <w:t xml:space="preserve">-</w:t>
      </w:r>
      <w:r>
        <w:t xml:space="preserve"> </w:t>
      </w:r>
      <w:r>
        <w:rPr>
          <w:b/>
          <w:bCs/>
        </w:rPr>
        <w:t xml:space="preserve">Mesalazine + AINS</w:t>
      </w:r>
      <w:r>
        <w:t xml:space="preserve"> </w:t>
      </w:r>
      <w:r>
        <w:t xml:space="preserve">: risque majoré de néphrotoxicité.</w:t>
      </w:r>
    </w:p>
    <w:p>
      <w:pPr>
        <w:pStyle w:val="BodyText"/>
      </w:pPr>
      <w:r>
        <w:rPr>
          <w:b/>
          <w:bCs/>
        </w:rPr>
        <w:t xml:space="preserve">Grossesse et Allaitement :</w:t>
      </w:r>
      <w:r>
        <w:t xml:space="preserve"> </w:t>
      </w:r>
      <w:r>
        <w:t xml:space="preserve">- Grossesse : Compatible selon le CRAT (données humaines nombreuses rassurantes, en particulier dans la RCH). À poursuivre pendant toute la grossesse en cas de maladie active ou de risque de rechute. Surveillance accrue en fin de grossesse (risque théorique d’hypertension pulmonaire persistante du nouveau-né, débat récent sur la classe des AINS/salicylés en fin de grossesse).</w:t>
      </w:r>
      <w:r>
        <w:t xml:space="preserve"> </w:t>
      </w:r>
      <w:r>
        <w:t xml:space="preserve">- Allaitement : Compatible selon le CRAT (faible passage dans le lait, faible toxicité pour le nourrisson) ; à surveiller chez le prématuré ou le nouveau-né ictérique (risque théorique de déplacement de la bilirubine).</w:t>
      </w:r>
      <w:r>
        <w:t xml:space="preserve"> </w:t>
      </w:r>
      <w:r>
        <w:t xml:space="preserve">- Précisions : La mesalazine est le traitement de fond de choix des MICI pendant la grossesse.</w:t>
      </w:r>
    </w:p>
    <w:p>
      <w:pPr>
        <w:pStyle w:val="BodyText"/>
      </w:pPr>
      <w:r>
        <w:rPr>
          <w:b/>
          <w:bCs/>
        </w:rPr>
        <w:t xml:space="preserve">Posologie et Mode d’administration (Standard) :</w:t>
      </w:r>
      <w:r>
        <w:t xml:space="preserve"> </w:t>
      </w:r>
      <w:r>
        <w:t xml:space="preserve">- Adulte (RCH, traitement de fond de la poussée) :</w:t>
      </w:r>
      <w:r>
        <w:t xml:space="preserve"> </w:t>
      </w:r>
      <w:r>
        <w:t xml:space="preserve">- Forme orale (comprimé gastro-résistant, microgranule LP) : 3-4 g/jour en 2-3 prises (ex : 1 g × 3/jour ou 2 g × 2/jour) pendant 4-8 semaines.</w:t>
      </w:r>
      <w:r>
        <w:t xml:space="preserve"> </w:t>
      </w:r>
      <w:r>
        <w:t xml:space="preserve">- Forme orale (microgranule en sachet LP) : 2-4 g/jour en 1-2 prises (ex : 1 sachet 4 g/jour ou 2 sachets 2 g/jour).</w:t>
      </w:r>
      <w:r>
        <w:t xml:space="preserve"> </w:t>
      </w:r>
      <w:r>
        <w:t xml:space="preserve">- Forme rectale (suppositoire 500 mg ou 1 g) : 1 g/jour en 1 prise, le soir au coucher (RCH distale, rectite).</w:t>
      </w:r>
      <w:r>
        <w:t xml:space="preserve"> </w:t>
      </w:r>
      <w:r>
        <w:t xml:space="preserve">- Forme rectale (suspension rectale 1 g/100 mL) : 1 lavement/jour, le soir au coucher (RCH gauche).</w:t>
      </w:r>
      <w:r>
        <w:t xml:space="preserve"> </w:t>
      </w:r>
      <w:r>
        <w:t xml:space="preserve">- Adulte (RCH, traitement d’entretien de la rémission) : 1,5-3 g/jour en 1-2 prises, au long cours.</w:t>
      </w:r>
      <w:r>
        <w:t xml:space="preserve"> </w:t>
      </w:r>
      <w:r>
        <w:t xml:space="preserve">- Enfant &gt;2 ans (RCH, traitement de fond) : 20-30 mg/kg/jour en 2 prises (max 4 g/jour).</w:t>
      </w:r>
      <w:r>
        <w:t xml:space="preserve"> </w:t>
      </w:r>
      <w:r>
        <w:t xml:space="preserve">- Durée : Au long cours (à vie) pour le traitement d’entretien de la RCH. Traitement de 4-8 semaines pour la poussée.</w:t>
      </w:r>
      <w:r>
        <w:t xml:space="preserve"> </w:t>
      </w:r>
      <w:r>
        <w:t xml:space="preserve">- Moment de prise : Pendant ou après les repas (réduit la tolérance digestive). Pour la forme LP : à heures fixes, à avaler entier (ne pas écraser ni croquer).</w:t>
      </w:r>
    </w:p>
    <w:p>
      <w:pPr>
        <w:pStyle w:val="BodyText"/>
      </w:pPr>
      <w:r>
        <w:rPr>
          <w:b/>
          <w:bCs/>
        </w:rPr>
        <w:t xml:space="preserve">Arbitrage et Bénéfices des Formes Galéniques :</w:t>
      </w:r>
      <w:r>
        <w:t xml:space="preserve"> </w:t>
      </w:r>
      <w:r>
        <w:t xml:space="preserve">-</w:t>
      </w:r>
      <w:r>
        <w:t xml:space="preserve"> </w:t>
      </w:r>
      <w:r>
        <w:rPr>
          <w:b/>
          <w:bCs/>
        </w:rPr>
        <w:t xml:space="preserve">Comprimé gastro-résistant 500 mg</w:t>
      </w:r>
      <w:r>
        <w:t xml:space="preserve"> </w:t>
      </w:r>
      <w:r>
        <w:t xml:space="preserve">(LANVASA, ROWASA, PENTASA) : libération du 5-ASA dans le côlon distal (selon le pH) ou le côlon proximal (selon le temps de transit). Adapté à la RCH étendue.</w:t>
      </w:r>
      <w:r>
        <w:t xml:space="preserve"> </w:t>
      </w:r>
      <w:r>
        <w:t xml:space="preserve">-</w:t>
      </w:r>
      <w:r>
        <w:t xml:space="preserve"> </w:t>
      </w:r>
      <w:r>
        <w:rPr>
          <w:b/>
          <w:bCs/>
        </w:rPr>
        <w:t xml:space="preserve">Microgranule en gélule LP 500 mg</w:t>
      </w:r>
      <w:r>
        <w:t xml:space="preserve"> </w:t>
      </w:r>
      <w:r>
        <w:t xml:space="preserve">(MELAZA) : libération prolongée sur l’ensemble du tube digestif (de l’iléon au rectum). Adapté à la maladie de Crohn iléocolique.</w:t>
      </w:r>
      <w:r>
        <w:t xml:space="preserve"> </w:t>
      </w:r>
      <w:r>
        <w:t xml:space="preserve">-</w:t>
      </w:r>
      <w:r>
        <w:t xml:space="preserve"> </w:t>
      </w:r>
      <w:r>
        <w:rPr>
          <w:b/>
          <w:bCs/>
        </w:rPr>
        <w:t xml:space="preserve">Microgranule en sachet LP 500 mg/1 g/2 g</w:t>
      </w:r>
      <w:r>
        <w:t xml:space="preserve"> </w:t>
      </w:r>
      <w:r>
        <w:t xml:space="preserve">(MELAZA, PENTAZINE LP) : libération prolongée, dose unique quotidienne possible (4 g/jour en 1 prise). Adapté à l’observance difficile.</w:t>
      </w:r>
      <w:r>
        <w:t xml:space="preserve"> </w:t>
      </w:r>
      <w:r>
        <w:t xml:space="preserve">-</w:t>
      </w:r>
      <w:r>
        <w:t xml:space="preserve"> </w:t>
      </w:r>
      <w:r>
        <w:rPr>
          <w:b/>
          <w:bCs/>
        </w:rPr>
        <w:t xml:space="preserve">Suppositoire 500 mg et 1 g</w:t>
      </w:r>
      <w:r>
        <w:t xml:space="preserve"> </w:t>
      </w:r>
      <w:r>
        <w:t xml:space="preserve">(MELAZA, ROWASA, SALAZA) : action topique locale sur le rectum. Adapté à la rectite isolée (RCH distale).</w:t>
      </w:r>
      <w:r>
        <w:t xml:space="preserve"> </w:t>
      </w:r>
      <w:r>
        <w:t xml:space="preserve">-</w:t>
      </w:r>
      <w:r>
        <w:t xml:space="preserve"> </w:t>
      </w:r>
      <w:r>
        <w:rPr>
          <w:b/>
          <w:bCs/>
        </w:rPr>
        <w:t xml:space="preserve">Suspension rectale 1 g/100 mL</w:t>
      </w:r>
      <w:r>
        <w:t xml:space="preserve"> </w:t>
      </w:r>
      <w:r>
        <w:t xml:space="preserve">(PENTASA) : action topique locale sur le rectum et le côlon sigmoïde. Adapté à la rectosigmoïdite.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le fond de votre maladie intestinale (rectocolite hémorragique ou maladie de Crohn). Il réduit l’inflammation de l’intestin. Prenez-le tous les jours, même si vous allez bien, pour éviter les rechutes. Pour les comprimés ou gélules LP, avalez-les entiers, ne les écrasez pas. Pour les suppositoires ou lavements, suivez les instructions d’administration. Une prise de sang sera faite régulièrement pour surveiller vos reins, votre foie et vos globules. Si vous avez des œdèmes, des urines foncées, un ictère ou une douleur épigastrique, arrêtez et consultez en urgence.</w:t>
      </w:r>
      <w:r>
        <w:t xml:space="preserve">”</w:t>
      </w:r>
      <w:r>
        <w:t xml:space="preserve"> </w:t>
      </w:r>
      <w:r>
        <w:t xml:space="preserve">- Mode d’utilisation pratique : Comprimés/gélules : avaler entiers avec un verre d’eau, pendant les repas, à heures fixes. Suppositoires : à administrer après émission intestinale, le soir au coucher, en position allongée pendant 30 min. Lavements : à administrer le soir au coucher, en position de Sims (couché sur le côté gauche), à maintenir toute la nuit si possible.</w:t>
      </w:r>
    </w:p>
    <w:p>
      <w:pPr>
        <w:pStyle w:val="BodyText"/>
      </w:pPr>
      <w:r>
        <w:rPr>
          <w:b/>
          <w:bCs/>
        </w:rPr>
        <w:t xml:space="preserve">Notes, Règles d’Or &amp; Pièges au Comptoir :</w:t>
      </w:r>
      <w:r>
        <w:t xml:space="preserve"> </w:t>
      </w:r>
      <w:r>
        <w:t xml:space="preserve">- Piège classique : Arrêt du traitement en cas de rémission (risque de rechute systématique) ; oubli de la surveillance rénale (néphrotoxicité de classe, méconnue) ; oubli de demander si le patient est allergique aux salicylés (aspirine) — risque de réaction croisée ; oubli de l’association avec l’azathioprine (surveillance hématologique rapprochée) ; prescription d’AINS (toxicité rénale additif) ; oubli de la déficience en G6PD (risque d’hémolyse).</w:t>
      </w:r>
      <w:r>
        <w:t xml:space="preserve"> </w:t>
      </w:r>
      <w:r>
        <w:t xml:space="preserve">- Règle de prise : Au long cours (à vie pour l’entretien RCH) ; pendant les repas ; à heures fixes ; surveillance biologique trimestrielle initiale.</w:t>
      </w:r>
      <w:r>
        <w:t xml:space="preserve"> </w:t>
      </w:r>
      <w:r>
        <w:t xml:space="preserve">- Préparation et Conservation : À température ambiante, à l’abri de l’humidité. Les suppositoires à conserver au réfrigérateur si température ambiante &gt;25 °C. La suspension rectale à conserver à température ambiante, à ne pas congeler.</w:t>
      </w:r>
      <w:r>
        <w:t xml:space="preserve"> </w:t>
      </w:r>
      <w:r>
        <w:t xml:space="preserve">- Piège du surdosage / Substitution : Risque de néphrotoxicité et d’hépatotoxicité en cas de surdosage. Substitution possible entre génériques en respectant la forme galénique (comprimé GR vs microgranule LP vs sachet LP) — la substitution entre formes LP peut modifier le profil de libération et doit être validée par le gastro-entérologue. La sulfasalazine (Salazopyrin EN) ne doit pas être substituée par la mesalazine sans avis médical (profil de tolérance différent).</w:t>
      </w:r>
    </w:p>
    <w:p>
      <w:r>
        <w:pict>
          <v:rect style="width:0;height:1.5pt" o:hralign="center" o:hrstd="t" o:hr="t"/>
        </w:pict>
      </w:r>
    </w:p>
    <w:bookmarkEnd w:id="233"/>
    <w:bookmarkStart w:id="234" w:name="salazosulfapyridine-sulfasalazine-seule"/>
    <w:p>
      <w:pPr>
        <w:pStyle w:val="Heading3"/>
      </w:pPr>
      <w:r>
        <w:t xml:space="preserve">22. Salazosulfapyridine (Sulfasalazine) (Seule)</w:t>
      </w:r>
    </w:p>
    <w:p>
      <w:pPr>
        <w:pStyle w:val="FirstParagraph"/>
      </w:pPr>
      <w:r>
        <w:rPr>
          <w:b/>
          <w:bCs/>
        </w:rPr>
        <w:t xml:space="preserve">Liste des Catégories :</w:t>
      </w:r>
      <w:r>
        <w:t xml:space="preserve"> </w:t>
      </w:r>
      <w:r>
        <w:t xml:space="preserve">Anti-inflammatoires intestinaux (5-ASA) ; Libre (Algérie).</w:t>
      </w:r>
    </w:p>
    <w:p>
      <w:pPr>
        <w:pStyle w:val="BodyText"/>
      </w:pPr>
      <w:r>
        <w:t xml:space="preserve">La salazosulfapyridine (sulfasalazine, SPZ) est une prodrogue combinant le 5-ASA (actif) et la sulfapyridine (transporteur) par une liaison azo. Commercialisée depuis 1942 (Salazopyrin®), c’est historiquement la première molécule de la classe des 5-ASA. Après ingestion, la molécule est inchangée dans l’estomac et l’intestin grêle (la liaison azo est résistante aux sucs digestifs), puis atteint le côlon où les bactéries coliques (notamment</w:t>
      </w:r>
      <w:r>
        <w:t xml:space="preserve"> </w:t>
      </w:r>
      <w:r>
        <w:rPr>
          <w:i/>
          <w:iCs/>
        </w:rPr>
        <w:t xml:space="preserve">Bacteroides</w:t>
      </w:r>
      <w:r>
        <w:t xml:space="preserve">) clivent la liaison azo par azoréduction → libération du 5-ASA (actif topique sur la muqueuse colique) et de la sulfapyridine (absorbée systémiquement, métabolisée par acétylation hépatique). La sulfapyridine est responsable de la plupart des effets indésirables systémiques (hématologique, hépatique, hémo-lytique chez les déficients en G6PD). En raison de ce profil de tolérance, la sulfasalazine a été largement supplantée par la mesalazine (5-ASA pur) dans la RCH et la maladie de Crohn. Elle reste utilisée en rhumatologie dans la polyarthrite rhumatoïde (PR) et les spondyloarthrites (SpA) en association avec le méthotrexate. En Algérie, la sulfasalazine est uniquement disponible sous la marque SALAZOPYRIN EN (Pharmacia Upjohn) en comprimé 500 mg, en statut Non Renouvelable — l’approvisionnement est difficile et justifie une substitution par mesalazine pour les indications digestives.</w:t>
      </w:r>
    </w:p>
    <w:p>
      <w:pPr>
        <w:pStyle w:val="BodyText"/>
      </w:pPr>
      <w:r>
        <w:rPr>
          <w:b/>
          <w:bCs/>
        </w:rPr>
        <w:t xml:space="preserve">Médicaments disponibles en Algérie (Marques, Laboratoires, Formes et Dosages) :</w:t>
      </w:r>
      <w:r>
        <w:t xml:space="preserve"> </w:t>
      </w:r>
      <w:r>
        <w:t xml:space="preserve">-</w:t>
      </w:r>
      <w:r>
        <w:t xml:space="preserve"> </w:t>
      </w:r>
      <w:r>
        <w:rPr>
          <w:b/>
          <w:bCs/>
        </w:rPr>
        <w:t xml:space="preserve">SALAZOPYRIN EN</w:t>
      </w:r>
      <w:r>
        <w:t xml:space="preserve"> </w:t>
      </w:r>
      <w:r>
        <w:t xml:space="preserve">(PHARMACIA UPJOHN)</w:t>
      </w:r>
      <w:r>
        <w:t xml:space="preserve"> </w:t>
      </w:r>
      <w:r>
        <w:t xml:space="preserve">- Formes et Dosages : Comprimé 500 mg (boîte de 100)</w:t>
      </w:r>
      <w:r>
        <w:t xml:space="preserve"> </w:t>
      </w:r>
      <w:r>
        <w:t xml:space="preserve">- Statut : Non Renouvelable</w:t>
      </w:r>
    </w:p>
    <w:p>
      <w:pPr>
        <w:pStyle w:val="BodyText"/>
      </w:pPr>
      <w:r>
        <w:rPr>
          <w:b/>
          <w:bCs/>
        </w:rPr>
        <w:t xml:space="preserve">Sous-classe et Mécanisme d’action :</w:t>
      </w:r>
      <w:r>
        <w:t xml:space="preserve"> </w:t>
      </w:r>
      <w:r>
        <w:t xml:space="preserve">- Sous-classe : Prodrogue combinant 5-ASA (actif) et sulfapyridine (transporteur), première molécule de la classe des 5-ASA.</w:t>
      </w:r>
      <w:r>
        <w:t xml:space="preserve"> </w:t>
      </w:r>
      <w:r>
        <w:t xml:space="preserve">- Mécanisme d’action : Prodrogue avec liaison azo entre 5-ASA et sulfapyridine. La molécule est inchangée dans l’estomac et l’intestin grêle, puis atteint le côlon où les bactéries coliques (notamment</w:t>
      </w:r>
      <w:r>
        <w:t xml:space="preserve"> </w:t>
      </w:r>
      <w:r>
        <w:rPr>
          <w:i/>
          <w:iCs/>
        </w:rPr>
        <w:t xml:space="preserve">Bacteroides</w:t>
      </w:r>
      <w:r>
        <w:t xml:space="preserve">,</w:t>
      </w:r>
      <w:r>
        <w:t xml:space="preserve"> </w:t>
      </w:r>
      <w:r>
        <w:rPr>
          <w:i/>
          <w:iCs/>
        </w:rPr>
        <w:t xml:space="preserve">Clostridium</w:t>
      </w:r>
      <w:r>
        <w:t xml:space="preserve">,</w:t>
      </w:r>
      <w:r>
        <w:t xml:space="preserve"> </w:t>
      </w:r>
      <w:r>
        <w:rPr>
          <w:i/>
          <w:iCs/>
        </w:rPr>
        <w:t xml:space="preserve">Eubacterium</w:t>
      </w:r>
      <w:r>
        <w:t xml:space="preserve">) clivent la liaison azo par azoréduction → libération du 5-ASA (actif topique sur la muqueuse colique, mécanisme identique à la mesalazine : inhibition COX/LOX, NF-κB, PPAR-γ) et de la sulfapyridine (absorbée systémiquement, métabolisée par acétylation hépatique en N-acétyl-sulfapyridine, éliminée par le rein). La sulfapyridine est responsable de la plupart des effets indésirables systémiques. Demi-vie de la sulfapyridine : 6-15 h (selon le phénotype d’acétylation : acétyleurs lents ou rapides).</w:t>
      </w:r>
    </w:p>
    <w:p>
      <w:pPr>
        <w:pStyle w:val="BodyText"/>
      </w:pPr>
      <w:r>
        <w:rPr>
          <w:b/>
          <w:bCs/>
        </w:rPr>
        <w:t xml:space="preserve">Profil Pharmacologique :</w:t>
      </w:r>
      <w:r>
        <w:t xml:space="preserve"> </w:t>
      </w:r>
      <w:r>
        <w:t xml:space="preserve">- Indications : RCH (poussée et entretien) — en cas d’indisponibilité de mesalazine. Maladie de Crohn colique. Polyarthrite rhumatoïde (PR) en association avec le méthotrexate. Spondyloarthrites (SpA), notamment les formes axiales et périphériques.</w:t>
      </w:r>
      <w:r>
        <w:t xml:space="preserve"> </w:t>
      </w:r>
      <w:r>
        <w:t xml:space="preserve">- Contre-indications : Hypersensibilité (aux salicylés ou aux sulfamides) ; insuffisance rénale sévère (ClCr &lt;30 mL/min) ; insuffisance hépatique sévère ; porphyrie ;</w:t>
      </w:r>
      <w:r>
        <w:t xml:space="preserve"> </w:t>
      </w:r>
      <w:r>
        <w:rPr>
          <w:b/>
          <w:bCs/>
        </w:rPr>
        <w:t xml:space="preserve">déficit en G6PD</w:t>
      </w:r>
      <w:r>
        <w:t xml:space="preserve"> </w:t>
      </w:r>
      <w:r>
        <w:t xml:space="preserve">(risque d’hémolyse) ; enfant &lt;2 ans ; allaitement ; dernier trimestre de la grossesse (risque d’ictère nucléaire par déplacement de la bilirubine).</w:t>
      </w:r>
      <w:r>
        <w:t xml:space="preserve"> </w:t>
      </w:r>
      <w:r>
        <w:t xml:space="preserve">- Effets Indésirables : Nausées, vomissements, diarrhée, douleurs abdominales, anorexie (dose-dépendants, surtout en début de traitement) ; céphalées, vertiges ; éruptions cutanées, urticaire ; plus rares :</w:t>
      </w:r>
      <w:r>
        <w:t xml:space="preserve"> </w:t>
      </w:r>
      <w:r>
        <w:rPr>
          <w:b/>
          <w:bCs/>
        </w:rPr>
        <w:t xml:space="preserve">hépatite cytolytique</w:t>
      </w:r>
      <w:r>
        <w:t xml:space="preserve">,</w:t>
      </w:r>
      <w:r>
        <w:t xml:space="preserve"> </w:t>
      </w:r>
      <w:r>
        <w:rPr>
          <w:b/>
          <w:bCs/>
        </w:rPr>
        <w:t xml:space="preserve">pancréatite aiguë</w:t>
      </w:r>
      <w:r>
        <w:t xml:space="preserve">,</w:t>
      </w:r>
      <w:r>
        <w:t xml:space="preserve"> </w:t>
      </w:r>
      <w:r>
        <w:rPr>
          <w:b/>
          <w:bCs/>
        </w:rPr>
        <w:t xml:space="preserve">cytopénie médullaire</w:t>
      </w:r>
      <w:r>
        <w:t xml:space="preserve"> </w:t>
      </w:r>
      <w:r>
        <w:t xml:space="preserve">(agranulocytose, thrombopénie, anémie aplastique),</w:t>
      </w:r>
      <w:r>
        <w:t xml:space="preserve"> </w:t>
      </w:r>
      <w:r>
        <w:rPr>
          <w:b/>
          <w:bCs/>
        </w:rPr>
        <w:t xml:space="preserve">hémolyse</w:t>
      </w:r>
      <w:r>
        <w:t xml:space="preserve"> </w:t>
      </w:r>
      <w:r>
        <w:t xml:space="preserve">(chez le déficient en G6PD),</w:t>
      </w:r>
      <w:r>
        <w:t xml:space="preserve"> </w:t>
      </w:r>
      <w:r>
        <w:rPr>
          <w:b/>
          <w:bCs/>
        </w:rPr>
        <w:t xml:space="preserve">méthémoglobinémie</w:t>
      </w:r>
      <w:r>
        <w:t xml:space="preserve">, pneumopathie d’hypersensibilité, réactions d’hypersensibilité (DRESS), coloration orange-jaune des urines (sans gravité) et des lentilles de contact souples.</w:t>
      </w:r>
    </w:p>
    <w:p>
      <w:pPr>
        <w:pStyle w:val="BodyText"/>
      </w:pPr>
      <w:r>
        <w:rPr>
          <w:b/>
          <w:bCs/>
        </w:rPr>
        <w:t xml:space="preserve">Prévention et Gestion des Effets Indésirables :</w:t>
      </w:r>
      <w:r>
        <w:t xml:space="preserve"> </w:t>
      </w:r>
      <w:r>
        <w:t xml:space="preserve">- Mesures Préventives : Initiation à faible dose (500 mg/jour) avec augmentation progressive (500 mg/jour supplémentaire par semaine) jusqu’à 2-3 g/jour en 2-3 prises ; prise pendant les repas (réduit la tolérance digestive) ; hydratation abondante ; dépistage du déficit en G6PD avant initiation (à risque d’hémolyse) ; surveillance biologique : NFS-plaquettes, ASAT/ALAT, créatinine à l’initiation, à 1 mois puis tous les 3 mois la première année, puis tous les 6 mois ; éducation du patient sur les signes précoces d’atteinte hématologique (fièvre, angine, pâleur, pétéchies), hépatique (ictère), pancréatique (douleur épigastrique), cutanée (éruption étendue, fièvre = DRESS).</w:t>
      </w:r>
      <w:r>
        <w:t xml:space="preserve"> </w:t>
      </w:r>
      <w:r>
        <w:t xml:space="preserve">- Conduite à Tenir : En cas d’agranulocytose (fièvre + angine) : arrêt immédiat, hospitalisation urgente. En cas de DRESS : arrêt immédiat, hospitalisation. En cas d’hémolyse (chez le déficient en G6PD) : arrêt immédiat, hospitalisation.</w:t>
      </w:r>
    </w:p>
    <w:p>
      <w:pPr>
        <w:pStyle w:val="BodyText"/>
      </w:pPr>
      <w:r>
        <w:rPr>
          <w:b/>
          <w:bCs/>
        </w:rPr>
        <w:t xml:space="preserve">Interactions Importantes :</w:t>
      </w:r>
      <w:r>
        <w:t xml:space="preserve"> </w:t>
      </w:r>
      <w:r>
        <w:t xml:space="preserve">-</w:t>
      </w:r>
      <w:r>
        <w:t xml:space="preserve"> </w:t>
      </w:r>
      <w:r>
        <w:rPr>
          <w:b/>
          <w:bCs/>
        </w:rPr>
        <w:t xml:space="preserve">Sulfasalazine + azathioprine / 6-mercaptopurine</w:t>
      </w:r>
      <w:r>
        <w:t xml:space="preserve"> </w:t>
      </w:r>
      <w:r>
        <w:t xml:space="preserve">: augmentation de la toxicité médullaire de l’azathioprine (inhibition de la TPMT) → surveillance NFS rapprochée.</w:t>
      </w:r>
      <w:r>
        <w:t xml:space="preserve"> </w:t>
      </w:r>
      <w:r>
        <w:t xml:space="preserve">-</w:t>
      </w:r>
      <w:r>
        <w:t xml:space="preserve"> </w:t>
      </w:r>
      <w:r>
        <w:rPr>
          <w:b/>
          <w:bCs/>
        </w:rPr>
        <w:t xml:space="preserve">Sulfasalazine + anticoagulants oraux (warfarine)</w:t>
      </w:r>
      <w:r>
        <w:t xml:space="preserve"> </w:t>
      </w:r>
      <w:r>
        <w:t xml:space="preserve">: potentialisation de l’anticoagulation (surveillance INR).</w:t>
      </w:r>
      <w:r>
        <w:t xml:space="preserve"> </w:t>
      </w:r>
      <w:r>
        <w:t xml:space="preserve">-</w:t>
      </w:r>
      <w:r>
        <w:t xml:space="preserve"> </w:t>
      </w:r>
      <w:r>
        <w:rPr>
          <w:b/>
          <w:bCs/>
        </w:rPr>
        <w:t xml:space="preserve">Sulfasalazine + digoxine</w:t>
      </w:r>
      <w:r>
        <w:t xml:space="preserve"> </w:t>
      </w:r>
      <w:r>
        <w:t xml:space="preserve">: diminution de l’absorption de la digoxine (espacer de 2 h).</w:t>
      </w:r>
      <w:r>
        <w:t xml:space="preserve"> </w:t>
      </w:r>
      <w:r>
        <w:t xml:space="preserve">-</w:t>
      </w:r>
      <w:r>
        <w:t xml:space="preserve"> </w:t>
      </w:r>
      <w:r>
        <w:rPr>
          <w:b/>
          <w:bCs/>
        </w:rPr>
        <w:t xml:space="preserve">Sulfasalazine + méthotrexate</w:t>
      </w:r>
      <w:r>
        <w:t xml:space="preserve"> </w:t>
      </w:r>
      <w:r>
        <w:t xml:space="preserve">: synergie thérapeutique (PR, SpA), mais surveillance hématologique rapprochée.</w:t>
      </w:r>
      <w:r>
        <w:t xml:space="preserve"> </w:t>
      </w:r>
      <w:r>
        <w:t xml:space="preserve">-</w:t>
      </w:r>
      <w:r>
        <w:t xml:space="preserve"> </w:t>
      </w:r>
      <w:r>
        <w:rPr>
          <w:b/>
          <w:bCs/>
        </w:rPr>
        <w:t xml:space="preserve">Sulfasalazine + antibiotics modifiant la flore colique</w:t>
      </w:r>
      <w:r>
        <w:t xml:space="preserve"> </w:t>
      </w:r>
      <w:r>
        <w:t xml:space="preserve">(amoxicilline, néomycine, rifaximine) : diminution de l’efficacité de la sulfasalazine (le clivage bactérien de la liaison azo est inhibé).</w:t>
      </w:r>
    </w:p>
    <w:p>
      <w:pPr>
        <w:pStyle w:val="BodyText"/>
      </w:pPr>
      <w:r>
        <w:rPr>
          <w:b/>
          <w:bCs/>
        </w:rPr>
        <w:t xml:space="preserve">Grossesse et Allaitement :</w:t>
      </w:r>
      <w:r>
        <w:t xml:space="preserve"> </w:t>
      </w:r>
      <w:r>
        <w:t xml:space="preserve">- Grossesse : Compatible selon le CRAT (données humaines nombreuses rassurantes, en particulier dans la RCH et la PR). À poursuivre pendant toute la grossesse en cas de maladie active. Surveillance accrue en fin de grossesse (risque théorique d’ictère nucléaire par déplacement de la bilirubine, lié à la sulfapyridine). Supplémentation en acide folique recommandée (la sulfasalazine est un inhibiteur de la dihydroptéroate synthétase, ce qui majore le risque de carence en folates et de malformations neurologiques).</w:t>
      </w:r>
      <w:r>
        <w:t xml:space="preserve"> </w:t>
      </w:r>
      <w:r>
        <w:t xml:space="preserve">- Allaitement : Compatible selon le CRAT (faible passage dans le lait, faible toxicité pour le nourrisson) ; à surveiller chez le prématuré ou le nouveau-né ictérique (risque théorique de déplacement de la bilirubine par la sulfapyridine).</w:t>
      </w:r>
      <w:r>
        <w:t xml:space="preserve"> </w:t>
      </w:r>
      <w:r>
        <w:t xml:space="preserve">- Précisions : La sulfasalazine est le traitement de fond de choix de la PR et des SpA pendant la grossesse.</w:t>
      </w:r>
    </w:p>
    <w:p>
      <w:pPr>
        <w:pStyle w:val="BodyText"/>
      </w:pPr>
      <w:r>
        <w:rPr>
          <w:b/>
          <w:bCs/>
        </w:rPr>
        <w:t xml:space="preserve">Posologie et Mode d’administration (Standard) :</w:t>
      </w:r>
      <w:r>
        <w:t xml:space="preserve"> </w:t>
      </w:r>
      <w:r>
        <w:t xml:space="preserve">- Adulte (RCH, traitement de fond de la poussée) : 2-4 g/jour en 4 prises (ex : 1 g × 4/jour), à augmenter progressivement (500 mg/jour supplémentaire par semaine).</w:t>
      </w:r>
      <w:r>
        <w:t xml:space="preserve"> </w:t>
      </w:r>
      <w:r>
        <w:t xml:space="preserve">- Adulte (RCH, traitement d’entretien de la rémission) : 2 g/jour en 2 prises, au long cours.</w:t>
      </w:r>
      <w:r>
        <w:t xml:space="preserve"> </w:t>
      </w:r>
      <w:r>
        <w:t xml:space="preserve">- Adulte (PR, SpA) : 2-3 g/jour en 2-3 prises, à augmenter progressivement.</w:t>
      </w:r>
      <w:r>
        <w:t xml:space="preserve"> </w:t>
      </w:r>
      <w:r>
        <w:t xml:space="preserve">- Enfant &gt;2 ans (RCH) : 30-50 mg/kg/jour en 4 prises.</w:t>
      </w:r>
      <w:r>
        <w:t xml:space="preserve"> </w:t>
      </w:r>
      <w:r>
        <w:t xml:space="preserve">- Enfant &gt;6 ans (PR, SpA) : 30-50 mg/kg/jour en 2-4 prises (max 2 g/jour).</w:t>
      </w:r>
      <w:r>
        <w:t xml:space="preserve"> </w:t>
      </w:r>
      <w:r>
        <w:t xml:space="preserve">- Durée : Au long cours (à vie) pour le traitement d’entretien RCH, PR et SpA.</w:t>
      </w:r>
      <w:r>
        <w:t xml:space="preserve"> </w:t>
      </w:r>
      <w:r>
        <w:t xml:space="preserve">- Moment de prise : Pendant les repas (réduit la tolérance digestive). Hydratation abondante (2 L/jour).</w:t>
      </w:r>
    </w:p>
    <w:p>
      <w:pPr>
        <w:pStyle w:val="BodyText"/>
      </w:pPr>
      <w:r>
        <w:rPr>
          <w:b/>
          <w:bCs/>
        </w:rPr>
        <w:t xml:space="preserve">Arbitrage et Bénéfices des Formes Galéniques :</w:t>
      </w:r>
      <w:r>
        <w:t xml:space="preserve"> </w:t>
      </w:r>
      <w:r>
        <w:t xml:space="preserve">- Comprimé 500 mg : forme unique. Présentation en boîte de 100 (couvrant 25-50 jours de traitement à dose moyenne).</w:t>
      </w:r>
      <w:r>
        <w:t xml:space="preserve"> </w:t>
      </w:r>
      <w:r>
        <w:t xml:space="preserve">- Forme</w:t>
      </w:r>
      <w:r>
        <w:t xml:space="preserve"> </w:t>
      </w:r>
      <w:r>
        <w:t xml:space="preserve">“</w:t>
      </w:r>
      <w:r>
        <w:t xml:space="preserve">EN</w:t>
      </w:r>
      <w:r>
        <w:t xml:space="preserve">”</w:t>
      </w:r>
      <w:r>
        <w:t xml:space="preserve"> </w:t>
      </w:r>
      <w:r>
        <w:t xml:space="preserve">(entérique) : comprimé enrobé gastro-résistant, libération dans le côlon. Améliore la tolérance digestive par rapport à la forme standard.</w:t>
      </w:r>
      <w:r>
        <w:t xml:space="preserve"> </w:t>
      </w:r>
      <w:r>
        <w:t xml:space="preserve">- Aucune autre forme disponible en Algérie (pas de suppositoire, pas de suspension rectale, pas de forme injectable).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Ce médicament traite le fond de votre maladie intestinale (ou rhumatismale). Prenez-le pendant les repas, tous les jours. Augmentez la dose progressivement selon les recommandations de votre médecin. Buvez 2 litres d’eau par jour. Une prise de sang sera faite régulièrement pour surveiller vos globules, votre foie et vos reins. Si vous avez de la fièvre, une angine, un ictère, des boutons sur la peau, arrêtez et consultez en urgence. Vos urines peuvent devenir orange-jaune, ce n’est pas grave, c’est le médicament qui s’élimine par les urines. Évitez les lentilles de contact souples qui peuvent se colorer.</w:t>
      </w:r>
      <w:r>
        <w:t xml:space="preserve">”</w:t>
      </w:r>
      <w:r>
        <w:t xml:space="preserve"> </w:t>
      </w:r>
      <w:r>
        <w:t xml:space="preserve">- Mode d’utilisation pratique : Avaler les comprimés entiers avec un grand verre d’eau, pendant les repas. Ne pas écraser ni croquer.</w:t>
      </w:r>
    </w:p>
    <w:p>
      <w:pPr>
        <w:pStyle w:val="BodyText"/>
      </w:pPr>
      <w:r>
        <w:rPr>
          <w:b/>
          <w:bCs/>
        </w:rPr>
        <w:t xml:space="preserve">Notes, Règles d’Or &amp; Pièges au Comptoir :</w:t>
      </w:r>
      <w:r>
        <w:t xml:space="preserve"> </w:t>
      </w:r>
      <w:r>
        <w:t xml:space="preserve">- Piège classique : Initiation à dose pleine (risque d’intolérance digestive majeure) — toujours commencer à 500 mg/jour et augmenter progressivement ; oubli de la surveillance hématologique (agranulocytose potentiellement mortelle) ; oubli du déficit en G6PD (risque d’hémolyse aiguë) ; oubli de la supplémentation en acide folique chez la femme enceinte (risque de malformations neurologiques) ; oubli de l’interaction avec la digoxine (diminution de l’efficacité) ; prescription d’antibiotiques modifiant la flore (amoxicilline, néomycine) qui réduisent l’efficacité de la sulfasalazine en inhibant le clivage bactérien de la liaison azo.</w:t>
      </w:r>
      <w:r>
        <w:t xml:space="preserve"> </w:t>
      </w:r>
      <w:r>
        <w:t xml:space="preserve">- Règle de prise : Pendant les repas ; dose progressive ; hydratation 2 L/jour ; surveillance biologique trimestrielle.</w:t>
      </w:r>
      <w:r>
        <w:t xml:space="preserve"> </w:t>
      </w:r>
      <w:r>
        <w:t xml:space="preserve">- Préparation et Conservation : À température ambiante, à l’abri de l’humidité et de la lumière.</w:t>
      </w:r>
      <w:r>
        <w:t xml:space="preserve"> </w:t>
      </w:r>
      <w:r>
        <w:t xml:space="preserve">- Piège du surdosage / Substitution : Disponibilité algérienne limitée (Non Renouvelable). En cas d’indisponibilité, substitution possible par mesalazine pour les indications digestives (RCH, maladie de Crohn) — mais pas pour les indications rhumatologiques (PR, SpA) où la sulfasalazine reste le traitement de choix. Dans ce cas, envisager une alternative (méthotrexate pour PR, AINS pour SpA). Ne jamais substituer par mesalazine sans avis médinal (profil de tolérance différent, posologie différente).</w:t>
      </w:r>
    </w:p>
    <w:p>
      <w:r>
        <w:pict>
          <v:rect style="width:0;height:1.5pt" o:hralign="center" o:hrstd="t" o:hr="t"/>
        </w:pict>
      </w:r>
    </w:p>
    <w:bookmarkEnd w:id="234"/>
    <w:bookmarkEnd w:id="235"/>
    <w:bookmarkStart w:id="236" w:name="Xf2891b6dfae877ede306805c1721875dd1a242c"/>
    <w:p>
      <w:pPr>
        <w:pStyle w:val="Heading2"/>
      </w:pPr>
      <w:r>
        <w:t xml:space="preserve">Tableau Comparatif Synthétique des 22 DCI</w:t>
      </w:r>
    </w:p>
    <w:tbl>
      <w:tblPr>
        <w:tblStyle w:val="Table"/>
        <w:tblW w:type="pct" w:w="5000"/>
        <w:jc w:val="left"/>
        <w:tblLayout w:type="fixed"/>
        <w:tblLook w:firstRow="1" w:lastRow="0" w:firstColumn="0" w:lastColumn="0" w:noHBand="0" w:noVBand="0" w:val="0020"/>
      </w:tblPr>
      <w:tblGrid>
        <w:gridCol w:w="404"/>
        <w:gridCol w:w="1050"/>
        <w:gridCol w:w="888"/>
        <w:gridCol w:w="808"/>
        <w:gridCol w:w="1697"/>
        <w:gridCol w:w="888"/>
        <w:gridCol w:w="1293"/>
        <w:gridCol w:w="888"/>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Mécanisme</w:t>
            </w:r>
          </w:p>
        </w:tc>
        <w:tc>
          <w:tcPr/>
          <w:p>
            <w:pPr>
              <w:pStyle w:val="Compact"/>
              <w:jc w:val="left"/>
            </w:pPr>
            <w:r>
              <w:t xml:space="preserve">Demi-vie</w:t>
            </w:r>
          </w:p>
        </w:tc>
        <w:tc>
          <w:tcPr/>
          <w:p>
            <w:pPr>
              <w:pStyle w:val="Compact"/>
              <w:jc w:val="left"/>
            </w:pPr>
            <w:r>
              <w:t xml:space="preserve">Posologie standard</w:t>
            </w:r>
          </w:p>
        </w:tc>
        <w:tc>
          <w:tcPr/>
          <w:p>
            <w:pPr>
              <w:pStyle w:val="Compact"/>
              <w:jc w:val="left"/>
            </w:pPr>
            <w:r>
              <w:t xml:space="preserve">EI majeur</w:t>
            </w:r>
          </w:p>
        </w:tc>
        <w:tc>
          <w:tcPr/>
          <w:p>
            <w:pPr>
              <w:pStyle w:val="Compact"/>
              <w:jc w:val="left"/>
            </w:pPr>
            <w:r>
              <w:t xml:space="preserve">CI principale</w:t>
            </w:r>
          </w:p>
        </w:tc>
        <w:tc>
          <w:tcPr/>
          <w:p>
            <w:pPr>
              <w:pStyle w:val="Compact"/>
              <w:jc w:val="left"/>
            </w:pPr>
            <w:r>
              <w:t xml:space="preserve">Grossesse</w:t>
            </w:r>
          </w:p>
        </w:tc>
      </w:tr>
      <w:tr>
        <w:tc>
          <w:tcPr/>
          <w:p>
            <w:pPr>
              <w:pStyle w:val="Compact"/>
              <w:jc w:val="left"/>
            </w:pPr>
            <w:r>
              <w:t xml:space="preserve">Sumatriptan</w:t>
            </w:r>
          </w:p>
        </w:tc>
        <w:tc>
          <w:tcPr/>
          <w:p>
            <w:pPr>
              <w:pStyle w:val="Compact"/>
              <w:jc w:val="left"/>
            </w:pPr>
            <w:r>
              <w:t xml:space="preserve">Triptan 1re gen</w:t>
            </w:r>
          </w:p>
        </w:tc>
        <w:tc>
          <w:tcPr/>
          <w:p>
            <w:pPr>
              <w:pStyle w:val="Compact"/>
              <w:jc w:val="left"/>
            </w:pPr>
            <w:r>
              <w:t xml:space="preserve">Agoniste 5-HT1B/1D</w:t>
            </w:r>
          </w:p>
        </w:tc>
        <w:tc>
          <w:tcPr/>
          <w:p>
            <w:pPr>
              <w:pStyle w:val="Compact"/>
              <w:jc w:val="left"/>
            </w:pPr>
            <w:r>
              <w:t xml:space="preserve">~2 h</w:t>
            </w:r>
          </w:p>
        </w:tc>
        <w:tc>
          <w:tcPr/>
          <w:p>
            <w:pPr>
              <w:pStyle w:val="Compact"/>
              <w:jc w:val="left"/>
            </w:pPr>
            <w:r>
              <w:t xml:space="preserve">50-100 mg, max 200 mg/24 h</w:t>
            </w:r>
          </w:p>
        </w:tc>
        <w:tc>
          <w:tcPr/>
          <w:p>
            <w:pPr>
              <w:pStyle w:val="Compact"/>
              <w:jc w:val="left"/>
            </w:pPr>
            <w:r>
              <w:t xml:space="preserve">Oppression thoracique</w:t>
            </w:r>
          </w:p>
        </w:tc>
        <w:tc>
          <w:tcPr/>
          <w:p>
            <w:pPr>
              <w:pStyle w:val="Compact"/>
              <w:jc w:val="left"/>
            </w:pPr>
            <w:r>
              <w:t xml:space="preserve">Coronaropathie, WPW</w:t>
            </w:r>
          </w:p>
        </w:tc>
        <w:tc>
          <w:tcPr/>
          <w:p>
            <w:pPr>
              <w:pStyle w:val="Compact"/>
              <w:jc w:val="left"/>
            </w:pPr>
            <w:r>
              <w:t xml:space="preserve">Compatible (CRAT)</w:t>
            </w:r>
          </w:p>
        </w:tc>
      </w:tr>
      <w:tr>
        <w:tc>
          <w:tcPr/>
          <w:p>
            <w:pPr>
              <w:pStyle w:val="Compact"/>
              <w:jc w:val="left"/>
            </w:pPr>
            <w:r>
              <w:t xml:space="preserve">Zolmitriptan</w:t>
            </w:r>
          </w:p>
        </w:tc>
        <w:tc>
          <w:tcPr/>
          <w:p>
            <w:pPr>
              <w:pStyle w:val="Compact"/>
              <w:jc w:val="left"/>
            </w:pPr>
            <w:r>
              <w:t xml:space="preserve">Triptan 2e gen</w:t>
            </w:r>
          </w:p>
        </w:tc>
        <w:tc>
          <w:tcPr/>
          <w:p>
            <w:pPr>
              <w:pStyle w:val="Compact"/>
              <w:jc w:val="left"/>
            </w:pPr>
            <w:r>
              <w:t xml:space="preserve">Agoniste 5-HT1B/1D (CYP1A2)</w:t>
            </w:r>
          </w:p>
        </w:tc>
        <w:tc>
          <w:tcPr/>
          <w:p>
            <w:pPr>
              <w:pStyle w:val="Compact"/>
              <w:jc w:val="left"/>
            </w:pPr>
            <w:r>
              <w:t xml:space="preserve">~3 h</w:t>
            </w:r>
          </w:p>
        </w:tc>
        <w:tc>
          <w:tcPr/>
          <w:p>
            <w:pPr>
              <w:pStyle w:val="Compact"/>
              <w:jc w:val="left"/>
            </w:pPr>
            <w:r>
              <w:t xml:space="preserve">2,5-5 mg, max 10 mg/24 h</w:t>
            </w:r>
          </w:p>
        </w:tc>
        <w:tc>
          <w:tcPr/>
          <w:p>
            <w:pPr>
              <w:pStyle w:val="Compact"/>
              <w:jc w:val="left"/>
            </w:pPr>
            <w:r>
              <w:t xml:space="preserve">Picotements, asthénie</w:t>
            </w:r>
          </w:p>
        </w:tc>
        <w:tc>
          <w:tcPr/>
          <w:p>
            <w:pPr>
              <w:pStyle w:val="Compact"/>
              <w:jc w:val="left"/>
            </w:pPr>
            <w:r>
              <w:t xml:space="preserve">Coronaropathie, IMAO-A</w:t>
            </w:r>
          </w:p>
        </w:tc>
        <w:tc>
          <w:tcPr/>
          <w:p>
            <w:pPr>
              <w:pStyle w:val="Compact"/>
              <w:jc w:val="left"/>
            </w:pPr>
            <w:r>
              <w:t xml:space="preserve">À éviter (préférer sumatriptan)</w:t>
            </w:r>
          </w:p>
        </w:tc>
      </w:tr>
      <w:tr>
        <w:tc>
          <w:tcPr/>
          <w:p>
            <w:pPr>
              <w:pStyle w:val="Compact"/>
              <w:jc w:val="left"/>
            </w:pPr>
            <w:r>
              <w:t xml:space="preserve">Naratriptan</w:t>
            </w:r>
          </w:p>
        </w:tc>
        <w:tc>
          <w:tcPr/>
          <w:p>
            <w:pPr>
              <w:pStyle w:val="Compact"/>
              <w:jc w:val="left"/>
            </w:pPr>
            <w:r>
              <w:t xml:space="preserve">Triptan 2e gen (longue t½)</w:t>
            </w:r>
          </w:p>
        </w:tc>
        <w:tc>
          <w:tcPr/>
          <w:p>
            <w:pPr>
              <w:pStyle w:val="Compact"/>
              <w:jc w:val="left"/>
            </w:pPr>
            <w:r>
              <w:t xml:space="preserve">Agoniste 5-HT1B/1D sélectif</w:t>
            </w:r>
          </w:p>
        </w:tc>
        <w:tc>
          <w:tcPr/>
          <w:p>
            <w:pPr>
              <w:pStyle w:val="Compact"/>
              <w:jc w:val="left"/>
            </w:pPr>
            <w:r>
              <w:t xml:space="preserve">~6 h</w:t>
            </w:r>
          </w:p>
        </w:tc>
        <w:tc>
          <w:tcPr/>
          <w:p>
            <w:pPr>
              <w:pStyle w:val="Compact"/>
              <w:jc w:val="left"/>
            </w:pPr>
            <w:r>
              <w:t xml:space="preserve">2,5 mg, max 5 mg/24 h</w:t>
            </w:r>
          </w:p>
        </w:tc>
        <w:tc>
          <w:tcPr/>
          <w:p>
            <w:pPr>
              <w:pStyle w:val="Compact"/>
              <w:jc w:val="left"/>
            </w:pPr>
            <w:r>
              <w:t xml:space="preserve">Bonne tolérance</w:t>
            </w:r>
          </w:p>
        </w:tc>
        <w:tc>
          <w:tcPr/>
          <w:p>
            <w:pPr>
              <w:pStyle w:val="Compact"/>
              <w:jc w:val="left"/>
            </w:pPr>
            <w:r>
              <w:t xml:space="preserve">Coronaropathie, IR sévère</w:t>
            </w:r>
          </w:p>
        </w:tc>
        <w:tc>
          <w:tcPr/>
          <w:p>
            <w:pPr>
              <w:pStyle w:val="Compact"/>
              <w:jc w:val="left"/>
            </w:pPr>
            <w:r>
              <w:t xml:space="preserve">À éviter</w:t>
            </w:r>
          </w:p>
        </w:tc>
      </w:tr>
      <w:tr>
        <w:tc>
          <w:tcPr/>
          <w:p>
            <w:pPr>
              <w:pStyle w:val="Compact"/>
              <w:jc w:val="left"/>
            </w:pPr>
            <w:r>
              <w:t xml:space="preserve">Rizatriptan</w:t>
            </w:r>
          </w:p>
        </w:tc>
        <w:tc>
          <w:tcPr/>
          <w:p>
            <w:pPr>
              <w:pStyle w:val="Compact"/>
              <w:jc w:val="left"/>
            </w:pPr>
            <w:r>
              <w:t xml:space="preserve">Triptan 2e gen (rapide)</w:t>
            </w:r>
          </w:p>
        </w:tc>
        <w:tc>
          <w:tcPr/>
          <w:p>
            <w:pPr>
              <w:pStyle w:val="Compact"/>
              <w:jc w:val="left"/>
            </w:pPr>
            <w:r>
              <w:t xml:space="preserve">Agoniste 5-HT1B/1D (Tmax court)</w:t>
            </w:r>
          </w:p>
        </w:tc>
        <w:tc>
          <w:tcPr/>
          <w:p>
            <w:pPr>
              <w:pStyle w:val="Compact"/>
              <w:jc w:val="left"/>
            </w:pPr>
            <w:r>
              <w:t xml:space="preserve">~2-3 h</w:t>
            </w:r>
          </w:p>
        </w:tc>
        <w:tc>
          <w:tcPr/>
          <w:p>
            <w:pPr>
              <w:pStyle w:val="Compact"/>
              <w:jc w:val="left"/>
            </w:pPr>
            <w:r>
              <w:t xml:space="preserve">10 mg, max 20 mg/24 h (5 mg si propranolol)</w:t>
            </w:r>
          </w:p>
        </w:tc>
        <w:tc>
          <w:tcPr/>
          <w:p>
            <w:pPr>
              <w:pStyle w:val="Compact"/>
              <w:jc w:val="left"/>
            </w:pPr>
            <w:r>
              <w:t xml:space="preserve">Oppression, sédation</w:t>
            </w:r>
          </w:p>
        </w:tc>
        <w:tc>
          <w:tcPr/>
          <w:p>
            <w:pPr>
              <w:pStyle w:val="Compact"/>
              <w:jc w:val="left"/>
            </w:pPr>
            <w:r>
              <w:t xml:space="preserve">Coronaropathie, IMAO-A, propranolol</w:t>
            </w:r>
          </w:p>
        </w:tc>
        <w:tc>
          <w:tcPr/>
          <w:p>
            <w:pPr>
              <w:pStyle w:val="Compact"/>
              <w:jc w:val="left"/>
            </w:pPr>
            <w:r>
              <w:t xml:space="preserve">À éviter</w:t>
            </w:r>
          </w:p>
        </w:tc>
      </w:tr>
      <w:tr>
        <w:tc>
          <w:tcPr/>
          <w:p>
            <w:pPr>
              <w:pStyle w:val="Compact"/>
              <w:jc w:val="left"/>
            </w:pPr>
            <w:r>
              <w:t xml:space="preserve">Eletriptan</w:t>
            </w:r>
          </w:p>
        </w:tc>
        <w:tc>
          <w:tcPr/>
          <w:p>
            <w:pPr>
              <w:pStyle w:val="Compact"/>
              <w:jc w:val="left"/>
            </w:pPr>
            <w:r>
              <w:t xml:space="preserve">Triptan 3e gen</w:t>
            </w:r>
          </w:p>
        </w:tc>
        <w:tc>
          <w:tcPr/>
          <w:p>
            <w:pPr>
              <w:pStyle w:val="Compact"/>
              <w:jc w:val="left"/>
            </w:pPr>
            <w:r>
              <w:t xml:space="preserve">Agoniste 5-HT1B/1D (CYP3A4)</w:t>
            </w:r>
          </w:p>
        </w:tc>
        <w:tc>
          <w:tcPr/>
          <w:p>
            <w:pPr>
              <w:pStyle w:val="Compact"/>
              <w:jc w:val="left"/>
            </w:pPr>
            <w:r>
              <w:t xml:space="preserve">~4 h</w:t>
            </w:r>
          </w:p>
        </w:tc>
        <w:tc>
          <w:tcPr/>
          <w:p>
            <w:pPr>
              <w:pStyle w:val="Compact"/>
              <w:jc w:val="left"/>
            </w:pPr>
            <w:r>
              <w:t xml:space="preserve">40-80 mg, max 80 mg/24 h</w:t>
            </w:r>
          </w:p>
        </w:tc>
        <w:tc>
          <w:tcPr/>
          <w:p>
            <w:pPr>
              <w:pStyle w:val="Compact"/>
              <w:jc w:val="left"/>
            </w:pPr>
            <w:r>
              <w:t xml:space="preserve">Hypertension TA</w:t>
            </w:r>
          </w:p>
        </w:tc>
        <w:tc>
          <w:tcPr/>
          <w:p>
            <w:pPr>
              <w:pStyle w:val="Compact"/>
              <w:jc w:val="left"/>
            </w:pPr>
            <w:r>
              <w:t xml:space="preserve">Coronaropathie, inhib CYP3A4</w:t>
            </w:r>
          </w:p>
        </w:tc>
        <w:tc>
          <w:tcPr/>
          <w:p>
            <w:pPr>
              <w:pStyle w:val="Compact"/>
              <w:jc w:val="left"/>
            </w:pPr>
            <w:r>
              <w:t xml:space="preserve">À éviter</w:t>
            </w:r>
          </w:p>
        </w:tc>
      </w:tr>
      <w:tr>
        <w:tc>
          <w:tcPr/>
          <w:p>
            <w:pPr>
              <w:pStyle w:val="Compact"/>
              <w:jc w:val="left"/>
            </w:pPr>
            <w:r>
              <w:t xml:space="preserve">Ergotamine</w:t>
            </w:r>
          </w:p>
        </w:tc>
        <w:tc>
          <w:tcPr/>
          <w:p>
            <w:pPr>
              <w:pStyle w:val="Compact"/>
              <w:jc w:val="left"/>
            </w:pPr>
            <w:r>
              <w:t xml:space="preserve">Alcaloïde ergot</w:t>
            </w:r>
          </w:p>
        </w:tc>
        <w:tc>
          <w:tcPr/>
          <w:p>
            <w:pPr>
              <w:pStyle w:val="Compact"/>
              <w:jc w:val="left"/>
            </w:pPr>
            <w:r>
              <w:t xml:space="preserve">Agoniste 5-HT1B/1D + α + D2</w:t>
            </w:r>
          </w:p>
        </w:tc>
        <w:tc>
          <w:tcPr/>
          <w:p>
            <w:pPr>
              <w:pStyle w:val="Compact"/>
              <w:jc w:val="left"/>
            </w:pPr>
            <w:r>
              <w:t xml:space="preserve">~2 h</w:t>
            </w:r>
          </w:p>
        </w:tc>
        <w:tc>
          <w:tcPr/>
          <w:p>
            <w:pPr>
              <w:pStyle w:val="Compact"/>
              <w:jc w:val="left"/>
            </w:pPr>
            <w:r>
              <w:t xml:space="preserve">1-2 mg/crise, max 6 mg/crise, 10 mg/semaine</w:t>
            </w:r>
          </w:p>
        </w:tc>
        <w:tc>
          <w:tcPr/>
          <w:p>
            <w:pPr>
              <w:pStyle w:val="Compact"/>
              <w:jc w:val="left"/>
            </w:pPr>
            <w:r>
              <w:t xml:space="preserve">Ergotisme, fibrose</w:t>
            </w:r>
          </w:p>
        </w:tc>
        <w:tc>
          <w:tcPr/>
          <w:p>
            <w:pPr>
              <w:pStyle w:val="Compact"/>
              <w:jc w:val="left"/>
            </w:pPr>
            <w:r>
              <w:t xml:space="preserve">Coronaropathie, grossesse, macrolides</w:t>
            </w:r>
          </w:p>
        </w:tc>
        <w:tc>
          <w:tcPr/>
          <w:p>
            <w:pPr>
              <w:pStyle w:val="Compact"/>
              <w:jc w:val="left"/>
            </w:pPr>
            <w:r>
              <w:t xml:space="preserve">CI absolue</w:t>
            </w:r>
          </w:p>
        </w:tc>
      </w:tr>
      <w:tr>
        <w:tc>
          <w:tcPr/>
          <w:p>
            <w:pPr>
              <w:pStyle w:val="Compact"/>
              <w:jc w:val="left"/>
            </w:pPr>
            <w:r>
              <w:t xml:space="preserve">Dihydroergotamine</w:t>
            </w:r>
          </w:p>
        </w:tc>
        <w:tc>
          <w:tcPr/>
          <w:p>
            <w:pPr>
              <w:pStyle w:val="Compact"/>
              <w:jc w:val="left"/>
            </w:pPr>
            <w:r>
              <w:t xml:space="preserve">Alcaloïde ergot semi-synth</w:t>
            </w:r>
          </w:p>
        </w:tc>
        <w:tc>
          <w:tcPr/>
          <w:p>
            <w:pPr>
              <w:pStyle w:val="Compact"/>
              <w:jc w:val="left"/>
            </w:pPr>
            <w:r>
              <w:t xml:space="preserve">Agoniste 5-HT1B/1D + α (veineux)</w:t>
            </w:r>
          </w:p>
        </w:tc>
        <w:tc>
          <w:tcPr/>
          <w:p>
            <w:pPr>
              <w:pStyle w:val="Compact"/>
              <w:jc w:val="left"/>
            </w:pPr>
            <w:r>
              <w:t xml:space="preserve">~9 h</w:t>
            </w:r>
          </w:p>
        </w:tc>
        <w:tc>
          <w:tcPr/>
          <w:p>
            <w:pPr>
              <w:pStyle w:val="Compact"/>
              <w:jc w:val="left"/>
            </w:pPr>
            <w:r>
              <w:t xml:space="preserve">1-2 mg/crise, max 6 mg/crise, 10 mg/semaine</w:t>
            </w:r>
          </w:p>
        </w:tc>
        <w:tc>
          <w:tcPr/>
          <w:p>
            <w:pPr>
              <w:pStyle w:val="Compact"/>
              <w:jc w:val="left"/>
            </w:pPr>
            <w:r>
              <w:t xml:space="preserve">Ergotisme (plus rare)</w:t>
            </w:r>
          </w:p>
        </w:tc>
        <w:tc>
          <w:tcPr/>
          <w:p>
            <w:pPr>
              <w:pStyle w:val="Compact"/>
              <w:jc w:val="left"/>
            </w:pPr>
            <w:r>
              <w:t xml:space="preserve">Idem ergotamine</w:t>
            </w:r>
          </w:p>
        </w:tc>
        <w:tc>
          <w:tcPr/>
          <w:p>
            <w:pPr>
              <w:pStyle w:val="Compact"/>
              <w:jc w:val="left"/>
            </w:pPr>
            <w:r>
              <w:t xml:space="preserve">CI absolue</w:t>
            </w:r>
          </w:p>
        </w:tc>
      </w:tr>
      <w:tr>
        <w:tc>
          <w:tcPr/>
          <w:p>
            <w:pPr>
              <w:pStyle w:val="Compact"/>
              <w:jc w:val="left"/>
            </w:pPr>
            <w:r>
              <w:t xml:space="preserve">Pizotifène</w:t>
            </w:r>
          </w:p>
        </w:tc>
        <w:tc>
          <w:tcPr/>
          <w:p>
            <w:pPr>
              <w:pStyle w:val="Compact"/>
              <w:jc w:val="left"/>
            </w:pPr>
            <w:r>
              <w:t xml:space="preserve">Antimigraineux prophyl</w:t>
            </w:r>
          </w:p>
        </w:tc>
        <w:tc>
          <w:tcPr/>
          <w:p>
            <w:pPr>
              <w:pStyle w:val="Compact"/>
              <w:jc w:val="left"/>
            </w:pPr>
            <w:r>
              <w:t xml:space="preserve">Antagoniste 5-HT2 + H1</w:t>
            </w:r>
          </w:p>
        </w:tc>
        <w:tc>
          <w:tcPr/>
          <w:p>
            <w:pPr>
              <w:pStyle w:val="Compact"/>
              <w:jc w:val="left"/>
            </w:pPr>
            <w:r>
              <w:t xml:space="preserve">~23 h</w:t>
            </w:r>
          </w:p>
        </w:tc>
        <w:tc>
          <w:tcPr/>
          <w:p>
            <w:pPr>
              <w:pStyle w:val="Compact"/>
              <w:jc w:val="left"/>
            </w:pPr>
            <w:r>
              <w:t xml:space="preserve">0,5-1,5 mg/j, soir</w:t>
            </w:r>
          </w:p>
        </w:tc>
        <w:tc>
          <w:tcPr/>
          <w:p>
            <w:pPr>
              <w:pStyle w:val="Compact"/>
              <w:jc w:val="left"/>
            </w:pPr>
            <w:r>
              <w:t xml:space="preserve">Sédation, prise de poids</w:t>
            </w:r>
          </w:p>
        </w:tc>
        <w:tc>
          <w:tcPr/>
          <w:p>
            <w:pPr>
              <w:pStyle w:val="Compact"/>
              <w:jc w:val="left"/>
            </w:pPr>
            <w:r>
              <w:t xml:space="preserve">Glaucome, rétention</w:t>
            </w:r>
          </w:p>
        </w:tc>
        <w:tc>
          <w:tcPr/>
          <w:p>
            <w:pPr>
              <w:pStyle w:val="Compact"/>
              <w:jc w:val="left"/>
            </w:pPr>
            <w:r>
              <w:t xml:space="preserve">À éviter</w:t>
            </w:r>
          </w:p>
        </w:tc>
      </w:tr>
      <w:tr>
        <w:tc>
          <w:tcPr/>
          <w:p>
            <w:pPr>
              <w:pStyle w:val="Compact"/>
              <w:jc w:val="left"/>
            </w:pPr>
            <w:r>
              <w:t xml:space="preserve">Colchicine</w:t>
            </w:r>
          </w:p>
        </w:tc>
        <w:tc>
          <w:tcPr/>
          <w:p>
            <w:pPr>
              <w:pStyle w:val="Compact"/>
              <w:jc w:val="left"/>
            </w:pPr>
            <w:r>
              <w:t xml:space="preserve">Antigoutteux</w:t>
            </w:r>
          </w:p>
        </w:tc>
        <w:tc>
          <w:tcPr/>
          <w:p>
            <w:pPr>
              <w:pStyle w:val="Compact"/>
              <w:jc w:val="left"/>
            </w:pPr>
            <w:r>
              <w:t xml:space="preserve">Inhibition tubuline/microtubules</w:t>
            </w:r>
          </w:p>
        </w:tc>
        <w:tc>
          <w:tcPr/>
          <w:p>
            <w:pPr>
              <w:pStyle w:val="Compact"/>
              <w:jc w:val="left"/>
            </w:pPr>
            <w:r>
              <w:t xml:space="preserve">~30 h</w:t>
            </w:r>
          </w:p>
        </w:tc>
        <w:tc>
          <w:tcPr/>
          <w:p>
            <w:pPr>
              <w:pStyle w:val="Compact"/>
              <w:jc w:val="left"/>
            </w:pPr>
            <w:r>
              <w:t xml:space="preserve">1 mg + 0,5 mg + 0,5 mg × 2/j × 3 jours</w:t>
            </w:r>
          </w:p>
        </w:tc>
        <w:tc>
          <w:tcPr/>
          <w:p>
            <w:pPr>
              <w:pStyle w:val="Compact"/>
              <w:jc w:val="left"/>
            </w:pPr>
            <w:r>
              <w:t xml:space="preserve">Diarrhée, médullaire</w:t>
            </w:r>
          </w:p>
        </w:tc>
        <w:tc>
          <w:tcPr/>
          <w:p>
            <w:pPr>
              <w:pStyle w:val="Compact"/>
              <w:jc w:val="left"/>
            </w:pPr>
            <w:r>
              <w:t xml:space="preserve">IRC, macrolides, grossesse</w:t>
            </w:r>
          </w:p>
        </w:tc>
        <w:tc>
          <w:tcPr/>
          <w:p>
            <w:pPr>
              <w:pStyle w:val="Compact"/>
              <w:jc w:val="left"/>
            </w:pPr>
            <w:r>
              <w:t xml:space="preserve">Compatible (maladie périodique)</w:t>
            </w:r>
          </w:p>
        </w:tc>
      </w:tr>
      <w:tr>
        <w:tc>
          <w:tcPr/>
          <w:p>
            <w:pPr>
              <w:pStyle w:val="Compact"/>
              <w:jc w:val="left"/>
            </w:pPr>
            <w:r>
              <w:t xml:space="preserve">Allopurinol</w:t>
            </w:r>
          </w:p>
        </w:tc>
        <w:tc>
          <w:tcPr/>
          <w:p>
            <w:pPr>
              <w:pStyle w:val="Compact"/>
              <w:jc w:val="left"/>
            </w:pPr>
            <w:r>
              <w:t xml:space="preserve">Antigoutteux hypouricémiant</w:t>
            </w:r>
          </w:p>
        </w:tc>
        <w:tc>
          <w:tcPr/>
          <w:p>
            <w:pPr>
              <w:pStyle w:val="Compact"/>
              <w:jc w:val="left"/>
            </w:pPr>
            <w:r>
              <w:t xml:space="preserve">Inhibition xanthine oxydase</w:t>
            </w:r>
          </w:p>
        </w:tc>
        <w:tc>
          <w:tcPr/>
          <w:p>
            <w:pPr>
              <w:pStyle w:val="Compact"/>
              <w:jc w:val="left"/>
            </w:pPr>
            <w:r>
              <w:t xml:space="preserve">~22 h (oxypurinol)</w:t>
            </w:r>
          </w:p>
        </w:tc>
        <w:tc>
          <w:tcPr/>
          <w:p>
            <w:pPr>
              <w:pStyle w:val="Compact"/>
              <w:jc w:val="left"/>
            </w:pPr>
            <w:r>
              <w:t xml:space="preserve">100-300 mg/j, titration</w:t>
            </w:r>
          </w:p>
        </w:tc>
        <w:tc>
          <w:tcPr/>
          <w:p>
            <w:pPr>
              <w:pStyle w:val="Compact"/>
              <w:jc w:val="left"/>
            </w:pPr>
            <w:r>
              <w:t xml:space="preserve">DRESS</w:t>
            </w:r>
          </w:p>
        </w:tc>
        <w:tc>
          <w:tcPr/>
          <w:p>
            <w:pPr>
              <w:pStyle w:val="Compact"/>
              <w:jc w:val="left"/>
            </w:pPr>
            <w:r>
              <w:t xml:space="preserve">Crise aiguë initiale, HLA-B*5801</w:t>
            </w:r>
          </w:p>
        </w:tc>
        <w:tc>
          <w:tcPr/>
          <w:p>
            <w:pPr>
              <w:pStyle w:val="Compact"/>
              <w:jc w:val="left"/>
            </w:pPr>
            <w:r>
              <w:t xml:space="preserve">Compatible</w:t>
            </w:r>
          </w:p>
        </w:tc>
      </w:tr>
      <w:tr>
        <w:tc>
          <w:tcPr/>
          <w:p>
            <w:pPr>
              <w:pStyle w:val="Compact"/>
              <w:jc w:val="left"/>
            </w:pPr>
            <w:r>
              <w:t xml:space="preserve">Fébuxostat</w:t>
            </w:r>
          </w:p>
        </w:tc>
        <w:tc>
          <w:tcPr/>
          <w:p>
            <w:pPr>
              <w:pStyle w:val="Compact"/>
              <w:jc w:val="left"/>
            </w:pPr>
            <w:r>
              <w:t xml:space="preserve">Antigoutteux hypouricémiant</w:t>
            </w:r>
          </w:p>
        </w:tc>
        <w:tc>
          <w:tcPr/>
          <w:p>
            <w:pPr>
              <w:pStyle w:val="Compact"/>
              <w:jc w:val="left"/>
            </w:pPr>
            <w:r>
              <w:t xml:space="preserve">Inhibition xanthine oxydase (non purinique)</w:t>
            </w:r>
          </w:p>
        </w:tc>
        <w:tc>
          <w:tcPr/>
          <w:p>
            <w:pPr>
              <w:pStyle w:val="Compact"/>
              <w:jc w:val="left"/>
            </w:pPr>
            <w:r>
              <w:t xml:space="preserve">~5-8 h</w:t>
            </w:r>
          </w:p>
        </w:tc>
        <w:tc>
          <w:tcPr/>
          <w:p>
            <w:pPr>
              <w:pStyle w:val="Compact"/>
              <w:jc w:val="left"/>
            </w:pPr>
            <w:r>
              <w:t xml:space="preserve">80-120 mg/j</w:t>
            </w:r>
          </w:p>
        </w:tc>
        <w:tc>
          <w:tcPr/>
          <w:p>
            <w:pPr>
              <w:pStyle w:val="Compact"/>
              <w:jc w:val="left"/>
            </w:pPr>
            <w:r>
              <w:t xml:space="preserve">Hépatotoxicité, CV (CARES)</w:t>
            </w:r>
          </w:p>
        </w:tc>
        <w:tc>
          <w:tcPr/>
          <w:p>
            <w:pPr>
              <w:pStyle w:val="Compact"/>
              <w:jc w:val="left"/>
            </w:pPr>
            <w:r>
              <w:t xml:space="preserve">Azathioprine, grossesse</w:t>
            </w:r>
          </w:p>
        </w:tc>
        <w:tc>
          <w:tcPr/>
          <w:p>
            <w:pPr>
              <w:pStyle w:val="Compact"/>
              <w:jc w:val="left"/>
            </w:pPr>
            <w:r>
              <w:t xml:space="preserve">À éviter</w:t>
            </w:r>
          </w:p>
        </w:tc>
      </w:tr>
      <w:tr>
        <w:tc>
          <w:tcPr/>
          <w:p>
            <w:pPr>
              <w:pStyle w:val="Compact"/>
              <w:jc w:val="left"/>
            </w:pPr>
            <w:r>
              <w:t xml:space="preserve">Thiocolchicoside</w:t>
            </w:r>
          </w:p>
        </w:tc>
        <w:tc>
          <w:tcPr/>
          <w:p>
            <w:pPr>
              <w:pStyle w:val="Compact"/>
              <w:jc w:val="left"/>
            </w:pPr>
            <w:r>
              <w:t xml:space="preserve">Myorelaxant dér. colchique</w:t>
            </w:r>
          </w:p>
        </w:tc>
        <w:tc>
          <w:tcPr/>
          <w:p>
            <w:pPr>
              <w:pStyle w:val="Compact"/>
              <w:jc w:val="left"/>
            </w:pPr>
            <w:r>
              <w:t xml:space="preserve">Antagoniste GABA-A/glycine</w:t>
            </w:r>
          </w:p>
        </w:tc>
        <w:tc>
          <w:tcPr/>
          <w:p>
            <w:pPr>
              <w:pStyle w:val="Compact"/>
              <w:jc w:val="left"/>
            </w:pPr>
            <w:r>
              <w:t xml:space="preserve">~3-4 h</w:t>
            </w:r>
          </w:p>
        </w:tc>
        <w:tc>
          <w:tcPr/>
          <w:p>
            <w:pPr>
              <w:pStyle w:val="Compact"/>
              <w:jc w:val="left"/>
            </w:pPr>
            <w:r>
              <w:t xml:space="preserve">4 mg × 2/j, max 8 mg/j, cure 5-7 j</w:t>
            </w:r>
          </w:p>
        </w:tc>
        <w:tc>
          <w:tcPr/>
          <w:p>
            <w:pPr>
              <w:pStyle w:val="Compact"/>
              <w:jc w:val="left"/>
            </w:pPr>
            <w:r>
              <w:t xml:space="preserve">Convulsions (surdosage)</w:t>
            </w:r>
          </w:p>
        </w:tc>
        <w:tc>
          <w:tcPr/>
          <w:p>
            <w:pPr>
              <w:pStyle w:val="Compact"/>
              <w:jc w:val="left"/>
            </w:pPr>
            <w:r>
              <w:t xml:space="preserve">Épilepsie, grossesse</w:t>
            </w:r>
          </w:p>
        </w:tc>
        <w:tc>
          <w:tcPr/>
          <w:p>
            <w:pPr>
              <w:pStyle w:val="Compact"/>
              <w:jc w:val="left"/>
            </w:pPr>
            <w:r>
              <w:t xml:space="preserve">CI absolue</w:t>
            </w:r>
          </w:p>
        </w:tc>
      </w:tr>
      <w:tr>
        <w:tc>
          <w:tcPr/>
          <w:p>
            <w:pPr>
              <w:pStyle w:val="Compact"/>
              <w:jc w:val="left"/>
            </w:pPr>
            <w:r>
              <w:t xml:space="preserve">Méthocarbamol</w:t>
            </w:r>
          </w:p>
        </w:tc>
        <w:tc>
          <w:tcPr/>
          <w:p>
            <w:pPr>
              <w:pStyle w:val="Compact"/>
              <w:jc w:val="left"/>
            </w:pPr>
            <w:r>
              <w:t xml:space="preserve">Myorelaxant carbamate</w:t>
            </w:r>
          </w:p>
        </w:tc>
        <w:tc>
          <w:tcPr/>
          <w:p>
            <w:pPr>
              <w:pStyle w:val="Compact"/>
              <w:jc w:val="left"/>
            </w:pPr>
            <w:r>
              <w:t xml:space="preserve">Dépresseur SNC, inhibition réflexes polysyn</w:t>
            </w:r>
          </w:p>
        </w:tc>
        <w:tc>
          <w:tcPr/>
          <w:p>
            <w:pPr>
              <w:pStyle w:val="Compact"/>
              <w:jc w:val="left"/>
            </w:pPr>
            <w:r>
              <w:t xml:space="preserve">~1-2 h</w:t>
            </w:r>
          </w:p>
        </w:tc>
        <w:tc>
          <w:tcPr/>
          <w:p>
            <w:pPr>
              <w:pStyle w:val="Compact"/>
              <w:jc w:val="left"/>
            </w:pPr>
            <w:r>
              <w:t xml:space="preserve">1,5-4 g/j, cure 7-10 j</w:t>
            </w:r>
          </w:p>
        </w:tc>
        <w:tc>
          <w:tcPr/>
          <w:p>
            <w:pPr>
              <w:pStyle w:val="Compact"/>
              <w:jc w:val="left"/>
            </w:pPr>
            <w:r>
              <w:t xml:space="preserve">Sédation, urine colorée</w:t>
            </w:r>
          </w:p>
        </w:tc>
        <w:tc>
          <w:tcPr/>
          <w:p>
            <w:pPr>
              <w:pStyle w:val="Compact"/>
              <w:jc w:val="left"/>
            </w:pPr>
            <w:r>
              <w:t xml:space="preserve">Myasthénie, IR sévère</w:t>
            </w:r>
          </w:p>
        </w:tc>
        <w:tc>
          <w:tcPr/>
          <w:p>
            <w:pPr>
              <w:pStyle w:val="Compact"/>
              <w:jc w:val="left"/>
            </w:pPr>
            <w:r>
              <w:t xml:space="preserve">À éviter</w:t>
            </w:r>
          </w:p>
        </w:tc>
      </w:tr>
      <w:tr>
        <w:tc>
          <w:tcPr/>
          <w:p>
            <w:pPr>
              <w:pStyle w:val="Compact"/>
              <w:jc w:val="left"/>
            </w:pPr>
            <w:r>
              <w:t xml:space="preserve">Tolpérisone</w:t>
            </w:r>
          </w:p>
        </w:tc>
        <w:tc>
          <w:tcPr/>
          <w:p>
            <w:pPr>
              <w:pStyle w:val="Compact"/>
              <w:jc w:val="left"/>
            </w:pPr>
            <w:r>
              <w:t xml:space="preserve">Myorelaxant pipéridinique</w:t>
            </w:r>
          </w:p>
        </w:tc>
        <w:tc>
          <w:tcPr/>
          <w:p>
            <w:pPr>
              <w:pStyle w:val="Compact"/>
              <w:jc w:val="left"/>
            </w:pPr>
            <w:r>
              <w:t xml:space="preserve">Blocage canaux Na+/Ca2+ médullaire</w:t>
            </w:r>
          </w:p>
        </w:tc>
        <w:tc>
          <w:tcPr/>
          <w:p>
            <w:pPr>
              <w:pStyle w:val="Compact"/>
              <w:jc w:val="left"/>
            </w:pPr>
            <w:r>
              <w:t xml:space="preserve">~2,5 h</w:t>
            </w:r>
          </w:p>
        </w:tc>
        <w:tc>
          <w:tcPr/>
          <w:p>
            <w:pPr>
              <w:pStyle w:val="Compact"/>
              <w:jc w:val="left"/>
            </w:pPr>
            <w:r>
              <w:t xml:space="preserve">150-450 mg/j en 2-3 prises</w:t>
            </w:r>
          </w:p>
        </w:tc>
        <w:tc>
          <w:tcPr/>
          <w:p>
            <w:pPr>
              <w:pStyle w:val="Compact"/>
              <w:jc w:val="left"/>
            </w:pPr>
            <w:r>
              <w:t xml:space="preserve">Bonne tolérance (pas sédation)</w:t>
            </w:r>
          </w:p>
        </w:tc>
        <w:tc>
          <w:tcPr/>
          <w:p>
            <w:pPr>
              <w:pStyle w:val="Compact"/>
              <w:jc w:val="left"/>
            </w:pPr>
            <w:r>
              <w:t xml:space="preserve">Myasthénie</w:t>
            </w:r>
          </w:p>
        </w:tc>
        <w:tc>
          <w:tcPr/>
          <w:p>
            <w:pPr>
              <w:pStyle w:val="Compact"/>
              <w:jc w:val="left"/>
            </w:pPr>
            <w:r>
              <w:t xml:space="preserve">À éviter</w:t>
            </w:r>
          </w:p>
        </w:tc>
      </w:tr>
      <w:tr>
        <w:tc>
          <w:tcPr/>
          <w:p>
            <w:pPr>
              <w:pStyle w:val="Compact"/>
              <w:jc w:val="left"/>
            </w:pPr>
            <w:r>
              <w:t xml:space="preserve">Phloroglucinol</w:t>
            </w:r>
          </w:p>
        </w:tc>
        <w:tc>
          <w:tcPr/>
          <w:p>
            <w:pPr>
              <w:pStyle w:val="Compact"/>
              <w:jc w:val="left"/>
            </w:pPr>
            <w:r>
              <w:t xml:space="preserve">Antispasmodique phloroglucinol</w:t>
            </w:r>
          </w:p>
        </w:tc>
        <w:tc>
          <w:tcPr/>
          <w:p>
            <w:pPr>
              <w:pStyle w:val="Compact"/>
              <w:jc w:val="left"/>
            </w:pPr>
            <w:r>
              <w:t xml:space="preserve">Inhibition PDE4</w:t>
            </w:r>
          </w:p>
        </w:tc>
        <w:tc>
          <w:tcPr/>
          <w:p>
            <w:pPr>
              <w:pStyle w:val="Compact"/>
              <w:jc w:val="left"/>
            </w:pPr>
            <w:r>
              <w:t xml:space="preserve">~1-2 h</w:t>
            </w:r>
          </w:p>
        </w:tc>
        <w:tc>
          <w:tcPr/>
          <w:p>
            <w:pPr>
              <w:pStyle w:val="Compact"/>
              <w:jc w:val="left"/>
            </w:pPr>
            <w:r>
              <w:t xml:space="preserve">80-160 mg × 3-6/j (PO) ou 40 mg IM/IV</w:t>
            </w:r>
          </w:p>
        </w:tc>
        <w:tc>
          <w:tcPr/>
          <w:p>
            <w:pPr>
              <w:pStyle w:val="Compact"/>
              <w:jc w:val="left"/>
            </w:pPr>
            <w:r>
              <w:t xml:space="preserve">Très bon profil</w:t>
            </w:r>
          </w:p>
        </w:tc>
        <w:tc>
          <w:tcPr/>
          <w:p>
            <w:pPr>
              <w:pStyle w:val="Compact"/>
              <w:jc w:val="left"/>
            </w:pPr>
            <w:r>
              <w:t xml:space="preserve">Allaitement (par prudence)</w:t>
            </w:r>
          </w:p>
        </w:tc>
        <w:tc>
          <w:tcPr/>
          <w:p>
            <w:pPr>
              <w:pStyle w:val="Compact"/>
              <w:jc w:val="left"/>
            </w:pPr>
            <w:r>
              <w:t xml:space="preserve">Compatible (CRAT)</w:t>
            </w:r>
          </w:p>
        </w:tc>
      </w:tr>
      <w:tr>
        <w:tc>
          <w:tcPr/>
          <w:p>
            <w:pPr>
              <w:pStyle w:val="Compact"/>
              <w:jc w:val="left"/>
            </w:pPr>
            <w:r>
              <w:t xml:space="preserve">Trimébutine</w:t>
            </w:r>
          </w:p>
        </w:tc>
        <w:tc>
          <w:tcPr/>
          <w:p>
            <w:pPr>
              <w:pStyle w:val="Compact"/>
              <w:jc w:val="left"/>
            </w:pPr>
            <w:r>
              <w:t xml:space="preserve">Antispasmodique opioïde périph</w:t>
            </w:r>
          </w:p>
        </w:tc>
        <w:tc>
          <w:tcPr/>
          <w:p>
            <w:pPr>
              <w:pStyle w:val="Compact"/>
              <w:jc w:val="left"/>
            </w:pPr>
            <w:r>
              <w:t xml:space="preserve">Agoniste μ, κ, δ entérique</w:t>
            </w:r>
          </w:p>
        </w:tc>
        <w:tc>
          <w:tcPr/>
          <w:p>
            <w:pPr>
              <w:pStyle w:val="Compact"/>
              <w:jc w:val="left"/>
            </w:pPr>
            <w:r>
              <w:t xml:space="preserve">~2-3 h</w:t>
            </w:r>
          </w:p>
        </w:tc>
        <w:tc>
          <w:tcPr/>
          <w:p>
            <w:pPr>
              <w:pStyle w:val="Compact"/>
              <w:jc w:val="left"/>
            </w:pPr>
            <w:r>
              <w:t xml:space="preserve">100-200 mg × 2-3/j avant repas</w:t>
            </w:r>
          </w:p>
        </w:tc>
        <w:tc>
          <w:tcPr/>
          <w:p>
            <w:pPr>
              <w:pStyle w:val="Compact"/>
              <w:jc w:val="left"/>
            </w:pPr>
            <w:r>
              <w:t xml:space="preserve">Très bon profil</w:t>
            </w:r>
          </w:p>
        </w:tc>
        <w:tc>
          <w:tcPr/>
          <w:p>
            <w:pPr>
              <w:pStyle w:val="Compact"/>
              <w:jc w:val="left"/>
            </w:pPr>
            <w:r>
              <w:t xml:space="preserve">Occlusion</w:t>
            </w:r>
          </w:p>
        </w:tc>
        <w:tc>
          <w:tcPr/>
          <w:p>
            <w:pPr>
              <w:pStyle w:val="Compact"/>
              <w:jc w:val="left"/>
            </w:pPr>
            <w:r>
              <w:t xml:space="preserve">À éviter 1er trimestre</w:t>
            </w:r>
          </w:p>
        </w:tc>
      </w:tr>
      <w:tr>
        <w:tc>
          <w:tcPr/>
          <w:p>
            <w:pPr>
              <w:pStyle w:val="Compact"/>
              <w:jc w:val="left"/>
            </w:pPr>
            <w:r>
              <w:t xml:space="preserve">Alvérine</w:t>
            </w:r>
          </w:p>
        </w:tc>
        <w:tc>
          <w:tcPr/>
          <w:p>
            <w:pPr>
              <w:pStyle w:val="Compact"/>
              <w:jc w:val="left"/>
            </w:pPr>
            <w:r>
              <w:t xml:space="preserve">Antispasmodique musculotrope</w:t>
            </w:r>
          </w:p>
        </w:tc>
        <w:tc>
          <w:tcPr/>
          <w:p>
            <w:pPr>
              <w:pStyle w:val="Compact"/>
              <w:jc w:val="left"/>
            </w:pPr>
            <w:r>
              <w:t xml:space="preserve">Inhibition PDE + blocage Ca2+</w:t>
            </w:r>
          </w:p>
        </w:tc>
        <w:tc>
          <w:tcPr/>
          <w:p>
            <w:pPr>
              <w:pStyle w:val="Compact"/>
              <w:jc w:val="left"/>
            </w:pPr>
            <w:r>
              <w:t xml:space="preserve">~2 h</w:t>
            </w:r>
          </w:p>
        </w:tc>
        <w:tc>
          <w:tcPr/>
          <w:p>
            <w:pPr>
              <w:pStyle w:val="Compact"/>
              <w:jc w:val="left"/>
            </w:pPr>
            <w:r>
              <w:t xml:space="preserve">60 mg × 2-3/j (caps + siméticone)</w:t>
            </w:r>
          </w:p>
        </w:tc>
        <w:tc>
          <w:tcPr/>
          <w:p>
            <w:pPr>
              <w:pStyle w:val="Compact"/>
              <w:jc w:val="left"/>
            </w:pPr>
            <w:r>
              <w:t xml:space="preserve">Très bon profil</w:t>
            </w:r>
          </w:p>
        </w:tc>
        <w:tc>
          <w:tcPr/>
          <w:p>
            <w:pPr>
              <w:pStyle w:val="Compact"/>
              <w:jc w:val="left"/>
            </w:pPr>
            <w:r>
              <w:t xml:space="preserve">Allaitement (par prudence)</w:t>
            </w:r>
          </w:p>
        </w:tc>
        <w:tc>
          <w:tcPr/>
          <w:p>
            <w:pPr>
              <w:pStyle w:val="Compact"/>
              <w:jc w:val="left"/>
            </w:pPr>
            <w:r>
              <w:t xml:space="preserve">À éviter</w:t>
            </w:r>
          </w:p>
        </w:tc>
      </w:tr>
      <w:tr>
        <w:tc>
          <w:tcPr/>
          <w:p>
            <w:pPr>
              <w:pStyle w:val="Compact"/>
              <w:jc w:val="left"/>
            </w:pPr>
            <w:r>
              <w:t xml:space="preserve">Mébévérine</w:t>
            </w:r>
          </w:p>
        </w:tc>
        <w:tc>
          <w:tcPr/>
          <w:p>
            <w:pPr>
              <w:pStyle w:val="Compact"/>
              <w:jc w:val="left"/>
            </w:pPr>
            <w:r>
              <w:t xml:space="preserve">Antispasmodique musculotrope</w:t>
            </w:r>
          </w:p>
        </w:tc>
        <w:tc>
          <w:tcPr/>
          <w:p>
            <w:pPr>
              <w:pStyle w:val="Compact"/>
              <w:jc w:val="left"/>
            </w:pPr>
            <w:r>
              <w:t xml:space="preserve">Blocage canaux Na+ digestif</w:t>
            </w:r>
          </w:p>
        </w:tc>
        <w:tc>
          <w:tcPr/>
          <w:p>
            <w:pPr>
              <w:pStyle w:val="Compact"/>
              <w:jc w:val="left"/>
            </w:pPr>
            <w:r>
              <w:t xml:space="preserve">~2,5 h</w:t>
            </w:r>
          </w:p>
        </w:tc>
        <w:tc>
          <w:tcPr/>
          <w:p>
            <w:pPr>
              <w:pStyle w:val="Compact"/>
              <w:jc w:val="left"/>
            </w:pPr>
            <w:r>
              <w:t xml:space="preserve">100 mg × 3/j ou 200 mg LP × 2/j</w:t>
            </w:r>
          </w:p>
        </w:tc>
        <w:tc>
          <w:tcPr/>
          <w:p>
            <w:pPr>
              <w:pStyle w:val="Compact"/>
              <w:jc w:val="left"/>
            </w:pPr>
            <w:r>
              <w:t xml:space="preserve">Très bon profil, angio-œdème rare</w:t>
            </w:r>
          </w:p>
        </w:tc>
        <w:tc>
          <w:tcPr/>
          <w:p>
            <w:pPr>
              <w:pStyle w:val="Compact"/>
              <w:jc w:val="left"/>
            </w:pPr>
            <w:r>
              <w:t xml:space="preserve">Iléus, mégacôlon</w:t>
            </w:r>
          </w:p>
        </w:tc>
        <w:tc>
          <w:tcPr/>
          <w:p>
            <w:pPr>
              <w:pStyle w:val="Compact"/>
              <w:jc w:val="left"/>
            </w:pPr>
            <w:r>
              <w:t xml:space="preserve">À éviter 1er trimestre</w:t>
            </w:r>
          </w:p>
        </w:tc>
      </w:tr>
      <w:tr>
        <w:tc>
          <w:tcPr/>
          <w:p>
            <w:pPr>
              <w:pStyle w:val="Compact"/>
              <w:jc w:val="left"/>
            </w:pPr>
            <w:r>
              <w:t xml:space="preserve">Pinavérium</w:t>
            </w:r>
          </w:p>
        </w:tc>
        <w:tc>
          <w:tcPr/>
          <w:p>
            <w:pPr>
              <w:pStyle w:val="Compact"/>
              <w:jc w:val="left"/>
            </w:pPr>
            <w:r>
              <w:t xml:space="preserve">Antispasmodique antag. calcique intestinal</w:t>
            </w:r>
          </w:p>
        </w:tc>
        <w:tc>
          <w:tcPr/>
          <w:p>
            <w:pPr>
              <w:pStyle w:val="Compact"/>
              <w:jc w:val="left"/>
            </w:pPr>
            <w:r>
              <w:t xml:space="preserve">Blocage canaux Ca2+ type L digestif</w:t>
            </w:r>
          </w:p>
        </w:tc>
        <w:tc>
          <w:tcPr/>
          <w:p>
            <w:pPr>
              <w:pStyle w:val="Compact"/>
              <w:jc w:val="left"/>
            </w:pPr>
            <w:r>
              <w:t xml:space="preserve">~1 h (systémique)</w:t>
            </w:r>
          </w:p>
        </w:tc>
        <w:tc>
          <w:tcPr/>
          <w:p>
            <w:pPr>
              <w:pStyle w:val="Compact"/>
              <w:jc w:val="left"/>
            </w:pPr>
            <w:r>
              <w:t xml:space="preserve">50 mg × 3/j ou 100 mg × 2-3/j</w:t>
            </w:r>
          </w:p>
        </w:tc>
        <w:tc>
          <w:tcPr/>
          <w:p>
            <w:pPr>
              <w:pStyle w:val="Compact"/>
              <w:jc w:val="left"/>
            </w:pPr>
            <w:r>
              <w:t xml:space="preserve">Très bon profil</w:t>
            </w:r>
          </w:p>
        </w:tc>
        <w:tc>
          <w:tcPr/>
          <w:p>
            <w:pPr>
              <w:pStyle w:val="Compact"/>
              <w:jc w:val="left"/>
            </w:pPr>
            <w:r>
              <w:t xml:space="preserve">Enfant &lt;15 ans</w:t>
            </w:r>
          </w:p>
        </w:tc>
        <w:tc>
          <w:tcPr/>
          <w:p>
            <w:pPr>
              <w:pStyle w:val="Compact"/>
              <w:jc w:val="left"/>
            </w:pPr>
            <w:r>
              <w:t xml:space="preserve">À éviter</w:t>
            </w:r>
          </w:p>
        </w:tc>
      </w:tr>
      <w:tr>
        <w:tc>
          <w:tcPr/>
          <w:p>
            <w:pPr>
              <w:pStyle w:val="Compact"/>
              <w:jc w:val="left"/>
            </w:pPr>
            <w:r>
              <w:t xml:space="preserve">Tiémonium/Prifinium</w:t>
            </w:r>
          </w:p>
        </w:tc>
        <w:tc>
          <w:tcPr/>
          <w:p>
            <w:pPr>
              <w:pStyle w:val="Compact"/>
              <w:jc w:val="left"/>
            </w:pPr>
            <w:r>
              <w:t xml:space="preserve">Antispasmodique anticholinergique</w:t>
            </w:r>
          </w:p>
        </w:tc>
        <w:tc>
          <w:tcPr/>
          <w:p>
            <w:pPr>
              <w:pStyle w:val="Compact"/>
              <w:jc w:val="left"/>
            </w:pPr>
            <w:r>
              <w:t xml:space="preserve">Blocage récepteurs muscariniques M1/M2/M3</w:t>
            </w:r>
          </w:p>
        </w:tc>
        <w:tc>
          <w:tcPr/>
          <w:p>
            <w:pPr>
              <w:pStyle w:val="Compact"/>
              <w:jc w:val="left"/>
            </w:pPr>
            <w:r>
              <w:t xml:space="preserve">variable</w:t>
            </w:r>
          </w:p>
        </w:tc>
        <w:tc>
          <w:tcPr/>
          <w:p>
            <w:pPr>
              <w:pStyle w:val="Compact"/>
              <w:jc w:val="left"/>
            </w:pPr>
            <w:r>
              <w:t xml:space="preserve">Sirop 10-30 mL × 3/j ou 5-7,5 mg IM/IV</w:t>
            </w:r>
          </w:p>
        </w:tc>
        <w:tc>
          <w:tcPr/>
          <w:p>
            <w:pPr>
              <w:pStyle w:val="Compact"/>
              <w:jc w:val="left"/>
            </w:pPr>
            <w:r>
              <w:t xml:space="preserve">Sécheresse bouche, rétention</w:t>
            </w:r>
          </w:p>
        </w:tc>
        <w:tc>
          <w:tcPr/>
          <w:p>
            <w:pPr>
              <w:pStyle w:val="Compact"/>
              <w:jc w:val="left"/>
            </w:pPr>
            <w:r>
              <w:t xml:space="preserve">Glaucome, hypertrophie prostate</w:t>
            </w:r>
          </w:p>
        </w:tc>
        <w:tc>
          <w:tcPr/>
          <w:p>
            <w:pPr>
              <w:pStyle w:val="Compact"/>
              <w:jc w:val="left"/>
            </w:pPr>
            <w:r>
              <w:t xml:space="preserve">À éviter</w:t>
            </w:r>
          </w:p>
        </w:tc>
      </w:tr>
      <w:tr>
        <w:tc>
          <w:tcPr/>
          <w:p>
            <w:pPr>
              <w:pStyle w:val="Compact"/>
              <w:jc w:val="left"/>
            </w:pPr>
            <w:r>
              <w:t xml:space="preserve">Mesalazine (5-ASA)</w:t>
            </w:r>
          </w:p>
        </w:tc>
        <w:tc>
          <w:tcPr/>
          <w:p>
            <w:pPr>
              <w:pStyle w:val="Compact"/>
              <w:jc w:val="left"/>
            </w:pPr>
            <w:r>
              <w:t xml:space="preserve">Anti-inflam. intestinal</w:t>
            </w:r>
          </w:p>
        </w:tc>
        <w:tc>
          <w:tcPr/>
          <w:p>
            <w:pPr>
              <w:pStyle w:val="Compact"/>
              <w:jc w:val="left"/>
            </w:pPr>
            <w:r>
              <w:t xml:space="preserve">Inhibition COX/LOX, NF-κB, PPAR-γ</w:t>
            </w:r>
          </w:p>
        </w:tc>
        <w:tc>
          <w:tcPr/>
          <w:p>
            <w:pPr>
              <w:pStyle w:val="Compact"/>
              <w:jc w:val="left"/>
            </w:pPr>
            <w:r>
              <w:t xml:space="preserve">~1-2 h</w:t>
            </w:r>
          </w:p>
        </w:tc>
        <w:tc>
          <w:tcPr/>
          <w:p>
            <w:pPr>
              <w:pStyle w:val="Compact"/>
              <w:jc w:val="left"/>
            </w:pPr>
            <w:r>
              <w:t xml:space="preserve">2-4 g/j per os ; 1 g/j lavement</w:t>
            </w:r>
          </w:p>
        </w:tc>
        <w:tc>
          <w:tcPr/>
          <w:p>
            <w:pPr>
              <w:pStyle w:val="Compact"/>
              <w:jc w:val="left"/>
            </w:pPr>
            <w:r>
              <w:t xml:space="preserve">Néphrotoxicité, hépatotoxicité</w:t>
            </w:r>
          </w:p>
        </w:tc>
        <w:tc>
          <w:tcPr/>
          <w:p>
            <w:pPr>
              <w:pStyle w:val="Compact"/>
              <w:jc w:val="left"/>
            </w:pPr>
            <w:r>
              <w:t xml:space="preserve">Allaitement (par prudence), salicylés</w:t>
            </w:r>
          </w:p>
        </w:tc>
        <w:tc>
          <w:tcPr/>
          <w:p>
            <w:pPr>
              <w:pStyle w:val="Compact"/>
              <w:jc w:val="left"/>
            </w:pPr>
            <w:r>
              <w:t xml:space="preserve">Compatible (CRAT)</w:t>
            </w:r>
          </w:p>
        </w:tc>
      </w:tr>
      <w:tr>
        <w:tc>
          <w:tcPr/>
          <w:p>
            <w:pPr>
              <w:pStyle w:val="Compact"/>
              <w:jc w:val="left"/>
            </w:pPr>
            <w:r>
              <w:t xml:space="preserve">Salazosulfapyridine</w:t>
            </w:r>
          </w:p>
        </w:tc>
        <w:tc>
          <w:tcPr/>
          <w:p>
            <w:pPr>
              <w:pStyle w:val="Compact"/>
              <w:jc w:val="left"/>
            </w:pPr>
            <w:r>
              <w:t xml:space="preserve">Anti-inflam. intestinal (prodrogue)</w:t>
            </w:r>
          </w:p>
        </w:tc>
        <w:tc>
          <w:tcPr/>
          <w:p>
            <w:pPr>
              <w:pStyle w:val="Compact"/>
              <w:jc w:val="left"/>
            </w:pPr>
            <w:r>
              <w:t xml:space="preserve">Clivage azo colique → 5-ASA + sulfapyridine</w:t>
            </w:r>
          </w:p>
        </w:tc>
        <w:tc>
          <w:tcPr/>
          <w:p>
            <w:pPr>
              <w:pStyle w:val="Compact"/>
              <w:jc w:val="left"/>
            </w:pPr>
            <w:r>
              <w:t xml:space="preserve">6-15 h (sulfapyridine)</w:t>
            </w:r>
          </w:p>
        </w:tc>
        <w:tc>
          <w:tcPr/>
          <w:p>
            <w:pPr>
              <w:pStyle w:val="Compact"/>
              <w:jc w:val="left"/>
            </w:pPr>
            <w:r>
              <w:t xml:space="preserve">2-4 g/j, dose progressive</w:t>
            </w:r>
          </w:p>
        </w:tc>
        <w:tc>
          <w:tcPr/>
          <w:p>
            <w:pPr>
              <w:pStyle w:val="Compact"/>
              <w:jc w:val="left"/>
            </w:pPr>
            <w:r>
              <w:t xml:space="preserve">Agranulocytose, DRESS, hémolyse G6PD</w:t>
            </w:r>
          </w:p>
        </w:tc>
        <w:tc>
          <w:tcPr/>
          <w:p>
            <w:pPr>
              <w:pStyle w:val="Compact"/>
              <w:jc w:val="left"/>
            </w:pPr>
            <w:r>
              <w:t xml:space="preserve">Déficit G6PD, porphyrie</w:t>
            </w:r>
          </w:p>
        </w:tc>
        <w:tc>
          <w:tcPr/>
          <w:p>
            <w:pPr>
              <w:pStyle w:val="Compact"/>
              <w:jc w:val="left"/>
            </w:pPr>
            <w:r>
              <w:t xml:space="preserve">Compatible (CRAT) avec acide folique</w:t>
            </w:r>
          </w:p>
        </w:tc>
      </w:tr>
    </w:tbl>
    <w:p>
      <w:r>
        <w:pict>
          <v:rect style="width:0;height:1.5pt" o:hralign="center" o:hrstd="t" o:hr="t"/>
        </w:pict>
      </w:r>
    </w:p>
    <w:bookmarkEnd w:id="236"/>
    <w:bookmarkStart w:id="237" w:name="conclusion-de-la-section-1"/>
    <w:p>
      <w:pPr>
        <w:pStyle w:val="Heading2"/>
      </w:pPr>
      <w:r>
        <w:t xml:space="preserve">Conclusion de la Section</w:t>
      </w:r>
    </w:p>
    <w:p>
      <w:pPr>
        <w:pStyle w:val="FirstParagraph"/>
      </w:pPr>
      <w:r>
        <w:t xml:space="preserve">Cette section a couvert 22 DCI réparties sur 14 sous-classes pharmacologiques, illustrant la diversité des mécanismes d’action mobilisables pour le traitement symptomatique ou de fond de pathologies très différentes : migraine, goutte, contractures musculaires, douleurs spasmodiques digestives et maladies inflammatoires chroniques intestinales. Quelques</w:t>
      </w:r>
      <w:r>
        <w:t xml:space="preserve"> </w:t>
      </w:r>
      <w:r>
        <w:rPr>
          <w:b/>
          <w:bCs/>
        </w:rPr>
        <w:t xml:space="preserve">enseignements pédagogiques majeurs</w:t>
      </w:r>
      <w:r>
        <w:t xml:space="preserve"> </w:t>
      </w:r>
      <w:r>
        <w:t xml:space="preserve">méritent d’être soulignés :</w:t>
      </w:r>
    </w:p>
    <w:p>
      <w:pPr>
        <w:numPr>
          <w:ilvl w:val="0"/>
          <w:numId w:val="1078"/>
        </w:numPr>
      </w:pPr>
      <w:r>
        <w:rPr>
          <w:b/>
          <w:bCs/>
        </w:rPr>
        <w:t xml:space="preserve">Triptans vs Ergotamine</w:t>
      </w:r>
      <w:r>
        <w:t xml:space="preserve"> </w:t>
      </w:r>
      <w:r>
        <w:t xml:space="preserve">: Les triptans (agonistes 5-HT1B/1D sélectifs) ont remplacé l’ergotamine (agoniste non sélectif) en raison d’une meilleure tolérance cardiovasculaire. Le sumatriptan reste le triptan de choix pendant la grossesse.</w:t>
      </w:r>
    </w:p>
    <w:p>
      <w:pPr>
        <w:numPr>
          <w:ilvl w:val="0"/>
          <w:numId w:val="1078"/>
        </w:numPr>
      </w:pPr>
      <w:r>
        <w:rPr>
          <w:b/>
          <w:bCs/>
        </w:rPr>
        <w:t xml:space="preserve">Colchicine vs Allopurinol</w:t>
      </w:r>
      <w:r>
        <w:t xml:space="preserve"> </w:t>
      </w:r>
      <w:r>
        <w:t xml:space="preserve">: Ces deux antigoutteux ne sont pas interchangeables : la colchicine traite la crise (action anti-inflammatoire), l’allopurinol traite le fond (action hypouricémiante). L’erreur classique est d’initier l’allopurinol pendant une crise aiguë.</w:t>
      </w:r>
    </w:p>
    <w:p>
      <w:pPr>
        <w:numPr>
          <w:ilvl w:val="0"/>
          <w:numId w:val="1078"/>
        </w:numPr>
      </w:pPr>
      <w:r>
        <w:rPr>
          <w:b/>
          <w:bCs/>
        </w:rPr>
        <w:t xml:space="preserve">5-ASA vs Sulfasalazine</w:t>
      </w:r>
      <w:r>
        <w:t xml:space="preserve"> </w:t>
      </w:r>
      <w:r>
        <w:t xml:space="preserve">: La mesalazine a supplanté la sulfasalazine en gastro-entérologie en raison d’une meilleure tolérance (pas de sulfapyridine systémique). La sulfasalazine reste utilisée en rhumatologie (PR, SpA).</w:t>
      </w:r>
    </w:p>
    <w:p>
      <w:pPr>
        <w:numPr>
          <w:ilvl w:val="0"/>
          <w:numId w:val="1078"/>
        </w:numPr>
      </w:pPr>
      <w:r>
        <w:rPr>
          <w:b/>
          <w:bCs/>
        </w:rPr>
        <w:t xml:space="preserve">Antispasmodiques</w:t>
      </w:r>
      <w:r>
        <w:t xml:space="preserve"> </w:t>
      </w:r>
      <w:r>
        <w:t xml:space="preserve">: La diversité des classes (phloroglucinol, trimébutine, mébévérine, alvérine, pinavérium, anticholinergiques) permet un ciblage pharmacologique fin en fonction du mécanisme prédominant du spasme. Le phloroglucinol est le seul compatible avec la grossesse.</w:t>
      </w:r>
    </w:p>
    <w:p>
      <w:pPr>
        <w:numPr>
          <w:ilvl w:val="0"/>
          <w:numId w:val="1078"/>
        </w:numPr>
      </w:pPr>
      <w:r>
        <w:rPr>
          <w:b/>
          <w:bCs/>
        </w:rPr>
        <w:t xml:space="preserve">Myorelaxants</w:t>
      </w:r>
      <w:r>
        <w:t xml:space="preserve"> </w:t>
      </w:r>
      <w:r>
        <w:t xml:space="preserve">: La tolpérisone est le seul myorelaxant non sédatif disponible en Algérie, ce qui en fait le myorelaxant de choix chez le patient actif ou devant conduire.</w:t>
      </w:r>
    </w:p>
    <w:p>
      <w:pPr>
        <w:numPr>
          <w:ilvl w:val="0"/>
          <w:numId w:val="1078"/>
        </w:numPr>
      </w:pPr>
      <w:r>
        <w:rPr>
          <w:b/>
          <w:bCs/>
        </w:rPr>
        <w:t xml:space="preserve">Pièges communs</w:t>
      </w:r>
      <w:r>
        <w:t xml:space="preserve"> </w:t>
      </w:r>
      <w:r>
        <w:t xml:space="preserve">: L’interaction des macrolides avec l’ergotamine, la colchicine et la dihydroergotamine (CI absolue) doit être systématiquement recherchée ; le syndrome d’hypersensibilité (DRESS) de l’allopurinol impose une surveillance cutanée étroite en début de traitement ; le surdosage de la colchicine est potentiellement mortel.</w:t>
      </w:r>
    </w:p>
    <w:p>
      <w:pPr>
        <w:numPr>
          <w:ilvl w:val="0"/>
          <w:numId w:val="1078"/>
        </w:numPr>
      </w:pPr>
      <w:r>
        <w:rPr>
          <w:b/>
          <w:bCs/>
        </w:rPr>
        <w:t xml:space="preserve">Disponibilité algérienne</w:t>
      </w:r>
      <w:r>
        <w:t xml:space="preserve"> </w:t>
      </w:r>
      <w:r>
        <w:t xml:space="preserve">: Plusieurs DCI sont en statut Non Renouvelable ou Retiré (naratriptan, pizotifène, dihydroergotamine, sulfasalazine), ce qui peut justifier des substitutions ou des importations exceptionnelles sous contrôle médical.</w:t>
      </w:r>
    </w:p>
    <w:p>
      <w:pPr>
        <w:pStyle w:val="FirstParagraph"/>
      </w:pPr>
      <w:r>
        <w:t xml:space="preserve">Le pharmacien d’officine algérien joue un rôle clé dans la</w:t>
      </w:r>
      <w:r>
        <w:t xml:space="preserve"> </w:t>
      </w:r>
      <w:r>
        <w:rPr>
          <w:b/>
          <w:bCs/>
        </w:rPr>
        <w:t xml:space="preserve">éducation thérapeutique</w:t>
      </w:r>
      <w:r>
        <w:t xml:space="preserve"> </w:t>
      </w:r>
      <w:r>
        <w:t xml:space="preserve">du patient : explication du caractère</w:t>
      </w:r>
      <w:r>
        <w:t xml:space="preserve"> </w:t>
      </w:r>
      <w:r>
        <w:t xml:space="preserve">“</w:t>
      </w:r>
      <w:r>
        <w:t xml:space="preserve">traitement de crise</w:t>
      </w:r>
      <w:r>
        <w:t xml:space="preserve">”</w:t>
      </w:r>
      <w:r>
        <w:t xml:space="preserve"> </w:t>
      </w:r>
      <w:r>
        <w:t xml:space="preserve">vs</w:t>
      </w:r>
      <w:r>
        <w:t xml:space="preserve"> </w:t>
      </w:r>
      <w:r>
        <w:t xml:space="preserve">“</w:t>
      </w:r>
      <w:r>
        <w:t xml:space="preserve">traitement de fond</w:t>
      </w:r>
      <w:r>
        <w:t xml:space="preserve">”</w:t>
      </w:r>
      <w:r>
        <w:t xml:space="preserve">, surveillance des interactions médicamenteuses, reconnaissance précoce des signes d’alerte (DRESS, ergotisme, syndrome sérotoninergique, surdosage colchicine), et orientation vers le médecin en cas de nécessité de réévaluation. La pharmacovigilance active (signalement des effets indésirables graves au Centre National de Pharmacovigilance) est une responsabilité partagée.</w:t>
      </w:r>
    </w:p>
    <w:p>
      <w:r>
        <w:pict>
          <v:rect style="width:0;height:1.5pt" o:hralign="center" o:hrstd="t" o:hr="t"/>
        </w:pict>
      </w:r>
    </w:p>
    <w:p>
      <w:pPr>
        <w:pStyle w:val="FirstParagraph"/>
      </w:pPr>
      <w:r>
        <w:rPr>
          <w:i/>
          <w:iCs/>
        </w:rPr>
        <w:t xml:space="preserve">Fin de la Section 26 — Fascicule III : Antalgiques &amp; Anti-inflammatoires.</w:t>
      </w:r>
    </w:p>
    <w:p>
      <w:r>
        <w:pict>
          <v:rect style="width:0;height:1.5pt" o:hralign="center" o:hrstd="t" o:hr="t"/>
        </w:pict>
      </w:r>
    </w:p>
    <w:bookmarkEnd w:id="237"/>
    <w:bookmarkEnd w:id="238"/>
    <w:sectPr>
      <w:headerReference w:type="default" r:id="rId9"/>
      <w:footerReference w:type="default" r:id="rId10"/>
      <w:pgSz w:h="16838" w:w="11906"/>
      <w:pgMar w:top="1134" w:bottom="1134" w:left="1417" w:right="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Antalgiques &amp; Anti-inflammatoires en Algérie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alibri" w:hAnsi="Calibri" w:cs="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0B3D91"/>
      <w:sz w:val="6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Technique de Pharmacologie Clinique — Antalgiques &amp; Anti-inflammatoires en Algérie</dc:title>
  <dc:creator>Fascicule III : Antalgiques et Anti-inflammatoires</dc:creator>
  <cp:keywords/>
  <dcterms:created xsi:type="dcterms:W3CDTF">2026-08-17T23:16:28Z</dcterms:created>
  <dcterms:modified xsi:type="dcterms:W3CDTF">2026-08-17T23:16:28Z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Édition Août 2026</vt:lpwstr>
  </property>
</Properties>
</file>