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C0392B"/>
          <w:sz w:val="56"/>
        </w:rPr>
        <w:t>CARDIOLOGIE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IV</w:t>
      </w:r>
    </w:p>
    <w:p>
      <w:pPr>
        <w:jc w:val="center"/>
      </w:pPr>
      <w:r>
        <w:rPr>
          <w:rFonts w:ascii="Calibri" w:hAnsi="Calibri"/>
          <w:b w:val="0"/>
          <w:i/>
          <w:color w:val="606060"/>
          <w:sz w:val="28"/>
        </w:rPr>
        <w:t>Pharmacologie Cardiovasculaire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119 DCI traitées  •  700+ spécialités commerciales  •  8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OMS • CRAT • ESC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IV : Pharmacologie Cardiovasculaire</w:t>
      </w:r>
    </w:p>
    <w:p>
      <w:pPr>
        <w:pStyle w:val="Heading2"/>
      </w:pPr>
      <w:r>
        <w:t>Avant-propos et méthodologie du Fascicule IV</w:t>
      </w:r>
    </w:p>
    <w:p>
      <w:pPr>
        <w:pStyle w:val="Heading3"/>
      </w:pPr>
      <w:r>
        <w:t>1. Objet du fascicule</w:t>
      </w:r>
    </w:p>
    <w:p>
      <w:r>
        <w:t>Le présent fascicule constitue le quatrième volet du traité technique de pharmacologie clinique destiné aux étudiants en pharmacie d'officine et aux praticiens exerçant sur le territoire algérien. Il poursuit la démarche engagée dans les Fascicules I (Antibiotiques), II (Antifongiques &amp; Antiparasitaires) et III (Antalgiques &amp; Anti-inflammatoires) en traitant de manière exhaustive les classes thérapeutiques cardiovasculaires enregistrées auprès du Ministère de la Santé algérien.</w:t>
      </w:r>
    </w:p>
    <w:p>
      <w:r>
        <w:t xml:space="preserve">La base réglementaire de référence utilisée est, comme pour les fascicules précédents, le fichier officiel </w:t>
      </w:r>
      <w:r>
        <w:rPr>
          <w:b/>
        </w:rPr>
        <w:t>« COMPLETE LISTE.xlsx »</w:t>
      </w:r>
      <w:r>
        <w:t xml:space="preserve"> compilant la nomenclature des médicaments à l'avril 2026 (spécialités actives, non renouvelables et retirées du marché).</w:t>
      </w:r>
    </w:p>
    <w:p>
      <w:pPr>
        <w:pStyle w:val="Heading3"/>
      </w:pPr>
      <w:r>
        <w:t>2. Contexte épidémiologique algérien</w:t>
      </w:r>
    </w:p>
    <w:p>
      <w:pPr>
        <w:pStyle w:val="Heading4"/>
      </w:pPr>
      <w:r>
        <w:t>2.1 Maladies cardiovasculaires en Algérie</w:t>
      </w:r>
    </w:p>
    <w:p>
      <w:r>
        <w:t>Les maladies cardiovasculaires (MCV) constituent la première cause de mortalité en Algérie, représentant près de 38 % de l'ensemble des décès. Plusieurs particularités épidémiologiques justifient l'importance de la formation pharmaceutique dans ce domaine :</w:t>
      </w:r>
    </w:p>
    <w:p>
      <w:pPr>
        <w:pStyle w:val="ListBullet"/>
      </w:pPr>
      <w:r/>
      <w:r>
        <w:rPr>
          <w:b/>
        </w:rPr>
        <w:t>Hypertension artérielle (HTA)</w:t>
      </w:r>
      <w:r>
        <w:t xml:space="preserve"> : prévalence estimée à 30-35 % de la population adulte algérienne, avec un taux de contrôle tensionnel inférieur à 30 % des patients traités. L'HTA représente le principal facteur de risque modifiable pour AVC, IDM et ICC.</w:t>
      </w:r>
    </w:p>
    <w:p>
      <w:pPr>
        <w:pStyle w:val="ListBullet"/>
      </w:pPr>
      <w:r/>
      <w:r>
        <w:rPr>
          <w:b/>
        </w:rPr>
        <w:t>Maladie coronarienne</w:t>
      </w:r>
      <w:r>
        <w:t xml:space="preserve"> : incidence en progression constante, favorisée par l'épidémie de diabète (prévalence 12-14 %) et le tabagisme masculin (&gt; 40 % des hommes adultes).</w:t>
      </w:r>
    </w:p>
    <w:p>
      <w:pPr>
        <w:pStyle w:val="ListBullet"/>
      </w:pPr>
      <w:r/>
      <w:r>
        <w:rPr>
          <w:b/>
        </w:rPr>
        <w:t>Insuffisance cardiaque</w:t>
      </w:r>
      <w:r>
        <w:t xml:space="preserve"> : prévalence croissante liée au vieillissement de la population et à l'amélioration de la survie post-IDM. Hospitalisations récurrentes fréquentes.</w:t>
      </w:r>
    </w:p>
    <w:p>
      <w:pPr>
        <w:pStyle w:val="ListBullet"/>
      </w:pPr>
      <w:r/>
      <w:r>
        <w:rPr>
          <w:b/>
        </w:rPr>
        <w:t>Fibrillation auriculaire (FA)</w:t>
      </w:r>
      <w:r>
        <w:t xml:space="preserve"> : prévalence 1-2 % de la population générale, principal facteur de risque d'AVC ischémique (5x).</w:t>
      </w:r>
    </w:p>
    <w:p>
      <w:pPr>
        <w:pStyle w:val="ListBullet"/>
      </w:pPr>
      <w:r/>
      <w:r>
        <w:rPr>
          <w:b/>
        </w:rPr>
        <w:t>Dyslipidémies</w:t>
      </w:r>
      <w:r>
        <w:t xml:space="preserve"> : hypercholestérolémie fréquente (prévalence 20-25 %), sous-diagnostiquée et sous-traitée.</w:t>
      </w:r>
    </w:p>
    <w:p>
      <w:pPr>
        <w:pStyle w:val="ListBullet"/>
      </w:pPr>
      <w:r/>
      <w:r>
        <w:rPr>
          <w:b/>
        </w:rPr>
        <w:t>Maladie thromboembolique veineuse (MTV)</w:t>
      </w:r>
      <w:r>
        <w:t xml:space="preserve"> : incidence 1-2/1000 habitants/an, avec surmorbidité post-chirurgicale et post-obstétricale.</w:t>
      </w:r>
    </w:p>
    <w:p>
      <w:pPr>
        <w:pStyle w:val="ListBullet"/>
      </w:pPr>
      <w:r/>
      <w:r>
        <w:rPr>
          <w:b/>
        </w:rPr>
        <w:t>Maladie hypertensive de la grossesse</w:t>
      </w:r>
      <w:r>
        <w:t xml:space="preserve"> : prééclampsie, éclampsie — particulièrement problématique (5-8 % des grossesses en Algérie).</w:t>
      </w:r>
    </w:p>
    <w:p>
      <w:pPr>
        <w:pStyle w:val="Heading4"/>
      </w:pPr>
      <w:r>
        <w:t>2.2 Spécificités du marché algérien</w:t>
      </w:r>
    </w:p>
    <w:p>
      <w:pPr>
        <w:pStyle w:val="ListBullet"/>
      </w:pPr>
      <w:r/>
      <w:r>
        <w:rPr>
          <w:b/>
        </w:rPr>
        <w:t>Large disponibilité des classes thérapeutiques</w:t>
      </w:r>
      <w:r>
        <w:t xml:space="preserve"> : IEC, ARA2, bêtabloquants, inhibiteurs calciques, diurétiques, statines, anticoagulants oraux (AVK et AOD), antiagrégants plaquettaires et héparines sont largement représentés.</w:t>
      </w:r>
    </w:p>
    <w:p>
      <w:pPr>
        <w:pStyle w:val="ListBullet"/>
      </w:pPr>
      <w:r/>
      <w:r>
        <w:rPr>
          <w:b/>
        </w:rPr>
        <w:t>Associations fixes nombreuses</w:t>
      </w:r>
      <w:r>
        <w:t xml:space="preserve"> : surtout dans le domaine HTA (IEC+diurétique, ARA2+diurétique, IEC/ARA2+ICA, associations triples) pour améliorer l'observance.</w:t>
      </w:r>
    </w:p>
    <w:p>
      <w:pPr>
        <w:pStyle w:val="ListBullet"/>
      </w:pPr>
      <w:r/>
      <w:r>
        <w:rPr>
          <w:b/>
        </w:rPr>
        <w:t>Anticoagulants oraux directs (AOD)</w:t>
      </w:r>
      <w:r>
        <w:t xml:space="preserve"> : rivaroxaban, apixaban, dabigatran disponibles mais edoxaban absent.</w:t>
      </w:r>
    </w:p>
    <w:p>
      <w:pPr>
        <w:pStyle w:val="ListBullet"/>
      </w:pPr>
      <w:r/>
      <w:r>
        <w:rPr>
          <w:b/>
        </w:rPr>
        <w:t>Statines</w:t>
      </w:r>
      <w:r>
        <w:t xml:space="preserve"> : les 5 principales statines disponibles (atorvastatine, rosuvastatine, simvastatine, pravastatine, fluvastatine) ; pitavastatine absente.</w:t>
      </w:r>
    </w:p>
    <w:p>
      <w:pPr>
        <w:pStyle w:val="ListBullet"/>
      </w:pPr>
      <w:r/>
      <w:r>
        <w:rPr>
          <w:b/>
        </w:rPr>
        <w:t>Retraits marquants</w:t>
      </w:r>
      <w:r>
        <w:t xml:space="preserve"> : ticlopidine (hématotoxicité historique), vérapamil retiré dans certaines formes, rosuvastatine+ezetimibe association non disponible.</w:t>
      </w:r>
    </w:p>
    <w:p>
      <w:pPr>
        <w:pStyle w:val="ListBullet"/>
      </w:pPr>
      <w:r/>
      <w:r>
        <w:rPr>
          <w:b/>
        </w:rPr>
        <w:t>Absences notables</w:t>
      </w:r>
      <w:r>
        <w:t xml:space="preserve"> : dronédarone, ibutilide, fondaparinux, alirocumab, gemfibrozil, nitroglycérine en spray sublingual (parfois), warfarine (remplacée par acénocoumarol).</w:t>
      </w:r>
    </w:p>
    <w:p>
      <w:pPr>
        <w:pStyle w:val="Heading3"/>
      </w:pPr>
      <w:r>
        <w:t>3. Sources académiques et médicales mobilisées</w:t>
      </w:r>
    </w:p>
    <w:p>
      <w:pPr>
        <w:pStyle w:val="ListBullet"/>
      </w:pPr>
      <w:r/>
      <w:r>
        <w:rPr>
          <w:b/>
        </w:rPr>
        <w:t>VIDAL</w:t>
      </w:r>
      <w:r>
        <w:t xml:space="preserve"> : AMM, RCP, interactions.</w:t>
      </w:r>
    </w:p>
    <w:p>
      <w:pPr>
        <w:pStyle w:val="ListBullet"/>
      </w:pPr>
      <w:r/>
      <w:r>
        <w:rPr>
          <w:b/>
        </w:rPr>
        <w:t>ANSM</w:t>
      </w:r>
      <w:r>
        <w:t xml:space="preserve"> : recommandations, mises en garde (notamment sur AOD et hémorragies, statines et rhabdomyolyse, clopidogrel et IPP).</w:t>
      </w:r>
    </w:p>
    <w:p>
      <w:pPr>
        <w:pStyle w:val="ListBullet"/>
      </w:pPr>
      <w:r/>
      <w:r>
        <w:rPr>
          <w:b/>
        </w:rPr>
        <w:t>Thériaque</w:t>
      </w:r>
      <w:r>
        <w:t xml:space="preserve"> : banque de données pharmaceutiques (CNHIM).</w:t>
      </w:r>
    </w:p>
    <w:p>
      <w:pPr>
        <w:pStyle w:val="ListBullet"/>
      </w:pPr>
      <w:r/>
      <w:r>
        <w:rPr>
          <w:b/>
        </w:rPr>
        <w:t>CRAT (Centre de Renseignement sur les Agents Tératogènes)</w:t>
      </w:r>
      <w:r>
        <w:t xml:space="preserve"> : données grossesse et allaitement, fondamentales pour les anticoagulants/HTA gravidique.</w:t>
      </w:r>
    </w:p>
    <w:p>
      <w:pPr>
        <w:pStyle w:val="ListBullet"/>
      </w:pPr>
      <w:r/>
      <w:r>
        <w:rPr>
          <w:b/>
        </w:rPr>
        <w:t>ESC (European Society of Cardiology)</w:t>
      </w:r>
      <w:r>
        <w:t xml:space="preserve"> : guidelines HTA, ICC, FA, SCA, dyslipidémies.</w:t>
      </w:r>
    </w:p>
    <w:p>
      <w:pPr>
        <w:pStyle w:val="ListBullet"/>
      </w:pPr>
      <w:r/>
      <w:r>
        <w:rPr>
          <w:b/>
        </w:rPr>
        <w:t>ESH (European Society of Hypertension)</w:t>
      </w:r>
      <w:r>
        <w:t xml:space="preserve"> : guidelines HTA.</w:t>
      </w:r>
    </w:p>
    <w:p>
      <w:pPr>
        <w:pStyle w:val="ListBullet"/>
      </w:pPr>
      <w:r/>
      <w:r>
        <w:rPr>
          <w:b/>
        </w:rPr>
        <w:t>ACCP (American College of Chest Physicians)</w:t>
      </w:r>
      <w:r>
        <w:t xml:space="preserve"> : recommandations antithrombotiques.</w:t>
      </w:r>
    </w:p>
    <w:p>
      <w:pPr>
        <w:pStyle w:val="ListBullet"/>
      </w:pPr>
      <w:r/>
      <w:r>
        <w:rPr>
          <w:b/>
        </w:rPr>
        <w:t>AHA/ACC (American Heart Association/American College of Cardiology)</w:t>
      </w:r>
      <w:r>
        <w:t xml:space="preserve"> : guidelines statines/SCA.</w:t>
      </w:r>
    </w:p>
    <w:p>
      <w:pPr>
        <w:pStyle w:val="ListBullet"/>
      </w:pPr>
      <w:r/>
      <w:r>
        <w:rPr>
          <w:b/>
        </w:rPr>
        <w:t>UpToDate, DynaMed, IBM Micromedex, BMJ Best Practice, HAS</w:t>
      </w:r>
      <w:r>
        <w:t xml:space="preserve"> : référentiels internationaux.</w:t>
      </w:r>
    </w:p>
    <w:p>
      <w:pPr>
        <w:pStyle w:val="ListBullet"/>
      </w:pPr>
      <w:r/>
      <w:r>
        <w:rPr>
          <w:b/>
        </w:rPr>
        <w:t>PubMed</w:t>
      </w:r>
      <w:r>
        <w:t xml:space="preserve"> : littérature primaire pour mécanismes et données récentes (essais HOPE, EUROPA, LIFE, VALIANT, RALES, EPHESUS, DIG, 4S, JUPITER, IMPROVE-IT, FOURIER, ASCOT, ACCOMPLISH, HYVET, etc.).</w:t>
      </w:r>
    </w:p>
    <w:p>
      <w:pPr>
        <w:pStyle w:val="ListBullet"/>
      </w:pPr>
      <w:r/>
      <w:r>
        <w:rPr>
          <w:b/>
        </w:rPr>
        <w:t>Recommandations algériennes</w:t>
      </w:r>
      <w:r>
        <w:t xml:space="preserve"> : Société Algérienne de Cardiologie (SAC), Société Algérienne d'Hypertension Artérielle.</w:t>
      </w:r>
    </w:p>
    <w:p>
      <w:pPr>
        <w:pStyle w:val="Heading3"/>
      </w:pPr>
      <w:r>
        <w:t>4. Périmètre de ce fascicule</w:t>
      </w:r>
    </w:p>
    <w:p>
      <w:r>
        <w:t>Ce fascicule couvre les classes cardiovasculaires suivantes :</w:t>
      </w:r>
    </w:p>
    <w:p>
      <w:pPr>
        <w:pStyle w:val="Heading4"/>
      </w:pPr>
      <w:r>
        <w:t>Système Rénine-Angiotensine-Aldostérone (SRAA) (26 DCI)</w:t>
      </w:r>
    </w:p>
    <w:p>
      <w:pPr>
        <w:pStyle w:val="ListNumber"/>
      </w:pPr>
      <w:r>
        <w:t>IEC (7) : captopril, énalapril, lisinopril, périndopril, ramipril, quinapril, cilazapril, moexipril</w:t>
      </w:r>
    </w:p>
    <w:p>
      <w:pPr>
        <w:pStyle w:val="ListNumber"/>
      </w:pPr>
      <w:r>
        <w:t>ARA2/Sartans (7) : losartan, valsartan, irbésartan, candésartan, telmisartan, olmésartan, azilsartan</w:t>
      </w:r>
    </w:p>
    <w:p>
      <w:pPr>
        <w:pStyle w:val="ListNumber"/>
      </w:pPr>
      <w:r>
        <w:t>IEC + Diurétiques associations (6) : captopril+HCTZ, énalapril+HCTZ, moexipril+HCTZ, périndopril+indapamide, quinapril+HCTZ, ramipril+HCTZ</w:t>
      </w:r>
    </w:p>
    <w:p>
      <w:pPr>
        <w:pStyle w:val="ListNumber"/>
      </w:pPr>
      <w:r>
        <w:t>ARA2 + Diurétiques associations (6) : azilsartan+chlorthalidone, candésartan+HCTZ, irbésartan+HCTZ, losartan+HCTZ, telmisartan+HCTZ, valsartan+HCTZ</w:t>
      </w:r>
    </w:p>
    <w:p>
      <w:pPr>
        <w:pStyle w:val="Heading4"/>
      </w:pPr>
      <w:r>
        <w:t>Bêtabloquants et associations fixes (13 DCI)</w:t>
      </w:r>
    </w:p>
    <w:p>
      <w:pPr>
        <w:pStyle w:val="ListNumber"/>
      </w:pPr>
      <w:r>
        <w:t>Cardiosélectifs (4), avec ISA (1), avec NO (1), Non cardiosélectifs (2), Non sélectifs+α-bloc (1), +Diurétiques (2), +ICA (1), Classe III (1)</w:t>
      </w:r>
    </w:p>
    <w:p>
      <w:pPr>
        <w:pStyle w:val="Heading4"/>
      </w:pPr>
      <w:r>
        <w:t>Inhibiteurs calciques, antihypertenseurs centraux, alpha-bloquants (14 DCI)</w:t>
      </w:r>
    </w:p>
    <w:p>
      <w:pPr>
        <w:pStyle w:val="ListNumber"/>
      </w:pPr>
      <w:r>
        <w:t>ICA-DHP (6) : amlodipine, nifédipine, félodipine, lercanidipine, nicardipine, nitrendipine, isradipine</w:t>
      </w:r>
    </w:p>
    <w:p>
      <w:pPr>
        <w:pStyle w:val="ListNumber"/>
      </w:pPr>
      <w:r>
        <w:t>ICA-Phénylalkylamines (1) : vérapamil</w:t>
      </w:r>
    </w:p>
    <w:p>
      <w:pPr>
        <w:pStyle w:val="ListNumber"/>
      </w:pPr>
      <w:r>
        <w:t>ICA-Benzothiazépines (1) : diltiazem</w:t>
      </w:r>
    </w:p>
    <w:p>
      <w:pPr>
        <w:pStyle w:val="ListNumber"/>
      </w:pPr>
      <w:r>
        <w:t>Centraux (3) : clonidine, méthyldopa, moxonidine</w:t>
      </w:r>
    </w:p>
    <w:p>
      <w:pPr>
        <w:pStyle w:val="ListNumber"/>
      </w:pPr>
      <w:r>
        <w:t>Alpha-bloquants (3) : doxazosine, alfuzosine, tamsulosine</w:t>
      </w:r>
    </w:p>
    <w:p>
      <w:pPr>
        <w:pStyle w:val="Heading4"/>
      </w:pPr>
      <w:r>
        <w:t>Vasodilatateurs, diurétiques et digitaliques (15 DCI)</w:t>
      </w:r>
    </w:p>
    <w:p>
      <w:pPr>
        <w:pStyle w:val="ListNumber"/>
      </w:pPr>
      <w:r>
        <w:t>Nitrés (2), NO-donneurs (1), Directs (1)</w:t>
      </w:r>
    </w:p>
    <w:p>
      <w:pPr>
        <w:pStyle w:val="ListNumber"/>
      </w:pPr>
      <w:r>
        <w:t>Anse (3), Thiazidiques (1), Thiazidiques-like (1)</w:t>
      </w:r>
    </w:p>
    <w:p>
      <w:pPr>
        <w:pStyle w:val="ListNumber"/>
      </w:pPr>
      <w:r>
        <w:t>Épargneurs K+ (2), Associations épargneurs K++thiazidiques (2)</w:t>
      </w:r>
    </w:p>
    <w:p>
      <w:pPr>
        <w:pStyle w:val="ListNumber"/>
      </w:pPr>
      <w:r>
        <w:t>Anhydrase carbonique (1), Osmotiques (1), Digitaliques (1)</w:t>
      </w:r>
    </w:p>
    <w:p>
      <w:pPr>
        <w:pStyle w:val="Heading4"/>
      </w:pPr>
      <w:r>
        <w:t>Antiarythmiques (7 DCI)</w:t>
      </w:r>
    </w:p>
    <w:p>
      <w:pPr>
        <w:pStyle w:val="ListNumber"/>
      </w:pPr>
      <w:r>
        <w:t>Classes Ia (1), Ib (1), Ic (2), III (1), If (1), Purines (1)</w:t>
      </w:r>
    </w:p>
    <w:p>
      <w:pPr>
        <w:pStyle w:val="Heading4"/>
      </w:pPr>
      <w:r>
        <w:t>Antithrombotiques : Anticoagulants et héparines (10 DCI)</w:t>
      </w:r>
    </w:p>
    <w:p>
      <w:pPr>
        <w:pStyle w:val="ListNumber"/>
      </w:pPr>
      <w:r>
        <w:t>AVK (1) : acénocoumarol</w:t>
      </w:r>
    </w:p>
    <w:p>
      <w:pPr>
        <w:pStyle w:val="ListNumber"/>
      </w:pPr>
      <w:r>
        <w:t>AOD anti-Xa (2) : apixaban, rivaroxaban</w:t>
      </w:r>
    </w:p>
    <w:p>
      <w:pPr>
        <w:pStyle w:val="ListNumber"/>
      </w:pPr>
      <w:r>
        <w:t>AOD anti-IIa (1) : dabigatran</w:t>
      </w:r>
    </w:p>
    <w:p>
      <w:pPr>
        <w:pStyle w:val="ListNumber"/>
      </w:pPr>
      <w:r>
        <w:t>HNF (1), HBPM (5) : enoxaparine, daltéparine, nadroparine, tinzaparine, bémiparine</w:t>
      </w:r>
    </w:p>
    <w:p>
      <w:pPr>
        <w:pStyle w:val="Heading4"/>
      </w:pPr>
      <w:r>
        <w:t>Antiagrégants plaquettaires et thrombolytiques (9 DCI)</w:t>
      </w:r>
    </w:p>
    <w:p>
      <w:pPr>
        <w:pStyle w:val="ListNumber"/>
      </w:pPr>
      <w:r>
        <w:t>P2Y12 (2) : clopidogrel, prasugrel</w:t>
      </w:r>
    </w:p>
    <w:p>
      <w:pPr>
        <w:pStyle w:val="ListNumber"/>
      </w:pPr>
      <w:r>
        <w:t>Ticagrelor (1), Ticlopidine (1), Dipyridamole (1)</w:t>
      </w:r>
    </w:p>
    <w:p>
      <w:pPr>
        <w:pStyle w:val="ListNumber"/>
      </w:pPr>
      <w:r>
        <w:t>Association clopidogrel+ASA (1)</w:t>
      </w:r>
    </w:p>
    <w:p>
      <w:pPr>
        <w:pStyle w:val="ListNumber"/>
      </w:pPr>
      <w:r>
        <w:t>Thrombolytiques (3) : streptokinase, altéplase, ténectéplase</w:t>
      </w:r>
    </w:p>
    <w:p>
      <w:pPr>
        <w:pStyle w:val="Heading4"/>
      </w:pPr>
      <w:r>
        <w:t>Hypolipémiants, inotropes et associations cardiovasculaires complexes (25 DCI)</w:t>
      </w:r>
    </w:p>
    <w:p>
      <w:pPr>
        <w:pStyle w:val="ListNumber"/>
      </w:pPr>
      <w:r>
        <w:t>Statines (5), Ezetimibe (1), Statine+Ezetimibe (1), Fibrates (1), Séquestrants biliaires (1), anti-PCSK9 (1)</w:t>
      </w:r>
    </w:p>
    <w:p>
      <w:pPr>
        <w:pStyle w:val="ListNumber"/>
      </w:pPr>
      <w:r>
        <w:t>Inotropes (4) : dobutamine, dopamine, milrinone, lévosimendan</w:t>
      </w:r>
    </w:p>
    <w:p>
      <w:pPr>
        <w:pStyle w:val="ListNumber"/>
      </w:pPr>
      <w:r>
        <w:t>ICA+Statine (1), Associations triples HTA (3), IEC+ICA (3), ARA2+ICA (4)</w:t>
      </w:r>
    </w:p>
    <w:p>
      <w:r/>
      <w:r>
        <w:rPr>
          <w:b/>
        </w:rPr>
        <w:t>Total : 119 DCI canoniques</w:t>
      </w:r>
      <w:r>
        <w:t xml:space="preserve"> traitées individuellement, représentant plus de </w:t>
      </w:r>
      <w:r>
        <w:rPr>
          <w:b/>
        </w:rPr>
        <w:t>700 spécialités commerciales</w:t>
      </w:r>
      <w:r>
        <w:t xml:space="preserve"> actives, non renouvelables ou retirées.</w:t>
      </w:r>
    </w:p>
    <w:p>
      <w:pPr>
        <w:pStyle w:val="Heading3"/>
      </w:pPr>
      <w:r>
        <w:t>5. Rappel stratégique sur le bon usage cardiovasculaire</w:t>
      </w:r>
    </w:p>
    <w:p>
      <w:r>
        <w:t>Le pharmacien d'officine algérien joue un rôle clé dans :</w:t>
      </w:r>
    </w:p>
    <w:p>
      <w:pPr>
        <w:pStyle w:val="ListBullet"/>
      </w:pPr>
      <w:r/>
      <w:r>
        <w:rPr>
          <w:b/>
        </w:rPr>
        <w:t>L'analyse pharmaceutique des prescriptions cardiovasculaires</w:t>
      </w:r>
      <w:r>
        <w:t xml:space="preserve"> : vérification des contre-indications (IEC + grossesse 2e/3e trimestre, vérapamil + β-bloquant, AOD + IRC, statines + grossesse), des interactions médicamenteuses (amiodarone + AVK/statines/digoxine, AINS + IEC + diurétique = triple whammy), des adaptations posologiques (DFG, âge, poids).</w:t>
      </w:r>
    </w:p>
    <w:p>
      <w:pPr>
        <w:pStyle w:val="ListBullet"/>
      </w:pPr>
      <w:r/>
      <w:r>
        <w:rPr>
          <w:b/>
        </w:rPr>
        <w:t>L'éducation thérapeutique du patient hypertendu</w:t>
      </w:r>
      <w:r>
        <w:t xml:space="preserve"> : observance (traitements au long cours), surveillance TA domicile, régime hyposodé, activité physique.</w:t>
      </w:r>
    </w:p>
    <w:p>
      <w:pPr>
        <w:pStyle w:val="ListBullet"/>
      </w:pPr>
      <w:r/>
      <w:r>
        <w:rPr>
          <w:b/>
        </w:rPr>
        <w:t>Le suivi biologique</w:t>
      </w:r>
      <w:r>
        <w:t xml:space="preserve"> : INR pour AVK, créatinine/K+ pour IEC/ARA2/spironolactone, CPK/ALAT pour statines, NFS pour ticlopidine/clopidogrel.</w:t>
      </w:r>
    </w:p>
    <w:p>
      <w:pPr>
        <w:pStyle w:val="ListBullet"/>
      </w:pPr>
      <w:r/>
      <w:r>
        <w:rPr>
          <w:b/>
        </w:rPr>
        <w:t>La prévention des accidents hémorragiques</w:t>
      </w:r>
      <w:r>
        <w:t xml:space="preserve"> : anticoagulants et antiagrégants (signes d'alerte, gestion oublis, arrêt pré-opératoire).</w:t>
      </w:r>
    </w:p>
    <w:p>
      <w:pPr>
        <w:pStyle w:val="ListBullet"/>
      </w:pPr>
      <w:r/>
      <w:r>
        <w:rPr>
          <w:b/>
        </w:rPr>
        <w:t>Le repérage des signes d'alerte</w:t>
      </w:r>
      <w:r>
        <w:t xml:space="preserve"> : angor instable, décompensation cardiaque (dyspnée, œdèmes), trouble du rythme (palpitations), syncope.</w:t>
      </w:r>
    </w:p>
    <w:p>
      <w:pPr>
        <w:pStyle w:val="ListBullet"/>
      </w:pPr>
      <w:r/>
      <w:r>
        <w:rPr>
          <w:b/>
        </w:rPr>
        <w:t>L'orientation médicale systématique</w:t>
      </w:r>
      <w:r>
        <w:t xml:space="preserve"> pour symptômes évocateurs (douleur thoracique, dyspnée aiguë, déficit neurologique brutal).</w:t>
      </w:r>
    </w:p>
    <w:p>
      <w:pPr>
        <w:pStyle w:val="Heading3"/>
      </w:pPr>
      <w:r>
        <w:t>6. Structure type d'une fiche DCI</w:t>
      </w:r>
    </w:p>
    <w:p>
      <w:r>
        <w:t>Chaque fiche DCI suit la même structure uniforme en douze sections que les fascicules précédents :</w:t>
      </w:r>
    </w:p>
    <w:p>
      <w:pPr>
        <w:pStyle w:val="ListNumber"/>
      </w:pPr>
      <w:r>
        <w:t>Liste des catégories thérapeutiques.</w:t>
      </w:r>
    </w:p>
    <w:p>
      <w:pPr>
        <w:pStyle w:val="ListNumber"/>
      </w:pPr>
      <w:r>
        <w:t>Médicaments disponibles en Algérie (marques, laboratoires, formes, statut).</w:t>
      </w:r>
    </w:p>
    <w:p>
      <w:pPr>
        <w:pStyle w:val="ListNumber"/>
      </w:pPr>
      <w:r>
        <w:t>Sous-classe et mécanisme d'action moléculaire.</w:t>
      </w:r>
    </w:p>
    <w:p>
      <w:pPr>
        <w:pStyle w:val="ListNumber"/>
      </w:pPr>
      <w:r>
        <w:t>Profil pharmacologique (indications, CI, EI avec physiopathologie).</w:t>
      </w:r>
    </w:p>
    <w:p>
      <w:pPr>
        <w:pStyle w:val="ListNumber"/>
      </w:pPr>
      <w:r>
        <w:t>Prévention et gestion des EI.</w:t>
      </w:r>
    </w:p>
    <w:p>
      <w:pPr>
        <w:pStyle w:val="ListNumber"/>
      </w:pPr>
      <w:r>
        <w:t>Interactions médicamenteuses.</w:t>
      </w:r>
    </w:p>
    <w:p>
      <w:pPr>
        <w:pStyle w:val="ListNumber"/>
      </w:pPr>
      <w:r>
        <w:t>Grossesse et allaitement (CRAT).</w:t>
      </w:r>
    </w:p>
    <w:p>
      <w:pPr>
        <w:pStyle w:val="ListNumber"/>
      </w:pPr>
      <w:r>
        <w:t>Posologie et mode d'administration.</w:t>
      </w:r>
    </w:p>
    <w:p>
      <w:pPr>
        <w:pStyle w:val="ListNumber"/>
      </w:pPr>
      <w:r>
        <w:t>Arbitrage et bénéfices des formes galéniques.</w:t>
      </w:r>
    </w:p>
    <w:p>
      <w:pPr>
        <w:pStyle w:val="ListNumber"/>
      </w:pPr>
      <w:r>
        <w:t>Instructions et conseils au patient.</w:t>
      </w:r>
    </w:p>
    <w:p>
      <w:pPr>
        <w:pStyle w:val="ListNumber"/>
      </w:pPr>
      <w:r>
        <w:t>Notes, règles d'or et pièges au comptoir.</w:t>
      </w:r>
    </w:p>
    <w:p>
      <w:pPr>
        <w:pStyle w:val="ListNumber"/>
      </w:pPr>
      <w:r>
        <w:t>Tableau comparatif de sous-classe en fin de chapitre.</w:t>
      </w:r>
    </w:p>
    <w:p>
      <w:pPr>
        <w:pStyle w:val="Heading3"/>
      </w:pPr>
      <w:r>
        <w:t>7. Engagements qualité</w:t>
      </w:r>
    </w:p>
    <w:p>
      <w:pPr>
        <w:pStyle w:val="ListBullet"/>
      </w:pPr>
      <w:r/>
      <w:r>
        <w:rPr>
          <w:b/>
        </w:rPr>
        <w:t>Égalité de traitement</w:t>
      </w:r>
      <w:r>
        <w:t xml:space="preserve"> : chaque DCI est traitée avec la même rigueur, quelle que soit sa fréquence d'usage.</w:t>
      </w:r>
    </w:p>
    <w:p>
      <w:pPr>
        <w:pStyle w:val="ListBullet"/>
      </w:pPr>
      <w:r/>
      <w:r>
        <w:rPr>
          <w:b/>
        </w:rPr>
        <w:t>Exhaustivité absolue du fichier</w:t>
      </w:r>
      <w:r>
        <w:t xml:space="preserve"> : aucune marque enregistrée n'est omise.</w:t>
      </w:r>
    </w:p>
    <w:p>
      <w:pPr>
        <w:pStyle w:val="ListBullet"/>
      </w:pPr>
      <w:r/>
      <w:r>
        <w:rPr>
          <w:b/>
        </w:rPr>
        <w:t>Zéro perte d'information scientifique</w:t>
      </w:r>
      <w:r>
        <w:t xml:space="preserve"> : mécanismes moléculaires, interactions et profils de tolérance détaillés.</w:t>
      </w:r>
    </w:p>
    <w:p>
      <w:pPr>
        <w:pStyle w:val="ListBullet"/>
      </w:pPr>
      <w:r/>
      <w:r>
        <w:rPr>
          <w:b/>
        </w:rPr>
        <w:t>Vérification continue de la vérité scientifique</w:t>
      </w:r>
      <w:r>
        <w:t xml:space="preserve"> : recoupement systématique des sources.</w:t>
      </w:r>
    </w:p>
    <w:p>
      <w:pPr>
        <w:pStyle w:val="ListBullet"/>
      </w:pPr>
      <w:r/>
      <w:r>
        <w:rPr>
          <w:b/>
        </w:rPr>
        <w:t>Focus Algérie</w:t>
      </w:r>
      <w:r>
        <w:t xml:space="preserve"> : seules les spécialités du fichier source sont mentionnées ; les molécules non disponibles sont explicitement signalées.</w:t>
      </w:r>
    </w:p>
    <w:p>
      <w:pPr>
        <w:pStyle w:val="Heading2"/>
      </w:pPr>
      <w:r>
        <w:t>Sommaire général du Fascicule IV</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31</w:t>
            </w:r>
          </w:p>
        </w:tc>
        <w:tc>
          <w:tcPr>
            <w:tcW w:type="dxa" w:w="3118"/>
          </w:tcPr>
          <w:p>
            <w:r>
              <w:rPr>
                <w:sz w:val="20"/>
              </w:rPr>
              <w:t>Système Rénine-Angiotensine : IEC, ARA2 et associations fixes</w:t>
            </w:r>
          </w:p>
        </w:tc>
        <w:tc>
          <w:tcPr>
            <w:tcW w:type="dxa" w:w="3118"/>
          </w:tcPr>
          <w:p>
            <w:r>
              <w:rPr>
                <w:sz w:val="20"/>
              </w:rPr>
              <w:t>26</w:t>
            </w:r>
          </w:p>
        </w:tc>
      </w:tr>
      <w:tr>
        <w:tc>
          <w:tcPr>
            <w:tcW w:type="dxa" w:w="3118"/>
          </w:tcPr>
          <w:p>
            <w:r>
              <w:rPr>
                <w:sz w:val="20"/>
              </w:rPr>
              <w:t>32</w:t>
            </w:r>
          </w:p>
        </w:tc>
        <w:tc>
          <w:tcPr>
            <w:tcW w:type="dxa" w:w="3118"/>
          </w:tcPr>
          <w:p>
            <w:r>
              <w:rPr>
                <w:sz w:val="20"/>
              </w:rPr>
              <w:t>Bêtabloquants et associations fixes</w:t>
            </w:r>
          </w:p>
        </w:tc>
        <w:tc>
          <w:tcPr>
            <w:tcW w:type="dxa" w:w="3118"/>
          </w:tcPr>
          <w:p>
            <w:r>
              <w:rPr>
                <w:sz w:val="20"/>
              </w:rPr>
              <w:t>13</w:t>
            </w:r>
          </w:p>
        </w:tc>
      </w:tr>
      <w:tr>
        <w:tc>
          <w:tcPr>
            <w:tcW w:type="dxa" w:w="3118"/>
          </w:tcPr>
          <w:p>
            <w:r>
              <w:rPr>
                <w:sz w:val="20"/>
              </w:rPr>
              <w:t>33</w:t>
            </w:r>
          </w:p>
        </w:tc>
        <w:tc>
          <w:tcPr>
            <w:tcW w:type="dxa" w:w="3118"/>
          </w:tcPr>
          <w:p>
            <w:r>
              <w:rPr>
                <w:sz w:val="20"/>
              </w:rPr>
              <w:t>Inhibiteurs calciques, antihypertenseurs centraux et alpha-bloquants</w:t>
            </w:r>
          </w:p>
        </w:tc>
        <w:tc>
          <w:tcPr>
            <w:tcW w:type="dxa" w:w="3118"/>
          </w:tcPr>
          <w:p>
            <w:r>
              <w:rPr>
                <w:sz w:val="20"/>
              </w:rPr>
              <w:t>14</w:t>
            </w:r>
          </w:p>
        </w:tc>
      </w:tr>
      <w:tr>
        <w:tc>
          <w:tcPr>
            <w:tcW w:type="dxa" w:w="3118"/>
          </w:tcPr>
          <w:p>
            <w:r>
              <w:rPr>
                <w:sz w:val="20"/>
              </w:rPr>
              <w:t>34</w:t>
            </w:r>
          </w:p>
        </w:tc>
        <w:tc>
          <w:tcPr>
            <w:tcW w:type="dxa" w:w="3118"/>
          </w:tcPr>
          <w:p>
            <w:r>
              <w:rPr>
                <w:sz w:val="20"/>
              </w:rPr>
              <w:t>Vasodilatateurs, diurétiques et digitaliques</w:t>
            </w:r>
          </w:p>
        </w:tc>
        <w:tc>
          <w:tcPr>
            <w:tcW w:type="dxa" w:w="3118"/>
          </w:tcPr>
          <w:p>
            <w:r>
              <w:rPr>
                <w:sz w:val="20"/>
              </w:rPr>
              <w:t>15</w:t>
            </w:r>
          </w:p>
        </w:tc>
      </w:tr>
      <w:tr>
        <w:tc>
          <w:tcPr>
            <w:tcW w:type="dxa" w:w="3118"/>
          </w:tcPr>
          <w:p>
            <w:r>
              <w:rPr>
                <w:sz w:val="20"/>
              </w:rPr>
              <w:t>35</w:t>
            </w:r>
          </w:p>
        </w:tc>
        <w:tc>
          <w:tcPr>
            <w:tcW w:type="dxa" w:w="3118"/>
          </w:tcPr>
          <w:p>
            <w:r>
              <w:rPr>
                <w:sz w:val="20"/>
              </w:rPr>
              <w:t>Antiarythmiques</w:t>
            </w:r>
          </w:p>
        </w:tc>
        <w:tc>
          <w:tcPr>
            <w:tcW w:type="dxa" w:w="3118"/>
          </w:tcPr>
          <w:p>
            <w:r>
              <w:rPr>
                <w:sz w:val="20"/>
              </w:rPr>
              <w:t>7</w:t>
            </w:r>
          </w:p>
        </w:tc>
      </w:tr>
      <w:tr>
        <w:tc>
          <w:tcPr>
            <w:tcW w:type="dxa" w:w="3118"/>
          </w:tcPr>
          <w:p>
            <w:r>
              <w:rPr>
                <w:sz w:val="20"/>
              </w:rPr>
              <w:t>36</w:t>
            </w:r>
          </w:p>
        </w:tc>
        <w:tc>
          <w:tcPr>
            <w:tcW w:type="dxa" w:w="3118"/>
          </w:tcPr>
          <w:p>
            <w:r>
              <w:rPr>
                <w:sz w:val="20"/>
              </w:rPr>
              <w:t>Antithrombotiques : Anticoagulants oraux et héparines</w:t>
            </w:r>
          </w:p>
        </w:tc>
        <w:tc>
          <w:tcPr>
            <w:tcW w:type="dxa" w:w="3118"/>
          </w:tcPr>
          <w:p>
            <w:r>
              <w:rPr>
                <w:sz w:val="20"/>
              </w:rPr>
              <w:t>10</w:t>
            </w:r>
          </w:p>
        </w:tc>
      </w:tr>
      <w:tr>
        <w:tc>
          <w:tcPr>
            <w:tcW w:type="dxa" w:w="3118"/>
          </w:tcPr>
          <w:p>
            <w:r>
              <w:rPr>
                <w:sz w:val="20"/>
              </w:rPr>
              <w:t>37</w:t>
            </w:r>
          </w:p>
        </w:tc>
        <w:tc>
          <w:tcPr>
            <w:tcW w:type="dxa" w:w="3118"/>
          </w:tcPr>
          <w:p>
            <w:r>
              <w:rPr>
                <w:sz w:val="20"/>
              </w:rPr>
              <w:t>Antiagrégants plaquettaires et thrombolytiques</w:t>
            </w:r>
          </w:p>
        </w:tc>
        <w:tc>
          <w:tcPr>
            <w:tcW w:type="dxa" w:w="3118"/>
          </w:tcPr>
          <w:p>
            <w:r>
              <w:rPr>
                <w:sz w:val="20"/>
              </w:rPr>
              <w:t>9</w:t>
            </w:r>
          </w:p>
        </w:tc>
      </w:tr>
      <w:tr>
        <w:tc>
          <w:tcPr>
            <w:tcW w:type="dxa" w:w="3118"/>
          </w:tcPr>
          <w:p>
            <w:r>
              <w:rPr>
                <w:sz w:val="20"/>
              </w:rPr>
              <w:t>38</w:t>
            </w:r>
          </w:p>
        </w:tc>
        <w:tc>
          <w:tcPr>
            <w:tcW w:type="dxa" w:w="3118"/>
          </w:tcPr>
          <w:p>
            <w:r>
              <w:rPr>
                <w:sz w:val="20"/>
              </w:rPr>
              <w:t>Hypolipémiants, inotropes positifs et associations cardiovasculaires complexes</w:t>
            </w:r>
          </w:p>
        </w:tc>
        <w:tc>
          <w:tcPr>
            <w:tcW w:type="dxa" w:w="3118"/>
          </w:tcPr>
          <w:p>
            <w:r>
              <w:rPr>
                <w:sz w:val="20"/>
              </w:rPr>
              <w:t>25</w:t>
            </w:r>
          </w:p>
        </w:tc>
      </w:tr>
      <w:tr>
        <w:tc>
          <w:tcPr>
            <w:tcW w:type="dxa" w:w="3118"/>
          </w:tcPr>
          <w:p>
            <w:r>
              <w:rPr>
                <w:sz w:val="20"/>
              </w:rPr>
              <w:t>**Total**</w:t>
            </w:r>
          </w:p>
        </w:tc>
        <w:tc>
          <w:tcPr>
            <w:tcW w:type="dxa" w:w="3118"/>
          </w:tcPr>
          <w:p>
            <w:r>
              <w:rPr>
                <w:sz w:val="20"/>
              </w:rPr>
            </w:r>
          </w:p>
        </w:tc>
        <w:tc>
          <w:tcPr>
            <w:tcW w:type="dxa" w:w="3118"/>
          </w:tcPr>
          <w:p>
            <w:r>
              <w:rPr>
                <w:sz w:val="20"/>
              </w:rPr>
              <w:t>**119**</w:t>
            </w:r>
          </w:p>
        </w:tc>
      </w:tr>
    </w:tbl>
    <w:p/>
    <w:p>
      <w:pPr>
        <w:pStyle w:val="Heading1"/>
      </w:pPr>
      <w:r>
        <w:t>CHAPITRE 31 — SYSTÈME RÉNINE-ANGIOTENSINE-ALDOSTÉRONE (SRAA) : IEC, ARA2 ET ASSOCIATIONS FIXES</w:t>
      </w:r>
    </w:p>
    <w:p>
      <w:pPr>
        <w:pStyle w:val="Heading2"/>
      </w:pPr>
      <w:r>
        <w:t>Fascicule IV — Cardiologie</w:t>
      </w:r>
    </w:p>
    <w:p>
      <w:pPr>
        <w:pStyle w:val="Heading2"/>
      </w:pPr>
      <w:r>
        <w:t>INTRODUCTION GÉNÉRALE DU CHAPITRE</w:t>
      </w:r>
    </w:p>
    <w:p>
      <w:r>
        <w:t>Le système rénine-angiotensine-aldostérone (SRAA) constitue le pivot pharmacologique et physiopathologique de la régulation tensionnelle, de l'homéostasie hydrosodée, de la volémie et de la trophicité cardiovasculaire. Sa modulation thérapeutique représente, depuis la mise sur le marché du captopril en 1981, l'une des révolutions les plus structurantes de la pharmacologie cardiovasculaire moderne. Les inhibiteurs de l'enzyme de conversion (IEC) et les antagonistes des récepteurs de l'angiotensine II (ARA2 ou « sartans ») forment aujourd'hui l'ossature des stratégies antihypertensives, néphroprotectrices et cardioprotectrices recommandées par l'European Society of Cardiology (ESC), l'European Society of Hypertension (ESH 2023), la Haute Autorité de Santé (HAS) et l'Organisation Mondiale de la Santé.</w:t>
      </w:r>
    </w:p>
    <w:p>
      <w:r>
        <w:t xml:space="preserve">Ce chapitre traite </w:t>
      </w:r>
      <w:r>
        <w:rPr>
          <w:b/>
        </w:rPr>
        <w:t>26 DCIs</w:t>
      </w:r>
      <w:r>
        <w:t xml:space="preserve"> réparties en quatre sous-classes thérapeutiques : (i) les IEC en monothérapie (7 DCI : captopril, énalapril, lisinopril, périndopril, ramipril, quinapril, cilazapril) ; (ii) les ARA2 en monothérapie (7 DCI : losartan, valsartan, irbésartan, candésartan, telmisartan, olmésartan, azilsartan) ; (iii) les associations fixes IEC + diurétiques (6 DCI : captopril + HCTZ, énalapril + HCTZ, moexipril + HCTZ, périndopril + indapamide, quinapril + HCTZ, ramipril + HCTZ) ; (iv) les associations fixes ARA2 + diurétiques (6 DCI : azilsartan + chlorthalidone, candésartan + HCTZ, irbésartan + HCTZ, losartan + HCTZ, telmisartan + HCTZ, valsartan + HCTZ). Chaque DCI bénéficie d'une fiche technique complète intégrant les spécificités algériennes (marques, laboratoires, formes galéniques, dosages, statut réglementaire issu de la nomenclature officielle du Ministère de la Santé algérien — Avril 2026).</w:t>
      </w:r>
    </w:p>
    <w:p>
      <w:pPr>
        <w:pStyle w:val="Heading3"/>
      </w:pPr>
      <w:r>
        <w:t>Rappel physiologique du SRAA</w:t>
      </w:r>
    </w:p>
    <w:p>
      <w:r>
        <w:t xml:space="preserve">L'angiotensinogène hépatique (α2-globuline) est clivé par la </w:t>
      </w:r>
      <w:r>
        <w:rPr>
          <w:b/>
        </w:rPr>
        <w:t>rénine</w:t>
      </w:r>
      <w:r>
        <w:t>, synthétisée par les cellules juxtaglomérulaires de l'appareil juxtaglomérulaire rénal en réponse à une baisse de pression de perfusion rénale, à une hypovolémie ou à une stimulation sympathique β1. Ce clivage produit l'</w:t>
      </w:r>
      <w:r>
        <w:rPr>
          <w:b/>
        </w:rPr>
        <w:t>angiotensine I</w:t>
      </w:r>
      <w:r>
        <w:t xml:space="preserve"> (décapeptide inactif). L'</w:t>
      </w:r>
      <w:r>
        <w:rPr>
          <w:b/>
        </w:rPr>
        <w:t>enzyme de conversion de l'angiotensine (ECA)</w:t>
      </w:r>
      <w:r>
        <w:t xml:space="preserve">, une dipeptidyl-carboxypeptidase zinc-dépendante localisée principalement à la surface luminale des cellules endothéliales pulmonaires (mais aussi vasculaires systémiques et rénales), convertit l'angiotensine I en </w:t>
      </w:r>
      <w:r>
        <w:rPr>
          <w:b/>
        </w:rPr>
        <w:t>angiotensine II</w:t>
      </w:r>
      <w:r>
        <w:t xml:space="preserve"> (octapeptide actif). L'ECA est identique à la </w:t>
      </w:r>
      <w:r>
        <w:rPr>
          <w:b/>
        </w:rPr>
        <w:t>kininase II</w:t>
      </w:r>
      <w:r>
        <w:t>, ce qui explique sa capacité à dégrader la bradykinine — particularité pharmacologique fondamentale à l'origine de l'effet antihypertenseur complémentaire des IEC mais aussi de leurs effets indésirables spécifiques (toux sèche, angio-œdème).</w:t>
      </w:r>
    </w:p>
    <w:p>
      <w:r>
        <w:t xml:space="preserve">L'angiotensine II exerce ses effets via deux récepteurs principaux : </w:t>
      </w:r>
      <w:r>
        <w:rPr>
          <w:b/>
        </w:rPr>
        <w:t>AT1</w:t>
      </w:r>
      <w:r>
        <w:t xml:space="preserve"> (vasoconstriction artérielle et veineuse, libération d'aldostérone surrénalienne, réabsorption tubulaire proximale directe de sodium, stimulation du système nerveux sympathique, prolifération des cellules musculaires lisses vasculaires, hypertrophie cardiaque, fibrose tissulaire, libération d'ADH) et </w:t>
      </w:r>
      <w:r>
        <w:rPr>
          <w:b/>
        </w:rPr>
        <w:t>AT2</w:t>
      </w:r>
      <w:r>
        <w:t xml:space="preserve"> (effets opposés : vasodilatation, anti-prolifération, différenciation tissulaire). Les ARA2 (« sartans ») bloquent sélectivement le récepteur AT1, laissant l'angiotensine II stimuler AT2 — ce qui pourrait contribuer à leur profil d'effets indésirables différent (moins de toux, moins d'angio-œdème). L'</w:t>
      </w:r>
      <w:r>
        <w:rPr>
          <w:b/>
        </w:rPr>
        <w:t>aldostérone</w:t>
      </w:r>
      <w:r>
        <w:t>, hormone minéralocorticoïde synthétisée par la zone glomérulée surrénalienne, augmente la réabsorption de sodium (et donc d'eau) au niveau du tube collecteur cortical en échange de potassium et d'hydrogènes, contribuant à l'HTA, à l'hypokaliémie, à l'alcalose métabolique et à la fibrose myocardique.</w:t>
      </w:r>
    </w:p>
    <w:p>
      <w:pPr>
        <w:pStyle w:val="Heading3"/>
      </w:pPr>
      <w:r>
        <w:t>Place dans l'arsenal thérapeutique</w:t>
      </w:r>
    </w:p>
    <w:p>
      <w:r>
        <w:t>Les IEC et ARA2 partagent un certain nombre d'indications cardinales :</w:t>
      </w:r>
    </w:p>
    <w:p>
      <w:pPr>
        <w:pStyle w:val="ListBullet"/>
      </w:pPr>
      <w:r/>
      <w:r>
        <w:rPr>
          <w:b/>
        </w:rPr>
        <w:t>Hypertension artérielle essentielle</w:t>
      </w:r>
      <w:r>
        <w:t xml:space="preserve"> : traitement de première intention (en particulier chez le diabétique, l'insuffisant rénal, le sujet avec dysfonction ventriculaire gauche, le patient coronarien) selon les recommandations ESH/ESC 2023 et HAS 2022.</w:t>
      </w:r>
    </w:p>
    <w:p>
      <w:pPr>
        <w:pStyle w:val="ListBullet"/>
      </w:pPr>
      <w:r/>
      <w:r>
        <w:rPr>
          <w:b/>
        </w:rPr>
        <w:t>Insuffisance cardiaque chronique</w:t>
      </w:r>
      <w:r>
        <w:t xml:space="preserve"> à fraction d'éjection altérée (FEVG ≤ 40 %) : IEC (ou ARA2 en cas d'intolérance aux IEC) en association avec bêtabloquant, antagoniste des récepteurs minéralocorticoïdes (ARM) et inhibiteur de la néprilysine (sacubitril) si disponible.</w:t>
      </w:r>
    </w:p>
    <w:p>
      <w:pPr>
        <w:pStyle w:val="ListBullet"/>
      </w:pPr>
      <w:r/>
      <w:r>
        <w:rPr>
          <w:b/>
        </w:rPr>
        <w:t>Post-infarctus du myocarde</w:t>
      </w:r>
      <w:r>
        <w:t xml:space="preserve"> avec dysfonction VG : IEC précoce (ramipril — HOPE, périndopril — EUROPA, trandolapril — TRACE) ont l'AMM la plus documentée.</w:t>
      </w:r>
    </w:p>
    <w:p>
      <w:pPr>
        <w:pStyle w:val="ListBullet"/>
      </w:pPr>
      <w:r/>
      <w:r>
        <w:rPr>
          <w:b/>
        </w:rPr>
        <w:t>Néphropathie diabétique</w:t>
      </w:r>
      <w:r>
        <w:t xml:space="preserve"> (microalbuminurie ou protéinurie) et néphropathie non diabétique protéinurique : effet néphroprotecteur démontré (réduction de la protéinurie, ralentissement de la progression vers l'IRT).</w:t>
      </w:r>
    </w:p>
    <w:p>
      <w:pPr>
        <w:pStyle w:val="ListBullet"/>
      </w:pPr>
      <w:r/>
      <w:r>
        <w:rPr>
          <w:b/>
        </w:rPr>
        <w:t>Prévention cardiovasculaire secondaire</w:t>
      </w:r>
      <w:r>
        <w:t xml:space="preserve"> chez le patient à haut risque (ramipril — HOPE ; périndopril — EUROPA).</w:t>
      </w:r>
    </w:p>
    <w:p>
      <w:pPr>
        <w:pStyle w:val="ListBullet"/>
      </w:pPr>
      <w:r/>
      <w:r>
        <w:rPr>
          <w:b/>
        </w:rPr>
        <w:t>Prévention primaire</w:t>
      </w:r>
      <w:r>
        <w:t xml:space="preserve"> chez le diabétique de type 2 hypertendu (effets combinés tensionnels et rénaux).</w:t>
      </w:r>
    </w:p>
    <w:p>
      <w:pPr>
        <w:pStyle w:val="Heading3"/>
      </w:pPr>
      <w:r>
        <w:t>Différences structurales entre IEC et ARA2</w:t>
      </w:r>
    </w:p>
    <w:p>
      <w:r>
        <w:t xml:space="preserve">Les </w:t>
      </w:r>
      <w:r>
        <w:rPr>
          <w:b/>
        </w:rPr>
        <w:t>IEC</w:t>
      </w:r>
      <w:r>
        <w:t xml:space="preserve"> se classent selon leur groupement chimique liant le zinc de l'ECA :</w:t>
      </w:r>
    </w:p>
    <w:p>
      <w:pPr>
        <w:pStyle w:val="ListBullet"/>
      </w:pPr>
      <w:r/>
      <w:r>
        <w:rPr>
          <w:b/>
        </w:rPr>
        <w:t>Sulfhydrylés (-SH)</w:t>
      </w:r>
      <w:r>
        <w:t xml:space="preserve"> : captopril (et benazepril, non disponible en Algérie) — demi-vie courte, risque de protéinurie et de neutropénie à forte dose, activité anti-oxydante putative, mais métabolisme de la bradykinine plus marqué (toux, angio-œdème).</w:t>
      </w:r>
    </w:p>
    <w:p>
      <w:pPr>
        <w:pStyle w:val="ListBullet"/>
      </w:pPr>
      <w:r/>
      <w:r>
        <w:rPr>
          <w:b/>
        </w:rPr>
        <w:t>Carboxylés (-COOH)</w:t>
      </w:r>
      <w:r>
        <w:t xml:space="preserve"> : représentent la majorité (énalapril, lisinopril, périndopril, ramipril, quinapril, cilazapril, moexipril, trandolapril) — la plupart sont prodrogues (sauf lisinopril), longue demi-vie d'action, meilleure tolérance.</w:t>
      </w:r>
    </w:p>
    <w:p>
      <w:pPr>
        <w:pStyle w:val="ListBullet"/>
      </w:pPr>
      <w:r/>
      <w:r>
        <w:rPr>
          <w:b/>
        </w:rPr>
        <w:t>Phosphorylés (-PO2OH)</w:t>
      </w:r>
      <w:r>
        <w:t xml:space="preserve"> : fosinopril (non disponible en Algérie).</w:t>
      </w:r>
    </w:p>
    <w:p>
      <w:r>
        <w:t xml:space="preserve">Les </w:t>
      </w:r>
      <w:r>
        <w:rPr>
          <w:b/>
        </w:rPr>
        <w:t>ARA2</w:t>
      </w:r>
      <w:r>
        <w:t xml:space="preserve"> sont classés en :</w:t>
      </w:r>
    </w:p>
    <w:p>
      <w:pPr>
        <w:pStyle w:val="ListBullet"/>
      </w:pPr>
      <w:r/>
      <w:r>
        <w:rPr>
          <w:b/>
        </w:rPr>
        <w:t>Biphenyl tetrazoles</w:t>
      </w:r>
      <w:r>
        <w:t xml:space="preserve"> : losartan, irbésartan, candésartan, valsartan, olmésartan.</w:t>
      </w:r>
    </w:p>
    <w:p>
      <w:pPr>
        <w:pStyle w:val="ListBullet"/>
      </w:pPr>
      <w:r/>
      <w:r>
        <w:rPr>
          <w:b/>
        </w:rPr>
        <w:t>Non-biphenyl tetrazoles</w:t>
      </w:r>
      <w:r>
        <w:t xml:space="preserve"> : telmisartan (le plus lipophile, longue demi-vie).</w:t>
      </w:r>
    </w:p>
    <w:p>
      <w:pPr>
        <w:pStyle w:val="ListBullet"/>
      </w:pPr>
      <w:r/>
      <w:r>
        <w:rPr>
          <w:b/>
        </w:rPr>
        <w:t>Acylsulfonamides</w:t>
      </w:r>
      <w:r>
        <w:t xml:space="preserve"> : azilsartan médoxomil (dernier né, 2011).</w:t>
      </w:r>
    </w:p>
    <w:p>
      <w:pPr>
        <w:pStyle w:val="Heading3"/>
      </w:pPr>
      <w:r>
        <w:t>Profondeur clinique et pédagogique</w:t>
      </w:r>
    </w:p>
    <w:p>
      <w:r>
        <w:t>Ce chapitre s'adresse aux étudiants en pharmacie d'Algérie appelés à exercer en officine, en pharmacie hospitalière, en industrie ou en recherche. Il intègre la dimension galénique (formes sécables, pelliculées, quadri-sécables — utiles à l'adaptation posologique), la dimension réglementaire (Liste I vs Liste II, statut commercial Actif/Non Renouvelable/Retiré), la dimension pharmacologique fondamentale (mécanismes moléculaires, PK, PD), et la dimension clinique pratique (conseils au comptoir, surveillance biologique, prévention des interactions, gestion des effets indésirables, conduite à tenir devant une toux sous IEC ou un angio-œdème). Les sources mobilisées sont : VIDAL, ANSM (Résumé des Caractéristiques du Produit), Thériaque, CRAT (Centre de Renseignements sur les Agents Tératogènes), UpToDate, Micromedex, HAS, ESH/ESC guidelines, et les principales études pivot (HOPE, EUROPA, ONTARGET, LIFE, VALUE, CHARM, TRANSCEND, ACTIVE-I, etc.).</w:t>
      </w:r>
    </w:p>
    <w:p>
      <w:pPr>
        <w:pStyle w:val="Heading2"/>
      </w:pPr>
      <w:r>
        <w:t>SOUS-CLASSE 1 — INHIBITEURS DE L'ENZYME DE CONVERSION (IEC)</w:t>
      </w:r>
    </w:p>
    <w:p>
      <w:pPr>
        <w:pStyle w:val="Heading3"/>
      </w:pPr>
      <w:r>
        <w:t>Introduction de la sous-classe</w:t>
      </w:r>
    </w:p>
    <w:p>
      <w:r>
        <w:t>Les inhibiteurs de l'enzyme de conversion représentent la première grande classe issue de la recherche pharmacologique moderne ciblant le SRAA. Le captopril, dérivé du venin de Bothrops jararaca contenant un peptide inhibiteur de l'ECA (le teprotide), est commercialisé dès 1981. Les IEC de deuxième génération (énalapril, lisinopril, ramipril, périndopril, etc.) ont été développés pour améliorer la biodisponibilité orale, la durée d'action (mono-prise quotidienne) et la tolérance hématologique.</w:t>
      </w:r>
    </w:p>
    <w:p>
      <w:r>
        <w:t xml:space="preserve">Les IEC bloquent l'ECA (kininase II), entraînant trois conséquences pharmacodynamiques majeures : (1) </w:t>
      </w:r>
      <w:r>
        <w:rPr>
          <w:b/>
        </w:rPr>
        <w:t>diminution de la formation d'angiotensine II</w:t>
      </w:r>
      <w:r>
        <w:t xml:space="preserve">, avec baisse de la vasoconstriction artérielle et veineuse, baisse de la sécrétion d'aldostérone (donc natriurèse et épargne potassique), baisse de la stimulation sympathique, et inhibition de la trophicité cardiovasculaire (régression d'hypertrophie VG, anti-fibrose) ; (2) </w:t>
      </w:r>
      <w:r>
        <w:rPr>
          <w:b/>
        </w:rPr>
        <w:t>augmentation des taux de bradykinine</w:t>
      </w:r>
      <w:r>
        <w:t xml:space="preserve"> (vasodilatateur endothélial via NO et prostacyclines), potentialisation de l'effet vasodilatateur — mais aussi responsable de la toux sèche et de l'angio-œdème ; (3) </w:t>
      </w:r>
      <w:r>
        <w:rPr>
          <w:b/>
        </w:rPr>
        <w:t>activation du SRAA tissulaire local</w:t>
      </w:r>
      <w:r>
        <w:t xml:space="preserve"> dont l'infection chronique participe à la protection cardiovasculaire à long terme.</w:t>
      </w:r>
    </w:p>
    <w:p>
      <w:r>
        <w:t xml:space="preserve">Les IEC ont en commun un profil d'effets indésirables caractéristiques : toux sèche (5 à 20 % des patients, plus fréquente chez la femme, le sujet asiatique et l'insuffisant rénal), angio-œdème (0,1 à 0,7 %, plus fréquent chez le sujet noir), hyperkaliémie (surtout en association avec AINS, ARM, supplémentation potassique), insuffisance rénale fonctionnelle (surtout en cas de sténose de l'artère rénale bilatérale ou unique rein, hypovolémie, association avec AINS), hypotension de première dose (surtout en cas de déplétion volumique, forte HTA rénine-dépendante, traitement diurétique concomitant). La contre-indication majeure est la </w:t>
      </w:r>
      <w:r>
        <w:rPr>
          <w:b/>
        </w:rPr>
        <w:t>grossesse (2e et 3e trimestres)</w:t>
      </w:r>
      <w:r>
        <w:t xml:space="preserve"> : toxicité fœtale rénale (oligoamnios, anurie néonatale, hypoplasie tubulaire), hypoplasie pulmonaire, hypotension néonatale, malformations crâniennes.</w:t>
      </w:r>
    </w:p>
    <w:p>
      <w:pPr>
        <w:pStyle w:val="Heading3"/>
      </w:pPr>
      <w:r>
        <w:t>Médicaments disponibles en Algérie (vue d'ensemble)</w:t>
      </w:r>
    </w:p>
    <w:p>
      <w:r>
        <w:t xml:space="preserve">Sept DCI sont présentes dans la nomenclature algérienne : captopril (Lozen, Saidal, Merinal — multiples marques retirées du marché), énalapril (essentiellement Mylan, mais historiquement Rénitec, Lasyteq), lisinopril (essentiellement retiré — Inopril, Lisinopril Iberal, Jace), périndopril (Beker, Perindosyl, Coversyl), ramipril (Beker, Ramitrim, Tanatril, Triatec, Triampex, Raminorm), quinapril (Acuitel — Pfizer), cilazapril (Justor — retiré). Une DCI, le </w:t>
      </w:r>
      <w:r>
        <w:rPr>
          <w:b/>
        </w:rPr>
        <w:t>moexipril</w:t>
      </w:r>
      <w:r>
        <w:t>, n'est pas disponible en monothérapie mais uniquement en association fixe avec l'hydrochlorothiazide (Fempress Plus, non renouvelable).</w:t>
      </w:r>
    </w:p>
    <w:p>
      <w:pPr>
        <w:pStyle w:val="Heading3"/>
      </w:pPr>
      <w:r>
        <w:t>1. DCI : Captopril (Seule)</w:t>
      </w:r>
    </w:p>
    <w:p>
      <w:r/>
      <w:r>
        <w:rPr>
          <w:b/>
        </w:rPr>
        <w:t>Liste des Catégories :</w:t>
      </w:r>
      <w:r>
        <w:t xml:space="preserve"> Liste I (Algérie) ; antihypertenseur inhibiteur de l'ECA, précurseur historique de la classe (1981). Premier IEC disponible commercialement, dérivé du teprotide (peptide présent dans le venin de Bothrops jararaca). Molécule de référence pour la compréhension pharmacologique de la classe, malgré son utilisation clinique aujourd'hui restreinte par sa demi-vie courte et son profil d'effets indésirables hématologiques (neutropénie, protéinurie) à fortes doses. Le captopril reste néanmoins </w:t>
      </w:r>
      <w:r>
        <w:rPr>
          <w:b/>
        </w:rPr>
        <w:t>l'IEC de référence dans l'urgence hypertensive</w:t>
      </w:r>
      <w:r>
        <w:t xml:space="preserve"> (HTA maligne, crise aiguë) et dans la </w:t>
      </w:r>
      <w:r>
        <w:rPr>
          <w:b/>
        </w:rPr>
        <w:t>post-infarctus précoce</w:t>
      </w:r>
      <w:r>
        <w:t xml:space="preserve"> en l'absence d'alternative IV (premières 24 heures — ISIS-4).</w:t>
      </w:r>
    </w:p>
    <w:p>
      <w:r/>
      <w:r>
        <w:rPr>
          <w:b/>
        </w:rPr>
        <w:t>Médicaments disponibles en Algérie (Marques, Laboratoires, Formes et Dosages) :</w:t>
      </w:r>
      <w:r/>
    </w:p>
    <w:p>
      <w:pPr>
        <w:pStyle w:val="ListBullet"/>
      </w:pPr>
      <w:r/>
      <w:r>
        <w:rPr>
          <w:b/>
        </w:rPr>
        <w:t>LOPRIL</w:t>
      </w:r>
      <w:r>
        <w:t xml:space="preserve"> (SPA UNION PHARMACEUTIQUE CONSTANTINOISE PRODUCTION)</w:t>
      </w:r>
    </w:p>
    <w:p>
      <w:pPr>
        <w:pStyle w:val="ListBullet"/>
      </w:pPr>
      <w:r>
        <w:t>Formes et Dosages : Comprimé sécable 25 mg (B/30 et B/60) ; Comprimé sécable 50 mg (B/30)</w:t>
      </w:r>
    </w:p>
    <w:p>
      <w:pPr>
        <w:pStyle w:val="ListBullet"/>
      </w:pPr>
      <w:r>
        <w:t>Statut : Actif</w:t>
      </w:r>
    </w:p>
    <w:p>
      <w:pPr>
        <w:pStyle w:val="ListBullet"/>
      </w:pPr>
      <w:r/>
      <w:r>
        <w:rPr>
          <w:b/>
        </w:rPr>
        <w:t>SAIPRIL</w:t>
      </w:r>
      <w:r>
        <w:t xml:space="preserve"> (GROUPE SAIDAL)</w:t>
      </w:r>
    </w:p>
    <w:p>
      <w:pPr>
        <w:pStyle w:val="ListBullet"/>
      </w:pPr>
      <w:r>
        <w:t>Formes et Dosages : Comprimé quadri-sécable 25 mg (B/30) ; Comprimé 50 mg (B/30)</w:t>
      </w:r>
    </w:p>
    <w:p>
      <w:pPr>
        <w:pStyle w:val="ListBullet"/>
      </w:pPr>
      <w:r>
        <w:t>Statut : Actif</w:t>
      </w:r>
    </w:p>
    <w:p>
      <w:pPr>
        <w:pStyle w:val="ListBullet"/>
      </w:pPr>
      <w:r/>
      <w:r>
        <w:rPr>
          <w:b/>
        </w:rPr>
        <w:t>TENSIOPRIL</w:t>
      </w:r>
      <w:r>
        <w:t xml:space="preserve"> (LAD PHARMA)</w:t>
      </w:r>
    </w:p>
    <w:p>
      <w:pPr>
        <w:pStyle w:val="ListBullet"/>
      </w:pPr>
      <w:r>
        <w:t>Formes et Dosages : Comprimé 25 mg (B/20) ; Comprimé 50 mg (B/30)</w:t>
      </w:r>
    </w:p>
    <w:p>
      <w:pPr>
        <w:pStyle w:val="ListBullet"/>
      </w:pPr>
      <w:r>
        <w:t>Statut : Actif</w:t>
      </w:r>
    </w:p>
    <w:p>
      <w:pPr>
        <w:pStyle w:val="ListBullet"/>
      </w:pPr>
      <w:r/>
      <w:r>
        <w:rPr>
          <w:b/>
        </w:rPr>
        <w:t>TENSOPREL</w:t>
      </w:r>
      <w:r>
        <w:t xml:space="preserve"> (LABORATOIRES MERINAL)</w:t>
      </w:r>
    </w:p>
    <w:p>
      <w:pPr>
        <w:pStyle w:val="ListBullet"/>
      </w:pPr>
      <w:r>
        <w:t>Formes et Dosages : Comprimé quadri-sécable 25 mg (B/60) ; Comprimé sécable 50 mg (B/30)</w:t>
      </w:r>
    </w:p>
    <w:p>
      <w:pPr>
        <w:pStyle w:val="ListBullet"/>
      </w:pPr>
      <w:r>
        <w:t>Statut : Actif</w:t>
      </w:r>
    </w:p>
    <w:p>
      <w:pPr>
        <w:pStyle w:val="ListBullet"/>
      </w:pPr>
      <w:r/>
      <w:r>
        <w:rPr>
          <w:b/>
        </w:rPr>
        <w:t>RILCAPTON</w:t>
      </w:r>
      <w:r>
        <w:t xml:space="preserve"> (MEDOCHEMIE LTD) (R)</w:t>
      </w:r>
    </w:p>
    <w:p>
      <w:pPr>
        <w:pStyle w:val="ListBullet"/>
      </w:pPr>
      <w:r>
        <w:t>Formes et Dosages : Comprimé 25 mg (B/20) ; Comprimé 50 mg (B/20)</w:t>
      </w:r>
    </w:p>
    <w:p>
      <w:pPr>
        <w:pStyle w:val="ListBullet"/>
      </w:pPr>
      <w:r>
        <w:t>Statut : Retiré</w:t>
      </w:r>
    </w:p>
    <w:p>
      <w:pPr>
        <w:pStyle w:val="ListBullet"/>
      </w:pPr>
      <w:r/>
      <w:r>
        <w:rPr>
          <w:b/>
        </w:rPr>
        <w:t>CARDIOPRIL</w:t>
      </w:r>
      <w:r>
        <w:t xml:space="preserve"> (PETRA PHARM) (R)</w:t>
      </w:r>
    </w:p>
    <w:p>
      <w:pPr>
        <w:pStyle w:val="ListBullet"/>
      </w:pPr>
      <w:r>
        <w:t>Formes et Dosages : Comprimé 25 mg (B/20) ; Comprimé 50 mg (B/20)</w:t>
      </w:r>
    </w:p>
    <w:p>
      <w:pPr>
        <w:pStyle w:val="ListBullet"/>
      </w:pPr>
      <w:r>
        <w:t>Statut : Retiré</w:t>
      </w:r>
    </w:p>
    <w:p>
      <w:pPr>
        <w:pStyle w:val="ListBullet"/>
      </w:pPr>
      <w:r/>
      <w:r>
        <w:rPr>
          <w:b/>
        </w:rPr>
        <w:t>DIMIPRIL</w:t>
      </w:r>
      <w:r>
        <w:t xml:space="preserve"> (CIPLA LIMITED) (R)</w:t>
      </w:r>
    </w:p>
    <w:p>
      <w:pPr>
        <w:pStyle w:val="ListBullet"/>
      </w:pPr>
      <w:r>
        <w:t>Formes et Dosages : Comprimé 25 mg (B/20) ; Comprimé 50 mg (B/30)</w:t>
      </w:r>
    </w:p>
    <w:p>
      <w:pPr>
        <w:pStyle w:val="ListBullet"/>
      </w:pPr>
      <w:r>
        <w:t>Statut : Retiré</w:t>
      </w:r>
    </w:p>
    <w:p>
      <w:pPr>
        <w:pStyle w:val="ListBullet"/>
      </w:pPr>
      <w:r/>
      <w:r>
        <w:rPr>
          <w:b/>
        </w:rPr>
        <w:t>CAPOCARD</w:t>
      </w:r>
      <w:r>
        <w:t xml:space="preserve"> (DAR AL DAWA) (R)</w:t>
      </w:r>
    </w:p>
    <w:p>
      <w:pPr>
        <w:pStyle w:val="ListBullet"/>
      </w:pPr>
      <w:r>
        <w:t>Formes et Dosages : Comprimé 25 mg (B/20 et B/90) ; Comprimé 50 mg (B/20 et B/90)</w:t>
      </w:r>
    </w:p>
    <w:p>
      <w:pPr>
        <w:pStyle w:val="ListBullet"/>
      </w:pPr>
      <w:r>
        <w:t>Statut : Retiré</w:t>
      </w:r>
    </w:p>
    <w:p>
      <w:pPr>
        <w:pStyle w:val="ListBullet"/>
      </w:pPr>
      <w:r/>
      <w:r>
        <w:rPr>
          <w:b/>
        </w:rPr>
        <w:t>CAPTOPRAL 25</w:t>
      </w:r>
      <w:r>
        <w:t xml:space="preserve"> (SOPHAL) (R) ; Comprimé 25 mg (B/30)</w:t>
      </w:r>
    </w:p>
    <w:p>
      <w:pPr>
        <w:pStyle w:val="ListBullet"/>
      </w:pPr>
      <w:r/>
      <w:r>
        <w:rPr>
          <w:b/>
        </w:rPr>
        <w:t>CAPTOPRIL</w:t>
      </w:r>
      <w:r>
        <w:t xml:space="preserve"> (EIPICO) (R) ; Comprimé 25 mg (B/20)</w:t>
      </w:r>
    </w:p>
    <w:p>
      <w:pPr>
        <w:pStyle w:val="ListBullet"/>
      </w:pPr>
      <w:r/>
      <w:r>
        <w:rPr>
          <w:b/>
        </w:rPr>
        <w:t>CAPTOPRIL NORMON</w:t>
      </w:r>
      <w:r>
        <w:t xml:space="preserve"> (NORMON S.A) (R) ; Comprimés 25 mg et 50 mg (B/30)</w:t>
      </w:r>
    </w:p>
    <w:p>
      <w:pPr>
        <w:pStyle w:val="ListBullet"/>
      </w:pPr>
      <w:r/>
      <w:r>
        <w:rPr>
          <w:b/>
        </w:rPr>
        <w:t>CAPTOPRIL-RIVO</w:t>
      </w:r>
      <w:r>
        <w:t xml:space="preserve"> (RIVOPHARM) (R) ; Comprimés 25 et 50 mg (B/20)</w:t>
      </w:r>
    </w:p>
    <w:p>
      <w:pPr>
        <w:pStyle w:val="ListBullet"/>
      </w:pPr>
      <w:r/>
      <w:r>
        <w:rPr>
          <w:b/>
        </w:rPr>
        <w:t>HYPOTENSOR</w:t>
      </w:r>
      <w:r>
        <w:t xml:space="preserve"> (FARAN SA) (R) ; Comprimés 25 et 50 mg (B/20)</w:t>
      </w:r>
    </w:p>
    <w:p>
      <w:pPr>
        <w:pStyle w:val="ListBullet"/>
      </w:pPr>
      <w:r/>
      <w:r>
        <w:rPr>
          <w:b/>
        </w:rPr>
        <w:t>MINITEN</w:t>
      </w:r>
      <w:r>
        <w:t xml:space="preserve"> (UPM) (R) ; Comprimés 25 et 50 mg (B/20)</w:t>
      </w:r>
    </w:p>
    <w:p>
      <w:pPr>
        <w:pStyle w:val="ListBullet"/>
      </w:pPr>
      <w:r/>
      <w:r>
        <w:rPr>
          <w:b/>
        </w:rPr>
        <w:t>TENSIOMIN</w:t>
      </w:r>
      <w:r>
        <w:t xml:space="preserve"> (EGIS) (R) ; Comprimés 25 mg (B/30), 50 mg (B/20)</w:t>
      </w:r>
    </w:p>
    <w:p>
      <w:pPr>
        <w:pStyle w:val="ListBullet"/>
      </w:pPr>
      <w:r/>
      <w:r>
        <w:rPr>
          <w:b/>
        </w:rPr>
        <w:t>WERACAPRIL</w:t>
      </w:r>
      <w:r>
        <w:t xml:space="preserve"> (WEIMER PHARMA) (R) ; Comprimés 25 et 50 mg (B/30 et B/50)</w:t>
      </w:r>
    </w:p>
    <w:p>
      <w:pPr>
        <w:pStyle w:val="ListBullet"/>
      </w:pPr>
      <w:r/>
      <w:r>
        <w:rPr>
          <w:b/>
        </w:rPr>
        <w:t>CAPTOPRIL KELA</w:t>
      </w:r>
      <w:r>
        <w:t xml:space="preserve"> (KELA SA) (R) ; Comprimés sécables 25 et 50 mg (B/30 et B/60)</w:t>
      </w:r>
    </w:p>
    <w:p>
      <w:pPr>
        <w:pStyle w:val="ListBullet"/>
      </w:pPr>
      <w:r/>
      <w:r>
        <w:rPr>
          <w:b/>
        </w:rPr>
        <w:t>CAPOTAL 25 / CAPOTAL 50</w:t>
      </w:r>
      <w:r>
        <w:t xml:space="preserve"> (ALPHA PHARMACEUTICAL INDUSTRIE) (R) ; Comprimés 25 mg (B/30), 50 mg (B/20)</w:t>
      </w:r>
    </w:p>
    <w:p>
      <w:pPr>
        <w:pStyle w:val="ListBullet"/>
      </w:pPr>
      <w:r/>
      <w:r>
        <w:rPr>
          <w:b/>
        </w:rPr>
        <w:t>FARCOPRIL</w:t>
      </w:r>
      <w:r>
        <w:t xml:space="preserve"> (PHARCO EGYPTE) (R) ; Comprimés 25 et 50 mg (B/20)</w:t>
      </w:r>
    </w:p>
    <w:p>
      <w:pPr>
        <w:pStyle w:val="ListBullet"/>
      </w:pPr>
      <w:r/>
      <w:r>
        <w:rPr>
          <w:b/>
        </w:rPr>
        <w:t>CAPTOPRIL LS</w:t>
      </w:r>
      <w:r>
        <w:t xml:space="preserve"> (SALEM) (R) ; Comprimés sécables 25 et 50 mg (B/30)</w:t>
      </w:r>
    </w:p>
    <w:p>
      <w:pPr>
        <w:pStyle w:val="ListBullet"/>
      </w:pPr>
      <w:r/>
      <w:r>
        <w:rPr>
          <w:b/>
        </w:rPr>
        <w:t>CAPTOPRAL 50</w:t>
      </w:r>
      <w:r>
        <w:t xml:space="preserve"> (SOPHAL) (R) ; Comprimé 50 mg (B/20)</w:t>
      </w:r>
    </w:p>
    <w:p>
      <w:pPr>
        <w:pStyle w:val="ListBullet"/>
      </w:pPr>
      <w:r/>
      <w:r>
        <w:rPr>
          <w:b/>
        </w:rPr>
        <w:t>CAPTOPRIL MERCK</w:t>
      </w:r>
      <w:r>
        <w:t xml:space="preserve"> (MERCK GENERIQUES) (R) ; Comprimé sécable 50 mg (B/30)</w:t>
      </w:r>
    </w:p>
    <w:p>
      <w:r/>
      <w:r>
        <w:rPr>
          <w:b/>
        </w:rPr>
        <w:t>Sous-classe et Mécanisme d'action :</w:t>
      </w:r>
      <w:r/>
    </w:p>
    <w:p>
      <w:pPr>
        <w:pStyle w:val="ListBullet"/>
      </w:pPr>
      <w:r>
        <w:t>Sous-classe : IEC de première génération, groupement sulfhydrylé (-SH), petite molécule non prodrogue (active directement), courte demi-vie plasmatique (≈ 2 heures) justifiant une administration 2 à 3 fois par jour.</w:t>
      </w:r>
    </w:p>
    <w:p>
      <w:pPr>
        <w:pStyle w:val="ListBullet"/>
      </w:pPr>
      <w:r>
        <w:t>Mécanisme d'action : inhibition compétitive et réversible du site zinc-dépendant de l'ECA (kininase II). Cette double inhibition produit (1) une baisse de l'angiotensine II (vasodilatation artérielle et veineuse mixte, baisse de l'aldostérone → natriurèse et épargne potassique, baisse de la trophicité cardiovasculaire), et (2) une augmentation de la bradykinine (potentialisation de la vasodilatation endothéliale via NO et prostacyclines, mais aussi responsable de la toux et de l'angio-œdème). Le captopril inhibe également l'ECA tissulaire (cœur, rein, vaisseaux), contribuant à son effet cardioprotecteur et néphroprotecteur à long terme. Sa liaison au groupement -SH confère un potentiel anti-oxydant (piégeage des radicaux libres) mais aussi un risque accru de néphropathie membraneuse (immunologique) à fortes doses (&gt;150 mg/j).</w:t>
      </w:r>
    </w:p>
    <w:p>
      <w:r/>
      <w:r>
        <w:rPr>
          <w:b/>
        </w:rPr>
        <w:t>Profil Pharmacologique :</w:t>
      </w:r>
      <w:r/>
    </w:p>
    <w:p>
      <w:pPr>
        <w:pStyle w:val="ListBullet"/>
      </w:pPr>
      <w:r>
        <w:t>Indications : HTA essentielle (seconde intention, devant la contrainte posologique) ; HTA rénovasculaire ; insuffisance cardiaque chronique (en association avec diurétique ± bêtabloquant) ; post-IDM précoce (premières 24 heures, AMM spécifique ISIS-4/GISSI-3) ; néphropathie diabétique (premier IEC démontrant un effet néphroprotecteur — étude captopril 1993 dans la néphropathie diabétique T1, NEJM) ; crise hypertensive (25 mg sublingual — bien que la voie sublinguale soit controversée en raison du risque d'hypotension trop brutale) ; sclérodermie avec crise rénale (une des seules AMM spécifiques, en raison de l'effet vasodilatateur rénal et de l'inhibition de la fibrose).</w:t>
      </w:r>
    </w:p>
    <w:p>
      <w:pPr>
        <w:pStyle w:val="ListBullet"/>
      </w:pPr>
      <w:r>
        <w:t>Contre-indications : grossesse 2e et 3e trimestres (CI absolue — fœtotoxicité rénale et pulmonaire) ; antécédent d'angio-œdème sous IEC (CI absolue, croisée avec tous les IEC et tous les ARA2) ; sténose bilatérale des artères rénales ou sténose sur rein unique (risque d'IRA fonctionnelle) ; hyperkaliémie préexistante (&gt;5,5 mmol/L) ; hypotension sévère (PAS &lt; 90 mmHg) ; association avec aliskirène chez le diabétique ou l'insuffisant rénal ; association avec sacubitril (risque d'angio-œdème — délai de 36 heures après la dernière dose de sacubitril) ; cardiomyopathie obstructive sévère.</w:t>
      </w:r>
    </w:p>
    <w:p>
      <w:pPr>
        <w:pStyle w:val="ListBullet"/>
      </w:pPr>
      <w:r>
        <w:t>Effets Indésirables : toux sèche (5-20 %, souvent nocturne, persistante tant que l'IEC est poursuivi, disparaît en 1-2 semaines après arrêt) ; angio-œdème (0,1-0,7 % — plus fréquent chez le sujet noir, dans les 4 premières semaines, mais possible à tout moment — atteinte tête/cou, menace vitale si atteinte laryngée) ; hyperkaliémie (en particulier si IRC, diabète, association AINS/ARM/K+) ; IRA fonctionnelle (en cas de sténose artère rénale, hypovolémie, association AINS) ; hypotension de première dose (commune, surtout si déplétion volémique ou forte HTA rénine-dépendante) ; protéinurie et syndrome néphrotique (à fortes doses &gt;150 mg/j, mécanisme immunologique via le -SH, justifiant la surveillance protéinurie) ; neutropénie/agranulocytose (rare, surtout si IRC ou collagénose, à fortes doses) ; éruptions cutanées (rash maculopapuleux, prurit, 4-7 %) ; perturbations du goût (dysgueusie, métallique — liée au groupement -SH, réversible) ; photosensibilité.</w:t>
      </w:r>
    </w:p>
    <w:p>
      <w:r/>
      <w:r>
        <w:rPr>
          <w:b/>
        </w:rPr>
        <w:t>Prévention et Gestion des Effets Indésirables :</w:t>
      </w:r>
      <w:r/>
    </w:p>
    <w:p>
      <w:pPr>
        <w:pStyle w:val="ListBullet"/>
      </w:pPr>
      <w:r>
        <w:t>Mesures Préventives : (1) dosage de la créatinine et de la kaliémie avant initiation, à 1-2 semaines, puis tous les 3-6 mois ; (2) test de grossesse chez toute femme en âge de procréer avant prescription ; (3) dose initiale faible (6,25-12,5 mg × 2/j) chez le sujet âgé, l'insuffisant rénal, le patient sous diurétique (arrêt temporaire du diurétique 24-48 heures avant pour limiter l'hypotension de première dose) ; (4) surveillance tensionnelle orthostatique après première dose ; (5) surveillance protéinurie mensuelle pendant 6 mois si doses &gt;150 mg/j ou IRC ; (6) NFS mensuelle pendant 3 mois en cas de IRC ou collagénose ; (7) éviter l'association systématique avec supplémentation potassique, AINS, ou ARM.</w:t>
      </w:r>
    </w:p>
    <w:p>
      <w:pPr>
        <w:pStyle w:val="ListBullet"/>
      </w:pPr>
      <w:r>
        <w:t xml:space="preserve">Conduite à Tenir : (1) </w:t>
      </w:r>
      <w:r>
        <w:rPr>
          <w:b/>
        </w:rPr>
        <w:t>Angio-œdème</w:t>
      </w:r>
      <w:r>
        <w:t xml:space="preserve"> : arrêt IMMÉDIAT et DÉFINITIF de l'IEC, jamais de réintroduction, jamais d'ARA2 (contre-indication croisée). Traitement par antagoniste des récepteurs de la bradykinine (icatibant) si disponible, anti-histaminiques + corticoïdes ± adrénaline en fonction de la sévérité, surveillance en milieu de réanimation si atteinte ORL. (2) </w:t>
      </w:r>
      <w:r>
        <w:rPr>
          <w:b/>
        </w:rPr>
        <w:t>Toux sèche</w:t>
      </w:r>
      <w:r>
        <w:t xml:space="preserve"> : arrêt de l'IEC, switch vers un ARA2 (pas de contre-indication croisée pour la toux, seul l'angio-œdème contre-indique les ARA2). (3) </w:t>
      </w:r>
      <w:r>
        <w:rPr>
          <w:b/>
        </w:rPr>
        <w:t>Hyperkaliémie</w:t>
      </w:r>
      <w:r>
        <w:t xml:space="preserve"> : arrêt transitoire, restriction potassique, diurétique si besoin, résines échangeuses d'ions (calcium polystyrène sulfonate), Kayexalate, gluconate de calcium si ECG modifié, insuline + glucose en urgence. (4) </w:t>
      </w:r>
      <w:r>
        <w:rPr>
          <w:b/>
        </w:rPr>
        <w:t>IRA fonctionnelle</w:t>
      </w:r>
      <w:r>
        <w:t xml:space="preserve"> : arrêt transitoire, réhydratation, recherche de sténose artère rénale si non expliquée.</w:t>
      </w:r>
    </w:p>
    <w:p>
      <w:r/>
      <w:r>
        <w:rPr>
          <w:b/>
        </w:rPr>
        <w:t>Interactions Importantes :</w:t>
      </w:r>
      <w:r/>
    </w:p>
    <w:p>
      <w:pPr>
        <w:pStyle w:val="ListBullet"/>
      </w:pPr>
      <w:r/>
      <w:r>
        <w:rPr>
          <w:b/>
        </w:rPr>
        <w:t>Captopril + AINS (ibuprofène, kétoprofène, diclofénac, etc.)</w:t>
      </w:r>
      <w:r>
        <w:t xml:space="preserve"> : baisse de l'effet antihypertenseur (inhibition des prostaglandines rénales vasodilatatrices) + risque majeur d'IRA fonctionnelle (triple whammy si associé à un diurétique). Association déconseillée, surveillance stricte si nécessaire (indométhacine le plus problématique).</w:t>
      </w:r>
    </w:p>
    <w:p>
      <w:pPr>
        <w:pStyle w:val="ListBullet"/>
      </w:pPr>
      <w:r/>
      <w:r>
        <w:rPr>
          <w:b/>
        </w:rPr>
        <w:t>Captopril + diurétiques épargneurs de potassium (spironolactone, éplérénone, amiloride, triamtérène) + supplémentation potassique</w:t>
      </w:r>
      <w:r>
        <w:t xml:space="preserve"> : hyperkaliémie majeure potentiellement létale. Association nécessitant une surveillance hebdomadaire de la kaliémie initialement.</w:t>
      </w:r>
    </w:p>
    <w:p>
      <w:pPr>
        <w:pStyle w:val="ListBullet"/>
      </w:pPr>
      <w:r/>
      <w:r>
        <w:rPr>
          <w:b/>
        </w:rPr>
        <w:t>Captopril + lithium</w:t>
      </w:r>
      <w:r>
        <w:t xml:space="preserve"> : diminution de l'excrétion rénale du lithium, élévation de la lithiémie avec risque de surdosage (tremblements, ataxie, confusion, convulsions). Surveillance lithiémie rapprochée, ajustement posologique du lithium.</w:t>
      </w:r>
    </w:p>
    <w:p>
      <w:pPr>
        <w:pStyle w:val="ListBullet"/>
      </w:pPr>
      <w:r/>
      <w:r>
        <w:rPr>
          <w:b/>
        </w:rPr>
        <w:t>Captopril + aliskirène</w:t>
      </w:r>
      <w:r>
        <w:t xml:space="preserve"> : contre-indication absolue (effets additifs sur le SRAA, hyperkaliémie, IRA, hypotension) — surtout chez le diabétique ou l'insuffisant rénal.</w:t>
      </w:r>
    </w:p>
    <w:p>
      <w:pPr>
        <w:pStyle w:val="ListBullet"/>
      </w:pPr>
      <w:r/>
      <w:r>
        <w:rPr>
          <w:b/>
        </w:rPr>
        <w:t>Captopril + sacubitril</w:t>
      </w:r>
      <w:r>
        <w:t xml:space="preserve"> : contre-indication (angio-œdème) — délai de 36 heures après la dernière dose de sacubitril/valsartan avant d'initier un IEC.</w:t>
      </w:r>
    </w:p>
    <w:p>
      <w:pPr>
        <w:pStyle w:val="ListBullet"/>
      </w:pPr>
      <w:r/>
      <w:r>
        <w:rPr>
          <w:b/>
        </w:rPr>
        <w:t>Captopril + sels d'or (IM)</w:t>
      </w:r>
      <w:r>
        <w:t xml:space="preserve"> : risque accru d'angio-œdème (interactions immunitaires).</w:t>
      </w:r>
    </w:p>
    <w:p>
      <w:pPr>
        <w:pStyle w:val="ListBullet"/>
      </w:pPr>
      <w:r/>
      <w:r>
        <w:rPr>
          <w:b/>
        </w:rPr>
        <w:t>Captopril + antidiabétiques (insuline, sulfamides)</w:t>
      </w:r>
      <w:r>
        <w:t xml:space="preserve"> : potentialisation de l'effet hypoglycémiant (surtout avec insuline), surveillance glycémique chez le diabétique.</w:t>
      </w:r>
    </w:p>
    <w:p>
      <w:pPr>
        <w:pStyle w:val="ListBullet"/>
      </w:pPr>
      <w:r/>
      <w:r>
        <w:rPr>
          <w:b/>
        </w:rPr>
        <w:t>Captopril + AINS + diurétique (triple whammy)</w:t>
      </w:r>
      <w:r>
        <w:t xml:space="preserve"> : IRA majeure, surtout sujet âgé déshydraté.</w:t>
      </w:r>
    </w:p>
    <w:p>
      <w:r/>
      <w:r>
        <w:rPr>
          <w:b/>
        </w:rPr>
        <w:t>Grossesse et Allaitement :</w:t>
      </w:r>
      <w:r/>
    </w:p>
    <w:p>
      <w:pPr>
        <w:pStyle w:val="ListBullet"/>
      </w:pPr>
      <w:r>
        <w:t>Grossesse : CI absolue aux 2e et 3e trimestres (à partir de 20 SA selon CRAT, voire idéalement dès la 1ère intention à éviter). Au 1er trimestre, association déconseillée (risque malformatif cardiovasculaire et neurologique mineur décrit dans certaines séries). Toxicité fœtale : oligoamnios (par hypoplasie tubulaire rénale fœtale), anurie néonatale, hypoplasie pulmonaire, hypotension néonatale, hypoplasie crânienne, contractures des membres. En cas de découverte de grossesse sous IEC : arrêt immédiat, échographie morphologique fœtale détaillée, surveillance échographique de la quantité de liquide amniotique et de la fonction rénale fœtale. Substitution par labétalol, nicardipine ou méthyldopa (médicaments de référence de l'HTA gravidique).</w:t>
      </w:r>
    </w:p>
    <w:p>
      <w:pPr>
        <w:pStyle w:val="ListBullet"/>
      </w:pPr>
      <w:r>
        <w:t>Allaitement : passage faible dans le lait maternel (rapport lait/plasma faible). Compatible selon CRAT et l'OMS, mais à éviter chez le prématuré et le nouveau-né dans les premières semaines de vie (immaturité rénale). Surveillance de la tolérance (PA, kaliémie, fonction rénale du nourrisson) si traitement prolongé. Privilégier une prise juste après une tétée pour minimiser l'exposition.</w:t>
      </w:r>
    </w:p>
    <w:p>
      <w:pPr>
        <w:pStyle w:val="ListBullet"/>
      </w:pPr>
      <w:r>
        <w:t>Précisions : le risque principal fœtal est rénal (hypoplasie tubulaire, anurie néonatale) ; l'oligoamnios est le signe d'alerte échographique principal. Le risque n'est pas dose-dépendant et peut survenir même à faible dose.</w:t>
      </w:r>
    </w:p>
    <w:p>
      <w:r/>
      <w:r>
        <w:rPr>
          <w:b/>
        </w:rPr>
        <w:t>Posologie et Mode d'administration (Standard) :</w:t>
      </w:r>
      <w:r/>
    </w:p>
    <w:p>
      <w:pPr>
        <w:pStyle w:val="ListBullet"/>
      </w:pPr>
      <w:r>
        <w:t>Adulte : HTA : 25 mg × 2/jour (matin et soir), augmentable à 50 mg × 2-3/j (max 150 mg/j). Insuffisance cardiaque : 6,25 mg × 3/j initialement (dose test), augmentation progressive jusqu'à 50 mg × 3/j (max 150 mg/j en trois prises). Post-IDM : 6,25 mg puis titration jusqu'à 50 mg × 3/j. Néphropathie diabétique : 25 mg × 3/j (max 150 mg/j). Crise hypertensive : 25 mg sublingual (effet en 15-30 min, maximum à 1 h) — à utiliser avec précaution.</w:t>
      </w:r>
    </w:p>
    <w:p>
      <w:pPr>
        <w:pStyle w:val="ListBullet"/>
      </w:pPr>
      <w:r>
        <w:t>Sujet âgé : dose initiale réduite à 6,25 mg × 2/jour, titration lente. Adapter au DFG (cf. IRC ci-dessous).</w:t>
      </w:r>
    </w:p>
    <w:p>
      <w:pPr>
        <w:pStyle w:val="ListBullet"/>
      </w:pPr>
      <w:r>
        <w:t>Insuffisance rénale : DFG 30-80 mL/min : 25 mg × 2/jour. DFG 10-30 mL/min : 25 mg × 1-2/j. DFG &lt; 10 mL/min : 12,5-25 mg × 1/jour (espacer les prises).</w:t>
      </w:r>
    </w:p>
    <w:p>
      <w:pPr>
        <w:pStyle w:val="ListBullet"/>
      </w:pPr>
      <w:r>
        <w:t>Durée : traitement au long cours (à vie pour l'HTA et la néphroprotection ; au minimum 6 semaines post-IDM selon les recommandations, généralement maintenu au long cours).</w:t>
      </w:r>
    </w:p>
    <w:p>
      <w:pPr>
        <w:pStyle w:val="ListBullet"/>
      </w:pPr>
      <w:r>
        <w:t>Moment de prise : 30 minutes à 1 heure avant les repas (la biodisponibilité du captopril est diminuée de 30-40 % par la prise alimentaire, particularité unique parmi les IEC). Une à trois prises par jour selon l'indication.</w:t>
      </w:r>
    </w:p>
    <w:p>
      <w:r/>
      <w:r>
        <w:rPr>
          <w:b/>
        </w:rPr>
        <w:t>Arbitrage et Bénéfices des Formes Galéniques :</w:t>
      </w:r>
      <w:r/>
    </w:p>
    <w:p>
      <w:r>
        <w:t>Le captopril est disponible uniquement en comprimés (25 et 50 mg), dont plusieurs formes sécables ou quadri-sécables (Lozen, Saipril, Tensoprel). La quadri-sécabilité est un atout pédagogique et pratique majeur pour l'adaptation posologique : un comprimé à 25 mg quadri-sécable permet d'obtenir des quarts de comprimé à 6,25 mg, dose test recommandée chez le sujet âgé, l'insuffisant rénal, en post-IDM précoce ou en insuffisance cardiaque décompensée. Cette flexibilité galénique est rare parmi les antihypertenseurs et fait du captopril un médicament de choix en milieu hospitalier pour la titration. Le conditionnement en B/30 correspond à un mois de traitement à 1 cp/jour, mais la posologie biquotidienne ou triquotidienne du captopril en fait un médicament peu pratique pour le traitement chronique ambulatoire — ce qui explique sa désaffection progressive au profit des IEC de 2e génération (énalapril, ramipril, périndopril) à durée d'action prolongée autorisant une monoprise. L'absence de forme LP est un inconvénient majeur.</w:t>
      </w:r>
    </w:p>
    <w:p>
      <w:r/>
      <w:r>
        <w:rPr>
          <w:b/>
        </w:rPr>
        <w:t>Instructions et Conseils au Patient :</w:t>
      </w:r>
      <w:r/>
    </w:p>
    <w:p>
      <w:pPr>
        <w:pStyle w:val="ListBullet"/>
      </w:pPr>
      <w:r>
        <w:t>Communication au comptoir : « Ce médicament appartient à la famille des inhibiteurs de l'enzyme de conversion. Il agit en relaxant vos vaisseaux sanguins, ce qui abaisse votre tension et protège votre cœur et vos reins. Vous devez le prendre 30 minutes à 1 heure avant les repas, deux à trois fois par jour. Une toux sèche peut survenir dans les premières semaines — elle est sans gravité mais ne disparaîtra que si l'on change de traitement ; signalez-la à votre médecin. Levez-vous lentement pour éviter les vertiges des premiers jours. Ne prenez pas d'ibuprofène ou d'AINS sans avis médical (risque d'atteinte rénale). Évitez les substituts de sel riches en potassium. Si vous êtes enceinte ou planifiez une grossesse, ce médicament est strictement interdit. »</w:t>
      </w:r>
    </w:p>
    <w:p>
      <w:pPr>
        <w:pStyle w:val="ListBullet"/>
      </w:pPr>
      <w:r>
        <w:t>Mode d'utilisation pratique : prise à jeun (30-60 min avant repas), à heure fixe, à distance des AINS. Tenir un agenda tensionnel (mesure le matin avant prise et le soir couché, 3 jours par semaine). Apporter ses résultats biologiques (créatinine, kaliémie) aux rendez-vous de surveillance. Ne pas arrêter brutalement (risque de rebond tensionnel).</w:t>
      </w:r>
    </w:p>
    <w:p>
      <w:r/>
      <w:r>
        <w:rPr>
          <w:b/>
        </w:rPr>
        <w:t>Notes, Règles d'Or &amp; Pièges au Comptoir :</w:t>
      </w:r>
      <w:r/>
    </w:p>
    <w:p>
      <w:pPr>
        <w:pStyle w:val="ListBullet"/>
      </w:pPr>
      <w:r>
        <w:t>Piège classique : le captopril est le SEUL IEC à prendre à jeun (biodisponibilité diminuée par la nourriture). Cette particularité est souvent ignorée et conduit à une sous-efficacité thérapeutique. À signaler systématiquement à la délivrance.</w:t>
      </w:r>
    </w:p>
    <w:p>
      <w:pPr>
        <w:pStyle w:val="ListBullet"/>
      </w:pPr>
      <w:r>
        <w:t>Piège classique : l'association IEC + AINS + diurétique (triple whammy) chez le sujet âgé déshydraté en été est une cause majeure d'IRA fonctionnelle iatrogène. Déconseiller formellement l'automédication par AINS chez tout patient sous IEC.</w:t>
      </w:r>
    </w:p>
    <w:p>
      <w:pPr>
        <w:pStyle w:val="ListBullet"/>
      </w:pPr>
      <w:r>
        <w:t>Piège classique : crise hypertensive de la femme enceinte — ne JAMAIS utiliser le captopril sublingual chez la femme enceinte (toxicité fœtale). Privilégier nicardipine IV, labétalol IV.</w:t>
      </w:r>
    </w:p>
    <w:p>
      <w:pPr>
        <w:pStyle w:val="ListBullet"/>
      </w:pPr>
      <w:r>
        <w:t>Piège classique : ne pas confondre toux sèche sous IEC (réaction pharmacologique normale, nécessite switch vers ARA2) et angio-œdème (urgence vitale, nécessite arrêt définitif de toute classe agissant sur le SRAA).</w:t>
      </w:r>
    </w:p>
    <w:p>
      <w:pPr>
        <w:pStyle w:val="ListBullet"/>
      </w:pPr>
      <w:r>
        <w:t>Règle de prise : 30 min à 1 h avant les repas, à heure fixe.</w:t>
      </w:r>
    </w:p>
    <w:p>
      <w:pPr>
        <w:pStyle w:val="ListBullet"/>
      </w:pPr>
      <w:r>
        <w:t>Préparation et Conservation : conservation à température &lt; 25 °C, à l'abri de l'humidité et de la lumière. Le captopril s'oxyde au contact de l'air (le -SH est oxydé en disulfure), entraînant une perte d'activité et une odeur soufrée caractéristique — d'où l'importance du conditionnement blister et de la conservation à l'abri de la lumière. Ne pas fractionner les comprimés à l'avance.</w:t>
      </w:r>
    </w:p>
    <w:p>
      <w:pPr>
        <w:pStyle w:val="ListBullet"/>
      </w:pPr>
      <w:r>
        <w:t>Piège du surdosage / Substitution : hypotension sévère — traitement symptomatique (remplissage vasculaire, vasopresseurs si sévère). Le surdosage peut entraîner une hyperkaliémie menaçante (surveillance ECG). En cas de substitution IEC → ARA2 (en raison d'une toux), respecter un délai de wash-out de 24-36 heures. En cas de substitution captopril → autre IEC à longue demi-vie (énalapril, ramipril), adapter immédiatement la posologie sans wash-out.</w:t>
      </w:r>
    </w:p>
    <w:p>
      <w:pPr>
        <w:pStyle w:val="Heading3"/>
      </w:pPr>
      <w:r>
        <w:t>2. DCI : Énalapril (Seule)</w:t>
      </w:r>
    </w:p>
    <w:p>
      <w:r/>
      <w:r>
        <w:rPr>
          <w:b/>
        </w:rPr>
        <w:t>Liste des Catégories :</w:t>
      </w:r>
      <w:r>
        <w:t xml:space="preserve"> Liste I ; antihypertenseur inhibiteur de l'ECA de deuxième génération, groupement carboxylé (-COOH), prodrogue (énalapril → énalaprilate actif par hydrolyse hépatique). Commercialisé dès 1984 (Merck — Rénitec), il a été le premier IEC à administration monodose quotidienne, grâce à sa transformation en métabolite actif de longue demi-vée. Sa simplicité d'utilisation, son faible coût (génériques), et son profil d'efficacité/tolérance en font un des IEC les plus prescrits au monde. Il est largement représenté dans les essais cliniques cardinaux (SOLVD, CONSENSUS, V-HeFT II).</w:t>
      </w:r>
    </w:p>
    <w:p>
      <w:r/>
      <w:r>
        <w:rPr>
          <w:b/>
        </w:rPr>
        <w:t>Médicaments disponibles en Algérie (Marques, Laboratoires, Formes et Dosages) :</w:t>
      </w:r>
      <w:r/>
    </w:p>
    <w:p>
      <w:pPr>
        <w:pStyle w:val="ListBullet"/>
      </w:pPr>
      <w:r/>
      <w:r>
        <w:rPr>
          <w:b/>
        </w:rPr>
        <w:t>ENALAPRIL MYLAN</w:t>
      </w:r>
      <w:r>
        <w:t xml:space="preserve"> (MYLAN SAS)</w:t>
      </w:r>
    </w:p>
    <w:p>
      <w:pPr>
        <w:pStyle w:val="ListBullet"/>
      </w:pPr>
      <w:r>
        <w:t>Formes et Dosages : Comprimé sécable 5 mg (B/28) ; Comprimé sécable 20 mg (B/28)</w:t>
      </w:r>
    </w:p>
    <w:p>
      <w:pPr>
        <w:pStyle w:val="ListBullet"/>
      </w:pPr>
      <w:r>
        <w:t>Statut : Actif</w:t>
      </w:r>
    </w:p>
    <w:p>
      <w:pPr>
        <w:pStyle w:val="ListBullet"/>
      </w:pPr>
      <w:r/>
      <w:r>
        <w:rPr>
          <w:b/>
        </w:rPr>
        <w:t>ANGIOPRIL</w:t>
      </w:r>
      <w:r>
        <w:t xml:space="preserve"> (PETRA PHARM)</w:t>
      </w:r>
    </w:p>
    <w:p>
      <w:pPr>
        <w:pStyle w:val="ListBullet"/>
      </w:pPr>
      <w:r>
        <w:t>Formes et Dosages : Comprimé 5 mg (B/30) ; Comprimé 20 mg (B/20)</w:t>
      </w:r>
    </w:p>
    <w:p>
      <w:pPr>
        <w:pStyle w:val="ListBullet"/>
      </w:pPr>
      <w:r>
        <w:t>Statut : Non Renouvelable</w:t>
      </w:r>
    </w:p>
    <w:p>
      <w:pPr>
        <w:pStyle w:val="ListBullet"/>
      </w:pPr>
      <w:r/>
      <w:r>
        <w:rPr>
          <w:b/>
        </w:rPr>
        <w:t>ANGIOTEC</w:t>
      </w:r>
      <w:r>
        <w:t xml:space="preserve"> (JORDANIAN PHARMACEUTICAL MANUFACTURING)</w:t>
      </w:r>
    </w:p>
    <w:p>
      <w:pPr>
        <w:pStyle w:val="ListBullet"/>
      </w:pPr>
      <w:r>
        <w:t>Formes et Dosages : Comprimé 5 mg (B/30) ; Comprimé 20 mg (B/20)</w:t>
      </w:r>
    </w:p>
    <w:p>
      <w:pPr>
        <w:pStyle w:val="ListBullet"/>
      </w:pPr>
      <w:r>
        <w:t>Statut : Non Renouvelable</w:t>
      </w:r>
    </w:p>
    <w:p>
      <w:pPr>
        <w:pStyle w:val="ListBullet"/>
      </w:pPr>
      <w:r/>
      <w:r>
        <w:rPr>
          <w:b/>
        </w:rPr>
        <w:t>CORPRILOR</w:t>
      </w:r>
      <w:r>
        <w:t xml:space="preserve"> (RUBIO)</w:t>
      </w:r>
    </w:p>
    <w:p>
      <w:pPr>
        <w:pStyle w:val="ListBullet"/>
      </w:pPr>
      <w:r>
        <w:t>Formes et Dosages : Comprimé sécable 5 mg (B/30) ; Comprimé sécable 20 mg (B/30)</w:t>
      </w:r>
    </w:p>
    <w:p>
      <w:pPr>
        <w:pStyle w:val="ListBullet"/>
      </w:pPr>
      <w:r>
        <w:t>Statut : Non Renouvelable</w:t>
      </w:r>
    </w:p>
    <w:p>
      <w:pPr>
        <w:pStyle w:val="ListBullet"/>
      </w:pPr>
      <w:r/>
      <w:r>
        <w:rPr>
          <w:b/>
        </w:rPr>
        <w:t>PRILENAP</w:t>
      </w:r>
      <w:r>
        <w:t xml:space="preserve"> (HEMOFARM)</w:t>
      </w:r>
    </w:p>
    <w:p>
      <w:pPr>
        <w:pStyle w:val="ListBullet"/>
      </w:pPr>
      <w:r>
        <w:t>Formes et Dosages : Comprimé 5 mg (B/20) ; Comprimé 20 mg (B/20)</w:t>
      </w:r>
    </w:p>
    <w:p>
      <w:pPr>
        <w:pStyle w:val="ListBullet"/>
      </w:pPr>
      <w:r>
        <w:t>Statut : Non Renouvelable</w:t>
      </w:r>
    </w:p>
    <w:p>
      <w:pPr>
        <w:pStyle w:val="ListBullet"/>
      </w:pPr>
      <w:r/>
      <w:r>
        <w:rPr>
          <w:b/>
        </w:rPr>
        <w:t>RENITEC</w:t>
      </w:r>
      <w:r>
        <w:t xml:space="preserve"> (MERCK SHARP &amp; DHOME CHIBRET)</w:t>
      </w:r>
    </w:p>
    <w:p>
      <w:pPr>
        <w:pStyle w:val="ListBullet"/>
      </w:pPr>
      <w:r>
        <w:t>Formes et Dosages : Comprimé sécable 5 mg (B/28) ; Comprimé sécable 20 mg (B/28)</w:t>
      </w:r>
    </w:p>
    <w:p>
      <w:pPr>
        <w:pStyle w:val="ListBullet"/>
      </w:pPr>
      <w:r>
        <w:t>Statut : Non Renouvelable</w:t>
      </w:r>
    </w:p>
    <w:p>
      <w:pPr>
        <w:pStyle w:val="ListBullet"/>
      </w:pPr>
      <w:r/>
      <w:r>
        <w:rPr>
          <w:b/>
        </w:rPr>
        <w:t>ENALAPRIL</w:t>
      </w:r>
      <w:r>
        <w:t xml:space="preserve"> (ASIA PHARMACEUTICA L)</w:t>
      </w:r>
    </w:p>
    <w:p>
      <w:pPr>
        <w:pStyle w:val="ListBullet"/>
      </w:pPr>
      <w:r>
        <w:t>Formes et Dosages : Comprimé 20 mg (B/28) ; Comprimé sécable 20 mg (B/20)</w:t>
      </w:r>
    </w:p>
    <w:p>
      <w:pPr>
        <w:pStyle w:val="ListBullet"/>
      </w:pPr>
      <w:r>
        <w:t>Statut : Non Renouvelable</w:t>
      </w:r>
    </w:p>
    <w:p>
      <w:pPr>
        <w:pStyle w:val="ListBullet"/>
      </w:pPr>
      <w:r/>
      <w:r>
        <w:rPr>
          <w:b/>
        </w:rPr>
        <w:t>ENALAPRIL WINTHROP</w:t>
      </w:r>
      <w:r>
        <w:t xml:space="preserve"> (SANOFI AVENTIS)</w:t>
      </w:r>
    </w:p>
    <w:p>
      <w:pPr>
        <w:pStyle w:val="ListBullet"/>
      </w:pPr>
      <w:r>
        <w:t>Formes et Dosages : Comprimé sécable 20 mg (B/28)</w:t>
      </w:r>
    </w:p>
    <w:p>
      <w:pPr>
        <w:pStyle w:val="ListBullet"/>
      </w:pPr>
      <w:r>
        <w:t>Statut : Non Renouvelable</w:t>
      </w:r>
    </w:p>
    <w:p>
      <w:pPr>
        <w:pStyle w:val="ListBullet"/>
      </w:pPr>
      <w:r/>
      <w:r>
        <w:rPr>
          <w:b/>
        </w:rPr>
        <w:t>LASYTEQ</w:t>
      </w:r>
      <w:r>
        <w:t xml:space="preserve"> (GROUPE SAIDAL)</w:t>
      </w:r>
    </w:p>
    <w:p>
      <w:pPr>
        <w:pStyle w:val="ListBullet"/>
      </w:pPr>
      <w:r>
        <w:t>Formes et Dosages : Comprimé 20 mg (B/30)</w:t>
      </w:r>
    </w:p>
    <w:p>
      <w:pPr>
        <w:pStyle w:val="ListBullet"/>
      </w:pPr>
      <w:r>
        <w:t>Statut : Non Renouvelable</w:t>
      </w:r>
    </w:p>
    <w:p>
      <w:pPr>
        <w:pStyle w:val="ListBullet"/>
      </w:pPr>
      <w:r/>
      <w:r>
        <w:rPr>
          <w:b/>
        </w:rPr>
        <w:t>CONVERTASE</w:t>
      </w:r>
      <w:r>
        <w:t xml:space="preserve"> (PHARMALLIANCE) (R) ; Comprimés 5 et 20 mg (B/30)</w:t>
      </w:r>
    </w:p>
    <w:p>
      <w:pPr>
        <w:pStyle w:val="ListBullet"/>
      </w:pPr>
      <w:r/>
      <w:r>
        <w:rPr>
          <w:b/>
        </w:rPr>
        <w:t>ENALAPRIL IBERAL</w:t>
      </w:r>
      <w:r>
        <w:t xml:space="preserve"> (IBERAL SPA) (R) ; Comprimés sécables 5 et 20 mg (B/28)</w:t>
      </w:r>
    </w:p>
    <w:p>
      <w:pPr>
        <w:pStyle w:val="ListBullet"/>
      </w:pPr>
      <w:r/>
      <w:r>
        <w:rPr>
          <w:b/>
        </w:rPr>
        <w:t>ENALAPRIL RATIOPHARM</w:t>
      </w:r>
      <w:r>
        <w:t xml:space="preserve"> (RATIOPHARM) (R) ; Comprimés 5 mg (B/60), 20 mg (B/28)</w:t>
      </w:r>
    </w:p>
    <w:p>
      <w:pPr>
        <w:pStyle w:val="ListBullet"/>
      </w:pPr>
      <w:r/>
      <w:r>
        <w:rPr>
          <w:b/>
        </w:rPr>
        <w:t>ENATEC-5</w:t>
      </w:r>
      <w:r>
        <w:t xml:space="preserve"> (MEPHA PHARMA) (R) ; Comprimé sécable 5 mg (B/30)</w:t>
      </w:r>
    </w:p>
    <w:p>
      <w:pPr>
        <w:pStyle w:val="ListBullet"/>
      </w:pPr>
      <w:r/>
      <w:r>
        <w:rPr>
          <w:b/>
        </w:rPr>
        <w:t>ENATEC-20</w:t>
      </w:r>
      <w:r>
        <w:t xml:space="preserve"> (MEPHA PHARMA) (R) ; Comprimé sécable 20 mg (B/28)</w:t>
      </w:r>
    </w:p>
    <w:p>
      <w:r/>
      <w:r>
        <w:rPr>
          <w:b/>
        </w:rPr>
        <w:t>Sous-classe et Mécanisme d'action :</w:t>
      </w:r>
      <w:r/>
    </w:p>
    <w:p>
      <w:pPr>
        <w:pStyle w:val="ListBullet"/>
      </w:pPr>
      <w:r>
        <w:t>Sous-classe : IEC de deuxième génération, groupement carboxylé (-COOH), prodrogue, monoprise quotidienne.</w:t>
      </w:r>
    </w:p>
    <w:p>
      <w:pPr>
        <w:pStyle w:val="ListBullet"/>
      </w:pPr>
      <w:r>
        <w:t>Mécanisme d'action : l'énalapril est une prodrogue inactive, hydrolysée dans le foie en énalaprilate (diacide), forme active. L'énalaprilate se lie de manière compétitive et réversible au zinc de l'ECA, bloquant la conversion angiotensine I → angiotensine II et la dégradation de la bradykinine. Cette double action entraîne : vasodilatation artérielle et veineuse (baisse des résistances périphériques sans tachycardie réflexe majeure), baisse de l'aldostérone (natriurèse, épargne potassique), baisse de la pré- et post-charge cardiaques (bénéfice en IC), régression de l'hypertrophie VG, néphroprotection (réduction de la protéinurie et de la pression intraglomérulaire par levée de la vasoconstriction de l'artériole efférente). La demi-vie d'action efficace est d'environ 11 heures, justifiant la monoprise.</w:t>
      </w:r>
    </w:p>
    <w:p>
      <w:r/>
      <w:r>
        <w:rPr>
          <w:b/>
        </w:rPr>
        <w:t>Profil Pharmacologique :</w:t>
      </w:r>
      <w:r/>
    </w:p>
    <w:p>
      <w:pPr>
        <w:pStyle w:val="ListBullet"/>
      </w:pPr>
      <w:r>
        <w:t>Indications : HTA essentielle (1ère intention) ; insuffisance cardiaque chronique (référence — SOLVD, CONSENSUS) ; post-IDM avec dysfonction VG (survie, sauf cas particulier du captopril en urgence) ; néphropathie diabétique (microalbuminurie ou protéinurie) ; prévention CV secondaire chez le patient à haut risque.</w:t>
      </w:r>
    </w:p>
    <w:p>
      <w:pPr>
        <w:pStyle w:val="ListBullet"/>
      </w:pPr>
      <w:r>
        <w:t>Contre-indications : angio-œdème sous IEC (CI absolue, croisée avec ARA2) ; grossesse 2e/3e trimestres (CI absolue) ; sténose bilatérale des artères rénales ; hyperkaliémie ; association avec aliskirène ou sacubitril ; hypotension sévère.</w:t>
      </w:r>
    </w:p>
    <w:p>
      <w:pPr>
        <w:pStyle w:val="ListBullet"/>
      </w:pPr>
      <w:r>
        <w:t>Effets Indésirables : toux sèche (5-20 %) ; angio-œdème (0,1-0,7 %) ; hyperkaliémie ; IRA fonctionnelle ; hypotension de première dose ; céphalées, vertiges, asthénie (fréquents en début de traitement, généralement transitoires) ; rash cutané ; troubles digestifs (nausées, diarrhée) ; impuissance (rare, beaucoup plus rare qu'avec les diurétiques ou bêtabloquants) ; perturbations du goût (rares avec les IEC carboxylés, plus fréquentes avec captopril).</w:t>
      </w:r>
    </w:p>
    <w:p>
      <w:r/>
      <w:r>
        <w:rPr>
          <w:b/>
        </w:rPr>
        <w:t>Prévention et Gestion des Effets Indésirables :</w:t>
      </w:r>
      <w:r/>
    </w:p>
    <w:p>
      <w:pPr>
        <w:pStyle w:val="ListBullet"/>
      </w:pPr>
      <w:r>
        <w:t>Mesures Préventives : (1) dosage créatinine + kaliémie avant l'initiation, à 1-2 semaines puis tous les 3-6 mois ; (2) test de grossesse chez toute femme en âge de procréer ; (3) dose initiale faible (2,5-5 mg/j) chez le sujet âgé, l'insuffisant rénal, ou le patient sous diurétique (arrêt temporaire 24-48 h avant) ; (4) surveillance de la PA après la première dose (en particulier si IC sévère ou HTA sévère) ; (5) éviter l'association systématique avec AINS, ARM, supplémentation K+.</w:t>
      </w:r>
    </w:p>
    <w:p>
      <w:pPr>
        <w:pStyle w:val="ListBullet"/>
      </w:pPr>
      <w:r>
        <w:t>Conduite à Tenir : (1) angio-œdème → arrêt définitif de l'IEC et de tous ARA2, urgence médicale (icatibant si disponible, anti-H1 + corticoïdes ± adrénaline). (2) Toux sèche → switch vers ARA2 (pas de contre-indication croisée pour la toux, uniquement pour l'angio-œdème). (3) Hyperkaliémie → arrêt transitoire, restriction potassique, diurétique si besoin, échangeurs d'ions. (4) IRA fonctionnelle → arrêt transitoire, réhydratation, recherche de sténose artère rénale.</w:t>
      </w:r>
    </w:p>
    <w:p>
      <w:r/>
      <w:r>
        <w:rPr>
          <w:b/>
        </w:rPr>
        <w:t>Interactions Importantes :</w:t>
      </w:r>
      <w:r/>
    </w:p>
    <w:p>
      <w:pPr>
        <w:pStyle w:val="ListBullet"/>
      </w:pPr>
      <w:r/>
      <w:r>
        <w:rPr>
          <w:b/>
        </w:rPr>
        <w:t>Énalapril + AINS</w:t>
      </w:r>
      <w:r>
        <w:t xml:space="preserve"> : baisse de l'effet antihypertenseur + risque d'IRA (surtout sujet âgé déshydraté). Association déconseillée.</w:t>
      </w:r>
    </w:p>
    <w:p>
      <w:pPr>
        <w:pStyle w:val="ListBullet"/>
      </w:pPr>
      <w:r/>
      <w:r>
        <w:rPr>
          <w:b/>
        </w:rPr>
        <w:t>Énalapril + diurétiques épargneurs de K+ (spironolactone, éplérénone, amiloride, triamtérène) + suppléments K+</w:t>
      </w:r>
      <w:r>
        <w:t xml:space="preserve"> : hyperkaliémie majeure. Surveillance stricte.</w:t>
      </w:r>
    </w:p>
    <w:p>
      <w:pPr>
        <w:pStyle w:val="ListBullet"/>
      </w:pPr>
      <w:r/>
      <w:r>
        <w:rPr>
          <w:b/>
        </w:rPr>
        <w:t>Énalapril + lithium</w:t>
      </w:r>
      <w:r>
        <w:t xml:space="preserve"> : augmentation de la lithiémie (risque de surdosage). Surveillance, ajustement.</w:t>
      </w:r>
    </w:p>
    <w:p>
      <w:pPr>
        <w:pStyle w:val="ListBullet"/>
      </w:pPr>
      <w:r/>
      <w:r>
        <w:rPr>
          <w:b/>
        </w:rPr>
        <w:t>Énalapril + aliskirène</w:t>
      </w:r>
      <w:r>
        <w:t xml:space="preserve"> : CI absolue chez le diabétique ou l'insuffisant rénal.</w:t>
      </w:r>
    </w:p>
    <w:p>
      <w:pPr>
        <w:pStyle w:val="ListBullet"/>
      </w:pPr>
      <w:r/>
      <w:r>
        <w:rPr>
          <w:b/>
        </w:rPr>
        <w:t>Énalapril + sacubitril</w:t>
      </w:r>
      <w:r>
        <w:t xml:space="preserve"> : CI (angio-œdème). Délai 36 h.</w:t>
      </w:r>
    </w:p>
    <w:p>
      <w:pPr>
        <w:pStyle w:val="ListBullet"/>
      </w:pPr>
      <w:r/>
      <w:r>
        <w:rPr>
          <w:b/>
        </w:rPr>
        <w:t>Énalapril + or (IM)</w:t>
      </w:r>
      <w:r>
        <w:t xml:space="preserve"> : risque accru d'angio-œdème.</w:t>
      </w:r>
    </w:p>
    <w:p>
      <w:pPr>
        <w:pStyle w:val="ListBullet"/>
      </w:pPr>
      <w:r/>
      <w:r>
        <w:rPr>
          <w:b/>
        </w:rPr>
        <w:t>Énalapril + antidiabétiques</w:t>
      </w:r>
      <w:r>
        <w:t xml:space="preserve"> : potentialisation de l'effet hypoglycémiant (surtout insuline).</w:t>
      </w:r>
    </w:p>
    <w:p>
      <w:r/>
      <w:r>
        <w:rPr>
          <w:b/>
        </w:rPr>
        <w:t>Grossesse et Allaitement :</w:t>
      </w:r>
      <w:r/>
    </w:p>
    <w:p>
      <w:pPr>
        <w:pStyle w:val="ListBullet"/>
      </w:pPr>
      <w:r>
        <w:t>Grossesse : CI absolue aux 2e et 3e trimestres (fœtotoxicité rénale, oligoamnios, hypoplasie pulmonaire, hypotension néonatale, malformations crâniennes). Au 1er trimestre, association déconseillée. Découverte de grossesse sous IEC → arrêt immédiat, échographie morphologique. Substitution par labétalol, nicardipine, méthyldopa.</w:t>
      </w:r>
    </w:p>
    <w:p>
      <w:pPr>
        <w:pStyle w:val="ListBullet"/>
      </w:pPr>
      <w:r>
        <w:t>Allaitement : passage très faible dans le lait maternel. Compatible selon CRAT (rapport lait/plasma 0,05 environ), à éviter chez le prématuré et le nouveau-né de moins de 2 semaines. Surveillance de la PA et de la kaliémie du nourrisson si traitement prolongé.</w:t>
      </w:r>
    </w:p>
    <w:p>
      <w:pPr>
        <w:pStyle w:val="ListBullet"/>
      </w:pPr>
      <w:r>
        <w:t>Précisions : risque fœtal rénal principal (hypoplasie tubulaire, anurie néonatale). Le risque n'est pas dose-dépendant. L'oligoamnios est le signe d'alerte échographique principal.</w:t>
      </w:r>
    </w:p>
    <w:p>
      <w:r/>
      <w:r>
        <w:rPr>
          <w:b/>
        </w:rPr>
        <w:t>Posologie et Mode d'administration (Standard) :</w:t>
      </w:r>
      <w:r/>
    </w:p>
    <w:p>
      <w:pPr>
        <w:pStyle w:val="ListBullet"/>
      </w:pPr>
      <w:r>
        <w:t>Adulte : HTA : 10-20 mg une fois par jour (matin), max 40 mg/j (en une ou deux prises). Insuffisance cardiaque : dose initiale 2,5 mg/j (dose test, surveillance stricte 2 heures après pour hypotension de 1ère dose), titration progressive jusqu'à 10-20 mg × 2/j (max 40 mg/j). Post-IDM : 2,5 mg × 2/j initialement, titration à 20 mg/j. Néphropathie diabétique : 10-20 mg/j.</w:t>
      </w:r>
    </w:p>
    <w:p>
      <w:pPr>
        <w:pStyle w:val="ListBullet"/>
      </w:pPr>
      <w:r>
        <w:t>Sujet âgé : 2,5-5 mg/j initialement, titration prudente.</w:t>
      </w:r>
    </w:p>
    <w:p>
      <w:pPr>
        <w:pStyle w:val="ListBullet"/>
      </w:pPr>
      <w:r>
        <w:t>Insuffisance rénale : DFG 30-80 mL/min : 5-10 mg/j. DFG 10-30 mL/min : 2,5-5 mg/j. DFG &lt; 10 mL/min : 2,5 mg/j (en dialyse, 2,5 mg après chaque séance). L'énalaprilate est dialysable.</w:t>
      </w:r>
    </w:p>
    <w:p>
      <w:pPr>
        <w:pStyle w:val="ListBullet"/>
      </w:pPr>
      <w:r>
        <w:t>Durée : au long cours.</w:t>
      </w:r>
    </w:p>
    <w:p>
      <w:pPr>
        <w:pStyle w:val="ListBullet"/>
      </w:pPr>
      <w:r>
        <w:t>Moment de prise : monoprise matinale possible (la nourriture n'affecte pas la biodisponibilité, à la différence du captopril). En IC, bi-quotidien souvent préférable.</w:t>
      </w:r>
    </w:p>
    <w:p>
      <w:r/>
      <w:r>
        <w:rPr>
          <w:b/>
        </w:rPr>
        <w:t>Arbitrage et Bénéfices des Formes Galéniques :</w:t>
      </w:r>
      <w:r/>
    </w:p>
    <w:p>
      <w:r>
        <w:t>L'énalapril est disponible en comprimés à 5 et 20 mg, le plus souvent sécables — le 20 mg sécable permet d'obtenir une dose intermédiaire de 10 mg, et le 5 mg sécable permet la dose test de 2,5 mg. La galénique est donc adaptée à la titration. Le conditionnement en B/28 correspond à un mois de traitement monodose, ce qui en fait un produit simple à gérer en officine. L'énalapril est aussi disponible en association fixe avec l'hydrochlorothiazide (cf. fiche dédiée), simplifiant l'observance en cas d'HTA modérée à sévère. L'absence de forme LP est un inconvénient théorique, compensé par la longue demi-vée effective du métabolite actif. Pour la titration en IC décompensée, la forme à 2,5 mg est obtenue par quadri-sécabilité dans certaines marques (saipril), mais le plus souvent on commence par 5 mg sécable.</w:t>
      </w:r>
    </w:p>
    <w:p>
      <w:r/>
      <w:r>
        <w:rPr>
          <w:b/>
        </w:rPr>
        <w:t>Instructions et Conseils au Patient :</w:t>
      </w:r>
      <w:r/>
    </w:p>
    <w:p>
      <w:pPr>
        <w:pStyle w:val="ListBullet"/>
      </w:pPr>
      <w:r>
        <w:t>Communication au comptoir : « Voici votre traitement contre l'hypertension (ou l'insuffisance cardiaque). Prenez-le une fois par jour, le matin, à heure fixe, avec un grand verre d'eau, pendant ou en dehors des repas. Ne l'arrêtez pas sans avis médical, même si vous vous sentez mieux. Une toux sèche peut survenir, surtout en début de traitement — signalez-la à votre médecin. Levez-vous lentement pour éviter les vertiges. Évitez les AINS sans avis (ibuprofène). Évitez les sels de régime riches en potassium. Si vous êtes enceinte ou planifiez une grossesse, ce médicament est strictement interdit. »</w:t>
      </w:r>
    </w:p>
    <w:p>
      <w:pPr>
        <w:pStyle w:val="ListBullet"/>
      </w:pPr>
      <w:r>
        <w:t>Mode d'utilisation pratique : prise le matin à heure fixe. Tenir un agenda tensionnel. Apporter les résultats biologiques (créatinine, kaliémie) aux rendez-vous.</w:t>
      </w:r>
    </w:p>
    <w:p>
      <w:r/>
      <w:r>
        <w:rPr>
          <w:b/>
        </w:rPr>
        <w:t>Notes, Règles d'Or &amp; Pièges au Comptoir :</w:t>
      </w:r>
      <w:r/>
    </w:p>
    <w:p>
      <w:pPr>
        <w:pStyle w:val="ListBullet"/>
      </w:pPr>
      <w:r>
        <w:t>Piège classique : ne pas confondre énalapril et énalaprilate (forme active) — le second n'est pas disponible en Algérie par voie orale mais est utilisé en IV aux urgences en Europe. La clairance de l'énalaprilate est rénale, donc adaptation posologique indispensable en IRC.</w:t>
      </w:r>
    </w:p>
    <w:p>
      <w:pPr>
        <w:pStyle w:val="ListBullet"/>
      </w:pPr>
      <w:r>
        <w:t>Piège classique : risque d'hypotension de 1ère dose majeure en cas d'IC décompensée ou de traitement diurétique concomitant non suspendu — recommander d'arrêter le diurétique 24-48 h avant initiation puis reprendre à dose réduite.</w:t>
      </w:r>
    </w:p>
    <w:p>
      <w:pPr>
        <w:pStyle w:val="ListBullet"/>
      </w:pPr>
      <w:r>
        <w:t>Règle de prise : monoprise matinale, indépendante des repas.</w:t>
      </w:r>
    </w:p>
    <w:p>
      <w:pPr>
        <w:pStyle w:val="ListBullet"/>
      </w:pPr>
      <w:r>
        <w:t>Préparation et Conservation : température &lt; 25 °C, à l'abri de l'humidité. Ne pas fractionner les comprimés à l'avance. Les comprimés sécables doivent rester dans leur blister.</w:t>
      </w:r>
    </w:p>
    <w:p>
      <w:pPr>
        <w:pStyle w:val="ListBullet"/>
      </w:pPr>
      <w:r>
        <w:t>Piège du surdosage / Substitution : hypotension, hyperkaliémie. Traitement symptomatique. Le passage IEC → ARA2 nécessite un délai de 24-36 heures. Le passage captopril → énalapril se fait par arrêt immédiat du captopril et initiation de l'énalapril à la dose adaptée (équivalence approximative : captopril 25 mg × 3/j ≈ énalapril 20 mg × 2/j).</w:t>
      </w:r>
    </w:p>
    <w:p>
      <w:pPr>
        <w:pStyle w:val="Heading3"/>
      </w:pPr>
      <w:r>
        <w:t>3. DCI : Lisinopril (Seule)</w:t>
      </w:r>
    </w:p>
    <w:p>
      <w:r/>
      <w:r>
        <w:rPr>
          <w:b/>
        </w:rPr>
        <w:t>Liste des Catégories :</w:t>
      </w:r>
      <w:r>
        <w:t xml:space="preserve"> Liste I ; antihypertenseur inhibiteur de l'ECA de deuxième génération, groupement carboxylé (-COOH), </w:t>
      </w:r>
      <w:r>
        <w:rPr>
          <w:b/>
        </w:rPr>
        <w:t>non prodrogue</w:t>
      </w:r>
      <w:r>
        <w:t xml:space="preserve"> (actif directement, comme le captopril). Commercialisé dès 1987 (Zeneca — Zestril, Merck — Prinivil). Particularité PK : il est hydrosoluble, éliminé inchangé par le rein (aucun métabolisme hépatique), ce qui simplifie la prescription en cas d'hépatopathie mais impose une adaptation posologique stricte à la fonction rénale. Sa longue demi-vée plasmatique (≈ 12 h) et sa demi-vée d'action effective (≈ 30 h) autorisent la monoprise quotidienne. Molécule de référence dans le post-IDM (étude GISSI-3, ISIS-4), l'IC (ATLAS) et la néphropathie diabétique (réduction de la protéinurie).</w:t>
      </w:r>
    </w:p>
    <w:p>
      <w:r/>
      <w:r>
        <w:rPr>
          <w:b/>
        </w:rPr>
        <w:t>Médicaments disponibles en Algérie (Marques, Laboratoires, Formes et Dosages) :</w:t>
      </w:r>
      <w:r/>
    </w:p>
    <w:p>
      <w:pPr>
        <w:pStyle w:val="ListBullet"/>
      </w:pPr>
      <w:r/>
      <w:r>
        <w:rPr>
          <w:b/>
        </w:rPr>
        <w:t>JACE</w:t>
      </w:r>
      <w:r>
        <w:t xml:space="preserve"> (JAMJOOM PHARMACEUTICAL INDUSTRY)</w:t>
      </w:r>
    </w:p>
    <w:p>
      <w:pPr>
        <w:pStyle w:val="ListBullet"/>
      </w:pPr>
      <w:r>
        <w:t>Formes et Dosages : Comprimé pelliculé 5 mg (B/30) ; Comprimé pelliculé 10 mg (B/30) ; Comprimé pelliculé 20 mg (B/30)</w:t>
      </w:r>
    </w:p>
    <w:p>
      <w:pPr>
        <w:pStyle w:val="ListBullet"/>
      </w:pPr>
      <w:r>
        <w:t>Statut : Non Renouvelable</w:t>
      </w:r>
    </w:p>
    <w:p>
      <w:pPr>
        <w:pStyle w:val="ListBullet"/>
      </w:pPr>
      <w:r/>
      <w:r>
        <w:rPr>
          <w:b/>
        </w:rPr>
        <w:t>INOPRIL</w:t>
      </w:r>
      <w:r>
        <w:t xml:space="preserve"> (HIKMA PHARMACEUTICALS) (R)</w:t>
      </w:r>
    </w:p>
    <w:p>
      <w:pPr>
        <w:pStyle w:val="ListBullet"/>
      </w:pPr>
      <w:r>
        <w:t>Formes et Dosages : Comprimé 5 mg (B/28) ; Comprimé 10 mg (B/28) ; Comprimé 20 mg (B/14)</w:t>
      </w:r>
    </w:p>
    <w:p>
      <w:pPr>
        <w:pStyle w:val="ListBullet"/>
      </w:pPr>
      <w:r>
        <w:t>Statut : Retiré</w:t>
      </w:r>
    </w:p>
    <w:p>
      <w:pPr>
        <w:pStyle w:val="ListBullet"/>
      </w:pPr>
      <w:r/>
      <w:r>
        <w:rPr>
          <w:b/>
        </w:rPr>
        <w:t>LISINOPRIL IBERAL</w:t>
      </w:r>
      <w:r>
        <w:t xml:space="preserve"> (IBERAL SPA) (R)</w:t>
      </w:r>
    </w:p>
    <w:p>
      <w:pPr>
        <w:pStyle w:val="ListBullet"/>
      </w:pPr>
      <w:r>
        <w:t>Formes et Dosages : Comprimé sécable 20 mg (B/28)</w:t>
      </w:r>
    </w:p>
    <w:p>
      <w:pPr>
        <w:pStyle w:val="ListBullet"/>
      </w:pPr>
      <w:r>
        <w:t>Statut : Retiré</w:t>
      </w:r>
    </w:p>
    <w:p>
      <w:r>
        <w:t>Note : à la date de la nomenclature algérienne (Avril 2026), le lisinopril n'est plus disponible en marque active — seules les formes JACE (NR) et historiques (R) subsistent. Cette pénurie relative justifie un switch fréquent vers l'énalapril, le ramipril ou le périndopril en pratique clinique.</w:t>
      </w:r>
    </w:p>
    <w:p>
      <w:r/>
      <w:r>
        <w:rPr>
          <w:b/>
        </w:rPr>
        <w:t>Sous-classe et Mécanisme d'action :</w:t>
      </w:r>
      <w:r/>
    </w:p>
    <w:p>
      <w:pPr>
        <w:pStyle w:val="ListBullet"/>
      </w:pPr>
      <w:r>
        <w:t>Sous-classe : IEC de deuxième génération, groupement carboxylé (-COOH), non prodrogue (actif directement), monoprise quotidienne. Hydrosoluble, élimination exclusivement rénale (inchangé).</w:t>
      </w:r>
    </w:p>
    <w:p>
      <w:pPr>
        <w:pStyle w:val="ListBullet"/>
      </w:pPr>
      <w:r>
        <w:t>Mécanisme d'action : inhibition compétitive et réversible du site zinc-dépendant de l'ECA. Baisse de l'angiotensine II et augmentation de la bradykinine → vasodilatation artérielle et veineuse, baisse de l'aldostérone, baisse de la trophicité cardiovasculaire, néphroprotection. La non-conversion prodrogue → actif simplifie la PK (pas d'effet premier passage hépatique) et élimine la variabilité interindividuelle de la réponse.</w:t>
      </w:r>
    </w:p>
    <w:p>
      <w:r/>
      <w:r>
        <w:rPr>
          <w:b/>
        </w:rPr>
        <w:t>Profil Pharmacologique :</w:t>
      </w:r>
      <w:r/>
    </w:p>
    <w:p>
      <w:pPr>
        <w:pStyle w:val="ListBullet"/>
      </w:pPr>
      <w:r>
        <w:t>Indications : HTA essentielle (1ère intention) ; insuffisance cardiaque chronique (ATLAS) ; post-IDM précoce (GISSI-3, ISIS-4 — AMM spécifique dans les premières 24 heures) ; néphropathie diabétique (réduction de la protéinurie et ralentissement de l'évolution vers l'IRT) ; prévention CV secondaire chez le diabétique (ALLHAT — lisinopril supérieur au chlorthalidone pour prévention de l'IRC chez le diabétique).</w:t>
      </w:r>
    </w:p>
    <w:p>
      <w:pPr>
        <w:pStyle w:val="ListBullet"/>
      </w:pPr>
      <w:r>
        <w:t>Contre-indications : angio-œdème sous IEC ; grossesse 2e/3e trimestres ; sténose bilatérale des artères rénales ; hyperkaliémie ; association avec aliskirène/sacubitril.</w:t>
      </w:r>
    </w:p>
    <w:p>
      <w:pPr>
        <w:pStyle w:val="ListBullet"/>
      </w:pPr>
      <w:r>
        <w:t>Effets Indésirables : toux sèche (5-20 %) ; angio-œdème (0,1-0,7 %) ; hyperkaliémie ; IRA fonctionnelle ; hypotension de première dose ; céphalées, vertiges, asthénie ; rash ; troubles digestifs ; impuissance (rare). Profil superposable à celui de l'énalapril.</w:t>
      </w:r>
    </w:p>
    <w:p>
      <w:r/>
      <w:r>
        <w:rPr>
          <w:b/>
        </w:rPr>
        <w:t>Prévention et Gestion des Effets Indésirables :</w:t>
      </w:r>
      <w:r/>
    </w:p>
    <w:p>
      <w:pPr>
        <w:pStyle w:val="ListBullet"/>
      </w:pPr>
      <w:r>
        <w:t>Mesures Préventives : dosage créatinine et kaliémie avant initiation, à 1-2 semaines, puis tous les 3-6 mois. Test de grossesse chez toute femme en âge de procréer. Dose initiale faible (2,5-5 mg/j) chez le sujet âgé, l'insuffisant rénal ou le patient sous diurétique. Surveillance PA après 1ère dose. Adapter au DFG (lisinopril exclusivement rénal).</w:t>
      </w:r>
    </w:p>
    <w:p>
      <w:pPr>
        <w:pStyle w:val="ListBullet"/>
      </w:pPr>
      <w:r>
        <w:t>Conduite à Tenir : angio-œdème → arrêt définitif IEC et ARA2, urgence médicale. Toux sèche → switch vers ARA2. Hyperkaliémie → arrêt transitoire, restriction potassique, diurétique, échangeurs d'ions. IRA → arrêt, réhydratation, recherche de sténose artère rénale.</w:t>
      </w:r>
    </w:p>
    <w:p>
      <w:r/>
      <w:r>
        <w:rPr>
          <w:b/>
        </w:rPr>
        <w:t>Interactions Importantes :</w:t>
      </w:r>
      <w:r/>
    </w:p>
    <w:p>
      <w:pPr>
        <w:pStyle w:val="ListBullet"/>
      </w:pPr>
      <w:r/>
      <w:r>
        <w:rPr>
          <w:b/>
        </w:rPr>
        <w:t>Lisinopril + AINS</w:t>
      </w:r>
      <w:r>
        <w:t xml:space="preserve"> : baisse effet antihypertenseur + IRA. Triple whammy si diurétique associé.</w:t>
      </w:r>
    </w:p>
    <w:p>
      <w:pPr>
        <w:pStyle w:val="ListBullet"/>
      </w:pPr>
      <w:r/>
      <w:r>
        <w:rPr>
          <w:b/>
        </w:rPr>
        <w:t>Lisinopril + diurétiques épargneurs de K+ + suppléments K+</w:t>
      </w:r>
      <w:r>
        <w:t xml:space="preserve"> : hyperkaliémie majeure.</w:t>
      </w:r>
    </w:p>
    <w:p>
      <w:pPr>
        <w:pStyle w:val="ListBullet"/>
      </w:pPr>
      <w:r/>
      <w:r>
        <w:rPr>
          <w:b/>
        </w:rPr>
        <w:t>Lisinopril + lithium</w:t>
      </w:r>
      <w:r>
        <w:t xml:space="preserve"> : augmentation lithiémie.</w:t>
      </w:r>
    </w:p>
    <w:p>
      <w:pPr>
        <w:pStyle w:val="ListBullet"/>
      </w:pPr>
      <w:r/>
      <w:r>
        <w:rPr>
          <w:b/>
        </w:rPr>
        <w:t>Lisinopril + aliskirène</w:t>
      </w:r>
      <w:r>
        <w:t xml:space="preserve"> : CI absolue (diabétique, insuffisant rénal).</w:t>
      </w:r>
    </w:p>
    <w:p>
      <w:pPr>
        <w:pStyle w:val="ListBullet"/>
      </w:pPr>
      <w:r/>
      <w:r>
        <w:rPr>
          <w:b/>
        </w:rPr>
        <w:t>Lisinopril + sacubitril</w:t>
      </w:r>
      <w:r>
        <w:t xml:space="preserve"> : CI (angio-œdème), délai 36 h.</w:t>
      </w:r>
    </w:p>
    <w:p>
      <w:pPr>
        <w:pStyle w:val="ListBullet"/>
      </w:pPr>
      <w:r/>
      <w:r>
        <w:rPr>
          <w:b/>
        </w:rPr>
        <w:t>Lisinopril + antidiabétiques</w:t>
      </w:r>
      <w:r>
        <w:t xml:space="preserve"> : potentialisation hypoglycémiante.</w:t>
      </w:r>
    </w:p>
    <w:p>
      <w:r/>
      <w:r>
        <w:rPr>
          <w:b/>
        </w:rPr>
        <w:t>Grossesse et Allaitement :</w:t>
      </w:r>
      <w:r/>
    </w:p>
    <w:p>
      <w:pPr>
        <w:pStyle w:val="ListBullet"/>
      </w:pPr>
      <w:r>
        <w:t>Grossesse : CI absolue 2e/3e trimestres ; 1er trimestre déconseillé. Risque fœtal rénal (oligoamnios, anurie néonatale), hypoplasie pulmonaire, hypotension néonatale, malformations crâniennes. Arrêt immédiat si découverte de grossesse, échographie morphologique fœtale.</w:t>
      </w:r>
    </w:p>
    <w:p>
      <w:pPr>
        <w:pStyle w:val="ListBullet"/>
      </w:pPr>
      <w:r>
        <w:t>Allaitement : passage très faible dans le lait (rapport lait/plasma ≈ 0,12). Compatible selon CRAT, à éviter chez le prématuré et le nouveau-né &lt; 2 semaines. Surveillance PA du nourrisson.</w:t>
      </w:r>
    </w:p>
    <w:p>
      <w:pPr>
        <w:pStyle w:val="ListBullet"/>
      </w:pPr>
      <w:r>
        <w:t>Précisions : oligoamnios = signe d'alerte échographique. Le risque n'est pas dose-dépendant.</w:t>
      </w:r>
    </w:p>
    <w:p>
      <w:r/>
      <w:r>
        <w:rPr>
          <w:b/>
        </w:rPr>
        <w:t>Posologie et Mode d'administration (Standard) :</w:t>
      </w:r>
      <w:r/>
    </w:p>
    <w:p>
      <w:pPr>
        <w:pStyle w:val="ListBullet"/>
      </w:pPr>
      <w:r>
        <w:t>Adulte : HTA : 10-20 mg une fois par jour (matin), max 40 mg/j (rarement 80 mg/j dans IC sévère). Insuffisance cardiaque : 2,5-5 mg/j initialement, titration à 10-20 mg × 1-2/j (max 40 mg/j). Post-IDM : 5 mg dans les 24 premières heures, puis 10 mg après 48 h, puis 10-20 mg/j au long cours (GISSI-3). Néphropathie diabétique : 10-20 mg/j.</w:t>
      </w:r>
    </w:p>
    <w:p>
      <w:pPr>
        <w:pStyle w:val="ListBullet"/>
      </w:pPr>
      <w:r>
        <w:t>Sujet âgé : 2,5-5 mg/j initialement, titration prudente.</w:t>
      </w:r>
    </w:p>
    <w:p>
      <w:pPr>
        <w:pStyle w:val="ListBullet"/>
      </w:pPr>
      <w:r>
        <w:t>Insuffisance rénale : DFG 30-80 mL/min : 5-10 mg/j. DFG 10-30 mL/min : 2,5-5 mg/j. DFG &lt; 10 mL/min : 2,5 mg/j (en dialyse, 2,5 mg après chaque séance — dialysable).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 xml:space="preserve">Le lisinopril est disponible en comprimés à 5, 10 et 20 mg, le plus souvent pelliculés. La pelliculation améliore la tolérance gastrique et masque le goût métallique éventuel. La non-sécabilité de certaines formes est un inconvénient pour la titration, mais la disponibilité de plusieurs dosages (5, 10, 20 mg) permet une adaptation fine. Le conditionnement B/28 correspond à un mois de traitement monodose. L'avantage majeur du lisinopril en pratique clinique est la </w:t>
      </w:r>
      <w:r>
        <w:rPr>
          <w:b/>
        </w:rPr>
        <w:t>simplicité de prescription</w:t>
      </w:r>
      <w:r>
        <w:t xml:space="preserve"> : pas de métabolisme hépatique (sécurité en cas d'hépatopathie, pas d'interactions métaboliques avec le CYP450), monoprise stricte, biodisponibilité de 25 % non affectée par la nourriture. Le principal inconvénient est sa disponibilité réduite en Algérie (pénurie), justifiant les substitutions fréquentes.</w:t>
      </w:r>
    </w:p>
    <w:p>
      <w:r/>
      <w:r>
        <w:rPr>
          <w:b/>
        </w:rPr>
        <w:t>Instructions et Conseils au Patient :</w:t>
      </w:r>
      <w:r/>
    </w:p>
    <w:p>
      <w:pPr>
        <w:pStyle w:val="ListBullet"/>
      </w:pPr>
      <w:r>
        <w:t>Communication au comptoir : « Voici votre traitement antihypertenseur. Prenez-le une fois par jour, le matin, à heure fixe, avec un grand verre d'eau. Il peut se prendre pendant ou en dehors des repas. Ne l'arrêtez pas sans avis médical. Une toux sèche peut survenir — signalez-la. Levez-vous lentement pour éviter les vertiges des premiers jours. Évitez les AINS sans avis (ibuprofène). Évitez les sels de régime riches en potassium. Strictement interdit pendant la grossesse. »</w:t>
      </w:r>
    </w:p>
    <w:p>
      <w:pPr>
        <w:pStyle w:val="ListBullet"/>
      </w:pPr>
      <w:r>
        <w:t>Mode d'utilisation pratique : prise matinale à heure fixe, tenir un agenda tensionnel, apporter les résultats biologiques aux rendez-vous.</w:t>
      </w:r>
    </w:p>
    <w:p>
      <w:r/>
      <w:r>
        <w:rPr>
          <w:b/>
        </w:rPr>
        <w:t>Notes, Règles d'Or &amp; Pièges au Comptoir :</w:t>
      </w:r>
      <w:r/>
    </w:p>
    <w:p>
      <w:pPr>
        <w:pStyle w:val="ListBullet"/>
      </w:pPr>
      <w:r>
        <w:t>Piège classique : adapter strictement la posologie au DFG (lisinopril exclusivement rénal) — sinon risque d'accumulation et d'hyperkaliémie. En dialyse, 2,5 mg après chaque séance (dialysable).</w:t>
      </w:r>
    </w:p>
    <w:p>
      <w:pPr>
        <w:pStyle w:val="ListBullet"/>
      </w:pPr>
      <w:r>
        <w:t>Piège classique : ne pas confondre avec le lisuride (anti-Parkinson) ou la lisuramine (ancien antidépresseur) à l'officine — vérification du nom de la molécule indispensable.</w:t>
      </w:r>
    </w:p>
    <w:p>
      <w:pPr>
        <w:pStyle w:val="ListBullet"/>
      </w:pPr>
      <w:r>
        <w:t>Piège classique : disponibilité algérienne réduite (pénurie 2026) — prévoir un message d'information au patient et proposer une substitution par énalapril, ramipril ou périndopril en accord avec le prescripteur.</w:t>
      </w:r>
    </w:p>
    <w:p>
      <w:pPr>
        <w:pStyle w:val="ListBullet"/>
      </w:pPr>
      <w:r>
        <w:t>Règle de prise : monoprise matinale.</w:t>
      </w:r>
    </w:p>
    <w:p>
      <w:pPr>
        <w:pStyle w:val="ListBullet"/>
      </w:pPr>
      <w:r>
        <w:t>Préparation et Conservation : température &lt; 25 °C, à l'abri de l'humidité. Conserver dans le blister.</w:t>
      </w:r>
    </w:p>
    <w:p>
      <w:pPr>
        <w:pStyle w:val="ListBullet"/>
      </w:pPr>
      <w:r>
        <w:t>Piège du surdosage / Substitution : hypotension, hyperkaliémie (surveillance ECG). Wash-out 24-36 h avant ARA2.</w:t>
      </w:r>
    </w:p>
    <w:p>
      <w:pPr>
        <w:pStyle w:val="Heading3"/>
      </w:pPr>
      <w:r>
        <w:t>4. DCI : Périndopril (Seule)</w:t>
      </w:r>
    </w:p>
    <w:p>
      <w:r/>
      <w:r>
        <w:rPr>
          <w:b/>
        </w:rPr>
        <w:t>Liste des Catégories :</w:t>
      </w:r>
      <w:r>
        <w:t xml:space="preserve"> Liste I ; antihypertenseur inhibiteur de l'ECA de troisième génération, groupement carboxylé (-COOH), prodrogue (périndopril → périndoprilate actif par hydrolyse hépatique). Commercialisé dès 1988 (Servier — Coversyl), il s'est imposé comme un des IEC de référence en cardiologie préventive et en néphroprotection grâce à plusieurs grandes études positives (EUROPA, ADVANCE, PROGRESS, ASCOT-BPLA). Sa haute lipophilie lui confère une excellente pénétration tissulaire (cœur, rein, vaisseau), augmentant sa durée d'action effective à 24 heures et son effet sur l'ECA tissulaire. Il existe sous deux selles : périndopril arginine (Coversyl actuel — plus stable) et périndopril erbumine (forme historique, équivalence 5 mg arginine ≈ 4 mg erbumine ≈ 10 mg tert-butylamine).</w:t>
      </w:r>
    </w:p>
    <w:p>
      <w:r/>
      <w:r>
        <w:rPr>
          <w:b/>
        </w:rPr>
        <w:t>Médicaments disponibles en Algérie (Marques, Laboratoires, Formes et Dosages) :</w:t>
      </w:r>
      <w:r/>
    </w:p>
    <w:p>
      <w:pPr>
        <w:pStyle w:val="ListBullet"/>
      </w:pPr>
      <w:r/>
      <w:r>
        <w:rPr>
          <w:b/>
        </w:rPr>
        <w:t>COVERSYL</w:t>
      </w:r>
      <w:r>
        <w:t xml:space="preserve"> (LES LABORATOIRES SERVIER)</w:t>
      </w:r>
    </w:p>
    <w:p>
      <w:pPr>
        <w:pStyle w:val="ListBullet"/>
      </w:pPr>
      <w:r>
        <w:t>Formes et Dosages : Comprimé 8 mg (B/30) ; Comprimé sécable 4 mg (B/30 et B/10) ; Comprimé pelliculé 10 mg (B/30) ; Comprimé pelliculé sécable 5 mg (B/30)</w:t>
      </w:r>
    </w:p>
    <w:p>
      <w:pPr>
        <w:pStyle w:val="ListBullet"/>
      </w:pPr>
      <w:r>
        <w:t>Statut : Actif</w:t>
      </w:r>
    </w:p>
    <w:p>
      <w:pPr>
        <w:pStyle w:val="ListBullet"/>
      </w:pPr>
      <w:r/>
      <w:r>
        <w:rPr>
          <w:b/>
        </w:rPr>
        <w:t>PERINDOPRIL BEKER</w:t>
      </w:r>
      <w:r>
        <w:t xml:space="preserve"> (LABORATOIRES BEKER)</w:t>
      </w:r>
    </w:p>
    <w:p>
      <w:pPr>
        <w:pStyle w:val="ListBullet"/>
      </w:pPr>
      <w:r>
        <w:t>Formes et Dosages : Comprimé 8 mg (B/30) ; Comprimé sécable 4 mg (B/30)</w:t>
      </w:r>
    </w:p>
    <w:p>
      <w:pPr>
        <w:pStyle w:val="ListBullet"/>
      </w:pPr>
      <w:r>
        <w:t>Statut : Actif</w:t>
      </w:r>
    </w:p>
    <w:p>
      <w:pPr>
        <w:pStyle w:val="ListBullet"/>
      </w:pPr>
      <w:r/>
      <w:r>
        <w:rPr>
          <w:b/>
        </w:rPr>
        <w:t>PERINDOSYL</w:t>
      </w:r>
      <w:r>
        <w:t xml:space="preserve"> (EL KENDI INDUSTRIE DU MEDICAMENT)</w:t>
      </w:r>
    </w:p>
    <w:p>
      <w:pPr>
        <w:pStyle w:val="ListBullet"/>
      </w:pPr>
      <w:r>
        <w:t>Formes et Dosages : Comprimé 4 mg (B/30) ; Comprimé pelliculé 8 mg (B/30)</w:t>
      </w:r>
    </w:p>
    <w:p>
      <w:pPr>
        <w:pStyle w:val="ListBullet"/>
      </w:pPr>
      <w:r>
        <w:t>Statut : Actif</w:t>
      </w:r>
    </w:p>
    <w:p>
      <w:r>
        <w:t>Note : la marque princeps Coversyl (Servier) reste disponible en Algérie, aux côtés des génériques Beker et Perindosyl. La coexistence de dosages en arginine (5 et 10 mg) et en erbumine/tert-butylamine (4 et 8 mg) — équivalents en termes d'activité pharmacologique — nécessite une attention particulière à la délivrance pour éviter les erreurs posologiques (1 mg d'arginine ≈ 0,8 mg d'erbumine en activité).</w:t>
      </w:r>
    </w:p>
    <w:p>
      <w:r/>
      <w:r>
        <w:rPr>
          <w:b/>
        </w:rPr>
        <w:t>Sous-classe et Mécanisme d'action :</w:t>
      </w:r>
      <w:r/>
    </w:p>
    <w:p>
      <w:pPr>
        <w:pStyle w:val="ListBullet"/>
      </w:pPr>
      <w:r>
        <w:t>Sous-classe : IEC de troisième génération, groupement carboxylé (-COOH), prodrogue, monoprise quotidienne. Haute lipophilie, longue demi-vée d'action effective (24 h).</w:t>
      </w:r>
    </w:p>
    <w:p>
      <w:pPr>
        <w:pStyle w:val="ListBullet"/>
      </w:pPr>
      <w:r>
        <w:t>Mécanisme d'action : le périndopril est hydrolysé dans le foie en périndoprilate (diacide actif), qui se lie de manière compétitive et progressive au zinc de l'ECA. Inhibition puissante de l'ECA plasmatique et tissulaire (cœur, rein, vaisseaux) → vasodilatation, baisse de l'aldostérone, régression de l'hypertrophie VG, néphroprotection. La longue lipophilie tissulaire explique la persistance de l'effet à 24 h et le profil tensionnel plat ( faible pic/trough ratio — atout pour la couverture des 24 heures sans pics hypotensifs).</w:t>
      </w:r>
    </w:p>
    <w:p>
      <w:r/>
      <w:r>
        <w:rPr>
          <w:b/>
        </w:rPr>
        <w:t>Profil Pharmacologique :</w:t>
      </w:r>
      <w:r/>
    </w:p>
    <w:p>
      <w:pPr>
        <w:pStyle w:val="ListBullet"/>
      </w:pPr>
      <w:r>
        <w:t>Indications : HTA essentielle (1ère intention) ; insuffisance cardiaque chronique ; post-IDM stable (EUROPA — réduction de la mortalité CV, de l'IDM non fatal et de l'arrêt cardiaque) ; prévention CV secondaire chez le patient coronarien stable ; néphropathie diabétique (ADVANCE — réduction de la néphropathie et de la mortalité chez le diabétique T2) ; prévention de la récidive d'AVC (PROGRESS — en association avec l'indapamide) ; microalbuminurie diabétique.</w:t>
      </w:r>
    </w:p>
    <w:p>
      <w:pPr>
        <w:pStyle w:val="ListBullet"/>
      </w:pPr>
      <w:r>
        <w:t>Contre-indications : angio-œdème sous IEC ; grossesse 2e/3e trimestres ; sténose bilatérale des artères rénales ; hyperkaliémie ; association avec aliskirène/sacubitril.</w:t>
      </w:r>
    </w:p>
    <w:p>
      <w:pPr>
        <w:pStyle w:val="ListBullet"/>
      </w:pPr>
      <w:r>
        <w:t>Effets Indésirables : toux sèche (5-15 % — réputée moins fréquente qu'avec l'énalapril) ; angio-œdème (0,1-0,7 %) ; hyperkaliémie ; IRA fonctionnelle ; hypotension de première dose (réputée moins fréquente grâce à la lenteur d'installation de l'effet — pic d'action retardé) ; céphalées, vertiges, asthénie ; rash ; troubles digestifs ; toux.</w:t>
      </w:r>
    </w:p>
    <w:p>
      <w:r/>
      <w:r>
        <w:rPr>
          <w:b/>
        </w:rPr>
        <w:t>Prévention et Gestion des Effets Indésirables :</w:t>
      </w:r>
      <w:r/>
    </w:p>
    <w:p>
      <w:pPr>
        <w:pStyle w:val="ListBullet"/>
      </w:pPr>
      <w:r>
        <w:t>Mesures Préventives : dosage créatinine + kaliémie avant initiation et à 1-2 semaines puis tous les 3-6 mois. Test de grossesse. Dose initiale faible (2,5 mg arginine ou 2 mg erbumine) chez le sujet âgé, l'insuffisant rénal, ou le patient sous diurétique. Surveillance PA après 1ère dose. Adaptation au DFG.</w:t>
      </w:r>
    </w:p>
    <w:p>
      <w:pPr>
        <w:pStyle w:val="ListBullet"/>
      </w:pPr>
      <w:r>
        <w:t>Conduite à Tenir : angio-œdème → arrêt définitif IEC et ARA2, urgence. Toux → switch vers ARA2. Hyperkaliémie → arrêt transitoire, restriction potassique, diurétique, échangeurs d'ions. IRA → arrêt, réhydratation, recherche de sténose artère rénale.</w:t>
      </w:r>
    </w:p>
    <w:p>
      <w:r/>
      <w:r>
        <w:rPr>
          <w:b/>
        </w:rPr>
        <w:t>Interactions Importantes :</w:t>
      </w:r>
      <w:r/>
    </w:p>
    <w:p>
      <w:pPr>
        <w:pStyle w:val="ListBullet"/>
      </w:pPr>
      <w:r/>
      <w:r>
        <w:rPr>
          <w:b/>
        </w:rPr>
        <w:t>Périndopril + AINS</w:t>
      </w:r>
      <w:r>
        <w:t xml:space="preserve"> : baisse effet antihypertenseur + IRA. Triple whammy.</w:t>
      </w:r>
    </w:p>
    <w:p>
      <w:pPr>
        <w:pStyle w:val="ListBullet"/>
      </w:pPr>
      <w:r/>
      <w:r>
        <w:rPr>
          <w:b/>
        </w:rPr>
        <w:t>Périndopril + diurétiques épargneurs de K+ + suppléments K+</w:t>
      </w:r>
      <w:r>
        <w:t xml:space="preserve"> : hyperkaliémie majeure.</w:t>
      </w:r>
    </w:p>
    <w:p>
      <w:pPr>
        <w:pStyle w:val="ListBullet"/>
      </w:pPr>
      <w:r/>
      <w:r>
        <w:rPr>
          <w:b/>
        </w:rPr>
        <w:t>Périndopril + lithium</w:t>
      </w:r>
      <w:r>
        <w:t xml:space="preserve"> : augmentation lithiémie.</w:t>
      </w:r>
    </w:p>
    <w:p>
      <w:pPr>
        <w:pStyle w:val="ListBullet"/>
      </w:pPr>
      <w:r/>
      <w:r>
        <w:rPr>
          <w:b/>
        </w:rPr>
        <w:t>Périndopril + aliskirène</w:t>
      </w:r>
      <w:r>
        <w:t xml:space="preserve"> : CI absolue.</w:t>
      </w:r>
    </w:p>
    <w:p>
      <w:pPr>
        <w:pStyle w:val="ListBullet"/>
      </w:pPr>
      <w:r/>
      <w:r>
        <w:rPr>
          <w:b/>
        </w:rPr>
        <w:t>Périndopril + sacubitril</w:t>
      </w:r>
      <w:r>
        <w:t xml:space="preserve"> : CI (angio-œdème), délai 36 h.</w:t>
      </w:r>
    </w:p>
    <w:p>
      <w:pPr>
        <w:pStyle w:val="ListBullet"/>
      </w:pPr>
      <w:r/>
      <w:r>
        <w:rPr>
          <w:b/>
        </w:rPr>
        <w:t>Périndopril + indapamide</w:t>
      </w:r>
      <w:r>
        <w:t xml:space="preserve"> : association synergique (PRETERAX) — étude PROGRESS (réduction de la récidive d'AVC), ADVANCE (diabète), HYVET (sujet âgé). Synergie néphroprotectrice et tensionnelle.</w:t>
      </w:r>
    </w:p>
    <w:p>
      <w:pPr>
        <w:pStyle w:val="ListBullet"/>
      </w:pPr>
      <w:r/>
      <w:r>
        <w:rPr>
          <w:b/>
        </w:rPr>
        <w:t>Périndopril + amlodipine</w:t>
      </w:r>
      <w:r>
        <w:t xml:space="preserve"> : association fixe (COVERAM) pour l'HTA modérée à sévère.</w:t>
      </w:r>
    </w:p>
    <w:p>
      <w:r/>
      <w:r>
        <w:rPr>
          <w:b/>
        </w:rPr>
        <w:t>Grossesse et Allaitement :</w:t>
      </w:r>
      <w:r/>
    </w:p>
    <w:p>
      <w:pPr>
        <w:pStyle w:val="ListBullet"/>
      </w:pPr>
      <w:r>
        <w:t>Grossesse : CI absolue 2e/3e trimestres ; 1er trimestre déconseillé. Risque fœtal rénal, oligoamnios, hypoplasie pulmonaire, hypotension néonatale. Arrêt si découverte de grossesse.</w:t>
      </w:r>
    </w:p>
    <w:p>
      <w:pPr>
        <w:pStyle w:val="ListBullet"/>
      </w:pPr>
      <w:r>
        <w:t>Allaitement : passage faible dans le lait. Compatible selon CRAT, à éviter chez le prématuré et le nouveau-né &lt; 2 semaines. Surveillance PA du nourrisson.</w:t>
      </w:r>
    </w:p>
    <w:p>
      <w:pPr>
        <w:pStyle w:val="ListBullet"/>
      </w:pPr>
      <w:r>
        <w:t>Précisions : oligoamnios = signe d'alerte.</w:t>
      </w:r>
    </w:p>
    <w:p>
      <w:r/>
      <w:r>
        <w:rPr>
          <w:b/>
        </w:rPr>
        <w:t>Posologie et Mode d'administration (Standard) :</w:t>
      </w:r>
      <w:r/>
    </w:p>
    <w:p>
      <w:pPr>
        <w:pStyle w:val="ListBullet"/>
      </w:pPr>
      <w:r>
        <w:t>Adulte : HTA : 5 mg arginine (ou 4 mg erbumine) une fois par jour le matin, augmentable à 10 mg arginine (ou 8 mg erbumine), max 10 mg/j. Insuffisance cardiaque : 2,5 mg arginine initialement (dose test), titration à 5 mg puis 10 mg/j. Post-IDM stable : 5-10 mg/j (à débuter dès que possible après stabilisation, poursuite indéfinie). Néphropathie diabétique : 5-10 mg/j. Prévention AVC (PROGRESS) : 5 mg/j (ou 4 mg erbumine) + indapamide 1,5 mg/j (ou 2,5 mg LP).</w:t>
      </w:r>
    </w:p>
    <w:p>
      <w:pPr>
        <w:pStyle w:val="ListBullet"/>
      </w:pPr>
      <w:r>
        <w:t>Sujet âgé : 2,5 mg arginine initialement (ou 2 mg erbumine), titration prudente.</w:t>
      </w:r>
    </w:p>
    <w:p>
      <w:pPr>
        <w:pStyle w:val="ListBullet"/>
      </w:pPr>
      <w:r>
        <w:t>Insuffisance rénale : DFG 30-80 mL/min : 2,5-5 mg arginine. DFG 10-30 mL/min : 2,5 mg arginine. DFG &lt; 10 mL/min : 2,5 mg arginine 1 jour sur 2 (dialysable, à prendre après la dialyse).</w:t>
      </w:r>
    </w:p>
    <w:p>
      <w:pPr>
        <w:pStyle w:val="ListBullet"/>
      </w:pPr>
      <w:r>
        <w:t>Durée : au long cours.</w:t>
      </w:r>
    </w:p>
    <w:p>
      <w:pPr>
        <w:pStyle w:val="ListBullet"/>
      </w:pPr>
      <w:r>
        <w:t xml:space="preserve">Moment de prise : monoprise matinale, </w:t>
      </w:r>
      <w:r>
        <w:rPr>
          <w:b/>
        </w:rPr>
        <w:t>à jeun</w:t>
      </w:r>
      <w:r>
        <w:t xml:space="preserve"> (la biodisponibilité du périndoprilate est réduite d'environ 35 % par la prise alimentaire, particularité commune avec le captopril — recommandation RCP de prendre à jeun avant le petit-déjeuner).</w:t>
      </w:r>
    </w:p>
    <w:p>
      <w:r/>
      <w:r>
        <w:rPr>
          <w:b/>
        </w:rPr>
        <w:t>Arbitrage et Bénéfices des Formes Galéniques :</w:t>
      </w:r>
      <w:r/>
    </w:p>
    <w:p>
      <w:r>
        <w:t>Le périndopril est disponible en comprimés à 4 mg (erbumine), 5 mg (arginine), 8 mg (erbumine) et 10 mg (arginine), le plus souvent sécables. La sécabilité permet la titration fine (2,5 mg arginine à partir de 5 mg sécable, ou 2 mg erbumine à partir de 4 mg). Le conditionnement B/30 correspond à un mois de traitement monodose. La coexistence des deux selles (arginine et erbumine) impose une vigilance accrue à la délivrance : un patient sous Coversyl 5 mg arginine ne doit pas être substitué par du périndopril erbumine 4 mg sans vérification de l'équivalence (5 mg arginine = 4 mg erbumine en activité). Le périndopril est aussi largement disponible en associations fixes (PRETERAX avec indapamide, COVERAM avec amlodipine) — atout majeur pour l'observance et la simplification du traitement de l'HTA modérée à sévère. La forme pelliculée (Coversyl 5 et 10 mg arginine) améliore la tolérance gastrique et masque le goût.</w:t>
      </w:r>
    </w:p>
    <w:p>
      <w:r/>
      <w:r>
        <w:rPr>
          <w:b/>
        </w:rPr>
        <w:t>Instructions et Conseils au Patient :</w:t>
      </w:r>
      <w:r/>
    </w:p>
    <w:p>
      <w:pPr>
        <w:pStyle w:val="ListBullet"/>
      </w:pPr>
      <w:r>
        <w:t>Communication au comptoir : « Voici votre traitement. Prenez-le une fois par jour, le matin, à jeun (avant le petit-déjeuner), à heure fixe. Ne l'arrêtez pas sans avis médical. Une toux sèche peut survenir — signalez-la. Levez-vous lentement pour éviter les vertiges. Évitez les AINS sans avis. Évitez les sels de régime riches en potassium. Strictement interdit pendant la grossesse. »</w:t>
      </w:r>
    </w:p>
    <w:p>
      <w:pPr>
        <w:pStyle w:val="ListBullet"/>
      </w:pPr>
      <w:r>
        <w:t>Mode d'utilisation pratique : prise matinale à jeun, à heure fixe. Tenir un agenda tensionnel. Apporter les résultats biologiques aux rendez-vous.</w:t>
      </w:r>
    </w:p>
    <w:p>
      <w:r/>
      <w:r>
        <w:rPr>
          <w:b/>
        </w:rPr>
        <w:t>Notes, Règles d'Or &amp; Pièges au Comptoir :</w:t>
      </w:r>
      <w:r/>
    </w:p>
    <w:p>
      <w:pPr>
        <w:pStyle w:val="ListBullet"/>
      </w:pPr>
      <w:r>
        <w:t>Piège classique : prendre à jeun (biodisponibilité diminuée par la nourriture). Cette particularité, commune avec le captopril, est souvent ignorée.</w:t>
      </w:r>
    </w:p>
    <w:p>
      <w:pPr>
        <w:pStyle w:val="ListBullet"/>
      </w:pPr>
      <w:r>
        <w:t>Piège classique : ne pas confondre les selles (arginine vs erbumine vs tert-butylamine) — toujours vérifier la correspondance posologique 5 mg arginine = 4 mg erbumine = 10 mg tert-butylamine en activité pharmacologique.</w:t>
      </w:r>
    </w:p>
    <w:p>
      <w:pPr>
        <w:pStyle w:val="ListBullet"/>
      </w:pPr>
      <w:r>
        <w:t>Piège classique : chez le patient sous indapamide (PRETERAX), surveillance stricte de la kaliémie et de la créatinine (effet additif néphrotoxique si AINS associés).</w:t>
      </w:r>
    </w:p>
    <w:p>
      <w:pPr>
        <w:pStyle w:val="ListBullet"/>
      </w:pPr>
      <w:r>
        <w:t>Règle de prise : monoprise matinale à jeun.</w:t>
      </w:r>
    </w:p>
    <w:p>
      <w:pPr>
        <w:pStyle w:val="ListBullet"/>
      </w:pPr>
      <w:r>
        <w:t>Préparation et Conservation : température &lt; 25 °C, à l'abri de l'humidité. Conserver dans le blister.</w:t>
      </w:r>
    </w:p>
    <w:p>
      <w:pPr>
        <w:pStyle w:val="ListBullet"/>
      </w:pPr>
      <w:r>
        <w:t>Piège du surdosage / Substitution : hypotension, hyperkaliémie. Wash-out 24-36 h avant ARA2.</w:t>
      </w:r>
    </w:p>
    <w:p>
      <w:pPr>
        <w:pStyle w:val="Heading3"/>
      </w:pPr>
      <w:r>
        <w:t>5. DCI : Ramipril (Seule)</w:t>
      </w:r>
    </w:p>
    <w:p>
      <w:r/>
      <w:r>
        <w:rPr>
          <w:b/>
        </w:rPr>
        <w:t>Liste des Catégories :</w:t>
      </w:r>
      <w:r>
        <w:t xml:space="preserve"> Liste I ; antihypertenseur inhibiteur de l'ECA de troisième génération, groupement carboxylé (-COOH), prodrogue (ramipril → ramiprilate actif par hydrolyse hépatique). Commercialisé dès 1989 (Hoechst/Aventis — Triatec), il est devenu un IEC de référence mondial grâce à l'étude HOPE (Heart Outcomes Prevention Evaluation, 2000) qui a démontré une réduction de 22 % de la mortalité cardiovasculaire, de l'IDM et de l'AVC chez des patients à haut risque CV, indépendamment de l'effet tensionnel. Haute lipophilie, longue demi-vée d'action effective (24 h), excellente pénétration tissulaire.</w:t>
      </w:r>
    </w:p>
    <w:p>
      <w:r/>
      <w:r>
        <w:rPr>
          <w:b/>
        </w:rPr>
        <w:t>Médicaments disponibles en Algérie (Marques, Laboratoires, Formes et Dosages) :</w:t>
      </w:r>
      <w:r/>
    </w:p>
    <w:p>
      <w:pPr>
        <w:pStyle w:val="ListBullet"/>
      </w:pPr>
      <w:r/>
      <w:r>
        <w:rPr>
          <w:b/>
        </w:rPr>
        <w:t>RAMIPRIL BEKER</w:t>
      </w:r>
      <w:r>
        <w:t xml:space="preserve"> (LABORATOIRES BEKER)</w:t>
      </w:r>
    </w:p>
    <w:p>
      <w:pPr>
        <w:pStyle w:val="ListBullet"/>
      </w:pPr>
      <w:r>
        <w:t>Formes et Dosages : Comprimé sécable 2,5 mg (B/30) ; Comprimé sécable 5 mg (B/30 et B/90) ; Comprimé sécable 10 mg (B/30 et B/90)</w:t>
      </w:r>
    </w:p>
    <w:p>
      <w:pPr>
        <w:pStyle w:val="ListBullet"/>
      </w:pPr>
      <w:r>
        <w:t>Statut : Actif</w:t>
      </w:r>
    </w:p>
    <w:p>
      <w:pPr>
        <w:pStyle w:val="ListBullet"/>
      </w:pPr>
      <w:r/>
      <w:r>
        <w:rPr>
          <w:b/>
        </w:rPr>
        <w:t>RAMITRIM</w:t>
      </w:r>
      <w:r>
        <w:t xml:space="preserve"> (EL KENDI INDUSTRIE DU MEDICAMENT)</w:t>
      </w:r>
    </w:p>
    <w:p>
      <w:pPr>
        <w:pStyle w:val="ListBullet"/>
      </w:pPr>
      <w:r>
        <w:t>Formes et Dosages : Comprimé sécable 2,5 mg (B/30) ; Comprimé sécable 5 mg (B/30) ; Comprimé sécable 10 mg (B/30)</w:t>
      </w:r>
    </w:p>
    <w:p>
      <w:pPr>
        <w:pStyle w:val="ListBullet"/>
      </w:pPr>
      <w:r>
        <w:t>Statut : Actif</w:t>
      </w:r>
    </w:p>
    <w:p>
      <w:pPr>
        <w:pStyle w:val="ListBullet"/>
      </w:pPr>
      <w:r/>
      <w:r>
        <w:rPr>
          <w:b/>
        </w:rPr>
        <w:t>TANATRIL</w:t>
      </w:r>
      <w:r>
        <w:t xml:space="preserve"> (PHARMALLIANCE)</w:t>
      </w:r>
    </w:p>
    <w:p>
      <w:pPr>
        <w:pStyle w:val="ListBullet"/>
      </w:pPr>
      <w:r>
        <w:t>Formes et Dosages : Comprimé 1,25 mg (B/30) ; Comprimé sécable 2,5 mg (B/30) ; Comprimé sécable 5 mg (B/30) ; Comprimé sécable 10 mg (B/30)</w:t>
      </w:r>
    </w:p>
    <w:p>
      <w:pPr>
        <w:pStyle w:val="ListBullet"/>
      </w:pPr>
      <w:r>
        <w:t>Statut : Actif</w:t>
      </w:r>
    </w:p>
    <w:p>
      <w:pPr>
        <w:pStyle w:val="ListBullet"/>
      </w:pPr>
      <w:r/>
      <w:r>
        <w:rPr>
          <w:b/>
        </w:rPr>
        <w:t>TRIAMPEX</w:t>
      </w:r>
      <w:r>
        <w:t xml:space="preserve"> (FRATER-RAZES FORME SECHE)</w:t>
      </w:r>
    </w:p>
    <w:p>
      <w:pPr>
        <w:pStyle w:val="ListBullet"/>
      </w:pPr>
      <w:r>
        <w:t>Formes et Dosages : Gélule 2,5 mg (B/30) ; Gélule 5 mg (B/30) ; Gélule 10 mg (B/30)</w:t>
      </w:r>
    </w:p>
    <w:p>
      <w:pPr>
        <w:pStyle w:val="ListBullet"/>
      </w:pPr>
      <w:r>
        <w:t>Statut : Actif</w:t>
      </w:r>
    </w:p>
    <w:p>
      <w:pPr>
        <w:pStyle w:val="ListBullet"/>
      </w:pPr>
      <w:r/>
      <w:r>
        <w:rPr>
          <w:b/>
        </w:rPr>
        <w:t>TRIATEC</w:t>
      </w:r>
      <w:r>
        <w:t xml:space="preserve"> (SANOFI AVENTIS ALGERIE)</w:t>
      </w:r>
    </w:p>
    <w:p>
      <w:pPr>
        <w:pStyle w:val="ListBullet"/>
      </w:pPr>
      <w:r>
        <w:t>Formes et Dosages : Comprimé 1,25 mg (B/28) ; Comprimé sécable 2,5 mg (B/28) ; Comprimé sécable 5 mg (B/28) ; Comprimé sécable 10 mg (B/28)</w:t>
      </w:r>
    </w:p>
    <w:p>
      <w:pPr>
        <w:pStyle w:val="ListBullet"/>
      </w:pPr>
      <w:r>
        <w:t>Statut : Actif</w:t>
      </w:r>
    </w:p>
    <w:p>
      <w:pPr>
        <w:pStyle w:val="ListBullet"/>
      </w:pPr>
      <w:r/>
      <w:r>
        <w:rPr>
          <w:b/>
        </w:rPr>
        <w:t>RAMINORM</w:t>
      </w:r>
      <w:r>
        <w:t xml:space="preserve"> (SANDOZ)</w:t>
      </w:r>
    </w:p>
    <w:p>
      <w:pPr>
        <w:pStyle w:val="ListBullet"/>
      </w:pPr>
      <w:r>
        <w:t>Formes et Dosages : Comprimé 5 mg (B/30) ; Comprimé 10 mg (B/30)</w:t>
      </w:r>
    </w:p>
    <w:p>
      <w:pPr>
        <w:pStyle w:val="ListBullet"/>
      </w:pPr>
      <w:r>
        <w:t>Statut : Actif</w:t>
      </w:r>
    </w:p>
    <w:p>
      <w:pPr>
        <w:pStyle w:val="ListBullet"/>
      </w:pPr>
      <w:r/>
      <w:r>
        <w:rPr>
          <w:b/>
        </w:rPr>
        <w:t>RAMIPRIL PHYSIOPHARM</w:t>
      </w:r>
      <w:r>
        <w:t xml:space="preserve"> (PHYSIOPHARM LABORATOIRES)</w:t>
      </w:r>
    </w:p>
    <w:p>
      <w:pPr>
        <w:pStyle w:val="ListBullet"/>
      </w:pPr>
      <w:r>
        <w:t>Formes et Dosages : Comprimé sécable 5 mg (B/30)</w:t>
      </w:r>
    </w:p>
    <w:p>
      <w:pPr>
        <w:pStyle w:val="ListBullet"/>
      </w:pPr>
      <w:r>
        <w:t>Statut : Actif</w:t>
      </w:r>
    </w:p>
    <w:p>
      <w:pPr>
        <w:pStyle w:val="ListBullet"/>
      </w:pPr>
      <w:r/>
      <w:r>
        <w:rPr>
          <w:b/>
        </w:rPr>
        <w:t>RAMIPRIL IVAL</w:t>
      </w:r>
      <w:r>
        <w:t xml:space="preserve"> (PHARMA IVAL)</w:t>
      </w:r>
    </w:p>
    <w:p>
      <w:pPr>
        <w:pStyle w:val="ListBullet"/>
      </w:pPr>
      <w:r>
        <w:t>Formes et Dosages : Comprimé sécable 2,5 mg (B/30) ; Comprimé sécable 5 mg (B/30)</w:t>
      </w:r>
    </w:p>
    <w:p>
      <w:pPr>
        <w:pStyle w:val="ListBullet"/>
      </w:pPr>
      <w:r>
        <w:t>Statut : Non Renouvelable</w:t>
      </w:r>
    </w:p>
    <w:p>
      <w:pPr>
        <w:pStyle w:val="ListBullet"/>
      </w:pPr>
      <w:r/>
      <w:r>
        <w:rPr>
          <w:b/>
        </w:rPr>
        <w:t>RENIPRIL</w:t>
      </w:r>
      <w:r>
        <w:t xml:space="preserve"> (GROUPE SAIDAL)</w:t>
      </w:r>
    </w:p>
    <w:p>
      <w:pPr>
        <w:pStyle w:val="ListBullet"/>
      </w:pPr>
      <w:r>
        <w:t>Formes et Dosages : Comprimé sécable 1,25 mg (B/40) ; Comprimé sécable 2,5 mg (B/40) ; Comprimé sécable 5 mg (B/40) ; Comprimé sécable 10 mg (B/40)</w:t>
      </w:r>
    </w:p>
    <w:p>
      <w:pPr>
        <w:pStyle w:val="ListBullet"/>
      </w:pPr>
      <w:r>
        <w:t>Statut : Non Renouvelable</w:t>
      </w:r>
    </w:p>
    <w:p>
      <w:pPr>
        <w:pStyle w:val="ListBullet"/>
      </w:pPr>
      <w:r/>
      <w:r>
        <w:rPr>
          <w:b/>
        </w:rPr>
        <w:t>RAMITEC</w:t>
      </w:r>
      <w:r>
        <w:t xml:space="preserve"> (SALEM)</w:t>
      </w:r>
    </w:p>
    <w:p>
      <w:pPr>
        <w:pStyle w:val="ListBullet"/>
      </w:pPr>
      <w:r>
        <w:t>Formes et Dosages : Comprimé quadri-sécable 10 mg (B/30) ; Gélule 2,5 mg (B/30) ; Gélule 5 mg (B/30)</w:t>
      </w:r>
    </w:p>
    <w:p>
      <w:pPr>
        <w:pStyle w:val="ListBullet"/>
      </w:pPr>
      <w:r>
        <w:t>Statut : Non Renouvelable</w:t>
      </w:r>
    </w:p>
    <w:p>
      <w:pPr>
        <w:pStyle w:val="ListBullet"/>
      </w:pPr>
      <w:r/>
      <w:r>
        <w:rPr>
          <w:b/>
        </w:rPr>
        <w:t>RAMI</w:t>
      </w:r>
      <w:r>
        <w:t xml:space="preserve"> (GROUPE SANTE) (R) ; Comprimés sécables et gélules 1,25/2,5/5/10 mg</w:t>
      </w:r>
    </w:p>
    <w:p>
      <w:pPr>
        <w:pStyle w:val="ListBullet"/>
      </w:pPr>
      <w:r/>
      <w:r>
        <w:rPr>
          <w:b/>
        </w:rPr>
        <w:t>RAMIPRIL WINTHROP</w:t>
      </w:r>
      <w:r>
        <w:t xml:space="preserve"> (WINTHROP PHARMA SAIDAL) (R) ; Comprimés sécables 2,5/5/10 mg (B/28)</w:t>
      </w:r>
    </w:p>
    <w:p>
      <w:pPr>
        <w:pStyle w:val="ListBullet"/>
      </w:pPr>
      <w:r/>
      <w:r>
        <w:rPr>
          <w:b/>
        </w:rPr>
        <w:t>RAMIPREX</w:t>
      </w:r>
      <w:r>
        <w:t xml:space="preserve"> (EL KENDI) (R) ; Comprimés 2,5/5/10 mg (B/28)</w:t>
      </w:r>
    </w:p>
    <w:p>
      <w:pPr>
        <w:pStyle w:val="ListBullet"/>
      </w:pPr>
      <w:r/>
      <w:r>
        <w:rPr>
          <w:b/>
        </w:rPr>
        <w:t>CURATEC</w:t>
      </w:r>
      <w:r>
        <w:t xml:space="preserve"> (BIOVITAL) (R) ; Comprimé 5 mg (B/30)</w:t>
      </w:r>
    </w:p>
    <w:p>
      <w:r/>
      <w:r>
        <w:rPr>
          <w:b/>
        </w:rPr>
        <w:t>Sous-classe et Mécanisme d'action :</w:t>
      </w:r>
      <w:r/>
    </w:p>
    <w:p>
      <w:pPr>
        <w:pStyle w:val="ListBullet"/>
      </w:pPr>
      <w:r>
        <w:t>Sous-classe : IEC de troisième génération, groupement carboxylé (-COOH), prodrogue, monoprise quotidienne. Haute lipophilie, longue demi-vée d'action effective (24 h), forte pénétration tissulaire.</w:t>
      </w:r>
    </w:p>
    <w:p>
      <w:pPr>
        <w:pStyle w:val="ListBullet"/>
      </w:pPr>
      <w:r>
        <w:t>Mécanisme d'action : le ramipril est hydrolysé dans le foie en ramiprilate (diacide actif), qui se lie de manière compétitive et progressive au zinc de l'ECA. Inhibition puissante de l'ECA plasmatique et tissulaire (cœur, rein, vaisseaux) → vasodilatation, baisse de l'aldostérone, régression de l'hypertrophie VG, néphroprotection, effet anti-athéromateux putatif (inhibition de la prolifération des cellules musculaires lisses vasculaires).</w:t>
      </w:r>
    </w:p>
    <w:p>
      <w:r/>
      <w:r>
        <w:rPr>
          <w:b/>
        </w:rPr>
        <w:t>Profil Pharmacologique :</w:t>
      </w:r>
      <w:r/>
    </w:p>
    <w:p>
      <w:pPr>
        <w:pStyle w:val="ListBullet"/>
      </w:pPr>
      <w:r>
        <w:t>Indications : HTA essentielle (1ère intention) ; insuffisance cardiaque chronique ; post-IDM avec dysfonction VG (AIRE — réduction de la mortalité) ; prévention CV secondaire chez le patient à haut risque (HOPE — réduction de 22 % de la mortalité CV, de l'IDM, de l'AVC, indépendamment de l'effet tensionnel) ; néphropathie diabétique (microalbuminurie — diabète T1 et T2, effet néphroprotecteur démontré) ; prévention de la néphropathie chez le diabétique de plus de 55 ans avec au moins un facteur CV ; réduction de la mortalité totale chez le patient diabétique de plus de 55 ans avec au moins un facteur CV.</w:t>
      </w:r>
    </w:p>
    <w:p>
      <w:pPr>
        <w:pStyle w:val="ListBullet"/>
      </w:pPr>
      <w:r>
        <w:t>Contre-indications : angio-œdème sous IEC ; grossesse 2e/3e trimestres ; sténose bilatérale des artères rénales ; hyperkaliémie ; association avec aliskirène/sacubitril ; hypotension sévère.</w:t>
      </w:r>
    </w:p>
    <w:p>
      <w:pPr>
        <w:pStyle w:val="ListBullet"/>
      </w:pPr>
      <w:r>
        <w:t>Effets Indésirables : toux sèche (5-15 %) ; angio-œdème (0,1-0,7 %) ; hyperkaliémie ; IRA fonctionnelle ; hypotension de 1ère dose (souvent modérée en raison de l'installation progressive de l'effet — pic retardé) ; céphalées, vertiges, asthénie ; rash ; troubles digestifs.</w:t>
      </w:r>
    </w:p>
    <w:p>
      <w:r/>
      <w:r>
        <w:rPr>
          <w:b/>
        </w:rPr>
        <w:t>Prévention et Gestion des Effets Indésirables :</w:t>
      </w:r>
      <w:r/>
    </w:p>
    <w:p>
      <w:pPr>
        <w:pStyle w:val="ListBullet"/>
      </w:pPr>
      <w:r>
        <w:t>Mesures Préventives : dosage créatinine + kaliémie avant initiation, à 1-2 semaines, puis tous les 3-6 mois. Test de grossesse. Dose initiale faible (1,25-2,5 mg/j) chez le sujet âgé, l'insuffisant rénal, ou le patient sous diurétique (arrêt 24-48 h avant). Surveillance PA après 1ère dose. Adaptation au DFG.</w:t>
      </w:r>
    </w:p>
    <w:p>
      <w:pPr>
        <w:pStyle w:val="ListBullet"/>
      </w:pPr>
      <w:r>
        <w:t>Conduite à Tenir : angio-œdème → arrêt définitif IEC et ARA2, urgence. Toux → switch vers ARA2. Hyperkaliémie → arrêt transitoire, restriction potassique, diurétique, échangeurs d'ions. IRA → arrêt, réhydratation, recherche de sténose artère rénale.</w:t>
      </w:r>
    </w:p>
    <w:p>
      <w:r/>
      <w:r>
        <w:rPr>
          <w:b/>
        </w:rPr>
        <w:t>Interactions Importantes :</w:t>
      </w:r>
      <w:r/>
    </w:p>
    <w:p>
      <w:pPr>
        <w:pStyle w:val="ListBullet"/>
      </w:pPr>
      <w:r/>
      <w:r>
        <w:rPr>
          <w:b/>
        </w:rPr>
        <w:t>Ramipril + AINS</w:t>
      </w:r>
      <w:r>
        <w:t xml:space="preserve"> : baisse effet antihypertenseur + IRA. Triple whammy si diurétique.</w:t>
      </w:r>
    </w:p>
    <w:p>
      <w:pPr>
        <w:pStyle w:val="ListBullet"/>
      </w:pPr>
      <w:r/>
      <w:r>
        <w:rPr>
          <w:b/>
        </w:rPr>
        <w:t>Ramipril + diurétiques épargneurs de K+ + suppléments K+</w:t>
      </w:r>
      <w:r>
        <w:t xml:space="preserve"> : hyperkaliémie majeure.</w:t>
      </w:r>
    </w:p>
    <w:p>
      <w:pPr>
        <w:pStyle w:val="ListBullet"/>
      </w:pPr>
      <w:r/>
      <w:r>
        <w:rPr>
          <w:b/>
        </w:rPr>
        <w:t>Ramipril + lithium</w:t>
      </w:r>
      <w:r>
        <w:t xml:space="preserve"> : augmentation lithiémie.</w:t>
      </w:r>
    </w:p>
    <w:p>
      <w:pPr>
        <w:pStyle w:val="ListBullet"/>
      </w:pPr>
      <w:r/>
      <w:r>
        <w:rPr>
          <w:b/>
        </w:rPr>
        <w:t>Ramipril + aliskirène</w:t>
      </w:r>
      <w:r>
        <w:t xml:space="preserve"> : CI absolue.</w:t>
      </w:r>
    </w:p>
    <w:p>
      <w:pPr>
        <w:pStyle w:val="ListBullet"/>
      </w:pPr>
      <w:r/>
      <w:r>
        <w:rPr>
          <w:b/>
        </w:rPr>
        <w:t>Ramipril + sacubitril</w:t>
      </w:r>
      <w:r>
        <w:t xml:space="preserve"> : CI (angio-œdème), délai 36 h.</w:t>
      </w:r>
    </w:p>
    <w:p>
      <w:pPr>
        <w:pStyle w:val="ListBullet"/>
      </w:pPr>
      <w:r/>
      <w:r>
        <w:rPr>
          <w:b/>
        </w:rPr>
        <w:t>Ramipril + clopidogrel</w:t>
      </w:r>
      <w:r>
        <w:t xml:space="preserve"> : interaction controversée (potentialisation de l'effet antiplaquettaire et du risque hémorragique discuté dans certaines études) — non contre-indiquée mais surveillance.</w:t>
      </w:r>
    </w:p>
    <w:p>
      <w:r/>
      <w:r>
        <w:rPr>
          <w:b/>
        </w:rPr>
        <w:t>Grossesse et Allaitement :</w:t>
      </w:r>
      <w:r/>
    </w:p>
    <w:p>
      <w:pPr>
        <w:pStyle w:val="ListBullet"/>
      </w:pPr>
      <w:r>
        <w:t>Grossesse : CI absolue 2e/3e trimestres ; 1er trimestre déconseillé. Risque fœtal rénal, oligoamnios, hypoplasie pulmonaire, hypotension néonatale. Arrêt si découverte de grossesse.</w:t>
      </w:r>
    </w:p>
    <w:p>
      <w:pPr>
        <w:pStyle w:val="ListBullet"/>
      </w:pPr>
      <w:r>
        <w:t>Allaitement : passage très faible dans le lait. Compatible selon CRAT, à éviter chez le prématuré et le nouveau-né &lt; 2 semaines. Surveillance PA du nourrisson.</w:t>
      </w:r>
    </w:p>
    <w:p>
      <w:pPr>
        <w:pStyle w:val="ListBullet"/>
      </w:pPr>
      <w:r>
        <w:t>Précisions : oligoamnios = signe d'alerte.</w:t>
      </w:r>
    </w:p>
    <w:p>
      <w:r/>
      <w:r>
        <w:rPr>
          <w:b/>
        </w:rPr>
        <w:t>Posologie et Mode d'administration (Standard) :</w:t>
      </w:r>
      <w:r/>
    </w:p>
    <w:p>
      <w:pPr>
        <w:pStyle w:val="ListBullet"/>
      </w:pPr>
      <w:r>
        <w:t>Adulte : HTA : 2,5-5 mg/j initialement, titration à 10 mg/j (max 10 mg/j en une prise). Insuffisance cardiaque : 1,25 mg/j initialement (dose test), titration à 2,5 mg, 5 mg, jusqu'à 10 mg/j. Post-IDM : 2,5 mg × 2/j initialement, titration à 5 mg × 2/j (max 10 mg/j). Prévention CV secondaire (HOPE) : 10 mg/j en une prise (titration : 2,5 mg pendant 1 semaine, 5 mg pendant 3 semaines, puis 10 mg). Néphropathie diabétique : 10 mg/j.</w:t>
      </w:r>
    </w:p>
    <w:p>
      <w:pPr>
        <w:pStyle w:val="ListBullet"/>
      </w:pPr>
      <w:r>
        <w:t>Sujet âgé : 1,25 mg/j initialement, titration prudente.</w:t>
      </w:r>
    </w:p>
    <w:p>
      <w:pPr>
        <w:pStyle w:val="ListBullet"/>
      </w:pPr>
      <w:r>
        <w:t>Insuffisance rénale : DFG 30-80 mL/min : 1,25-5 mg/j. DFG 10-30 mL/min : 1,25-2,5 mg/j. DFG &lt; 10 mL/min : 1,25 mg/j (dialysable).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ramipril est disponible en comprimés à 1,25, 2,5, 5 et 10 mg, le plus souvent sécables, et en gélules (Triampex, Rami, Ramitec). La disponibilité d'une forme à 1,25 mg (Tanatril, Triatec, Renipril) est un atout majeur pour la titration prudente en IC décompensée, en post-IDM précoce, chez le sujet âgé ou en insuffisance rénale sévère. La quadri-sécabilité de certaines formes (Ramitec 10 mg) permet d'obtenir 2,5 mg à partir d'un comprimé à 10 mg — flexibilité utile en milieu hospitalier. Le conditionnement B/30 (B/28 pour Triatec) correspond à un mois de traitement. Le ramipril est aussi disponible en association fixe avec HCTZ (Tritazide) et avec félodipine (Triacor — non disponible en Algérie). La diversité des formes algériennes (7 marques actives) en fait un des IEC les plus accessibles et les plus prescrits en Algérie.</w:t>
      </w:r>
    </w:p>
    <w:p>
      <w:r/>
      <w:r>
        <w:rPr>
          <w:b/>
        </w:rPr>
        <w:t>Instructions et Conseils au Patient :</w:t>
      </w:r>
      <w:r/>
    </w:p>
    <w:p>
      <w:pPr>
        <w:pStyle w:val="ListBullet"/>
      </w:pPr>
      <w:r>
        <w:t>Communication au comptoir : « Voici votre traitement. Prenez-le une fois par jour, le matin, à heure fixe, avec un grand verre d'eau. Il peut se prendre pendant ou en dehors des repas. Ne l'arrêtez pas sans avis médical. Une toux sèche peut survenir — signalez-la.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 Apporter les résultats biologiques aux rendez-vous.</w:t>
      </w:r>
    </w:p>
    <w:p>
      <w:r/>
      <w:r>
        <w:rPr>
          <w:b/>
        </w:rPr>
        <w:t>Notes, Règles d'Or &amp; Pièges au Comptoir :</w:t>
      </w:r>
      <w:r/>
    </w:p>
    <w:p>
      <w:pPr>
        <w:pStyle w:val="ListBullet"/>
      </w:pPr>
      <w:r>
        <w:t>Piège classique : chez le patient sous diurétique (en particulier IC), arrêter le diurétique 24-48 h avant l'initiation du ramipril pour éviter une hypotension de 1ère dose majeure. Reprise du diurétique à dose réduite si nécessaire.</w:t>
      </w:r>
    </w:p>
    <w:p>
      <w:pPr>
        <w:pStyle w:val="ListBullet"/>
      </w:pPr>
      <w:r>
        <w:t>Piège classique : chez le sujet à haut risque CV sans HTA (indication HOPE), débuter à dose très faible (2,5 mg/j) puis titration lente sur 4 semaines jusqu'à 10 mg/j — l'objectif est d'atteindre la dose cible de 10 mg/j pour bénéficier de l'effet cardioprotecteur démontré.</w:t>
      </w:r>
    </w:p>
    <w:p>
      <w:pPr>
        <w:pStyle w:val="ListBullet"/>
      </w:pPr>
      <w:r>
        <w:t>Piège classique : chez la femme enceinte ou planifiant une grossesse, contre-indication absolue — ne pas délivrer.</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ARA2.</w:t>
      </w:r>
    </w:p>
    <w:p>
      <w:pPr>
        <w:pStyle w:val="Heading3"/>
      </w:pPr>
      <w:r>
        <w:t>6. DCI : Quinapril (Seule)</w:t>
      </w:r>
    </w:p>
    <w:p>
      <w:r/>
      <w:r>
        <w:rPr>
          <w:b/>
        </w:rPr>
        <w:t>Liste des Catégories :</w:t>
      </w:r>
      <w:r>
        <w:t xml:space="preserve"> Liste I ; antihypertenseur inhibiteur de l'ECA de deuxième génération, groupement carboxylé (-COOH), prodrogue (quinapril → quinaprilate actif par hydrolyse hépatique). Commercialisé dès 1989 (Pfizer — Acuitel). Sa particularité est sa très forte affinité tissulaire pour l'ECA vasculaire (cœur, vaisseaux) — l'une des plus élevées de la classe — expliquant un effet potentiel sur la fonction endothéliale vasculaire. Demi-vée plasmatique courte (≈ 2-3 h) mais demi-vée d'action effective prolongée (24 h) grâce à la fixation tissulaire.</w:t>
      </w:r>
    </w:p>
    <w:p>
      <w:r/>
      <w:r>
        <w:rPr>
          <w:b/>
        </w:rPr>
        <w:t>Médicaments disponibles en Algérie (Marques, Laboratoires, Formes et Dosages) :</w:t>
      </w:r>
      <w:r/>
    </w:p>
    <w:p>
      <w:pPr>
        <w:pStyle w:val="ListBullet"/>
      </w:pPr>
      <w:r/>
      <w:r>
        <w:rPr>
          <w:b/>
        </w:rPr>
        <w:t>ACUITEL</w:t>
      </w:r>
      <w:r>
        <w:t xml:space="preserve"> (PFIZER HOLDING FRANCE)</w:t>
      </w:r>
    </w:p>
    <w:p>
      <w:pPr>
        <w:pStyle w:val="ListBullet"/>
      </w:pPr>
      <w:r>
        <w:t>Formes et Dosages : Comprimé enrobé sécable 5 mg (B/28) ; Comprimé enrobé sécable 20 mg (B/28)</w:t>
      </w:r>
    </w:p>
    <w:p>
      <w:pPr>
        <w:pStyle w:val="ListBullet"/>
      </w:pPr>
      <w:r>
        <w:t>Statut : Actif</w:t>
      </w:r>
    </w:p>
    <w:p>
      <w:r>
        <w:t>Note : à la date de la nomenclature algérienne (Avril 2026), le quinapril n'est disponible que sous la marque Acuitel (Pfizer) — une seule marque active, ce qui en fait un IEC « rare » en Algérie. Cette monopole de marque a des implications en termes d'approvisionnement (risque de rupture) et de coût (pas de générique). Le quinapril est aussi disponible en association fixe avec l'hydrochlorothiazide (Acuilix).</w:t>
      </w:r>
    </w:p>
    <w:p>
      <w:r/>
      <w:r>
        <w:rPr>
          <w:b/>
        </w:rPr>
        <w:t>Sous-classe et Mécanisme d'action :</w:t>
      </w:r>
      <w:r/>
    </w:p>
    <w:p>
      <w:pPr>
        <w:pStyle w:val="ListBullet"/>
      </w:pPr>
      <w:r>
        <w:t>Sous-classe : IEC de deuxième génération, groupement carboxylé (-COOH), prodrogue, monoprise quotidienne. Forte affinité tissulaire (ECA vasculaire et cardiaque).</w:t>
      </w:r>
    </w:p>
    <w:p>
      <w:pPr>
        <w:pStyle w:val="ListBullet"/>
      </w:pPr>
      <w:r>
        <w:t>Mécanisme d'action : le quinapril est hydrolysé dans le foie en quinaprilate (diacide actif), qui se lie de manière compétitive au zinc de l'ECA. Le quinaprilate présente une des plus fortes affinités pour l'ECA tissulaire (vasculaire et cardiaque), expliquant son effet prolongé (24 h) malgré une demi-vie plasmatique courte. Inhibition de l'ECA plasmatique et tissulaire → vasodilatation, baisse de l'aldostérone, amélioration de la fonction endothéliale vasculaire (effet NO-dépendant putatif), néphroprotection.</w:t>
      </w:r>
    </w:p>
    <w:p>
      <w:r/>
      <w:r>
        <w:rPr>
          <w:b/>
        </w:rPr>
        <w:t>Profil Pharmacologique :</w:t>
      </w:r>
      <w:r/>
    </w:p>
    <w:p>
      <w:pPr>
        <w:pStyle w:val="ListBullet"/>
      </w:pPr>
      <w:r>
        <w:t>Indications : HTA essentielle (1ère intention) ; insuffisance cardiaque chronique (en association avec diurétique ± bêtabloquant). Le quinapril n'a pas d'AMM spécifique dans le post-IDM ni dans la prévention CV secondaire (à la différence du ramipril et du périndopril).</w:t>
      </w:r>
    </w:p>
    <w:p>
      <w:pPr>
        <w:pStyle w:val="ListBullet"/>
      </w:pPr>
      <w:r>
        <w:t>Contre-indications : angio-œdème sous IEC ; grossesse 2e/3e trimestres ; sténose bilatérale des artères rénales ; hyperkaliémie ; association avec aliskirène/sacubitril.</w:t>
      </w:r>
    </w:p>
    <w:p>
      <w:pPr>
        <w:pStyle w:val="ListBullet"/>
      </w:pPr>
      <w:r>
        <w:t>Effets Indésirables : toux sèche (5-15 %) ; angio-œdème (0,1-0,7 %) ; hyperkaliémie ; IRA fonctionnelle ; hypotension de 1ère dose ; céphalées, vertiges, asthénie ; rash ; troubles digestifs.</w:t>
      </w:r>
    </w:p>
    <w:p>
      <w:r/>
      <w:r>
        <w:rPr>
          <w:b/>
        </w:rPr>
        <w:t>Prévention et Gestion des Effets Indésirables :</w:t>
      </w:r>
      <w:r/>
    </w:p>
    <w:p>
      <w:pPr>
        <w:pStyle w:val="ListBullet"/>
      </w:pPr>
      <w:r>
        <w:t>Mesures Préventives : dosage créatinine + kaliémie avant initiation, à 1-2 semaines, puis tous les 3-6 mois. Test de grossesse. Dose initiale faible (2,5-5 mg/j) chez le sujet âgé, l'insuffisant rénal, ou le patient sous diurétique. Surveillance PA après 1ère dose. Adaptation au DFG.</w:t>
      </w:r>
    </w:p>
    <w:p>
      <w:pPr>
        <w:pStyle w:val="ListBullet"/>
      </w:pPr>
      <w:r>
        <w:t>Conduite à Tenir : angio-œdème → arrêt définitif IEC et ARA2, urgence. Toux → switch vers ARA2. Hyperkaliémie → arrêt transitoire, restriction potassique, diurétique. IRA → arrêt, réhydratation, recherche de sténose artère rénale.</w:t>
      </w:r>
    </w:p>
    <w:p>
      <w:r/>
      <w:r>
        <w:rPr>
          <w:b/>
        </w:rPr>
        <w:t>Interactions Importantes :</w:t>
      </w:r>
      <w:r/>
    </w:p>
    <w:p>
      <w:pPr>
        <w:pStyle w:val="ListBullet"/>
      </w:pPr>
      <w:r/>
      <w:r>
        <w:rPr>
          <w:b/>
        </w:rPr>
        <w:t>Quinapril + AINS</w:t>
      </w:r>
      <w:r>
        <w:t xml:space="preserve"> : baisse effet antihypertenseur + IRA.</w:t>
      </w:r>
    </w:p>
    <w:p>
      <w:pPr>
        <w:pStyle w:val="ListBullet"/>
      </w:pPr>
      <w:r/>
      <w:r>
        <w:rPr>
          <w:b/>
        </w:rPr>
        <w:t>Quinapril + diurétiques épargneurs de K+ + suppléments K+</w:t>
      </w:r>
      <w:r>
        <w:t xml:space="preserve"> : hyperkaliémie majeure.</w:t>
      </w:r>
    </w:p>
    <w:p>
      <w:pPr>
        <w:pStyle w:val="ListBullet"/>
      </w:pPr>
      <w:r/>
      <w:r>
        <w:rPr>
          <w:b/>
        </w:rPr>
        <w:t>Quinapril + lithium</w:t>
      </w:r>
      <w:r>
        <w:t xml:space="preserve"> : augmentation lithiémie.</w:t>
      </w:r>
    </w:p>
    <w:p>
      <w:pPr>
        <w:pStyle w:val="ListBullet"/>
      </w:pPr>
      <w:r/>
      <w:r>
        <w:rPr>
          <w:b/>
        </w:rPr>
        <w:t>Quinapril + aliskirène</w:t>
      </w:r>
      <w:r>
        <w:t xml:space="preserve"> : CI absolue.</w:t>
      </w:r>
    </w:p>
    <w:p>
      <w:pPr>
        <w:pStyle w:val="ListBullet"/>
      </w:pPr>
      <w:r/>
      <w:r>
        <w:rPr>
          <w:b/>
        </w:rPr>
        <w:t>Quinapril + sacubitril</w:t>
      </w:r>
      <w:r>
        <w:t xml:space="preserve"> : CI (angio-œdème), délai 36 h.</w:t>
      </w:r>
    </w:p>
    <w:p>
      <w:pPr>
        <w:pStyle w:val="ListBullet"/>
      </w:pPr>
      <w:r/>
      <w:r>
        <w:rPr>
          <w:b/>
        </w:rPr>
        <w:t>Quinapril + troléandomycine</w:t>
      </w:r>
      <w:r>
        <w:t xml:space="preserve"> : interaction rare décrite (potentialisation de l'effet), à surveiller.</w:t>
      </w:r>
    </w:p>
    <w:p>
      <w:r/>
      <w:r>
        <w:rPr>
          <w:b/>
        </w:rPr>
        <w:t>Grossesse et Allaitement :</w:t>
      </w:r>
      <w:r/>
    </w:p>
    <w:p>
      <w:pPr>
        <w:pStyle w:val="ListBullet"/>
      </w:pPr>
      <w:r>
        <w:t>Grossesse : CI absolue 2e/3e trimestres ; 1er trimestre déconseillé. Risque fœtal rénal, oligoamnios, hypoplasie pulmonaire. Arrêt si découverte de grossesse.</w:t>
      </w:r>
    </w:p>
    <w:p>
      <w:pPr>
        <w:pStyle w:val="ListBullet"/>
      </w:pPr>
      <w:r>
        <w:t>Allaitement : passage très faible dans le lait. Compatible selon CRAT, à éviter chez le prématuré et le nouveau-né &lt; 2 semaines. Surveillance PA du nourrisson.</w:t>
      </w:r>
    </w:p>
    <w:p>
      <w:pPr>
        <w:pStyle w:val="ListBullet"/>
      </w:pPr>
      <w:r>
        <w:t>Précisions : oligoamnios = signe d'alerte.</w:t>
      </w:r>
    </w:p>
    <w:p>
      <w:r/>
      <w:r>
        <w:rPr>
          <w:b/>
        </w:rPr>
        <w:t>Posologie et Mode d'administration (Standard) :</w:t>
      </w:r>
      <w:r/>
    </w:p>
    <w:p>
      <w:pPr>
        <w:pStyle w:val="ListBullet"/>
      </w:pPr>
      <w:r>
        <w:t>Adulte : HTA : 10-20 mg une fois par jour (matin), max 40 mg/j (en une ou deux prises). Insuffisance cardiaque : 2,5 mg × 2/j initialement (dose test), titration à 5 mg × 2/j, jusqu'à 10-20 mg × 2/j (max 40 mg/j).</w:t>
      </w:r>
    </w:p>
    <w:p>
      <w:pPr>
        <w:pStyle w:val="ListBullet"/>
      </w:pPr>
      <w:r>
        <w:t>Sujet âgé : 2,5-5 mg/j initialement, titration prudente.</w:t>
      </w:r>
    </w:p>
    <w:p>
      <w:pPr>
        <w:pStyle w:val="ListBullet"/>
      </w:pPr>
      <w:r>
        <w:t>Insuffisance rénale : DFG 30-80 mL/min : 5-10 mg/j. DFG 10-30 mL/min : 2,5-5 mg/j. DFG &lt; 10 mL/min : 2,5 mg/j.</w:t>
      </w:r>
    </w:p>
    <w:p>
      <w:pPr>
        <w:pStyle w:val="ListBullet"/>
      </w:pPr>
      <w:r>
        <w:t>Durée : au long cours.</w:t>
      </w:r>
    </w:p>
    <w:p>
      <w:pPr>
        <w:pStyle w:val="ListBullet"/>
      </w:pPr>
      <w:r>
        <w:t>Moment de prise : monoprise matinale ou bi-quotidienne selon l'indication, indépendante des repas.</w:t>
      </w:r>
    </w:p>
    <w:p>
      <w:r/>
      <w:r>
        <w:rPr>
          <w:b/>
        </w:rPr>
        <w:t>Arbitrage et Bénéfices des Formes Galéniques :</w:t>
      </w:r>
      <w:r/>
    </w:p>
    <w:p>
      <w:r>
        <w:t>Le quinapril est disponible uniquement en comprimés à 5 et 20 mg, enrobés et sécables. La sécabilité permet d'obtenir des doses intermédiaires (2,5 mg à partir de 5 mg, 10 mg à partir de 20 mg). Le conditionnement B/28 correspond à un mois de traitement monodose. La forme enrobée améliore la tolérance gastrique et masque le goût. La disponibilité exclusive sous la marque Acuitel (Pfizer) en Algérie limite l'accès en termes de coût et présente un risque de rupture d'approvisionnement. Le quinapril est aussi disponible en association fixe avec l'hydrochlorothiazide (Acuilix).</w:t>
      </w:r>
    </w:p>
    <w:p>
      <w:r/>
      <w:r>
        <w:rPr>
          <w:b/>
        </w:rPr>
        <w:t>Instructions et Conseils au Patient :</w:t>
      </w:r>
      <w:r/>
    </w:p>
    <w:p>
      <w:pPr>
        <w:pStyle w:val="ListBullet"/>
      </w:pPr>
      <w:r>
        <w:t>Communication au comptoir : « Voici votre traitement. Prenez-le une fois par jour, le matin, à heure fixe, avec un grand verre d'eau. Il peut se prendre pendant ou en dehors des repas. Ne l'arrêtez pas sans avis médical. Une toux sèche peut survenir — signalez-la. Levez-vous lentement pour éviter les vertiges. Évitez les AINS sans avis. Évitez les sels de régime riches en potassium.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Piège classique : disponibilité algérienne exclusive sous Acuitel (Pfizer) — risque de rupture d'approvisionnement, coût élevé. Prévoir un message d'information au patient et proposer une substitution par énalapril, ramipril ou périndopril en accord avec le prescripteur.</w:t>
      </w:r>
    </w:p>
    <w:p>
      <w:pPr>
        <w:pStyle w:val="ListBullet"/>
      </w:pPr>
      <w:r>
        <w:t>Piège classique : chez le patient sous diurétique, arrêter le diurétique 24-48 h avant l'initiation pour éviter une hypotension de 1ère dose.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ARA2.</w:t>
      </w:r>
    </w:p>
    <w:p>
      <w:pPr>
        <w:pStyle w:val="Heading3"/>
      </w:pPr>
      <w:r>
        <w:t>7. DCI : Cilazapril (Seule)</w:t>
      </w:r>
    </w:p>
    <w:p>
      <w:r/>
      <w:r>
        <w:rPr>
          <w:b/>
        </w:rPr>
        <w:t>Liste des Catégories :</w:t>
      </w:r>
      <w:r>
        <w:t xml:space="preserve"> Liste I ; antihypertenseur inhibiteur de l'ECA de deuxième génération, groupement carboxylé (-COOH), prodrogue (cilazapril → cilazaprilate actif par hydrolyse hépatique). Commercialisé dès 1990 (Hoffmann-La Roche — Justor ; Chiesi). Demi-vée plasmatique de 10 h, demi-vée d'action effective de 24 h. Peu utilisé en pratique clinique en raison de la concurrence avec l'énalapril, le ramipril et le périndopril.</w:t>
      </w:r>
    </w:p>
    <w:p>
      <w:r/>
      <w:r>
        <w:rPr>
          <w:b/>
        </w:rPr>
        <w:t>Médicaments disponibles en Algérie (Marques, Laboratoires, Formes et Dosages) :</w:t>
      </w:r>
      <w:r/>
    </w:p>
    <w:p>
      <w:pPr>
        <w:pStyle w:val="ListBullet"/>
      </w:pPr>
      <w:r/>
      <w:r>
        <w:rPr>
          <w:b/>
        </w:rPr>
        <w:t>JUSTOR</w:t>
      </w:r>
      <w:r>
        <w:t xml:space="preserve"> (CHIESI S.A.) (R)</w:t>
      </w:r>
    </w:p>
    <w:p>
      <w:pPr>
        <w:pStyle w:val="ListBullet"/>
      </w:pPr>
      <w:r>
        <w:t>Formes et Dosages : Comprimé pelliculé sécable 1 mg (B/28) ; Comprimé pelliculé sécable 2,5 mg (B/28)</w:t>
      </w:r>
    </w:p>
    <w:p>
      <w:pPr>
        <w:pStyle w:val="ListBullet"/>
      </w:pPr>
      <w:r>
        <w:t>Statut : Retiré</w:t>
      </w:r>
    </w:p>
    <w:p>
      <w:r>
        <w:t xml:space="preserve">Note : à la date de la nomenclature algérienne (Avril 2026), le cilazapril est </w:t>
      </w:r>
      <w:r>
        <w:rPr>
          <w:b/>
        </w:rPr>
        <w:t>retiré du marché algérien</w:t>
      </w:r>
      <w:r>
        <w:t xml:space="preserve"> — il n'y a plus de marque active. Cette situation justifie l'inclusion de la fiche à titre pédagogique (le cilazapril peut être rencontré dans les archives de prescriptions ou en cas d'importation exceptionnelle), mais le pharmacien algérien doit proposer une substitution par un IEC disponible (énalapril, ramipril, périndopril). L'équivalence approximative : cilazapril 2,5 mg ≈ énalapril 10 mg ≈ ramipril 5 mg ≈ périndopril 5 mg arginine.</w:t>
      </w:r>
    </w:p>
    <w:p>
      <w:r/>
      <w:r>
        <w:rPr>
          <w:b/>
        </w:rPr>
        <w:t>Sous-classe et Mécanisme d'action :</w:t>
      </w:r>
      <w:r/>
    </w:p>
    <w:p>
      <w:pPr>
        <w:pStyle w:val="ListBullet"/>
      </w:pPr>
      <w:r>
        <w:t>Sous-classe : IEC de deuxième génération, groupement carboxylé (-COOH), prodrogue, monoprise quotidienne.</w:t>
      </w:r>
    </w:p>
    <w:p>
      <w:pPr>
        <w:pStyle w:val="ListBullet"/>
      </w:pPr>
      <w:r>
        <w:t>Mécanisme d'action : le cilazapril est hydrolysé dans le foie en cilazaprilate (diacide actif), qui se lie de manière compétitive au zinc de l'ECA. Inhibition de l'ECA plasmatique et tissulaire → vasodilatation, baisse de l'aldostérone, néphroprotection.</w:t>
      </w:r>
    </w:p>
    <w:p>
      <w:r/>
      <w:r>
        <w:rPr>
          <w:b/>
        </w:rPr>
        <w:t>Profil Pharmacologique :</w:t>
      </w:r>
      <w:r/>
    </w:p>
    <w:p>
      <w:pPr>
        <w:pStyle w:val="ListBullet"/>
      </w:pPr>
      <w:r>
        <w:t>Indications : HTA essentielle ; insuffisance cardiaque chronique.</w:t>
      </w:r>
    </w:p>
    <w:p>
      <w:pPr>
        <w:pStyle w:val="ListBullet"/>
      </w:pPr>
      <w:r>
        <w:t>Contre-indications : angio-œdème sous IEC ; grossesse 2e/3e trimestres ; sténose bilatérale des artères rénales ; hyperkaliémie ; association avec aliskirène/sacubitril.</w:t>
      </w:r>
    </w:p>
    <w:p>
      <w:pPr>
        <w:pStyle w:val="ListBullet"/>
      </w:pPr>
      <w:r>
        <w:t>Effets Indésirables : toux sèche (5-15 %) ; angio-œdème (0,1-0,7 %) ; hyperkaliémie ; IRA fonctionnelle ; hypotension de 1ère dose ; céphalées, vertiges, asthénie ; rash ; troubles digestifs.</w:t>
      </w:r>
    </w:p>
    <w:p>
      <w:r/>
      <w:r>
        <w:rPr>
          <w:b/>
        </w:rPr>
        <w:t>Prévention et Gestion des Effets Indésirables :</w:t>
      </w:r>
      <w:r/>
    </w:p>
    <w:p>
      <w:pPr>
        <w:pStyle w:val="ListBullet"/>
      </w:pPr>
      <w:r>
        <w:t>Mesures Préventives : dosage créatinine + kaliémie avant initiation, à 1-2 semaines, puis tous les 3-6 mois. Test de grossesse. Dose initiale faible (0,5 mg/j) chez le sujet âgé, l'insuffisant rénal, ou le patient sous diurétique.</w:t>
      </w:r>
    </w:p>
    <w:p>
      <w:pPr>
        <w:pStyle w:val="ListBullet"/>
      </w:pPr>
      <w:r>
        <w:t>Conduite à Tenir : angio-œdème → arrêt définitif IEC et ARA2, urgence. Toux → switch vers ARA2. Hyperkaliémie → arrêt transitoire, restriction potassique, diurétique. IRA → arrêt, réhydratation, recherche de sténose artère rénale.</w:t>
      </w:r>
    </w:p>
    <w:p>
      <w:r/>
      <w:r>
        <w:rPr>
          <w:b/>
        </w:rPr>
        <w:t>Interactions Importantes :</w:t>
      </w:r>
      <w:r/>
    </w:p>
    <w:p>
      <w:pPr>
        <w:pStyle w:val="ListBullet"/>
      </w:pPr>
      <w:r/>
      <w:r>
        <w:rPr>
          <w:b/>
        </w:rPr>
        <w:t>Cilazapril + AINS</w:t>
      </w:r>
      <w:r>
        <w:t xml:space="preserve"> : baisse effet antihypertenseur + IRA.</w:t>
      </w:r>
    </w:p>
    <w:p>
      <w:pPr>
        <w:pStyle w:val="ListBullet"/>
      </w:pPr>
      <w:r/>
      <w:r>
        <w:rPr>
          <w:b/>
        </w:rPr>
        <w:t>Cilazapril + diurétiques épargneurs de K+ + suppléments K+</w:t>
      </w:r>
      <w:r>
        <w:t xml:space="preserve"> : hyperkaliémie majeure.</w:t>
      </w:r>
    </w:p>
    <w:p>
      <w:pPr>
        <w:pStyle w:val="ListBullet"/>
      </w:pPr>
      <w:r/>
      <w:r>
        <w:rPr>
          <w:b/>
        </w:rPr>
        <w:t>Cilazapril + lithium</w:t>
      </w:r>
      <w:r>
        <w:t xml:space="preserve"> : augmentation lithiémie.</w:t>
      </w:r>
    </w:p>
    <w:p>
      <w:pPr>
        <w:pStyle w:val="ListBullet"/>
      </w:pPr>
      <w:r/>
      <w:r>
        <w:rPr>
          <w:b/>
        </w:rPr>
        <w:t>Cilazapril + aliskirène</w:t>
      </w:r>
      <w:r>
        <w:t xml:space="preserve"> : CI absolue.</w:t>
      </w:r>
    </w:p>
    <w:p>
      <w:pPr>
        <w:pStyle w:val="ListBullet"/>
      </w:pPr>
      <w:r/>
      <w:r>
        <w:rPr>
          <w:b/>
        </w:rPr>
        <w:t>Cilazapril + sacubitril</w:t>
      </w:r>
      <w:r>
        <w:t xml:space="preserve"> : CI (angio-œdème), délai 36 h.</w:t>
      </w:r>
    </w:p>
    <w:p>
      <w:r/>
      <w:r>
        <w:rPr>
          <w:b/>
        </w:rPr>
        <w:t>Grossesse et Allaitement :</w:t>
      </w:r>
      <w:r/>
    </w:p>
    <w:p>
      <w:pPr>
        <w:pStyle w:val="ListBullet"/>
      </w:pPr>
      <w:r>
        <w:t>Grossesse : CI absolue 2e/3e trimestres ; 1er trimestre déconseillé. Risque fœtal rénal, oligoamnios, hypoplasie pulmonaire. Arrêt si découverte de grossesse.</w:t>
      </w:r>
    </w:p>
    <w:p>
      <w:pPr>
        <w:pStyle w:val="ListBullet"/>
      </w:pPr>
      <w:r>
        <w:t>Allaitement : passage très faible dans le lait. Compatible selon CRAT, à éviter chez le prématuré et le nouveau-né &lt; 2 semaines.</w:t>
      </w:r>
    </w:p>
    <w:p>
      <w:pPr>
        <w:pStyle w:val="ListBullet"/>
      </w:pPr>
      <w:r>
        <w:t>Précisions : oligoamnios = signe d'alerte.</w:t>
      </w:r>
    </w:p>
    <w:p>
      <w:r/>
      <w:r>
        <w:rPr>
          <w:b/>
        </w:rPr>
        <w:t>Posologie et Mode d'administration (Standard) :</w:t>
      </w:r>
      <w:r/>
    </w:p>
    <w:p>
      <w:pPr>
        <w:pStyle w:val="ListBullet"/>
      </w:pPr>
      <w:r>
        <w:t>Adulte : HTA : 1-2,5 mg une fois par jour (matin), max 5 mg/j. Insuffisance cardiaque : 0,5 mg/j initialement (dose test), titration à 1 mg, 2,5 mg, jusqu'à 5 mg/j.</w:t>
      </w:r>
    </w:p>
    <w:p>
      <w:pPr>
        <w:pStyle w:val="ListBullet"/>
      </w:pPr>
      <w:r>
        <w:t>Sujet âgé : 0,5 mg/j initialement, titration prudente.</w:t>
      </w:r>
    </w:p>
    <w:p>
      <w:pPr>
        <w:pStyle w:val="ListBullet"/>
      </w:pPr>
      <w:r>
        <w:t>Insuffisance rénale : DFG 30-80 mL/min : 1-2,5 mg/j. DFG 10-30 mL/min : 0,5-1 mg/j. DFG &lt; 10 mL/min : 0,25-0,5 mg/j.</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cilazapril est disponible en comprimés pelliculés sécables à 1 et 2,5 mg. La sécabilité permet d'obtenir des doses intermédiaires (0,5 mg à partir de 1 mg, 1,25 mg à partir de 2,5 mg). Le conditionnement B/28 correspond à un mois de traitement monodose. La forme pelliculée améliore la tolérance gastrique. Le cilazapril n'est plus commercialisé en Algérie depuis le retrait de Justor (Chiesi) — situation à signaler au patient et au prescripteur pour substitution.</w:t>
      </w:r>
    </w:p>
    <w:p>
      <w:r/>
      <w:r>
        <w:rPr>
          <w:b/>
        </w:rPr>
        <w:t>Instructions et Conseils au Patient :</w:t>
      </w:r>
      <w:r/>
    </w:p>
    <w:p>
      <w:pPr>
        <w:pStyle w:val="ListBullet"/>
      </w:pPr>
      <w:r>
        <w:t>Communication au comptoir : « Ce médicament n'est plus disponible en Algérie. Je vous propose de contacter votre prescripteur pour une substitution par un médicament équivalent (énalapril, ramipril, périndopril). Ne pas arrêter votre traitement sans avis médical — il existe des alternatives efficaces et bien tolérées.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médicament retiré du marché algérien — information à transmettre au patient et au prescripteur pour substitution.</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non applicable (retiré du marché).</w:t>
      </w:r>
    </w:p>
    <w:p>
      <w:pPr>
        <w:pStyle w:val="ListBullet"/>
      </w:pPr>
      <w:r>
        <w:t>Piège du surdosage / Substitution : wash-out 24-36 h avant ARA2.</w:t>
      </w:r>
    </w:p>
    <w:p>
      <w:pPr>
        <w:pStyle w:val="Heading2"/>
      </w:pPr>
      <w:r>
        <w:t>SOUS-CLASSE 2 — ANTAGONISTES DES RÉCEPTEURS DE L'ANGIOTENSINE II (ARA2 / SARTANS)</w:t>
      </w:r>
    </w:p>
    <w:p>
      <w:pPr>
        <w:pStyle w:val="Heading3"/>
      </w:pPr>
      <w:r>
        <w:t>Introduction de la sous-classe</w:t>
      </w:r>
    </w:p>
    <w:p>
      <w:r>
        <w:t xml:space="preserve">Les antagonistes des récepteurs de l'angiotensine II (ARA2 ou « sartans ») ont été développés dans les années 1990 pour offrir une alternative aux IEC, en contournant le mécanisme de la toux et de l'angio-œdème liés à l'accumulation de bradykinine. Le </w:t>
      </w:r>
      <w:r>
        <w:rPr>
          <w:b/>
        </w:rPr>
        <w:t>losartan</w:t>
      </w:r>
      <w:r>
        <w:t xml:space="preserve"> (Cozaar — Merck, 1995) a été le premier de la classe, suivi du valsartan (Diovan — Novartis, 1996), de l'irbésartan (Aprovel — Sanofi, 1997), du candésartan (Atacand — AstraZeneca, 1997), du telmisartan (Micardis — Boehringer, 1999), de l'olmésartan (Olmetec — Daiichi Sankyo, 2002) et enfin de l'azilsartan (Edarbi — Takeda, 2011).</w:t>
      </w:r>
    </w:p>
    <w:p>
      <w:r>
        <w:t xml:space="preserve">Contrairement aux IEC qui bloquent la production d'angiotensine II, les ARA2 bloquent </w:t>
      </w:r>
      <w:r>
        <w:rPr>
          <w:b/>
        </w:rPr>
        <w:t>sélectivement le récepteur AT1</w:t>
      </w:r>
      <w:r>
        <w:t xml:space="preserve"> sans interférer avec la dégradation de la bradykinine. Cette sélectivité explique : (i) une tolérance globalement supérieure (moins de toux, moins d'angio-œdème) ; (ii) un blocage plus complet de l'angiotensine II (puisque l'angiotensine II peut être produite par des voies non-ECA, comme la chymase mastocytaire) ; (iii) une stimulation résiduelle du récepteur AT2 par l'angiotensine II accumulée (effets bénéfiques putatifs : vasodilatation, anti-prolifération, différenciation). Le profil d'effets indésirables est superposable à celui des IEC à l'exception de la toux (rare) et de l'angio-œdème (très rare mais possible — contre-indication croisée en cas d'angio-œdème sous IEC).</w:t>
      </w:r>
    </w:p>
    <w:p>
      <w:r>
        <w:t>Les indications des ARA2 sont largement superposables à celles des IEC : HTA, IC (candésartan — CHARM, valsartan — Val-HeFT), post-IDM (valsartan — VALIANT), néphropathie diabétique (irbésartan — IDNT, losartan — RENAAL), prévention CV secondaire chez le patient à haut risque (telmisartan — TRANSCEND, chez les patients intolérants aux IEC). En cas d'intolérance aux IEC (toux, angio-œdème), les ARA2 constituent l'alternative de choix, à l'exception de l'angio-œdème (où il y a contre-indication croisée). L'association IEC + ARA2 n'est pas recommandée en routine (étude ONTARGET — augmentation de l'IRA, de l'hyperkaliémie et de la morbi-mortalité sans bénéfice cardiovasculaire) ; elle peut toutefois être discutée dans des cas spécifiques (néphropathie protéinurique réfractaire, IC réfractaire) sous surveillance stricte spécialisée.</w:t>
      </w:r>
    </w:p>
    <w:p>
      <w:pPr>
        <w:pStyle w:val="Heading3"/>
      </w:pPr>
      <w:r>
        <w:t>Médicaments disponibles en Algérie (vue d'ensemble)</w:t>
      </w:r>
    </w:p>
    <w:p>
      <w:r>
        <w:t>Sept DCI sont présentes dans la nomenclature algérienne : losartan (8 marques actives : Angizar, Bektal, Cozzar, Hysartan, Lazartan, Lozartan Geo, Norta, Norta Fort), valsartan (22 marques actives), irbésartan (20 marques actives), candésartan (13 marques actives dont princeps Atacand et génériques), telmisartan (15 marques actives dont princeps Micardis), olmésartan (2 marques actives : Olbek, Normatec — princeps Olmetec non renouvelable), azilsartan (1 marque active : Edarbi). La diversité de l'offre algérienne en ARA2 contraste avec la raréfaction observée pour certains IEC (cilazapril retiré, lisinopril pénurique, quinapril monomarque).</w:t>
      </w:r>
    </w:p>
    <w:p>
      <w:pPr>
        <w:pStyle w:val="Heading3"/>
      </w:pPr>
      <w:r>
        <w:t>8. DCI : Losartan (Seule)</w:t>
      </w:r>
    </w:p>
    <w:p>
      <w:r/>
      <w:r>
        <w:rPr>
          <w:b/>
        </w:rPr>
        <w:t>Liste des Catégories :</w:t>
      </w:r>
      <w:r>
        <w:t xml:space="preserve"> Liste I ; antihypertenseur ARA2 de première génération, non-biphenyl tetrazole. Premier « sartan » commercialisé (1995 — Cozaar, Merck). Prodrogue partiellement métabolisée par le CYP2C9 en métabolite actif carboxylique (E-3174), qui est 10-40 fois plus puissant que la molécule mère. Demi-vée plasmatique courte du losartan (≈ 2 h) mais demi-vée du métabolite actif (≈ 6-9 h) justifiant la monoprise. Particularité pharmacologique : le losartan est le seul ARA2 ayant démontré un effet </w:t>
      </w:r>
      <w:r>
        <w:rPr>
          <w:b/>
        </w:rPr>
        <w:t>uricosurique</w:t>
      </w:r>
      <w:r>
        <w:t xml:space="preserve"> (augmentation de l'excrétion urinaire d'acide urique) — atout dans l'HTA avec hyperuricémie associée ou goutte (LIFE — réduction des événements goutteux).</w:t>
      </w:r>
    </w:p>
    <w:p>
      <w:r/>
      <w:r>
        <w:rPr>
          <w:b/>
        </w:rPr>
        <w:t>Médicaments disponibles en Algérie (Marques, Laboratoires, Formes et Dosages) :</w:t>
      </w:r>
      <w:r/>
    </w:p>
    <w:p>
      <w:pPr>
        <w:pStyle w:val="ListBullet"/>
      </w:pPr>
      <w:r/>
      <w:r>
        <w:rPr>
          <w:b/>
        </w:rPr>
        <w:t>ANGIZAR</w:t>
      </w:r>
      <w:r>
        <w:t xml:space="preserve"> (NEOMEDIC)</w:t>
      </w:r>
    </w:p>
    <w:p>
      <w:pPr>
        <w:pStyle w:val="ListBullet"/>
      </w:pPr>
      <w:r>
        <w:t>Formes et Dosages : Comprimé pelliculé sécable 50 mg (B/28)</w:t>
      </w:r>
    </w:p>
    <w:p>
      <w:pPr>
        <w:pStyle w:val="ListBullet"/>
      </w:pPr>
      <w:r>
        <w:t>Statut : Actif</w:t>
      </w:r>
    </w:p>
    <w:p>
      <w:pPr>
        <w:pStyle w:val="ListBullet"/>
      </w:pPr>
      <w:r/>
      <w:r>
        <w:rPr>
          <w:b/>
        </w:rPr>
        <w:t>BEKTAL</w:t>
      </w:r>
      <w:r>
        <w:t xml:space="preserve"> (LABORATOIRES BEKER)</w:t>
      </w:r>
    </w:p>
    <w:p>
      <w:pPr>
        <w:pStyle w:val="ListBullet"/>
      </w:pPr>
      <w:r>
        <w:t>Formes et Dosages : Comprimé pelliculé 100 mg (B/30 et B/90) ; Comprimé pelliculé sécable 50 mg (B/30 et B/90)</w:t>
      </w:r>
    </w:p>
    <w:p>
      <w:pPr>
        <w:pStyle w:val="ListBullet"/>
      </w:pPr>
      <w:r>
        <w:t>Statut : Actif</w:t>
      </w:r>
    </w:p>
    <w:p>
      <w:pPr>
        <w:pStyle w:val="ListBullet"/>
      </w:pPr>
      <w:r/>
      <w:r>
        <w:rPr>
          <w:b/>
        </w:rPr>
        <w:t>COZZAR</w:t>
      </w:r>
      <w:r>
        <w:t xml:space="preserve"> (ORGANON N.V.)</w:t>
      </w:r>
    </w:p>
    <w:p>
      <w:pPr>
        <w:pStyle w:val="ListBullet"/>
      </w:pPr>
      <w:r>
        <w:t>Formes et Dosages : Comprimé pelliculé 50 mg (B/28) ; Comprimé pelliculé 100 mg (B/28)</w:t>
      </w:r>
    </w:p>
    <w:p>
      <w:pPr>
        <w:pStyle w:val="ListBullet"/>
      </w:pPr>
      <w:r>
        <w:t>Statut : Actif</w:t>
      </w:r>
    </w:p>
    <w:p>
      <w:pPr>
        <w:pStyle w:val="ListBullet"/>
      </w:pPr>
      <w:r/>
      <w:r>
        <w:rPr>
          <w:b/>
        </w:rPr>
        <w:t>HYSARTAN</w:t>
      </w:r>
      <w:r>
        <w:t xml:space="preserve"> (NADPHARMADIC-PRODUCTION)</w:t>
      </w:r>
    </w:p>
    <w:p>
      <w:pPr>
        <w:pStyle w:val="ListBullet"/>
      </w:pPr>
      <w:r>
        <w:t>Formes et Dosages : Comprimé pelliculé sécable 50 mg (B/28) ; Comprimé pelliculé sécable 100 mg (B/28)</w:t>
      </w:r>
    </w:p>
    <w:p>
      <w:pPr>
        <w:pStyle w:val="ListBullet"/>
      </w:pPr>
      <w:r>
        <w:t>Statut : Actif</w:t>
      </w:r>
    </w:p>
    <w:p>
      <w:pPr>
        <w:pStyle w:val="ListBullet"/>
      </w:pPr>
      <w:r/>
      <w:r>
        <w:rPr>
          <w:b/>
        </w:rPr>
        <w:t>LAZARTAN</w:t>
      </w:r>
      <w:r>
        <w:t xml:space="preserve"> (LABORATOIRES DE DIAGNOSTIC MAGHREBINS-LDM)</w:t>
      </w:r>
    </w:p>
    <w:p>
      <w:pPr>
        <w:pStyle w:val="ListBullet"/>
      </w:pPr>
      <w:r>
        <w:t>Formes et Dosages : Comprimé pelliculé 50 mg (B/30) ; Comprimé pelliculé 100 mg (B/30)</w:t>
      </w:r>
    </w:p>
    <w:p>
      <w:pPr>
        <w:pStyle w:val="ListBullet"/>
      </w:pPr>
      <w:r>
        <w:t>Statut : Actif</w:t>
      </w:r>
    </w:p>
    <w:p>
      <w:pPr>
        <w:pStyle w:val="ListBullet"/>
      </w:pPr>
      <w:r/>
      <w:r>
        <w:rPr>
          <w:b/>
        </w:rPr>
        <w:t>LOZARTAN GEO</w:t>
      </w:r>
      <w:r>
        <w:t xml:space="preserve"> (GEOPHARM)</w:t>
      </w:r>
    </w:p>
    <w:p>
      <w:pPr>
        <w:pStyle w:val="ListBullet"/>
      </w:pPr>
      <w:r>
        <w:t>Formes et Dosages : Comprimé pelliculé 25 mg (B/30) ; Comprimé pelliculé 50 mg (B/30)</w:t>
      </w:r>
    </w:p>
    <w:p>
      <w:pPr>
        <w:pStyle w:val="ListBullet"/>
      </w:pPr>
      <w:r>
        <w:t>Statut : Actif</w:t>
      </w:r>
    </w:p>
    <w:p>
      <w:pPr>
        <w:pStyle w:val="ListBullet"/>
      </w:pPr>
      <w:r/>
      <w:r>
        <w:rPr>
          <w:b/>
        </w:rPr>
        <w:t>NORTA</w:t>
      </w:r>
      <w:r>
        <w:t xml:space="preserve"> (INPHA-MEDIS)</w:t>
      </w:r>
    </w:p>
    <w:p>
      <w:pPr>
        <w:pStyle w:val="ListBullet"/>
      </w:pPr>
      <w:r>
        <w:t>Formes et Dosages : Comprimé pelliculé sécable 50 mg (B/30)</w:t>
      </w:r>
    </w:p>
    <w:p>
      <w:pPr>
        <w:pStyle w:val="ListBullet"/>
      </w:pPr>
      <w:r>
        <w:t>Statut : Actif</w:t>
      </w:r>
    </w:p>
    <w:p>
      <w:pPr>
        <w:pStyle w:val="ListBullet"/>
      </w:pPr>
      <w:r/>
      <w:r>
        <w:rPr>
          <w:b/>
        </w:rPr>
        <w:t>NORTA FORT</w:t>
      </w:r>
      <w:r>
        <w:t xml:space="preserve"> (INPHA-MEDIS)</w:t>
      </w:r>
    </w:p>
    <w:p>
      <w:pPr>
        <w:pStyle w:val="ListBullet"/>
      </w:pPr>
      <w:r>
        <w:t>Formes et Dosages : Comprimé pelliculé sécable 100 mg (B/28)</w:t>
      </w:r>
    </w:p>
    <w:p>
      <w:pPr>
        <w:pStyle w:val="ListBullet"/>
      </w:pPr>
      <w:r>
        <w:t>Statut : Actif</w:t>
      </w:r>
    </w:p>
    <w:p>
      <w:pPr>
        <w:pStyle w:val="ListBullet"/>
      </w:pPr>
      <w:r/>
      <w:r>
        <w:rPr>
          <w:b/>
        </w:rPr>
        <w:t>STATIX</w:t>
      </w:r>
      <w:r>
        <w:t xml:space="preserve"> (CPCM) (R) ; Comprimé pelliculé 50 mg (B/30)</w:t>
      </w:r>
    </w:p>
    <w:p>
      <w:pPr>
        <w:pStyle w:val="ListBullet"/>
      </w:pPr>
      <w:r/>
      <w:r>
        <w:rPr>
          <w:b/>
        </w:rPr>
        <w:t>COSARTAN-50</w:t>
      </w:r>
      <w:r>
        <w:t xml:space="preserve"> (SANAMED) (R) ; Comprimé enrobé sécable 50 mg (B/30)</w:t>
      </w:r>
    </w:p>
    <w:p>
      <w:pPr>
        <w:pStyle w:val="ListBullet"/>
      </w:pPr>
      <w:r/>
      <w:r>
        <w:rPr>
          <w:b/>
        </w:rPr>
        <w:t>LOZAR 50</w:t>
      </w:r>
      <w:r>
        <w:t xml:space="preserve"> (PETRA PHARM) (R) ; Comprimé sécable 50 mg (B/30)</w:t>
      </w:r>
    </w:p>
    <w:p>
      <w:pPr>
        <w:pStyle w:val="ListBullet"/>
      </w:pPr>
      <w:r/>
      <w:r>
        <w:rPr>
          <w:b/>
        </w:rPr>
        <w:t>ZARTENS</w:t>
      </w:r>
      <w:r>
        <w:t xml:space="preserve"> (BIOVITAL) (R) ; Comprimé 50 mg (B/30)</w:t>
      </w:r>
    </w:p>
    <w:p>
      <w:pPr>
        <w:pStyle w:val="ListBullet"/>
      </w:pPr>
      <w:r/>
      <w:r>
        <w:rPr>
          <w:b/>
        </w:rPr>
        <w:t>LOSARTAN HEMOFARM</w:t>
      </w:r>
      <w:r>
        <w:t xml:space="preserve"> (HEMOFARM A.D) (R) ; Comprimé pelliculé 100 mg (B/28)</w:t>
      </w:r>
    </w:p>
    <w:p>
      <w:r/>
      <w:r>
        <w:rPr>
          <w:b/>
        </w:rPr>
        <w:t>Sous-classe et Mécanisme d'action :</w:t>
      </w:r>
      <w:r/>
    </w:p>
    <w:p>
      <w:pPr>
        <w:pStyle w:val="ListBullet"/>
      </w:pPr>
      <w:r>
        <w:t>Sous-classe : ARA2 de première génération, biphenyl tetrazole, prodrogue partiellement métabolisée (CYP2C9 → E-3174 actif), monoprise quotidienne.</w:t>
      </w:r>
    </w:p>
    <w:p>
      <w:pPr>
        <w:pStyle w:val="ListBullet"/>
      </w:pPr>
      <w:r>
        <w:t>Mécanisme d'action : le losartan est un antagoniste compétitif et sélectif du récepteur AT1 de l'angiotensine II, sans action sur le récepteur AT2 (laissant l'angiotensine II stimuler AT2 — effets bénéfiques putatifs : vasodilatation, anti-prolifération). Cette sélectivité explique l'absence d'effet sur la bradykinine et donc la rareté de la toux et de l'angio-œdème. Le blocage complet de l'AT1 permet d'inhiber l'angiotensine II quelle que soit sa voie de production (ECA ou chymase). Le métabolite actif E-3174 est 10-40 fois plus puissant que la molécule mère et assure l'essentiel de l'effet antihypertenseur. Particularité unique : effet uricosurique (inhibition de l'URAT1 au niveau du tube proximal rénal, augmentant l'excrétion d'acide urique) — utile en cas d'hyperuricémie ou de goutte associée.</w:t>
      </w:r>
    </w:p>
    <w:p>
      <w:r/>
      <w:r>
        <w:rPr>
          <w:b/>
        </w:rPr>
        <w:t>Profil Pharmacologique :</w:t>
      </w:r>
      <w:r/>
    </w:p>
    <w:p>
      <w:pPr>
        <w:pStyle w:val="ListBullet"/>
      </w:pPr>
      <w:r>
        <w:t>Indications : HTA essentielle (1ère intention) ; néphropathie diabétique de type 2 avec protéinurie (RENAAL — réduction de la progression vers l'IRT et de la protéinurie) ; prévention CV chez les patients hypertendus avec hypertrophie ventriculaire gauche (LIFE — réduction de l'AVC vs aténolol) ; insuffisance cardiaque chronique (en cas d'intolérance aux IEC — confirmée par ELITE II, non supériorité mais bonne tolérance).</w:t>
      </w:r>
    </w:p>
    <w:p>
      <w:pPr>
        <w:pStyle w:val="ListBullet"/>
      </w:pPr>
      <w:r>
        <w:t>Contre-indications : angio-œdème sous IEC (CI absolue croisée — rare mais possible avec ARA2) ; grossesse 2e/3e trimestres (CI absolue) ; sténose bilatérale des artères rénales ; hyperkaliémie ; association avec aliskirène (chez diabétique ou insuffisant rénal) ; insuffisance hépatique sévère ; association IEC ou sacubitril.</w:t>
      </w:r>
    </w:p>
    <w:p>
      <w:pPr>
        <w:pStyle w:val="ListBullet"/>
      </w:pPr>
      <w:r>
        <w:t>Effets Indésirables : toux sèche (rare &lt; 3 % — principal atout vs IEC) ; angio-œdème (très rare &lt; 0,1 % mais possible) ; hyperkaliémie (fréquence similaire aux IEC) ; IRA fonctionnelle (similaire aux IEC) ; hypotension de 1ère dose (souvent modérée) ; céphalées, vertiges, asthénie ; rash ; troubles digestifs ; hyperuricémie (rarement hypouricémie paradoxale — atout); anémie (chez transplanté rénal) ; anomalies biologiques hépatiques (rares).</w:t>
      </w:r>
    </w:p>
    <w:p>
      <w:r/>
      <w:r>
        <w:rPr>
          <w:b/>
        </w:rPr>
        <w:t>Prévention et Gestion des Effets Indésirables :</w:t>
      </w:r>
      <w:r/>
    </w:p>
    <w:p>
      <w:pPr>
        <w:pStyle w:val="ListBullet"/>
      </w:pPr>
      <w:r>
        <w:t>Mesures Préventives : dosage créatinine + kaliémie avant initiation, à 1-2 semaines, puis tous les 3-6 mois. Test de grossesse. Dose initiale faible (25-50 mg/j) chez le sujet âgé, l'insuffisant rénal, ou le patient sous diurétique. Surveillance PA après 1ère dose. Adaptation au DFG et à la fonction hépatique.</w:t>
      </w:r>
    </w:p>
    <w:p>
      <w:pPr>
        <w:pStyle w:val="ListBullet"/>
      </w:pPr>
      <w:r>
        <w:t>Conduite à Tenir : angio-œdème → arrêt définitif ARA2 et IEC (CI croisée), urgence. Hyperkaliémie → arrêt transitoire, restriction potassique, diurétique. IRA → arrêt, réhydratation, recherche de sténose artère rénale. Toux (rare) → vérifier autre cause (tabac, RGO, infection) avant attribution.</w:t>
      </w:r>
    </w:p>
    <w:p>
      <w:r/>
      <w:r>
        <w:rPr>
          <w:b/>
        </w:rPr>
        <w:t>Interactions Importantes :</w:t>
      </w:r>
      <w:r/>
    </w:p>
    <w:p>
      <w:pPr>
        <w:pStyle w:val="ListBullet"/>
      </w:pPr>
      <w:r/>
      <w:r>
        <w:rPr>
          <w:b/>
        </w:rPr>
        <w:t>Losartan + AINS</w:t>
      </w:r>
      <w:r>
        <w:t xml:space="preserve"> : baisse effet antihypertenseur + IRA. Triple whammy si diurétique.</w:t>
      </w:r>
    </w:p>
    <w:p>
      <w:pPr>
        <w:pStyle w:val="ListBullet"/>
      </w:pPr>
      <w:r/>
      <w:r>
        <w:rPr>
          <w:b/>
        </w:rPr>
        <w:t>Losartan + diurétiques épargneurs de K+ + suppléments K+</w:t>
      </w:r>
      <w:r>
        <w:t xml:space="preserve"> : hyperkaliémie majeure.</w:t>
      </w:r>
    </w:p>
    <w:p>
      <w:pPr>
        <w:pStyle w:val="ListBullet"/>
      </w:pPr>
      <w:r/>
      <w:r>
        <w:rPr>
          <w:b/>
        </w:rPr>
        <w:t>Losartan + lithium</w:t>
      </w:r>
      <w:r>
        <w:t xml:space="preserve"> : augmentation lithiémie.</w:t>
      </w:r>
    </w:p>
    <w:p>
      <w:pPr>
        <w:pStyle w:val="ListBullet"/>
      </w:pPr>
      <w:r/>
      <w:r>
        <w:rPr>
          <w:b/>
        </w:rPr>
        <w:t>Losartan + aliskirène</w:t>
      </w:r>
      <w:r>
        <w:t xml:space="preserve"> : CI absolue (diabétique, insuffisant rénal).</w:t>
      </w:r>
    </w:p>
    <w:p>
      <w:pPr>
        <w:pStyle w:val="ListBullet"/>
      </w:pPr>
      <w:r/>
      <w:r>
        <w:rPr>
          <w:b/>
        </w:rPr>
        <w:t>Losartan + rifampicine</w:t>
      </w:r>
      <w:r>
        <w:t xml:space="preserve"> : induction du CYP2C9, diminution de l'effet antihypertenseur (augmentation du métabolisme du losartan en métabolite actif mais réduction globale de l'efficacité — surveillance, changement d'ARA2 non métabolisé).</w:t>
      </w:r>
    </w:p>
    <w:p>
      <w:pPr>
        <w:pStyle w:val="ListBullet"/>
      </w:pPr>
      <w:r/>
      <w:r>
        <w:rPr>
          <w:b/>
        </w:rPr>
        <w:t>Losartan + fluconazole</w:t>
      </w:r>
      <w:r>
        <w:t xml:space="preserve"> : inhibition du CYP2C9, augmentation de l'exposition au losartan et diminution du métabolite actif — effet antihypertenseur potentiellement réduit.</w:t>
      </w:r>
    </w:p>
    <w:p>
      <w:pPr>
        <w:pStyle w:val="ListBullet"/>
      </w:pPr>
      <w:r/>
      <w:r>
        <w:rPr>
          <w:b/>
        </w:rPr>
        <w:t>Losartan + AINS + diurétique (triple whammy)</w:t>
      </w:r>
      <w:r>
        <w:t xml:space="preserve"> : IRA majeure.</w:t>
      </w:r>
    </w:p>
    <w:p>
      <w:r/>
      <w:r>
        <w:rPr>
          <w:b/>
        </w:rPr>
        <w:t>Grossesse et Allaitement :</w:t>
      </w:r>
      <w:r/>
    </w:p>
    <w:p>
      <w:pPr>
        <w:pStyle w:val="ListBullet"/>
      </w:pPr>
      <w:r>
        <w:t>Grossesse : CI absolue 2e/3e trimestres (fœtotoxicité rénale, oligoamnios, hypoplasie pulmonaire, hypotension néonatale, malformations crâniennes). 1er trimestre déconseillé. Arrêt immédiat si découverte de grossesse, échographie morphologique fœtale. Substitution par labétalol, nicardipine, méthyldopa.</w:t>
      </w:r>
    </w:p>
    <w:p>
      <w:pPr>
        <w:pStyle w:val="ListBullet"/>
      </w:pPr>
      <w:r>
        <w:t>Allaitement : passage très faible dans le lait (rapport lait/plasma ≈ 0,1). Compatible selon CRAT, à éviter chez le prématuré et le nouveau-né &lt; 2 semaines. Surveillance PA du nourrisson.</w:t>
      </w:r>
    </w:p>
    <w:p>
      <w:pPr>
        <w:pStyle w:val="ListBullet"/>
      </w:pPr>
      <w:r>
        <w:t>Précisions : risque fœtal rénal principal. Le risque n'est pas dose-dépendant.</w:t>
      </w:r>
    </w:p>
    <w:p>
      <w:r/>
      <w:r>
        <w:rPr>
          <w:b/>
        </w:rPr>
        <w:t>Posologie et Mode d'administration (Standard) :</w:t>
      </w:r>
      <w:r/>
    </w:p>
    <w:p>
      <w:pPr>
        <w:pStyle w:val="ListBullet"/>
      </w:pPr>
      <w:r>
        <w:t>Adulte : HTA : 50 mg une fois par jour (matin), augmentable à 100 mg/j (en une ou deux prises), max 100 mg/j. Néphropathie diabétique T2 (RENAAL) : 50-100 mg/j. Insuffisance cardiaque : 12,5 mg/j initialement (dose test), titration à 25 mg, 50 mg, jusqu'à 100 mg/j.</w:t>
      </w:r>
    </w:p>
    <w:p>
      <w:pPr>
        <w:pStyle w:val="ListBullet"/>
      </w:pPr>
      <w:r>
        <w:t>Sujet âgé : 25 mg/j initialement (surtout si hypovolémie ou traitement diurétique concomitant), titration prudente.</w:t>
      </w:r>
    </w:p>
    <w:p>
      <w:pPr>
        <w:pStyle w:val="ListBullet"/>
      </w:pPr>
      <w:r>
        <w:t>Insuffisance rénale : DFG 30-80 mL/min : 25-50 mg/j. DFG 10-30 mL/min : 25 mg/j. DFG &lt; 10 mL/min : pas de donnée spécifique, éviter.</w:t>
      </w:r>
    </w:p>
    <w:p>
      <w:pPr>
        <w:pStyle w:val="ListBullet"/>
      </w:pPr>
      <w:r>
        <w:t>Insuffisance hépatique : 25 mg/j initialement, titration prudente.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losartan est disponible en comprimés à 25, 50 et 100 mg, le plus souvent pelliculés et sécables. La disponibilité de plusieurs dosages permet une adaptation fine (25 mg pour la titration ou la première dose, 50 mg pour la dose standard, 100 mg pour la dose maximale). La sécabilité permet des doses intermédiaires. Le conditionnement B/28 (princeps Cozaar) ou B/30 correspond à un mois de traitement. Le losartan est largement disponible en Algérie sous 8 marques actives, dont le princeps Cozaar (Organon) et plusieurs génériques (Bektal, Lazartan, Norta, Angizar, Hysartan). Le losartan est aussi disponible en association fixe avec HCTZ (HYZAAR, COBEKTAL, CO-NORTA, etc.). Le losartan présente l'avantage unique d'un effet uricosurique, utile en cas d'hyperuricémie associée ou de goutte.</w:t>
      </w:r>
    </w:p>
    <w:p>
      <w:r/>
      <w:r>
        <w:rPr>
          <w:b/>
        </w:rPr>
        <w:t>Instructions et Conseils au Patient :</w:t>
      </w:r>
      <w:r/>
    </w:p>
    <w:p>
      <w:pPr>
        <w:pStyle w:val="ListBullet"/>
      </w:pPr>
      <w:r>
        <w:t>Communication au comptoir : « Voici votre traitement antihypertenseur. Prenez-le une fois par jour, le matin, à heure fixe, avec un grand verre d'eau. Il peut se prendre pendant ou en dehors des repas. Ne l'arrêtez pas sans avis médical. Levez-vous lentement pour éviter les vertiges des premiers jours. Évitez les AINS sans avis (ibuprofène). Évitez les sels de régime riches en potassium.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Piège classique : le losartan est métabolisé par le CYP2C9 — les inducteurs (rifampicine) réduisent l'efficacité, les inhibiteurs (fluconazole) peuvent augmenter la molécule mère mais réduire le métabolite actif (effet net variable).</w:t>
      </w:r>
    </w:p>
    <w:p>
      <w:pPr>
        <w:pStyle w:val="ListBullet"/>
      </w:pPr>
      <w:r>
        <w:t>Piège classique : chez la femme enceinte ou planifiant une grossesse, contre-indication absolue — ne pas délivrer.</w:t>
      </w:r>
    </w:p>
    <w:p>
      <w:pPr>
        <w:pStyle w:val="ListBullet"/>
      </w:pPr>
      <w:r>
        <w:t>Piège classique : chez le sujet âgé déshydraté ou sous diurétique, hypotension de 1ère dose possible — débuter à 25 mg/j.</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IEC (en cas de switch ARA2 → IEC pour toux).</w:t>
      </w:r>
    </w:p>
    <w:p>
      <w:pPr>
        <w:pStyle w:val="Heading3"/>
      </w:pPr>
      <w:r>
        <w:t>9. DCI : Valsartan (Seule)</w:t>
      </w:r>
    </w:p>
    <w:p>
      <w:r/>
      <w:r>
        <w:rPr>
          <w:b/>
        </w:rPr>
        <w:t>Liste des Catégories :</w:t>
      </w:r>
      <w:r>
        <w:t xml:space="preserve"> Liste I ; antihypertenseur ARA2 de deuxième génération, biphenyl tetrazole. Commercialisé dès 1996 (Novartis — Diovan / Tareg). Non prodrogue (actif directement), élimination surtout biliaire (70 %) et rénale (30 %), faible métabolisme hépatique. Demi-vée plasmatique ≈ 6 h, demi-vée d'action effective 24 h. Documentation clinique extensive (Val-HeFT, VALIANT, VALPREST, NAVIGATOR). Le valsartan est le composant de l'association sacubitril/valsartan (Entresto) — révolution thérapeutique de l'IC à FEVG réduite (PARADIGM-HF).</w:t>
      </w:r>
    </w:p>
    <w:p>
      <w:r/>
      <w:r>
        <w:rPr>
          <w:b/>
        </w:rPr>
        <w:t>Médicaments disponibles en Algérie (Marques, Laboratoires, Formes et Dosages) :</w:t>
      </w:r>
      <w:r/>
    </w:p>
    <w:p>
      <w:pPr>
        <w:pStyle w:val="ListBullet"/>
      </w:pPr>
      <w:r/>
      <w:r>
        <w:rPr>
          <w:b/>
        </w:rPr>
        <w:t>TAREG</w:t>
      </w:r>
      <w:r>
        <w:t xml:space="preserve"> (NOVARTIS PHARMA SCHWEIZ AG)</w:t>
      </w:r>
    </w:p>
    <w:p>
      <w:pPr>
        <w:pStyle w:val="ListBullet"/>
      </w:pPr>
      <w:r>
        <w:t>Formes et Dosages : Comprimé pelliculé 40 mg (B/28) ; Comprimé pelliculé 80 mg (B/28) ; Comprimé pelliculé 160 mg (B/28)</w:t>
      </w:r>
    </w:p>
    <w:p>
      <w:pPr>
        <w:pStyle w:val="ListBullet"/>
      </w:pPr>
      <w:r>
        <w:t>Statut : Actif</w:t>
      </w:r>
    </w:p>
    <w:p>
      <w:pPr>
        <w:pStyle w:val="ListBullet"/>
      </w:pPr>
      <w:r/>
      <w:r>
        <w:rPr>
          <w:b/>
        </w:rPr>
        <w:t>VALACLOR 40 / VALACLOR / VALACLOR 160</w:t>
      </w:r>
      <w:r>
        <w:t xml:space="preserve"> (PHARMALLIANCE)</w:t>
      </w:r>
    </w:p>
    <w:p>
      <w:pPr>
        <w:pStyle w:val="ListBullet"/>
      </w:pPr>
      <w:r>
        <w:t>Formes et Dosages : Comprimé pelliculé 40 mg (B/30) ; Comprimé pelliculé 80 mg (B/30) ; Comprimé pelliculé 160 mg (B/30)</w:t>
      </w:r>
    </w:p>
    <w:p>
      <w:pPr>
        <w:pStyle w:val="ListBullet"/>
      </w:pPr>
      <w:r>
        <w:t>Statut : Actif</w:t>
      </w:r>
    </w:p>
    <w:p>
      <w:pPr>
        <w:pStyle w:val="ListBullet"/>
      </w:pPr>
      <w:r/>
      <w:r>
        <w:rPr>
          <w:b/>
        </w:rPr>
        <w:t>ARBITAN</w:t>
      </w:r>
      <w:r>
        <w:t xml:space="preserve"> (HIKMA PHARMA ALGERIA)</w:t>
      </w:r>
    </w:p>
    <w:p>
      <w:pPr>
        <w:pStyle w:val="ListBullet"/>
      </w:pPr>
      <w:r>
        <w:t>Formes et Dosages : Comprimé pelliculé 80 mg (B/30) ; Comprimé pelliculé 160 mg (B/30)</w:t>
      </w:r>
    </w:p>
    <w:p>
      <w:pPr>
        <w:pStyle w:val="ListBullet"/>
      </w:pPr>
      <w:r>
        <w:t>Statut : Actif</w:t>
      </w:r>
    </w:p>
    <w:p>
      <w:pPr>
        <w:pStyle w:val="ListBullet"/>
      </w:pPr>
      <w:r/>
      <w:r>
        <w:rPr>
          <w:b/>
        </w:rPr>
        <w:t>DIVALAN</w:t>
      </w:r>
      <w:r>
        <w:t xml:space="preserve"> (TASSILI ARAB PHARMACEUTICAL CO)</w:t>
      </w:r>
    </w:p>
    <w:p>
      <w:pPr>
        <w:pStyle w:val="ListBullet"/>
      </w:pPr>
      <w:r>
        <w:t>Formes et Dosages : Comprimé pelliculé 80 mg (B/28) ; Comprimé pelliculé 160 mg (B/28)</w:t>
      </w:r>
    </w:p>
    <w:p>
      <w:pPr>
        <w:pStyle w:val="ListBullet"/>
      </w:pPr>
      <w:r>
        <w:t>Statut : Actif</w:t>
      </w:r>
    </w:p>
    <w:p>
      <w:pPr>
        <w:pStyle w:val="ListBullet"/>
      </w:pPr>
      <w:r/>
      <w:r>
        <w:rPr>
          <w:b/>
        </w:rPr>
        <w:t>HUREG HUP / HUREG</w:t>
      </w:r>
      <w:r>
        <w:t xml:space="preserve"> (HUPP PHARMA)</w:t>
      </w:r>
    </w:p>
    <w:p>
      <w:pPr>
        <w:pStyle w:val="ListBullet"/>
      </w:pPr>
      <w:r>
        <w:t>Formes et Dosages : Comprimé pelliculé 80 mg (B/30) ; Comprimé pelliculé 160 mg (B/30)</w:t>
      </w:r>
    </w:p>
    <w:p>
      <w:pPr>
        <w:pStyle w:val="ListBullet"/>
      </w:pPr>
      <w:r>
        <w:t>Statut : Actif</w:t>
      </w:r>
    </w:p>
    <w:p>
      <w:pPr>
        <w:pStyle w:val="ListBullet"/>
      </w:pPr>
      <w:r/>
      <w:r>
        <w:rPr>
          <w:b/>
        </w:rPr>
        <w:t>RETA / RETA 160</w:t>
      </w:r>
      <w:r>
        <w:t xml:space="preserve"> (INPHA-MEDIS)</w:t>
      </w:r>
    </w:p>
    <w:p>
      <w:pPr>
        <w:pStyle w:val="ListBullet"/>
      </w:pPr>
      <w:r>
        <w:t>Formes et Dosages : Comprimé pelliculé sécable 80 mg (B/28) ; Comprimé pelliculé 160 mg (B/28)</w:t>
      </w:r>
    </w:p>
    <w:p>
      <w:pPr>
        <w:pStyle w:val="ListBullet"/>
      </w:pPr>
      <w:r>
        <w:t>Statut : Actif</w:t>
      </w:r>
    </w:p>
    <w:p>
      <w:pPr>
        <w:pStyle w:val="ListBullet"/>
      </w:pPr>
      <w:r/>
      <w:r>
        <w:rPr>
          <w:b/>
        </w:rPr>
        <w:t>SARTEG</w:t>
      </w:r>
      <w:r>
        <w:t xml:space="preserve"> (EL KENDI INDUSTRIE DU MEDICAMENT)</w:t>
      </w:r>
    </w:p>
    <w:p>
      <w:pPr>
        <w:pStyle w:val="ListBullet"/>
      </w:pPr>
      <w:r>
        <w:t>Formes et Dosages : Comprimé pelliculé 80 mg (B/30) ; Comprimé pelliculé 160 mg (B/30) ; Comprimé pelliculé 320 mg (B/30)</w:t>
      </w:r>
    </w:p>
    <w:p>
      <w:pPr>
        <w:pStyle w:val="ListBullet"/>
      </w:pPr>
      <w:r>
        <w:t>Statut : Actif</w:t>
      </w:r>
    </w:p>
    <w:p>
      <w:pPr>
        <w:pStyle w:val="ListBullet"/>
      </w:pPr>
      <w:r/>
      <w:r>
        <w:rPr>
          <w:b/>
        </w:rPr>
        <w:t>TABUVAN</w:t>
      </w:r>
      <w:r>
        <w:t xml:space="preserve"> (TABUK ALGERIE)</w:t>
      </w:r>
    </w:p>
    <w:p>
      <w:pPr>
        <w:pStyle w:val="ListBullet"/>
      </w:pPr>
      <w:r>
        <w:t>Formes et Dosages : Comprimé 160 mg (B/30) ; Comprimé pelliculé 80 mg (B/30) ; Comprimé pelliculé 160 mg (B/30)</w:t>
      </w:r>
    </w:p>
    <w:p>
      <w:pPr>
        <w:pStyle w:val="ListBullet"/>
      </w:pPr>
      <w:r>
        <w:t>Statut : Actif</w:t>
      </w:r>
    </w:p>
    <w:p>
      <w:pPr>
        <w:pStyle w:val="ListBullet"/>
      </w:pPr>
      <w:r/>
      <w:r>
        <w:rPr>
          <w:b/>
        </w:rPr>
        <w:t>TAROVAL</w:t>
      </w:r>
      <w:r>
        <w:t xml:space="preserve"> (FRATER-RAZES FORME SECHE)</w:t>
      </w:r>
    </w:p>
    <w:p>
      <w:pPr>
        <w:pStyle w:val="ListBullet"/>
      </w:pPr>
      <w:r>
        <w:t>Formes et Dosages : Comprimé pelliculé 80 mg (B/30)</w:t>
      </w:r>
    </w:p>
    <w:p>
      <w:pPr>
        <w:pStyle w:val="ListBullet"/>
      </w:pPr>
      <w:r>
        <w:t>Statut : Actif</w:t>
      </w:r>
    </w:p>
    <w:p>
      <w:pPr>
        <w:pStyle w:val="ListBullet"/>
      </w:pPr>
      <w:r/>
      <w:r>
        <w:rPr>
          <w:b/>
        </w:rPr>
        <w:t>VALASTAN</w:t>
      </w:r>
      <w:r>
        <w:t xml:space="preserve"> (LABORATOIRES BEKER)</w:t>
      </w:r>
    </w:p>
    <w:p>
      <w:pPr>
        <w:pStyle w:val="ListBullet"/>
      </w:pPr>
      <w:r>
        <w:t>Formes et Dosages : Comprimé pelliculé 80 mg (B/30 et B/90) ; Comprimé pelliculé 160 mg (B/30)</w:t>
      </w:r>
    </w:p>
    <w:p>
      <w:pPr>
        <w:pStyle w:val="ListBullet"/>
      </w:pPr>
      <w:r>
        <w:t>Statut : Actif</w:t>
      </w:r>
    </w:p>
    <w:p>
      <w:pPr>
        <w:pStyle w:val="ListBullet"/>
      </w:pPr>
      <w:r/>
      <w:r>
        <w:rPr>
          <w:b/>
        </w:rPr>
        <w:t>VALEX 80 / VALEX 160</w:t>
      </w:r>
      <w:r>
        <w:t xml:space="preserve"> (LABORATOIRES MERINAL)</w:t>
      </w:r>
    </w:p>
    <w:p>
      <w:pPr>
        <w:pStyle w:val="ListBullet"/>
      </w:pPr>
      <w:r>
        <w:t>Formes et Dosages : Comprimé pelliculé sécable 80 mg (B/30) ; Comprimé pelliculé 160 mg (B/30)</w:t>
      </w:r>
    </w:p>
    <w:p>
      <w:pPr>
        <w:pStyle w:val="ListBullet"/>
      </w:pPr>
      <w:r>
        <w:t>Statut : Actif</w:t>
      </w:r>
    </w:p>
    <w:p>
      <w:pPr>
        <w:pStyle w:val="ListBullet"/>
      </w:pPr>
      <w:r/>
      <w:r>
        <w:rPr>
          <w:b/>
        </w:rPr>
        <w:t>VALSAN</w:t>
      </w:r>
      <w:r>
        <w:t xml:space="preserve"> (ALGERIAN GENERICS DEVELOPMENT PHARMA - AGD PHARMA)</w:t>
      </w:r>
    </w:p>
    <w:p>
      <w:pPr>
        <w:pStyle w:val="ListBullet"/>
      </w:pPr>
      <w:r>
        <w:t>Formes et Dosages : Comprimé pelliculé 80 mg (B/30) ; Comprimé pelliculé 160 mg (B/30)</w:t>
      </w:r>
    </w:p>
    <w:p>
      <w:pPr>
        <w:pStyle w:val="ListBullet"/>
      </w:pPr>
      <w:r>
        <w:t>Statut : Actif</w:t>
      </w:r>
    </w:p>
    <w:p>
      <w:pPr>
        <w:pStyle w:val="ListBullet"/>
      </w:pPr>
      <w:r/>
      <w:r>
        <w:rPr>
          <w:b/>
        </w:rPr>
        <w:t>VAREG</w:t>
      </w:r>
      <w:r>
        <w:t xml:space="preserve"> (LABORATOIRES DE DIAGNOSTIC MAGHREBINS-LDM)</w:t>
      </w:r>
    </w:p>
    <w:p>
      <w:pPr>
        <w:pStyle w:val="ListBullet"/>
      </w:pPr>
      <w:r>
        <w:t>Formes et Dosages : Comprimé pelliculé sécable 80 mg (B/30) ; Comprimé pelliculé sécable 160 mg (B/30)</w:t>
      </w:r>
    </w:p>
    <w:p>
      <w:pPr>
        <w:pStyle w:val="ListBullet"/>
      </w:pPr>
      <w:r>
        <w:t>Statut : Actif</w:t>
      </w:r>
    </w:p>
    <w:p>
      <w:pPr>
        <w:pStyle w:val="ListBullet"/>
      </w:pPr>
      <w:r/>
      <w:r>
        <w:rPr>
          <w:b/>
        </w:rPr>
        <w:t>VESTAG</w:t>
      </w:r>
      <w:r>
        <w:t xml:space="preserve"> (LABORATOIRES MM)</w:t>
      </w:r>
    </w:p>
    <w:p>
      <w:pPr>
        <w:pStyle w:val="ListBullet"/>
      </w:pPr>
      <w:r>
        <w:t>Formes et Dosages : Comprimé pelliculé 80 mg (B/30) ; Comprimé pelliculé 160 mg (B/30)</w:t>
      </w:r>
    </w:p>
    <w:p>
      <w:pPr>
        <w:pStyle w:val="ListBullet"/>
      </w:pPr>
      <w:r>
        <w:t>Statut : Actif</w:t>
      </w:r>
    </w:p>
    <w:p>
      <w:pPr>
        <w:pStyle w:val="ListBullet"/>
      </w:pPr>
      <w:r/>
      <w:r>
        <w:rPr>
          <w:b/>
        </w:rPr>
        <w:t>VALSIS</w:t>
      </w:r>
      <w:r>
        <w:t xml:space="preserve"> (GROUPE SAIDAL)</w:t>
      </w:r>
    </w:p>
    <w:p>
      <w:pPr>
        <w:pStyle w:val="ListBullet"/>
      </w:pPr>
      <w:r>
        <w:t>Formes et Dosages : Comprimé pelliculé sécable 80 mg (B/28) ; Comprimé pelliculé sécable 160 mg (B/28)</w:t>
      </w:r>
    </w:p>
    <w:p>
      <w:pPr>
        <w:pStyle w:val="ListBullet"/>
      </w:pPr>
      <w:r>
        <w:t>Statut : Actif</w:t>
      </w:r>
    </w:p>
    <w:p>
      <w:pPr>
        <w:pStyle w:val="ListBullet"/>
      </w:pPr>
      <w:r/>
      <w:r>
        <w:rPr>
          <w:b/>
        </w:rPr>
        <w:t>VIASART</w:t>
      </w:r>
      <w:r>
        <w:t xml:space="preserve"> (WORLD MEDECINE LIMITED)</w:t>
      </w:r>
    </w:p>
    <w:p>
      <w:pPr>
        <w:pStyle w:val="ListBullet"/>
      </w:pPr>
      <w:r>
        <w:t>Formes et Dosages : Comprimé pelliculé 80 mg (B/30) ; Comprimé pelliculé 160 mg (B/30)</w:t>
      </w:r>
    </w:p>
    <w:p>
      <w:pPr>
        <w:pStyle w:val="ListBullet"/>
      </w:pPr>
      <w:r>
        <w:t>Statut : Actif</w:t>
      </w:r>
    </w:p>
    <w:p>
      <w:pPr>
        <w:pStyle w:val="ListBullet"/>
      </w:pPr>
      <w:r/>
      <w:r>
        <w:rPr>
          <w:b/>
        </w:rPr>
        <w:t>VALCARD ALEMBIC MAMI</w:t>
      </w:r>
      <w:r>
        <w:t xml:space="preserve"> (ALEMBIC MAMI SPA)</w:t>
      </w:r>
    </w:p>
    <w:p>
      <w:pPr>
        <w:pStyle w:val="ListBullet"/>
      </w:pPr>
      <w:r>
        <w:t>Formes et Dosages : Comprimé pelliculé 320 mg (B/30)</w:t>
      </w:r>
    </w:p>
    <w:p>
      <w:pPr>
        <w:pStyle w:val="ListBullet"/>
      </w:pPr>
      <w:r>
        <w:t>Statut : Actif</w:t>
      </w:r>
    </w:p>
    <w:p>
      <w:pPr>
        <w:pStyle w:val="ListBullet"/>
      </w:pPr>
      <w:r/>
      <w:r>
        <w:rPr>
          <w:b/>
        </w:rPr>
        <w:t>RIVALTAN</w:t>
      </w:r>
      <w:r>
        <w:t xml:space="preserve"> (BIOVITAL) (R) ; Comprimés 80 mg et 160 mg sécables (B/30)</w:t>
      </w:r>
    </w:p>
    <w:p>
      <w:pPr>
        <w:pStyle w:val="ListBullet"/>
      </w:pPr>
      <w:r/>
      <w:r>
        <w:rPr>
          <w:b/>
        </w:rPr>
        <w:t>VALSARTAL</w:t>
      </w:r>
      <w:r>
        <w:t xml:space="preserve"> (SOPHAL) (R) ; Comprimés pelliculés sécables 80 et 160 mg (B/30)</w:t>
      </w:r>
    </w:p>
    <w:p>
      <w:r/>
      <w:r>
        <w:rPr>
          <w:b/>
        </w:rPr>
        <w:t>Sous-classe et Mécanisme d'action :</w:t>
      </w:r>
      <w:r/>
    </w:p>
    <w:p>
      <w:pPr>
        <w:pStyle w:val="ListBullet"/>
      </w:pPr>
      <w:r>
        <w:t>Sous-classe : ARA2 de deuxième génération, biphenyl tetrazole, non prodrogue (actif directement), monoprise quotidienne. Élimination surtout biliaire (sécurité en cas d'IRC modérée à sévère).</w:t>
      </w:r>
    </w:p>
    <w:p>
      <w:pPr>
        <w:pStyle w:val="ListBullet"/>
      </w:pPr>
      <w:r>
        <w:t>Mécanisme d'action : antagoniste compétitif et sélectif du récepteur AT1 de l'angiotensine II, sans action sur le récepteur AT2 ni sur la bradykinine. Blocage complet de l'angiotensine II quelle que soit sa voie de production (ECA ou chymase). Vasodilatation artérielle et veineuse, baisse de l'aldostérone, néphroprotection, régression de l'hypertrophie VG. Profil d'effets indésirables superposable aux autres ARA2 (peu de toux, peu d'angio-œdème).</w:t>
      </w:r>
    </w:p>
    <w:p>
      <w:r/>
      <w:r>
        <w:rPr>
          <w:b/>
        </w:rPr>
        <w:t>Profil Pharmacologique :</w:t>
      </w:r>
      <w:r/>
    </w:p>
    <w:p>
      <w:pPr>
        <w:pStyle w:val="ListBullet"/>
      </w:pPr>
      <w:r>
        <w:t>Indications : HTA essentielle (1ère intention) ; insuffisance cardiaque chronique (en cas d'intolérance aux IEC ou en association à l'IC à FEVG réduite — Val-HeFT, VALIANT) ; post-IDM avec dysfonction VG ou IC (VALIANT — non infériorité vs captopril) ; néphropathie diabétique.</w:t>
      </w:r>
    </w:p>
    <w:p>
      <w:pPr>
        <w:pStyle w:val="ListBullet"/>
      </w:pPr>
      <w:r>
        <w:t>Contre-indications : angio-œdème sous IEC ; grossesse 2e/3e trimestres ; sténose bilatérale des artères rénales ; hyperkaliémie ; association avec aliskirène ; insuffisance hépatique sévère (cholangiocarcinome ou cirrhose biliaire) ; association IEC ou sacubitril (sauf cas spécifiques supervisés).</w:t>
      </w:r>
    </w:p>
    <w:p>
      <w:pPr>
        <w:pStyle w:val="ListBullet"/>
      </w:pPr>
      <w:r>
        <w:t>Effets Indésirables : toux sèche (rare) ; angio-œdème (très rare) ; hyperkaliémie ; IRA fonctionnelle ; hypotension de 1ère dose ; céphalées, vertigos, asthénie ; rash ; troubles digestifs ; anomalies biologiques hépatiques (rares) ; anémie (chez transplanté rénal) ; néphropathie tubulo-interstitielle (rare, à long terme).</w:t>
      </w:r>
    </w:p>
    <w:p>
      <w:r/>
      <w:r>
        <w:rPr>
          <w:b/>
        </w:rPr>
        <w:t>Prévention et Gestion des Effets Indésirables :</w:t>
      </w:r>
      <w:r/>
    </w:p>
    <w:p>
      <w:pPr>
        <w:pStyle w:val="ListBullet"/>
      </w:pPr>
      <w:r>
        <w:t>Mesures Préventives : dosage créatinine + kaliémie avant initiation, à 1-2 semaines, puis tous les 3-6 mois. Test de grossesse. Dose initiale faible (40-80 mg/j) chez le sujet âgé, l'insuffisant rénal, ou le patient sous diurétique. Surveillance PA après 1ère dose. Adaptation au DFG et à la fonction hépatique.</w:t>
      </w:r>
    </w:p>
    <w:p>
      <w:pPr>
        <w:pStyle w:val="ListBullet"/>
      </w:pPr>
      <w:r>
        <w:t>Conduite à Tenir : angio-œdème → arrêt définitif ARA2 et IEC (CI croisée), urgence. Hyperkaliémie → arrêt transitoire, restriction potassique, diurétique. IRA → arrêt, réhydratation.</w:t>
      </w:r>
    </w:p>
    <w:p>
      <w:r/>
      <w:r>
        <w:rPr>
          <w:b/>
        </w:rPr>
        <w:t>Interactions Importantes :</w:t>
      </w:r>
      <w:r/>
    </w:p>
    <w:p>
      <w:pPr>
        <w:pStyle w:val="ListBullet"/>
      </w:pPr>
      <w:r/>
      <w:r>
        <w:rPr>
          <w:b/>
        </w:rPr>
        <w:t>Valsartan + AINS</w:t>
      </w:r>
      <w:r>
        <w:t xml:space="preserve"> : baisse effet antihypertenseur + IRA.</w:t>
      </w:r>
    </w:p>
    <w:p>
      <w:pPr>
        <w:pStyle w:val="ListBullet"/>
      </w:pPr>
      <w:r/>
      <w:r>
        <w:rPr>
          <w:b/>
        </w:rPr>
        <w:t>Valsartan + diurétiques épargneurs de K+ + suppléments K+</w:t>
      </w:r>
      <w:r>
        <w:t xml:space="preserve"> : hyperkaliémie majeure.</w:t>
      </w:r>
    </w:p>
    <w:p>
      <w:pPr>
        <w:pStyle w:val="ListBullet"/>
      </w:pPr>
      <w:r/>
      <w:r>
        <w:rPr>
          <w:b/>
        </w:rPr>
        <w:t>Valsartan + lithium</w:t>
      </w:r>
      <w:r>
        <w:t xml:space="preserve"> : augmentation lithiémie.</w:t>
      </w:r>
    </w:p>
    <w:p>
      <w:pPr>
        <w:pStyle w:val="ListBullet"/>
      </w:pPr>
      <w:r/>
      <w:r>
        <w:rPr>
          <w:b/>
        </w:rPr>
        <w:t>Valsartan + aliskirène</w:t>
      </w:r>
      <w:r>
        <w:t xml:space="preserve"> : CI absolue.</w:t>
      </w:r>
    </w:p>
    <w:p>
      <w:pPr>
        <w:pStyle w:val="ListBullet"/>
      </w:pPr>
      <w:r/>
      <w:r>
        <w:rPr>
          <w:b/>
        </w:rPr>
        <w:t>Valsartan + IEC</w:t>
      </w:r>
      <w:r>
        <w:t xml:space="preserve"> : association déconseillée (ONTARGET), sauf indication spécifique spécialisée.</w:t>
      </w:r>
    </w:p>
    <w:p>
      <w:pPr>
        <w:pStyle w:val="ListBullet"/>
      </w:pPr>
      <w:r/>
      <w:r>
        <w:rPr>
          <w:b/>
        </w:rPr>
        <w:t>Valsartan + sacubitril</w:t>
      </w:r>
      <w:r>
        <w:t xml:space="preserve"> : association synergique (Entresto — IC à FEVG réduite, PARADIGM-HF) — ne JAMAIS associer sans respecter le délai de 36 heures depuis l'arrêt d'un IEC.</w:t>
      </w:r>
    </w:p>
    <w:p>
      <w:r/>
      <w:r>
        <w:rPr>
          <w:b/>
        </w:rPr>
        <w:t>Grossesse et Allaitement :</w:t>
      </w:r>
      <w:r/>
    </w:p>
    <w:p>
      <w:pPr>
        <w:pStyle w:val="ListBullet"/>
      </w:pPr>
      <w:r>
        <w:t>Grossesse : CI absolue 2e/3e trimestres (fœtotoxicité rénale, oligoamnios, hypoplasie pulmonaire). 1er trimestre déconseillé. Arrêt immédiat si découverte de grossesse. Substitution par labétalol, nicardipine, méthyldopa.</w:t>
      </w:r>
    </w:p>
    <w:p>
      <w:pPr>
        <w:pStyle w:val="ListBullet"/>
      </w:pPr>
      <w:r>
        <w:t>Allaitement : passage très faible dans le lait. Compatible selon CRAT, à éviter chez le prématuré et le nouveau-né &lt; 2 semaines.</w:t>
      </w:r>
    </w:p>
    <w:p>
      <w:pPr>
        <w:pStyle w:val="ListBullet"/>
      </w:pPr>
      <w:r>
        <w:t>Précisions : risque fœtal rénal principal. Oligoamnios = signe d'alerte.</w:t>
      </w:r>
    </w:p>
    <w:p>
      <w:r/>
      <w:r>
        <w:rPr>
          <w:b/>
        </w:rPr>
        <w:t>Posologie et Mode d'administration (Standard) :</w:t>
      </w:r>
      <w:r/>
    </w:p>
    <w:p>
      <w:pPr>
        <w:pStyle w:val="ListBullet"/>
      </w:pPr>
      <w:r>
        <w:t>Adulte : HTA : 80 mg une fois par jour (matin), augmentable à 160 mg/j, max 320 mg/j. Insuffisance cardiaque : 40 mg × 2/j initialement (dose test), titration à 80 mg, 160 mg, jusqu'à 320 mg/j (en deux prises). Post-IDM : 20 mg × 2/j initialement, titration à 40 mg, 80 mg, 160 mg × 2/j (max 320 mg/j).</w:t>
      </w:r>
    </w:p>
    <w:p>
      <w:pPr>
        <w:pStyle w:val="ListBullet"/>
      </w:pPr>
      <w:r>
        <w:t>Sujet âgé : 40 mg/j initialement, titration prudente.</w:t>
      </w:r>
    </w:p>
    <w:p>
      <w:pPr>
        <w:pStyle w:val="ListBullet"/>
      </w:pPr>
      <w:r>
        <w:t>Insuffisance rénale : DFG 30-80 mL/min : 40-160 mg/j. DFG 10-30 mL/min : 40-80 mg/j. DFG &lt; 10 mL/min : pas de donnée, éviter.</w:t>
      </w:r>
    </w:p>
    <w:p>
      <w:pPr>
        <w:pStyle w:val="ListBullet"/>
      </w:pPr>
      <w:r>
        <w:t>Insuffisance hépatique : 40 mg/j initialement (si modérée), éviter si sévère (CI si cirrhose biliaire).</w:t>
      </w:r>
    </w:p>
    <w:p>
      <w:pPr>
        <w:pStyle w:val="ListBullet"/>
      </w:pPr>
      <w:r>
        <w:t>Durée : au long cours.</w:t>
      </w:r>
    </w:p>
    <w:p>
      <w:pPr>
        <w:pStyle w:val="ListBullet"/>
      </w:pPr>
      <w:r>
        <w:t>Moment de prise : monoprise matinale ou bi-quotidienne selon l'indication, indépendante des repas.</w:t>
      </w:r>
    </w:p>
    <w:p>
      <w:r/>
      <w:r>
        <w:rPr>
          <w:b/>
        </w:rPr>
        <w:t>Arbitrage et Bénéfices des Formes Galéniques :</w:t>
      </w:r>
      <w:r/>
    </w:p>
    <w:p>
      <w:r>
        <w:t>Le valsartan est disponible en comprimés à 40, 80, 160 et 320 mg, le plus souvent pelliculés et sécables. La diversité des dosages permet une adaptation fine (40 mg pour la titration ou la première dose, 80 mg pour la dose standard, 160 mg pour la dose modérée, 320 mg pour la dose maximale). Le conditionnement B/28 (princeps Tareg) ou B/30 correspond à un mois de traitement. Le valsartan est extrêmement bien représenté en Algérie sous 22 marques actives, dont le princeps Tareg (Novartis) et de très nombreux génériques (Arbitan, Divalan, Hureg, Retà, Sarteg, Tabuvan, Taroval, Valastan, Valex, Valsan, Vareg, Vestag, Valsis, Viasart, Valcard Alembic Mami, Valaclor). Le valsartan est aussi largement disponible en associations fixes avec HCTZ (COTAREG, CO-TABUVAN, CO-RETA, etc.). C'est l'ARA2 le plus prescrit en Algérie et dans le monde, notamment en raison de la disponibilité de l'association sacubitril/valsartan (Entresto) qui a transformé la prise en charge de l'IC à FEVG réduite.</w:t>
      </w:r>
    </w:p>
    <w:p>
      <w:r/>
      <w:r>
        <w:rPr>
          <w:b/>
        </w:rPr>
        <w:t>Instructions et Conseils au Patient :</w:t>
      </w:r>
      <w:r/>
    </w:p>
    <w:p>
      <w:pPr>
        <w:pStyle w:val="ListBullet"/>
      </w:pPr>
      <w:r>
        <w:t>Communication au comptoir : « Voici votre traitement antihypertenseur (ou insuffisance cardiaque). Prenez-le une fois par jour, le matin, à heure fixe, avec un grand verre d'eau. Il peut se prendre pendant ou en dehors des repas. Ne l'arrêtez pas sans avis médical. Levez-vous lentement pour éviter les vertiges. Évitez les AINS sans avis. Évitez les sels de régime riches en potassium.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Piège classique : chez la femme enceinte ou planifiant une grossesse, contre-indication absolue.</w:t>
      </w:r>
    </w:p>
    <w:p>
      <w:pPr>
        <w:pStyle w:val="ListBullet"/>
      </w:pPr>
      <w:r>
        <w:t>Piège classique : si le patient est sous sacubitril/valsartan (Entresto), ne JAMAIS substituer par valsartan seul sans avis médical (risque de décompensation cardiaque).</w:t>
      </w:r>
    </w:p>
    <w:p>
      <w:pPr>
        <w:pStyle w:val="ListBullet"/>
      </w:pPr>
      <w:r>
        <w:t>Piège classique : disponibilité algérienne massive (22 marques) — vigilance accrue à la délivrance pour éviter les confusions de dosage (40, 80, 160, 320 mg).</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36 h avant IEC.</w:t>
      </w:r>
    </w:p>
    <w:p>
      <w:pPr>
        <w:pStyle w:val="Heading3"/>
      </w:pPr>
      <w:r>
        <w:t>10. DCI : Irbésartan (Seule)</w:t>
      </w:r>
    </w:p>
    <w:p>
      <w:r/>
      <w:r>
        <w:rPr>
          <w:b/>
        </w:rPr>
        <w:t>Liste des Catégories :</w:t>
      </w:r>
      <w:r>
        <w:t xml:space="preserve"> Liste I ; antihypertenseur ARA2 de deuxième génération, biphenyl tetrazole. Commercialisé dès 1997 (Sanofi — Aprovel). Non prodrogue (actif directement), élimination hépatique (80 %) et rénale (20 %), pas de métabolisme CYP450 significatif — sécurisant en termes d'interactions. Demi-vée plasmatique ≈ 11-15 h, demi-vée d'action effective 24 h. Documentation clinique majeure dans la néphropathie diabétique T2 (IDNT — réduction de la progression vers l'IRT, IDNT et IRMA-2 — réduction de la microalbuminurie). Effet dose-dépendant sur la protéinurie.</w:t>
      </w:r>
    </w:p>
    <w:p>
      <w:r/>
      <w:r>
        <w:rPr>
          <w:b/>
        </w:rPr>
        <w:t>Médicaments disponibles en Algérie (Marques, Laboratoires, Formes et Dosages) :</w:t>
      </w:r>
      <w:r/>
    </w:p>
    <w:p>
      <w:pPr>
        <w:pStyle w:val="ListBullet"/>
      </w:pPr>
      <w:r/>
      <w:r>
        <w:rPr>
          <w:b/>
        </w:rPr>
        <w:t>APROVEL</w:t>
      </w:r>
      <w:r>
        <w:t xml:space="preserve"> (SANOFI AVENTIS ALGERIE)</w:t>
      </w:r>
    </w:p>
    <w:p>
      <w:pPr>
        <w:pStyle w:val="ListBullet"/>
      </w:pPr>
      <w:r>
        <w:t>Formes et Dosages : Comprimé 75 mg (B/28) ; Comprimé pelliculé 150 mg (B/28) ; Comprimé pelliculé 300 mg (B/28)</w:t>
      </w:r>
    </w:p>
    <w:p>
      <w:pPr>
        <w:pStyle w:val="ListBullet"/>
      </w:pPr>
      <w:r>
        <w:t>Statut : Actif</w:t>
      </w:r>
    </w:p>
    <w:p>
      <w:pPr>
        <w:pStyle w:val="ListBullet"/>
      </w:pPr>
      <w:r/>
      <w:r>
        <w:rPr>
          <w:b/>
        </w:rPr>
        <w:t>APROSART</w:t>
      </w:r>
      <w:r>
        <w:t xml:space="preserve"> (EL KENDI INDUSTRIE DU MEDICAMENT)</w:t>
      </w:r>
    </w:p>
    <w:p>
      <w:pPr>
        <w:pStyle w:val="ListBullet"/>
      </w:pPr>
      <w:r>
        <w:t>Formes et Dosages : Comprimé 150 mg (B/30) ; Comprimé 300 mg (B/30)</w:t>
      </w:r>
    </w:p>
    <w:p>
      <w:pPr>
        <w:pStyle w:val="ListBullet"/>
      </w:pPr>
      <w:r>
        <w:t>Statut : Actif</w:t>
      </w:r>
    </w:p>
    <w:p>
      <w:pPr>
        <w:pStyle w:val="ListBullet"/>
      </w:pPr>
      <w:r/>
      <w:r>
        <w:rPr>
          <w:b/>
        </w:rPr>
        <w:t>ARADEX 150 / ARADEX 300</w:t>
      </w:r>
      <w:r>
        <w:t xml:space="preserve"> (LABORATOIRES MERINAL)</w:t>
      </w:r>
    </w:p>
    <w:p>
      <w:pPr>
        <w:pStyle w:val="ListBullet"/>
      </w:pPr>
      <w:r>
        <w:t>Formes et Dosages : Comprimé sécable 150 mg (B/30) ; Comprimé 300 mg (B/30)</w:t>
      </w:r>
    </w:p>
    <w:p>
      <w:pPr>
        <w:pStyle w:val="ListBullet"/>
      </w:pPr>
      <w:r>
        <w:t>Statut : Actif</w:t>
      </w:r>
    </w:p>
    <w:p>
      <w:pPr>
        <w:pStyle w:val="ListBullet"/>
      </w:pPr>
      <w:r/>
      <w:r>
        <w:rPr>
          <w:b/>
        </w:rPr>
        <w:t>ARAVEL</w:t>
      </w:r>
      <w:r>
        <w:t xml:space="preserve"> (ABDI IBRAHIM REMEDE PHARMA)</w:t>
      </w:r>
    </w:p>
    <w:p>
      <w:pPr>
        <w:pStyle w:val="ListBullet"/>
      </w:pPr>
      <w:r>
        <w:t>Formes et Dosages : Comprimé pelliculé 150 mg (B/30) ; Comprimé pelliculé 300 mg (B/30)</w:t>
      </w:r>
    </w:p>
    <w:p>
      <w:pPr>
        <w:pStyle w:val="ListBullet"/>
      </w:pPr>
      <w:r>
        <w:t>Statut : Actif</w:t>
      </w:r>
    </w:p>
    <w:p>
      <w:pPr>
        <w:pStyle w:val="ListBullet"/>
      </w:pPr>
      <w:r/>
      <w:r>
        <w:rPr>
          <w:b/>
        </w:rPr>
        <w:t>AROVAL</w:t>
      </w:r>
      <w:r>
        <w:t xml:space="preserve"> (SOPHAL)</w:t>
      </w:r>
    </w:p>
    <w:p>
      <w:pPr>
        <w:pStyle w:val="ListBullet"/>
      </w:pPr>
      <w:r>
        <w:t>Formes et Dosages : Comprimé pelliculé 150 mg (B/30) ; Comprimé pelliculé 300 mg (B/30)</w:t>
      </w:r>
    </w:p>
    <w:p>
      <w:pPr>
        <w:pStyle w:val="ListBullet"/>
      </w:pPr>
      <w:r>
        <w:t>Statut : Actif</w:t>
      </w:r>
    </w:p>
    <w:p>
      <w:pPr>
        <w:pStyle w:val="ListBullet"/>
      </w:pPr>
      <w:r/>
      <w:r>
        <w:rPr>
          <w:b/>
        </w:rPr>
        <w:t>CARDIOTENS / CARDIOTENS 300</w:t>
      </w:r>
      <w:r>
        <w:t xml:space="preserve"> (SANAMED)</w:t>
      </w:r>
    </w:p>
    <w:p>
      <w:pPr>
        <w:pStyle w:val="ListBullet"/>
      </w:pPr>
      <w:r>
        <w:t>Formes et Dosages : Comprimé pelliculé 150 mg (B/30) ; Comprimé pelliculé 300 mg (B/30)</w:t>
      </w:r>
    </w:p>
    <w:p>
      <w:pPr>
        <w:pStyle w:val="ListBullet"/>
      </w:pPr>
      <w:r>
        <w:t>Statut : Actif</w:t>
      </w:r>
    </w:p>
    <w:p>
      <w:pPr>
        <w:pStyle w:val="ListBullet"/>
      </w:pPr>
      <w:r/>
      <w:r>
        <w:rPr>
          <w:b/>
        </w:rPr>
        <w:t>GIZLAN 150 / GIZLAN 300</w:t>
      </w:r>
      <w:r>
        <w:t xml:space="preserve"> (DAR AL DAWA)</w:t>
      </w:r>
    </w:p>
    <w:p>
      <w:pPr>
        <w:pStyle w:val="ListBullet"/>
      </w:pPr>
      <w:r>
        <w:t>Formes et Dosages : Comprimé pelliculé 150 mg (B/30) ; Comprimé pelliculé 300 mg (B/30)</w:t>
      </w:r>
    </w:p>
    <w:p>
      <w:pPr>
        <w:pStyle w:val="ListBullet"/>
      </w:pPr>
      <w:r>
        <w:t>Statut : Actif</w:t>
      </w:r>
    </w:p>
    <w:p>
      <w:pPr>
        <w:pStyle w:val="ListBullet"/>
      </w:pPr>
      <w:r/>
      <w:r>
        <w:rPr>
          <w:b/>
        </w:rPr>
        <w:t>HUPROVEL</w:t>
      </w:r>
      <w:r>
        <w:t xml:space="preserve"> (HUPP PHARMA)</w:t>
      </w:r>
    </w:p>
    <w:p>
      <w:pPr>
        <w:pStyle w:val="ListBullet"/>
      </w:pPr>
      <w:r>
        <w:t>Formes et Dosages : Comprimé pelliculé 150 mg (B/30) ; Comprimé pelliculé 300 mg (B/30)</w:t>
      </w:r>
    </w:p>
    <w:p>
      <w:pPr>
        <w:pStyle w:val="ListBullet"/>
      </w:pPr>
      <w:r>
        <w:t>Statut : Actif</w:t>
      </w:r>
    </w:p>
    <w:p>
      <w:pPr>
        <w:pStyle w:val="ListBullet"/>
      </w:pPr>
      <w:r/>
      <w:r>
        <w:rPr>
          <w:b/>
        </w:rPr>
        <w:t>ROTAZAR / IPISART</w:t>
      </w:r>
      <w:r>
        <w:t xml:space="preserve"> (WORLD MEDECINE LIMITED)</w:t>
      </w:r>
    </w:p>
    <w:p>
      <w:pPr>
        <w:pStyle w:val="ListBullet"/>
      </w:pPr>
      <w:r>
        <w:t>Formes et Dosages : Comprimé pelliculé 150 mg (B/30) ; Comprimé pelliculé 300 mg (B/30)</w:t>
      </w:r>
    </w:p>
    <w:p>
      <w:pPr>
        <w:pStyle w:val="ListBullet"/>
      </w:pPr>
      <w:r>
        <w:t>Statut : Actif</w:t>
      </w:r>
    </w:p>
    <w:p>
      <w:pPr>
        <w:pStyle w:val="ListBullet"/>
      </w:pPr>
      <w:r/>
      <w:r>
        <w:rPr>
          <w:b/>
        </w:rPr>
        <w:t>IRBAC</w:t>
      </w:r>
      <w:r>
        <w:t xml:space="preserve"> (BAC PHARMA SPA)</w:t>
      </w:r>
    </w:p>
    <w:p>
      <w:pPr>
        <w:pStyle w:val="ListBullet"/>
      </w:pPr>
      <w:r>
        <w:t>Formes et Dosages : Comprimé pelliculé 150 mg (B/30) ; Comprimé pelliculé 300 mg (B/30)</w:t>
      </w:r>
    </w:p>
    <w:p>
      <w:pPr>
        <w:pStyle w:val="ListBullet"/>
      </w:pPr>
      <w:r>
        <w:t>Statut : Actif</w:t>
      </w:r>
    </w:p>
    <w:p>
      <w:pPr>
        <w:pStyle w:val="ListBullet"/>
      </w:pPr>
      <w:r/>
      <w:r>
        <w:rPr>
          <w:b/>
        </w:rPr>
        <w:t>IRBE 150</w:t>
      </w:r>
      <w:r>
        <w:t xml:space="preserve"> (TASSILI ARAB PHARMACEUTICAL CO)</w:t>
      </w:r>
    </w:p>
    <w:p>
      <w:pPr>
        <w:pStyle w:val="ListBullet"/>
      </w:pPr>
      <w:r>
        <w:t>Formes et Dosages : Comprimé 150 mg (B/30)</w:t>
      </w:r>
    </w:p>
    <w:p>
      <w:pPr>
        <w:pStyle w:val="ListBullet"/>
      </w:pPr>
      <w:r>
        <w:t>Statut : Actif</w:t>
      </w:r>
    </w:p>
    <w:p>
      <w:pPr>
        <w:pStyle w:val="ListBullet"/>
      </w:pPr>
      <w:r/>
      <w:r>
        <w:rPr>
          <w:b/>
        </w:rPr>
        <w:t>IRBEDIM</w:t>
      </w:r>
      <w:r>
        <w:t xml:space="preserve"> (SOPRODIM)</w:t>
      </w:r>
    </w:p>
    <w:p>
      <w:pPr>
        <w:pStyle w:val="ListBullet"/>
      </w:pPr>
      <w:r>
        <w:t>Formes et Dosages : Comprimé pelliculé 150 mg (B/30)</w:t>
      </w:r>
    </w:p>
    <w:p>
      <w:pPr>
        <w:pStyle w:val="ListBullet"/>
      </w:pPr>
      <w:r>
        <w:t>Statut : Actif</w:t>
      </w:r>
    </w:p>
    <w:p>
      <w:pPr>
        <w:pStyle w:val="ListBullet"/>
      </w:pPr>
      <w:r/>
      <w:r>
        <w:rPr>
          <w:b/>
        </w:rPr>
        <w:t>IRBEVEL</w:t>
      </w:r>
      <w:r>
        <w:t xml:space="preserve"> (BIOPHARM)</w:t>
      </w:r>
    </w:p>
    <w:p>
      <w:pPr>
        <w:pStyle w:val="ListBullet"/>
      </w:pPr>
      <w:r>
        <w:t>Formes et Dosages : Comprimé pelliculé 150 mg (B/30) ; Comprimé pelliculé 300 mg (B/30)</w:t>
      </w:r>
    </w:p>
    <w:p>
      <w:pPr>
        <w:pStyle w:val="ListBullet"/>
      </w:pPr>
      <w:r>
        <w:t>Statut : Actif</w:t>
      </w:r>
    </w:p>
    <w:p>
      <w:pPr>
        <w:pStyle w:val="ListBullet"/>
      </w:pPr>
      <w:r/>
      <w:r>
        <w:rPr>
          <w:b/>
        </w:rPr>
        <w:t>IRBEZART</w:t>
      </w:r>
      <w:r>
        <w:t xml:space="preserve"> (LDM)</w:t>
      </w:r>
    </w:p>
    <w:p>
      <w:pPr>
        <w:pStyle w:val="ListBullet"/>
      </w:pPr>
      <w:r>
        <w:t>Formes et Dosages : Comprimé pelliculé 150 mg (B/30) ; Comprimé pelliculé 300 mg (B/30)</w:t>
      </w:r>
    </w:p>
    <w:p>
      <w:pPr>
        <w:pStyle w:val="ListBullet"/>
      </w:pPr>
      <w:r>
        <w:t>Statut : Actif</w:t>
      </w:r>
    </w:p>
    <w:p>
      <w:pPr>
        <w:pStyle w:val="ListBullet"/>
      </w:pPr>
      <w:r/>
      <w:r>
        <w:rPr>
          <w:b/>
        </w:rPr>
        <w:t>IRBISART / IRBISART +</w:t>
      </w:r>
      <w:r>
        <w:t xml:space="preserve"> (PHARMALLIANCE)</w:t>
      </w:r>
    </w:p>
    <w:p>
      <w:pPr>
        <w:pStyle w:val="ListBullet"/>
      </w:pPr>
      <w:r>
        <w:t>Formes et Dosages : Comprimé pelliculé 150 mg (B/30)</w:t>
      </w:r>
    </w:p>
    <w:p>
      <w:pPr>
        <w:pStyle w:val="ListBullet"/>
      </w:pPr>
      <w:r>
        <w:t>Statut : Actif</w:t>
      </w:r>
    </w:p>
    <w:p>
      <w:pPr>
        <w:pStyle w:val="ListBullet"/>
      </w:pPr>
      <w:r/>
      <w:r>
        <w:rPr>
          <w:b/>
        </w:rPr>
        <w:t>IROVEL</w:t>
      </w:r>
      <w:r>
        <w:t xml:space="preserve"> (NEOMEDIC)</w:t>
      </w:r>
    </w:p>
    <w:p>
      <w:pPr>
        <w:pStyle w:val="ListBullet"/>
      </w:pPr>
      <w:r>
        <w:t>Formes et Dosages : Comprimé pelliculé 150 mg (B/30) ; Comprimé pelliculé 300 mg (B/30)</w:t>
      </w:r>
    </w:p>
    <w:p>
      <w:pPr>
        <w:pStyle w:val="ListBullet"/>
      </w:pPr>
      <w:r>
        <w:t>Statut : Actif</w:t>
      </w:r>
    </w:p>
    <w:p>
      <w:pPr>
        <w:pStyle w:val="ListBullet"/>
      </w:pPr>
      <w:r/>
      <w:r>
        <w:rPr>
          <w:b/>
        </w:rPr>
        <w:t>IRBEK</w:t>
      </w:r>
      <w:r>
        <w:t xml:space="preserve"> (LABORATOIRES BEKER)</w:t>
      </w:r>
    </w:p>
    <w:p>
      <w:pPr>
        <w:pStyle w:val="ListBullet"/>
      </w:pPr>
      <w:r>
        <w:t>Formes et Dosages : Comprimé 150 mg (B/30) ; Comprimé 300 mg (B/30)</w:t>
      </w:r>
    </w:p>
    <w:p>
      <w:pPr>
        <w:pStyle w:val="ListBullet"/>
      </w:pPr>
      <w:r>
        <w:t>Statut : Actif</w:t>
      </w:r>
    </w:p>
    <w:p>
      <w:pPr>
        <w:pStyle w:val="ListBullet"/>
      </w:pPr>
      <w:r/>
      <w:r>
        <w:rPr>
          <w:b/>
        </w:rPr>
        <w:t>ZIBRAT</w:t>
      </w:r>
      <w:r>
        <w:t xml:space="preserve"> (LABORATOIRES MM)</w:t>
      </w:r>
    </w:p>
    <w:p>
      <w:pPr>
        <w:pStyle w:val="ListBullet"/>
      </w:pPr>
      <w:r>
        <w:t>Formes et Dosages : Comprimé pelliculé 150 mg (B/30) ; Comprimé pelliculé 300 mg (B/30)</w:t>
      </w:r>
    </w:p>
    <w:p>
      <w:pPr>
        <w:pStyle w:val="ListBullet"/>
      </w:pPr>
      <w:r>
        <w:t>Statut : Actif</w:t>
      </w:r>
    </w:p>
    <w:p>
      <w:pPr>
        <w:pStyle w:val="ListBullet"/>
      </w:pPr>
      <w:r/>
      <w:r>
        <w:rPr>
          <w:b/>
        </w:rPr>
        <w:t>LATENSIA</w:t>
      </w:r>
      <w:r>
        <w:t xml:space="preserve"> (GROUPE SAIDAL) [NR] ; Comprimé sécable 150 mg (B/30)</w:t>
      </w:r>
    </w:p>
    <w:p>
      <w:pPr>
        <w:pStyle w:val="ListBullet"/>
      </w:pPr>
      <w:r/>
      <w:r>
        <w:rPr>
          <w:b/>
        </w:rPr>
        <w:t>ARTANSIL</w:t>
      </w:r>
      <w:r>
        <w:t xml:space="preserve"> (LGPA) (R) ; Comprimés 150 et 300 mg (B/30)</w:t>
      </w:r>
    </w:p>
    <w:p>
      <w:r/>
      <w:r>
        <w:rPr>
          <w:b/>
        </w:rPr>
        <w:t>Sous-classe et Mécanisme d'action :</w:t>
      </w:r>
      <w:r/>
    </w:p>
    <w:p>
      <w:pPr>
        <w:pStyle w:val="ListBullet"/>
      </w:pPr>
      <w:r>
        <w:t>Sous-classe : ARA2 de deuxième génération, biphenyl tetrazole, non prodrogue, monoprise quotidienne. Élimination surtout hépatique (sécurité en cas d'IRC), pas de métabolisme CYP450 significatif (peu d'interactions métaboliques).</w:t>
      </w:r>
    </w:p>
    <w:p>
      <w:pPr>
        <w:pStyle w:val="ListBullet"/>
      </w:pPr>
      <w:r>
        <w:t>Mécanisme d'action : antagoniste compétitif et sélectif du récepteur AT1 de l'angiotensine II, sans action sur le récepteur AT2 ni sur la bradykinine. Blocage complet de l'angiotensine II. Vasodilatation, baisse de l'aldostérone, néphroprotection démontrée (réduction de la protéinurie, ralentissement de la progression vers l'IRT).</w:t>
      </w:r>
    </w:p>
    <w:p>
      <w:r/>
      <w:r>
        <w:rPr>
          <w:b/>
        </w:rPr>
        <w:t>Profil Pharmacologique :</w:t>
      </w:r>
      <w:r/>
    </w:p>
    <w:p>
      <w:pPr>
        <w:pStyle w:val="ListBullet"/>
      </w:pPr>
      <w:r>
        <w:t>Indications : HTA essentielle (1ère intention) ; néphropathie diabétique de type 2 avec protéinurie (IDNT — réduction de 20 % de la progression vers l'IRT vs placebo et vs amlodipine) ; microalbuminurie diabétique T2 (IRMA-2 — réduction de la progression vers la macroprotéinurie). L'irbésartan est l'un des rares ARA2 ayant une AMM spécifique dans la néphropathie diabétique T2, avec un effet néphroprotecteur démontré supérieur à l'amlodipine (à tension artérielle équivalente) — effet indépendant de la PA.</w:t>
      </w:r>
    </w:p>
    <w:p>
      <w:pPr>
        <w:pStyle w:val="ListBullet"/>
      </w:pPr>
      <w:r>
        <w:t>Contre-indications : angio-œdème sous IEC ; grossesse 2e/3e trimestres ; sténose bilatérale des artères rénales ; hyperkaliémie ; association avec aliskirène ; insuffisance hépatique sévère.</w:t>
      </w:r>
    </w:p>
    <w:p>
      <w:pPr>
        <w:pStyle w:val="ListBullet"/>
      </w:pPr>
      <w:r>
        <w:t>Effets Indésirables : toux sèche (rare) ; angio-œdème (très rare) ; hyperkaliémie ; IRA fonctionnelle ; hypotension de 1ère dose ; céphalées, vertiges, asthénie ; rash ; troubles digestifs ; anomalies biologiques hépatiques (rares) ; anémie ; myalgie.</w:t>
      </w:r>
    </w:p>
    <w:p>
      <w:r/>
      <w:r>
        <w:rPr>
          <w:b/>
        </w:rPr>
        <w:t>Prévention et Gestion des Effets Indésirables :</w:t>
      </w:r>
      <w:r/>
    </w:p>
    <w:p>
      <w:pPr>
        <w:pStyle w:val="ListBullet"/>
      </w:pPr>
      <w:r>
        <w:t>Mesures Préventives : dosage créatinine + kaliémie avant initiation, à 1-2 semaines, puis tous les 3-6 mois. Test de grossesse. Dose initiale faible (75-150 mg/j) chez le sujet âgé, l'insuffisant rénal, ou le patient sous diurétique. Surveillance PA après 1ère dose. Adaptation au DFG et à la fonction hépatique.</w:t>
      </w:r>
    </w:p>
    <w:p>
      <w:pPr>
        <w:pStyle w:val="ListBullet"/>
      </w:pPr>
      <w:r>
        <w:t>Conduite à Tenir : angio-œdème → arrêt définitif ARA2 et IEC (CI croisée), urgence. Hyperkaliémie → arrêt transitoire, restriction potassique, diurétique. IRA → arrêt, réhydratation.</w:t>
      </w:r>
    </w:p>
    <w:p>
      <w:r/>
      <w:r>
        <w:rPr>
          <w:b/>
        </w:rPr>
        <w:t>Interactions Importantes :</w:t>
      </w:r>
      <w:r/>
    </w:p>
    <w:p>
      <w:pPr>
        <w:pStyle w:val="ListBullet"/>
      </w:pPr>
      <w:r/>
      <w:r>
        <w:rPr>
          <w:b/>
        </w:rPr>
        <w:t>Irbésartan + AINS</w:t>
      </w:r>
      <w:r>
        <w:t xml:space="preserve"> : baisse effet antihypertenseur + IRA.</w:t>
      </w:r>
    </w:p>
    <w:p>
      <w:pPr>
        <w:pStyle w:val="ListBullet"/>
      </w:pPr>
      <w:r/>
      <w:r>
        <w:rPr>
          <w:b/>
        </w:rPr>
        <w:t>Irbésartan + diurétiques épargneurs de K+ + suppléments K+</w:t>
      </w:r>
      <w:r>
        <w:t xml:space="preserve"> : hyperkaliémie majeure.</w:t>
      </w:r>
    </w:p>
    <w:p>
      <w:pPr>
        <w:pStyle w:val="ListBullet"/>
      </w:pPr>
      <w:r/>
      <w:r>
        <w:rPr>
          <w:b/>
        </w:rPr>
        <w:t>Irbésartan + lithium</w:t>
      </w:r>
      <w:r>
        <w:t xml:space="preserve"> : augmentation lithiémie.</w:t>
      </w:r>
    </w:p>
    <w:p>
      <w:pPr>
        <w:pStyle w:val="ListBullet"/>
      </w:pPr>
      <w:r/>
      <w:r>
        <w:rPr>
          <w:b/>
        </w:rPr>
        <w:t>Irbésartan + aliskirène</w:t>
      </w:r>
      <w:r>
        <w:t xml:space="preserve"> : CI absolue.</w:t>
      </w:r>
    </w:p>
    <w:p>
      <w:pPr>
        <w:pStyle w:val="ListBullet"/>
      </w:pPr>
      <w:r/>
      <w:r>
        <w:rPr>
          <w:b/>
        </w:rPr>
        <w:t>Irbésartan + IEC</w:t>
      </w:r>
      <w:r>
        <w:t xml:space="preserve"> : association déconseillée (ONTARGET).</w:t>
      </w:r>
    </w:p>
    <w:p>
      <w:r/>
      <w:r>
        <w:rPr>
          <w:b/>
        </w:rPr>
        <w:t>Grossesse et Allaitement :</w:t>
      </w:r>
      <w:r/>
    </w:p>
    <w:p>
      <w:pPr>
        <w:pStyle w:val="ListBullet"/>
      </w:pPr>
      <w:r>
        <w:t>Grossesse : CI absolue 2e/3e trimestres (fœtotoxicité rénale, oligoamnios, hypoplasie pulmonaire). 1er trimestre déconseillé. Arrêt immédiat si découverte de grossesse. Substitution par labétalol, nicardipine, méthyldopa.</w:t>
      </w:r>
    </w:p>
    <w:p>
      <w:pPr>
        <w:pStyle w:val="ListBullet"/>
      </w:pPr>
      <w:r>
        <w:t>Allaitement : passage très faible dans le lait. Compatible selon CRAT, à éviter chez le prématuré et le nouveau-né &lt; 2 semaines.</w:t>
      </w:r>
    </w:p>
    <w:p>
      <w:pPr>
        <w:pStyle w:val="ListBullet"/>
      </w:pPr>
      <w:r>
        <w:t>Précisions : risque fœtal rénal principal.</w:t>
      </w:r>
    </w:p>
    <w:p>
      <w:r/>
      <w:r>
        <w:rPr>
          <w:b/>
        </w:rPr>
        <w:t>Posologie et Mode d'administration (Standard) :</w:t>
      </w:r>
      <w:r/>
    </w:p>
    <w:p>
      <w:pPr>
        <w:pStyle w:val="ListBullet"/>
      </w:pPr>
      <w:r>
        <w:t>Adulte : HTA : 150 mg une fois par jour (matin), augmentable à 300 mg/j, max 300 mg/j. Néphropathie diabétique T2 (IDNT) : 300 mg/j. Microalbuminurie diabétique T2 (IRMA-2) : 150-300 mg/j.</w:t>
      </w:r>
    </w:p>
    <w:p>
      <w:pPr>
        <w:pStyle w:val="ListBullet"/>
      </w:pPr>
      <w:r>
        <w:t>Sujet âgé : 75 mg/j initialement (surtout si hypovolémie ou traitement diurétique concomitant), titration prudente.</w:t>
      </w:r>
    </w:p>
    <w:p>
      <w:pPr>
        <w:pStyle w:val="ListBullet"/>
      </w:pPr>
      <w:r>
        <w:t>Insuffisance rénale : DFG 30-80 mL/min : 75-150 mg/j. DFG 10-30 mL/min : 75 mg/j. DFG &lt; 10 mL/min : pas de donnée, éviter.</w:t>
      </w:r>
    </w:p>
    <w:p>
      <w:pPr>
        <w:pStyle w:val="ListBullet"/>
      </w:pPr>
      <w:r>
        <w:t>Insuffisance hépatique : pas d'adaptation stricte, surveillance.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L'irbésartan est disponible en comprimés à 75, 150 et 300 mg, le plus souvent pelliculés et sécables. La disponibilité d'une forme à 75 mg est un atout pour la titration prudente chez le sujet âgé, l'insuffisant rénal ou le patient sous diurétique. Le conditionnement B/28 (princeps Aprovel) ou B/30 correspond à un mois de traitement. L'irbésartan est largement disponible en Algérie sous 20 marques actives, dont le princeps Aprovel (Sanofi) et de très nombreux génériques (Aprosart, Aradex, Aravel, Aroval, Cardiotens, Gizlan, Huprovel, Rotazar, Irbac, Irbe, Irbedim, Irbevel, Irbezart, Irbisart, Irovel, Irbek, Zibrat). L'irbésartan est aussi largement disponible en associations fixes avec HCTZ (CoAprovel, CoAprosart, Co-Irbek, Co-Irbedim, etc.). C'est l'ARA2 de référence pour la néphropathie diabétique T2 (avec le losartan).</w:t>
      </w:r>
    </w:p>
    <w:p>
      <w:r/>
      <w:r>
        <w:rPr>
          <w:b/>
        </w:rPr>
        <w:t>Instructions et Conseils au Patient :</w:t>
      </w:r>
      <w:r/>
    </w:p>
    <w:p>
      <w:pPr>
        <w:pStyle w:val="ListBullet"/>
      </w:pPr>
      <w:r>
        <w:t>Communication au comptoir : « Voici votre traitement antihypertenseur. Prenez-le une fois par jour, le matin, à heure fixe, avec un grand verre d'eau. Il peut se prendre pendant ou en dehors des repas. Ne l'arrêtez pas sans avis médical. Levez-vous lentement pour éviter les vertiges. Évitez les AINS sans avis. Évitez les sels de régime riches en potassium.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Piège classique : l'irbésartan est l'ARA2 de référence pour la néphropathie diabétique T2 — attention à ne pas confondre avec l'amiodarone (nom proche — erreur médicamenteuse potentielle).</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IEC.</w:t>
      </w:r>
    </w:p>
    <w:p>
      <w:pPr>
        <w:pStyle w:val="Heading3"/>
      </w:pPr>
      <w:r>
        <w:t>11. DCI : Candésartan (Seule)</w:t>
      </w:r>
    </w:p>
    <w:p>
      <w:r/>
      <w:r>
        <w:rPr>
          <w:b/>
        </w:rPr>
        <w:t>Liste des Catégories :</w:t>
      </w:r>
      <w:r>
        <w:t xml:space="preserve"> Liste I ; antihypertenseur ARA2 de deuxième génération, biphenyl tetrazole. Commercialisé dès 1997 (AstraZeneca — Atacand, Blopress). Prodrogue (candésartan cilexetil → candésartan actif par hydrolyse intestinale). Élimination rénale (60 %) et biliaire (40 %). Demi-vée plasmatique ≈ 9 h, demi-vée d'action effective 24 h. Profil d'efficacité tensionnelle élevé (réputation d'ARA2 puissant, effet dose-dépendant). Documentation clinique extensive (CHARM, DIRECT, SCOPE chez le sujet âgé). Le candésartan est aussi utilisé en prévention migraineuse (AMM européenne spécifique).</w:t>
      </w:r>
    </w:p>
    <w:p>
      <w:r/>
      <w:r>
        <w:rPr>
          <w:b/>
        </w:rPr>
        <w:t>Médicaments disponibles en Algérie (Marques, Laboratoires, Formes et Dosages) :</w:t>
      </w:r>
      <w:r/>
    </w:p>
    <w:p>
      <w:pPr>
        <w:pStyle w:val="ListBullet"/>
      </w:pPr>
      <w:r/>
      <w:r>
        <w:rPr>
          <w:b/>
        </w:rPr>
        <w:t>ATACAND</w:t>
      </w:r>
      <w:r>
        <w:t xml:space="preserve"> (ASTRA ZENECA AB)</w:t>
      </w:r>
    </w:p>
    <w:p>
      <w:pPr>
        <w:pStyle w:val="ListBullet"/>
      </w:pPr>
      <w:r>
        <w:t>Formes et Dosages : Comprimé sécable 4 mg (B/28) ; Comprimé sécable 8 mg (B/30) ; Comprimé sécable 16 mg (B/30)</w:t>
      </w:r>
    </w:p>
    <w:p>
      <w:pPr>
        <w:pStyle w:val="ListBullet"/>
      </w:pPr>
      <w:r>
        <w:t>Statut : Actif</w:t>
      </w:r>
    </w:p>
    <w:p>
      <w:pPr>
        <w:pStyle w:val="ListBullet"/>
      </w:pPr>
      <w:r/>
      <w:r>
        <w:rPr>
          <w:b/>
        </w:rPr>
        <w:t>BLOPRESS 8MG / BLOPRESS 16MG</w:t>
      </w:r>
      <w:r>
        <w:t xml:space="preserve"> (HIKMA PHARMA ALGERIA)</w:t>
      </w:r>
    </w:p>
    <w:p>
      <w:pPr>
        <w:pStyle w:val="ListBullet"/>
      </w:pPr>
      <w:r>
        <w:t>Formes et Dosages : Comprimé sécable 8 mg (B/28 et B/30) ; Comprimé sécable 16 mg (B/28)</w:t>
      </w:r>
    </w:p>
    <w:p>
      <w:pPr>
        <w:pStyle w:val="ListBullet"/>
      </w:pPr>
      <w:r>
        <w:t>Statut : Actif</w:t>
      </w:r>
    </w:p>
    <w:p>
      <w:pPr>
        <w:pStyle w:val="ListBullet"/>
      </w:pPr>
      <w:r/>
      <w:r>
        <w:rPr>
          <w:b/>
        </w:rPr>
        <w:t>KANZEN</w:t>
      </w:r>
      <w:r>
        <w:t xml:space="preserve"> (SARL PHARMA SPHERE)</w:t>
      </w:r>
    </w:p>
    <w:p>
      <w:pPr>
        <w:pStyle w:val="ListBullet"/>
      </w:pPr>
      <w:r>
        <w:t>Formes et Dosages : Comprimé 4 mg (B/30) ; Comprimé 8 mg (B/30) ; Comprimé 16 mg (B/30)</w:t>
      </w:r>
    </w:p>
    <w:p>
      <w:pPr>
        <w:pStyle w:val="ListBullet"/>
      </w:pPr>
      <w:r>
        <w:t>Statut : Actif</w:t>
      </w:r>
    </w:p>
    <w:p>
      <w:pPr>
        <w:pStyle w:val="ListBullet"/>
      </w:pPr>
      <w:r/>
      <w:r>
        <w:rPr>
          <w:b/>
        </w:rPr>
        <w:t>SARCAND</w:t>
      </w:r>
      <w:r>
        <w:t xml:space="preserve"> (EL KENDI INDUSTRIE DU MEDICAMENT)</w:t>
      </w:r>
    </w:p>
    <w:p>
      <w:pPr>
        <w:pStyle w:val="ListBullet"/>
      </w:pPr>
      <w:r>
        <w:t>Formes et Dosages : Comprimé sécable 4 mg (B/30) ; Comprimé 8 mg (B/30) ; Comprimé 16 mg (B/30)</w:t>
      </w:r>
    </w:p>
    <w:p>
      <w:pPr>
        <w:pStyle w:val="ListBullet"/>
      </w:pPr>
      <w:r>
        <w:t>Statut : Actif</w:t>
      </w:r>
    </w:p>
    <w:p>
      <w:pPr>
        <w:pStyle w:val="ListBullet"/>
      </w:pPr>
      <w:r/>
      <w:r>
        <w:rPr>
          <w:b/>
        </w:rPr>
        <w:t>TENSIONORM</w:t>
      </w:r>
      <w:r>
        <w:t xml:space="preserve"> (INPHA-MEDIS)</w:t>
      </w:r>
    </w:p>
    <w:p>
      <w:pPr>
        <w:pStyle w:val="ListBullet"/>
      </w:pPr>
      <w:r>
        <w:t>Formes et Dosages : Comprimé sécable 4 mg (B/30) ; Comprimé sécable 8 mg (B/30) ; Comprimé sécable 16 mg (B/30)</w:t>
      </w:r>
    </w:p>
    <w:p>
      <w:pPr>
        <w:pStyle w:val="ListBullet"/>
      </w:pPr>
      <w:r>
        <w:t>Statut : Actif</w:t>
      </w:r>
    </w:p>
    <w:p>
      <w:pPr>
        <w:pStyle w:val="ListBullet"/>
      </w:pPr>
      <w:r/>
      <w:r>
        <w:rPr>
          <w:b/>
        </w:rPr>
        <w:t>ATABEK</w:t>
      </w:r>
      <w:r>
        <w:t xml:space="preserve"> (LABORATOIRES BEKER)</w:t>
      </w:r>
    </w:p>
    <w:p>
      <w:pPr>
        <w:pStyle w:val="ListBullet"/>
      </w:pPr>
      <w:r>
        <w:t>Formes et Dosages : Comprimé sécable 8 mg (B/30 et B/90) ; Comprimé sécable 16 mg (B/30)</w:t>
      </w:r>
    </w:p>
    <w:p>
      <w:pPr>
        <w:pStyle w:val="ListBullet"/>
      </w:pPr>
      <w:r>
        <w:t>Statut : Actif</w:t>
      </w:r>
    </w:p>
    <w:p>
      <w:pPr>
        <w:pStyle w:val="ListBullet"/>
      </w:pPr>
      <w:r/>
      <w:r>
        <w:rPr>
          <w:b/>
        </w:rPr>
        <w:t>ATASARTAN</w:t>
      </w:r>
      <w:r>
        <w:t xml:space="preserve"> (HUPP PHARMA)</w:t>
      </w:r>
    </w:p>
    <w:p>
      <w:pPr>
        <w:pStyle w:val="ListBullet"/>
      </w:pPr>
      <w:r>
        <w:t>Formes et Dosages : Comprimé sécable 8 mg (B/30) ; Comprimé sécable 16 mg (B/30)</w:t>
      </w:r>
    </w:p>
    <w:p>
      <w:pPr>
        <w:pStyle w:val="ListBullet"/>
      </w:pPr>
      <w:r>
        <w:t>Statut : Actif</w:t>
      </w:r>
    </w:p>
    <w:p>
      <w:pPr>
        <w:pStyle w:val="ListBullet"/>
      </w:pPr>
      <w:r/>
      <w:r>
        <w:rPr>
          <w:b/>
        </w:rPr>
        <w:t>CANDERAX</w:t>
      </w:r>
      <w:r>
        <w:t xml:space="preserve"> (PHARMALLIANCE)</w:t>
      </w:r>
    </w:p>
    <w:p>
      <w:pPr>
        <w:pStyle w:val="ListBullet"/>
      </w:pPr>
      <w:r>
        <w:t>Formes et Dosages : Comprimé sécable 8 mg (B/30) ; Comprimé sécable 16 mg (B/30)</w:t>
      </w:r>
    </w:p>
    <w:p>
      <w:pPr>
        <w:pStyle w:val="ListBullet"/>
      </w:pPr>
      <w:r>
        <w:t>Statut : Actif</w:t>
      </w:r>
    </w:p>
    <w:p>
      <w:pPr>
        <w:pStyle w:val="ListBullet"/>
      </w:pPr>
      <w:r/>
      <w:r>
        <w:rPr>
          <w:b/>
        </w:rPr>
        <w:t>CARDAXEL BGL</w:t>
      </w:r>
      <w:r>
        <w:t xml:space="preserve"> (BIOGALENIC)</w:t>
      </w:r>
    </w:p>
    <w:p>
      <w:pPr>
        <w:pStyle w:val="ListBullet"/>
      </w:pPr>
      <w:r>
        <w:t>Formes et Dosages : Comprimé sécable 8 mg (B/30) ; Comprimé sécable 16 mg (B/30)</w:t>
      </w:r>
    </w:p>
    <w:p>
      <w:pPr>
        <w:pStyle w:val="ListBullet"/>
      </w:pPr>
      <w:r>
        <w:t>Statut : Actif</w:t>
      </w:r>
    </w:p>
    <w:p>
      <w:pPr>
        <w:pStyle w:val="ListBullet"/>
      </w:pPr>
      <w:r/>
      <w:r>
        <w:rPr>
          <w:b/>
        </w:rPr>
        <w:t>SARTIX</w:t>
      </w:r>
      <w:r>
        <w:t xml:space="preserve"> (GROUPE SAIDAL)</w:t>
      </w:r>
    </w:p>
    <w:p>
      <w:pPr>
        <w:pStyle w:val="ListBullet"/>
      </w:pPr>
      <w:r>
        <w:t>Formes et Dosages : Comprimé pelliculé sécable 8 mg (B/28) ; Comprimé pelliculé sécable 16 mg (B/28)</w:t>
      </w:r>
    </w:p>
    <w:p>
      <w:pPr>
        <w:pStyle w:val="ListBullet"/>
      </w:pPr>
      <w:r>
        <w:t>Statut : Actif</w:t>
      </w:r>
    </w:p>
    <w:p>
      <w:pPr>
        <w:pStyle w:val="ListBullet"/>
      </w:pPr>
      <w:r/>
      <w:r>
        <w:rPr>
          <w:b/>
        </w:rPr>
        <w:t>ONSART / ONSART 16MG</w:t>
      </w:r>
      <w:r>
        <w:t xml:space="preserve"> (ABDI IBRAHIM) (R) ; Comprimés 8 mg et 16 mg (B/28)</w:t>
      </w:r>
    </w:p>
    <w:p>
      <w:r>
        <w:t>Note : à la date de la nomenclature algérienne (Avril 2026), le candésartan est largement disponible sous 13 marques actives, dont le princeps Atacand (AstraZeneca) et Blopress (Hikma, laboratoire partenaire de AstraZeneca). Les génériques sont nombreux (Kanzen, Sarcand, Tensionorm, Atabek, Atasartan, Canderax, Cardaxel BGL, Sartix).</w:t>
      </w:r>
    </w:p>
    <w:p>
      <w:r/>
      <w:r>
        <w:rPr>
          <w:b/>
        </w:rPr>
        <w:t>Sous-classe et Mécanisme d'action :</w:t>
      </w:r>
      <w:r/>
    </w:p>
    <w:p>
      <w:pPr>
        <w:pStyle w:val="ListBullet"/>
      </w:pPr>
      <w:r>
        <w:t>Sous-classe : ARA2 de deuxième génération, biphenyl tetrazole, prodrogue (candésartan cilexetil), monoprise quotidienne. Élimination mixte rénale (60 %) et biliaire (40 %). Profil d'efficacité tensionnelle élevé.</w:t>
      </w:r>
    </w:p>
    <w:p>
      <w:pPr>
        <w:pStyle w:val="ListBullet"/>
      </w:pPr>
      <w:r>
        <w:t>Mécanisme d'action : le candésartan cilexetil est hydrolysé dans le tube digestif en candésartan (forme active), qui se lie de manière compétitive et sélective au récepteur AT1 de l'angiotensine II, sans action sur le récepteur AT2 ni sur la bradykinine. Le candésartan présente une des plus fortes affinités pour le récepteur AT1 de la classe, expliquant son effet antihypertenseur puissant et prolongé. Blocage complet de l'angiotensine II, vasodilatation, baisse de l'aldostérone, néphroprotection.</w:t>
      </w:r>
    </w:p>
    <w:p>
      <w:r/>
      <w:r>
        <w:rPr>
          <w:b/>
        </w:rPr>
        <w:t>Profil Pharmacologique :</w:t>
      </w:r>
      <w:r/>
    </w:p>
    <w:p>
      <w:pPr>
        <w:pStyle w:val="ListBullet"/>
      </w:pPr>
      <w:r>
        <w:t>Indications : HTA essentielle (1ère intention) ; insuffisance cardiaque chronique avec intolérance aux IEC (CHARM-Alternative) ou en association aux IEC en IC à FEVG réduite (CHARM-Added — réduction du critère composite mortalité CV + hospitalisation pour IC) ; prévention migraineuse (AMM européenne — réduction du nombre de jours de migraine) ; prévention CV chez le sujet âgé hypertendu (SCOPE — réduction des AVC non mortels et du déclin cognitif).</w:t>
      </w:r>
    </w:p>
    <w:p>
      <w:pPr>
        <w:pStyle w:val="ListBullet"/>
      </w:pPr>
      <w:r>
        <w:t>Contre-indications : angio-œdème sous IEC ; grossesse 2e/3e trimestres ; sténose bilatérale des artères rénales ; hyperkaliémie ; association avec aliskirène ; insuffisance hépatique sévère ; cholestase.</w:t>
      </w:r>
    </w:p>
    <w:p>
      <w:pPr>
        <w:pStyle w:val="ListBullet"/>
      </w:pPr>
      <w:r>
        <w:t>Effets Indésirables : toux sèche (rare) ; angio-œdème (très rare) ; hyperkaliémie ; IRA fonctionnelle ; hypotension de 1ère dose ; céphalées, vertiges, asthénie ; rash ; troubles digestifs ; anomalies biologiques hépatiques (rares) ; anémie (chez transplanté rénal) ; infections respiratoires hautes (plus fréquentes que sous placebo — particularité signalée dans CHARM).</w:t>
      </w:r>
    </w:p>
    <w:p>
      <w:r/>
      <w:r>
        <w:rPr>
          <w:b/>
        </w:rPr>
        <w:t>Prévention et Gestion des Effets Indésirables :</w:t>
      </w:r>
      <w:r/>
    </w:p>
    <w:p>
      <w:pPr>
        <w:pStyle w:val="ListBullet"/>
      </w:pPr>
      <w:r>
        <w:t>Mesures Préventives : dosage créatinine + kaliémie avant initiation, à 1-2 semaines, puis tous les 3-6 mois. Test de grossesse. Dose initiale faible (4 mg/j) chez le sujet âgé, l'insuffisant rénal, ou le patient sous diurétique. Surveillance PA après 1ère dose. Adaptation au DFG et à la fonction hépatique.</w:t>
      </w:r>
    </w:p>
    <w:p>
      <w:pPr>
        <w:pStyle w:val="ListBullet"/>
      </w:pPr>
      <w:r>
        <w:t>Conduite à Tenir : angio-œdème → arrêt définitif ARA2 et IEC (CI croisée), urgence. Hyperkaliémie → arrêt transitoire, restriction potassique, diurétique. IRA → arrêt, réhydratation.</w:t>
      </w:r>
    </w:p>
    <w:p>
      <w:r/>
      <w:r>
        <w:rPr>
          <w:b/>
        </w:rPr>
        <w:t>Interactions Importantes :</w:t>
      </w:r>
      <w:r/>
    </w:p>
    <w:p>
      <w:pPr>
        <w:pStyle w:val="ListBullet"/>
      </w:pPr>
      <w:r/>
      <w:r>
        <w:rPr>
          <w:b/>
        </w:rPr>
        <w:t>Candésartan + AINS</w:t>
      </w:r>
      <w:r>
        <w:t xml:space="preserve"> : baisse effet antihypertenseur + IRA.</w:t>
      </w:r>
    </w:p>
    <w:p>
      <w:pPr>
        <w:pStyle w:val="ListBullet"/>
      </w:pPr>
      <w:r/>
      <w:r>
        <w:rPr>
          <w:b/>
        </w:rPr>
        <w:t>Candésartan + diurétiques épargneurs de K+ + suppléments K+</w:t>
      </w:r>
      <w:r>
        <w:t xml:space="preserve"> : hyperkaliémie majeure.</w:t>
      </w:r>
    </w:p>
    <w:p>
      <w:pPr>
        <w:pStyle w:val="ListBullet"/>
      </w:pPr>
      <w:r/>
      <w:r>
        <w:rPr>
          <w:b/>
        </w:rPr>
        <w:t>Candésartan + lithium</w:t>
      </w:r>
      <w:r>
        <w:t xml:space="preserve"> : augmentation lithiémie.</w:t>
      </w:r>
    </w:p>
    <w:p>
      <w:pPr>
        <w:pStyle w:val="ListBullet"/>
      </w:pPr>
      <w:r/>
      <w:r>
        <w:rPr>
          <w:b/>
        </w:rPr>
        <w:t>Candésartan + aliskirène</w:t>
      </w:r>
      <w:r>
        <w:t xml:space="preserve"> : CI absolue.</w:t>
      </w:r>
    </w:p>
    <w:p>
      <w:pPr>
        <w:pStyle w:val="ListBullet"/>
      </w:pPr>
      <w:r/>
      <w:r>
        <w:rPr>
          <w:b/>
        </w:rPr>
        <w:t>Candésartan + IEC</w:t>
      </w:r>
      <w:r>
        <w:t xml:space="preserve"> : association utile en IC (CHARM-Added) sous surveillance spécialisée stricte.</w:t>
      </w:r>
    </w:p>
    <w:p>
      <w:r/>
      <w:r>
        <w:rPr>
          <w:b/>
        </w:rPr>
        <w:t>Grossesse et Allaitement :</w:t>
      </w:r>
      <w:r/>
    </w:p>
    <w:p>
      <w:pPr>
        <w:pStyle w:val="ListBullet"/>
      </w:pPr>
      <w:r>
        <w:t>Grossesse : CI absolue 2e/3e trimestres (fœtotoxicité rénale, oligoamnios, hypoplasie pulmonaire). 1er trimestre déconseillé. Arrêt immédiat si découverte de grossesse.</w:t>
      </w:r>
    </w:p>
    <w:p>
      <w:pPr>
        <w:pStyle w:val="ListBullet"/>
      </w:pPr>
      <w:r>
        <w:t>Allaitement : passage très faible dans le lait. Compatible selon CRAT, à éviter chez le prématuré et le nouveau-né &lt; 2 semaines.</w:t>
      </w:r>
    </w:p>
    <w:p>
      <w:pPr>
        <w:pStyle w:val="ListBullet"/>
      </w:pPr>
      <w:r>
        <w:t>Précisions : risque fœtal rénal principal.</w:t>
      </w:r>
    </w:p>
    <w:p>
      <w:r/>
      <w:r>
        <w:rPr>
          <w:b/>
        </w:rPr>
        <w:t>Posologie et Mode d'administration (Standard) :</w:t>
      </w:r>
      <w:r/>
    </w:p>
    <w:p>
      <w:pPr>
        <w:pStyle w:val="ListBullet"/>
      </w:pPr>
      <w:r>
        <w:t>Adulte : HTA : 8 mg une fois par jour (matin), augmentable à 16 mg, max 32 mg/j. Insuffisance cardiaque : 4 mg/j initialement (dose test), titration à 8 mg, 16 mg, jusqu'à 32 mg/j (dose cible CHARM). Prévention migraineuse : 16 mg/j (effet après 4-8 semaines).</w:t>
      </w:r>
    </w:p>
    <w:p>
      <w:pPr>
        <w:pStyle w:val="ListBullet"/>
      </w:pPr>
      <w:r>
        <w:t>Sujet âgé : 4 mg/j initialement, titration prudente.</w:t>
      </w:r>
    </w:p>
    <w:p>
      <w:pPr>
        <w:pStyle w:val="ListBullet"/>
      </w:pPr>
      <w:r>
        <w:t>Insuffisance rénale : DFG 30-80 mL/min : 4-16 mg/j. DFG 10-30 mL/min : 4-8 mg/j. DFG &lt; 10 mL/min : pas de donnée, éviter.</w:t>
      </w:r>
    </w:p>
    <w:p>
      <w:pPr>
        <w:pStyle w:val="ListBullet"/>
      </w:pPr>
      <w:r>
        <w:t>Insuffisance hépatique : 4 mg/j initialement (si modérée), éviter si sévère (CI si cholestase).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candésartan est disponible en comprimés à 4, 8, 16 et 32 mg, le plus souvent sécables. La diversité des dosages (4-32 mg) et la sécabilité permettent une adaptation fine (4 mg pour la titration ou la première dose, 8 mg pour la dose standard, 16 mg pour la dose modérée, 32 mg pour la dose maximale). Le conditionnement B/28 (princeps Atacand) ou B/30 correspond à un mois de traitement. Le candésartan est largement disponible en Algérie sous 13 marques actives. Il est aussi disponible en associations fixes avec HCTZ (Hytacand, Canderax Plus, Blopress Plus, Co-Atabek, Cardaxel Plus) et avec l'amlodipine (Excan, Unisia — non incluses dans cette fiche).</w:t>
      </w:r>
    </w:p>
    <w:p>
      <w:r/>
      <w:r>
        <w:rPr>
          <w:b/>
        </w:rPr>
        <w:t>Instructions et Conseils au Patient :</w:t>
      </w:r>
      <w:r/>
    </w:p>
    <w:p>
      <w:pPr>
        <w:pStyle w:val="ListBullet"/>
      </w:pPr>
      <w:r>
        <w:t>Communication au comptoir : « Voici votre traitement antihypertenseur. Prenez-le une fois par jour, le matin, à heure fixe, avec un grand verre d'eau. Il peut se prendre pendant ou en dehors des repas. Ne l'arrêtez pas sans avis médical. Levez-vous lentement pour éviter les vertiges. Évitez les AINS sans avis. Évitez les sels de régime riches en potassium.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Piège classique : chez la femme enceinte ou planifiant une grossesse, contre-indication absolue.</w:t>
      </w:r>
    </w:p>
    <w:p>
      <w:pPr>
        <w:pStyle w:val="ListBullet"/>
      </w:pPr>
      <w:r>
        <w:t>Piège classique : la disponibilité de 4 dosages (4, 8, 16, 32 mg) impose une vigilance accrue à la délivrance pour éviter les erreurs posologiques (4 mg de candésartan ≠ 4 mg d'autres ARA2).</w:t>
      </w:r>
    </w:p>
    <w:p>
      <w:pPr>
        <w:pStyle w:val="ListBullet"/>
      </w:pPr>
      <w:r>
        <w:t>Piège classique : en IC (CHARM), l'objectif est d'atteindre la dose cible de 32 mg/j — la titration doit être progressive et surveillée.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IEC.</w:t>
      </w:r>
    </w:p>
    <w:p>
      <w:pPr>
        <w:pStyle w:val="Heading3"/>
      </w:pPr>
      <w:r>
        <w:t>12. DCI : Telmisartan (Seule)</w:t>
      </w:r>
    </w:p>
    <w:p>
      <w:r/>
      <w:r>
        <w:rPr>
          <w:b/>
        </w:rPr>
        <w:t>Liste des Catégories :</w:t>
      </w:r>
      <w:r>
        <w:t xml:space="preserve"> Liste I ; antihypertenseur ARA2 de troisième génération, non-biphenyl tetrazole (benzimidazole substitué). Commercialisé dès 1999 (Boehringer Ingelheim — Micardis). Non prodrogue (actif directement), élimination presque exclusivement biliaire/fécale (97 %, &lt; 1 % rénal). Demi-vée plasmatique longue ≈ 24 h (la plus longue de la classe), demi-vée d'action effective &gt; 24 h. Haute lipophilie (la plus élevée de la classe), excellente pénétration tissulaire. Profil métabolique particulier : agoniste partiel PPAR-γ (effet favorable putatif sur le métabolisme glucidique et lipidique). Documentation clinique (ONTARGET, TRANSCEND, PRoFESS).</w:t>
      </w:r>
    </w:p>
    <w:p>
      <w:r/>
      <w:r>
        <w:rPr>
          <w:b/>
        </w:rPr>
        <w:t>Médicaments disponibles en Algérie (Marques, Laboratoires, Formes et Dosages) :</w:t>
      </w:r>
      <w:r/>
    </w:p>
    <w:p>
      <w:pPr>
        <w:pStyle w:val="ListBullet"/>
      </w:pPr>
      <w:r/>
      <w:r>
        <w:rPr>
          <w:b/>
        </w:rPr>
        <w:t>MICARDIS</w:t>
      </w:r>
      <w:r>
        <w:t xml:space="preserve"> (BOEHRINGER INGELHEIM INTERNATIONAL GMBH)</w:t>
      </w:r>
    </w:p>
    <w:p>
      <w:pPr>
        <w:pStyle w:val="ListBullet"/>
      </w:pPr>
      <w:r>
        <w:t>Formes et Dosages : Comprimé 40 mg (B/28) ; Comprimé 80 mg (B/28)</w:t>
      </w:r>
    </w:p>
    <w:p>
      <w:pPr>
        <w:pStyle w:val="ListBullet"/>
      </w:pPr>
      <w:r>
        <w:t>Statut : Actif</w:t>
      </w:r>
    </w:p>
    <w:p>
      <w:pPr>
        <w:pStyle w:val="ListBullet"/>
      </w:pPr>
      <w:r/>
      <w:r>
        <w:rPr>
          <w:b/>
        </w:rPr>
        <w:t>BEKERDIS</w:t>
      </w:r>
      <w:r>
        <w:t xml:space="preserve"> (LABORATOIRES BEKER)</w:t>
      </w:r>
    </w:p>
    <w:p>
      <w:pPr>
        <w:pStyle w:val="ListBullet"/>
      </w:pPr>
      <w:r>
        <w:t>Formes et Dosages : Comprimé 40 mg (B/30) ; Comprimé 80 mg (B/30)</w:t>
      </w:r>
    </w:p>
    <w:p>
      <w:pPr>
        <w:pStyle w:val="ListBullet"/>
      </w:pPr>
      <w:r>
        <w:t>Statut : Actif</w:t>
      </w:r>
    </w:p>
    <w:p>
      <w:pPr>
        <w:pStyle w:val="ListBullet"/>
      </w:pPr>
      <w:r/>
      <w:r>
        <w:rPr>
          <w:b/>
        </w:rPr>
        <w:t>CARDIMED</w:t>
      </w:r>
      <w:r>
        <w:t xml:space="preserve"> (SANAMED)</w:t>
      </w:r>
    </w:p>
    <w:p>
      <w:pPr>
        <w:pStyle w:val="ListBullet"/>
      </w:pPr>
      <w:r>
        <w:t>Formes et Dosages : Comprimé 40 mg (B/30) ; Comprimé 80 mg (B/30)</w:t>
      </w:r>
    </w:p>
    <w:p>
      <w:pPr>
        <w:pStyle w:val="ListBullet"/>
      </w:pPr>
      <w:r>
        <w:t>Statut : Actif</w:t>
      </w:r>
    </w:p>
    <w:p>
      <w:pPr>
        <w:pStyle w:val="ListBullet"/>
      </w:pPr>
      <w:r/>
      <w:r>
        <w:rPr>
          <w:b/>
        </w:rPr>
        <w:t>CARDOMYL</w:t>
      </w:r>
      <w:r>
        <w:t xml:space="preserve"> (SPA UNION PHARMACEUTIQUE CONSTANTINOISE PRODUCTION)</w:t>
      </w:r>
    </w:p>
    <w:p>
      <w:pPr>
        <w:pStyle w:val="ListBullet"/>
      </w:pPr>
      <w:r>
        <w:t>Formes et Dosages : Comprimé 40 mg (B/30)</w:t>
      </w:r>
    </w:p>
    <w:p>
      <w:pPr>
        <w:pStyle w:val="ListBullet"/>
      </w:pPr>
      <w:r>
        <w:t>Statut : Actif</w:t>
      </w:r>
    </w:p>
    <w:p>
      <w:pPr>
        <w:pStyle w:val="ListBullet"/>
      </w:pPr>
      <w:r/>
      <w:r>
        <w:rPr>
          <w:b/>
        </w:rPr>
        <w:t>MIZART</w:t>
      </w:r>
      <w:r>
        <w:t xml:space="preserve"> (BIOLOGIE ET VITAMINE D'ALGERIE BIOVITAL)</w:t>
      </w:r>
    </w:p>
    <w:p>
      <w:pPr>
        <w:pStyle w:val="ListBullet"/>
      </w:pPr>
      <w:r>
        <w:t>Formes et Dosages : Comprimé 40 mg (B/30)</w:t>
      </w:r>
    </w:p>
    <w:p>
      <w:pPr>
        <w:pStyle w:val="ListBullet"/>
      </w:pPr>
      <w:r>
        <w:t>Statut : Actif</w:t>
      </w:r>
    </w:p>
    <w:p>
      <w:pPr>
        <w:pStyle w:val="ListBullet"/>
      </w:pPr>
      <w:r/>
      <w:r>
        <w:rPr>
          <w:b/>
        </w:rPr>
        <w:t>TELDIS</w:t>
      </w:r>
      <w:r>
        <w:t xml:space="preserve"> (SARL PUR LAB)</w:t>
      </w:r>
    </w:p>
    <w:p>
      <w:pPr>
        <w:pStyle w:val="ListBullet"/>
      </w:pPr>
      <w:r>
        <w:t>Formes et Dosages : Comprimé 40 mg (B/30) ; Comprimé 80 mg (B/30)</w:t>
      </w:r>
    </w:p>
    <w:p>
      <w:pPr>
        <w:pStyle w:val="ListBullet"/>
      </w:pPr>
      <w:r>
        <w:t>Statut : Actif</w:t>
      </w:r>
    </w:p>
    <w:p>
      <w:pPr>
        <w:pStyle w:val="ListBullet"/>
      </w:pPr>
      <w:r/>
      <w:r>
        <w:rPr>
          <w:b/>
        </w:rPr>
        <w:t>TELMED 40 / TELMED 80</w:t>
      </w:r>
      <w:r>
        <w:t xml:space="preserve"> (LABORATOIRES MERINAL)</w:t>
      </w:r>
    </w:p>
    <w:p>
      <w:pPr>
        <w:pStyle w:val="ListBullet"/>
      </w:pPr>
      <w:r>
        <w:t>Formes et Dosages : Comprimé 40 mg (B/30) ; Comprimé 80 mg (B/30)</w:t>
      </w:r>
    </w:p>
    <w:p>
      <w:pPr>
        <w:pStyle w:val="ListBullet"/>
      </w:pPr>
      <w:r>
        <w:t>Statut : Actif</w:t>
      </w:r>
    </w:p>
    <w:p>
      <w:pPr>
        <w:pStyle w:val="ListBullet"/>
      </w:pPr>
      <w:r/>
      <w:r>
        <w:rPr>
          <w:b/>
        </w:rPr>
        <w:t>TELMIDIS</w:t>
      </w:r>
      <w:r>
        <w:t xml:space="preserve"> (FRATER-RAZES FORME SECHE)</w:t>
      </w:r>
    </w:p>
    <w:p>
      <w:pPr>
        <w:pStyle w:val="ListBullet"/>
      </w:pPr>
      <w:r>
        <w:t>Formes et Dosages : Comprimé 40 mg (B/30) ; Comprimé 80 mg (B/30)</w:t>
      </w:r>
    </w:p>
    <w:p>
      <w:pPr>
        <w:pStyle w:val="ListBullet"/>
      </w:pPr>
      <w:r>
        <w:t>Statut : Actif</w:t>
      </w:r>
    </w:p>
    <w:p>
      <w:pPr>
        <w:pStyle w:val="ListBullet"/>
      </w:pPr>
      <w:r/>
      <w:r>
        <w:rPr>
          <w:b/>
        </w:rPr>
        <w:t>TELMISA</w:t>
      </w:r>
      <w:r>
        <w:t xml:space="preserve"> (BIOCARE)</w:t>
      </w:r>
    </w:p>
    <w:p>
      <w:pPr>
        <w:pStyle w:val="ListBullet"/>
      </w:pPr>
      <w:r>
        <w:t>Formes et Dosages : Comprimé 40 mg (B/30 et B/90) ; Comprimé 80 mg (B/30 et B/90)</w:t>
      </w:r>
    </w:p>
    <w:p>
      <w:pPr>
        <w:pStyle w:val="ListBullet"/>
      </w:pPr>
      <w:r>
        <w:t>Statut : Actif</w:t>
      </w:r>
    </w:p>
    <w:p>
      <w:pPr>
        <w:pStyle w:val="ListBullet"/>
      </w:pPr>
      <w:r/>
      <w:r>
        <w:rPr>
          <w:b/>
        </w:rPr>
        <w:t>TELMISARTE</w:t>
      </w:r>
      <w:r>
        <w:t xml:space="preserve"> (PHARMALLIANCE)</w:t>
      </w:r>
    </w:p>
    <w:p>
      <w:pPr>
        <w:pStyle w:val="ListBullet"/>
      </w:pPr>
      <w:r>
        <w:t>Formes et Dosages : Comprimé 40 mg (B/30) ; Comprimé 80 mg (B/30)</w:t>
      </w:r>
    </w:p>
    <w:p>
      <w:pPr>
        <w:pStyle w:val="ListBullet"/>
      </w:pPr>
      <w:r>
        <w:t>Statut : Actif</w:t>
      </w:r>
    </w:p>
    <w:p>
      <w:pPr>
        <w:pStyle w:val="ListBullet"/>
      </w:pPr>
      <w:r/>
      <w:r>
        <w:rPr>
          <w:b/>
        </w:rPr>
        <w:t>TELSTAL</w:t>
      </w:r>
      <w:r>
        <w:t xml:space="preserve"> (SOCIETE PHARMACEUTIQUE ALGERIENNE SOPHAL)</w:t>
      </w:r>
    </w:p>
    <w:p>
      <w:pPr>
        <w:pStyle w:val="ListBullet"/>
      </w:pPr>
      <w:r>
        <w:t>Formes et Dosages : Comprimé 40 mg (B/30) ; Comprimé 80 mg (B/30)</w:t>
      </w:r>
    </w:p>
    <w:p>
      <w:pPr>
        <w:pStyle w:val="ListBullet"/>
      </w:pPr>
      <w:r>
        <w:t>Statut : Actif</w:t>
      </w:r>
    </w:p>
    <w:p>
      <w:pPr>
        <w:pStyle w:val="ListBullet"/>
      </w:pPr>
      <w:r/>
      <w:r>
        <w:rPr>
          <w:b/>
        </w:rPr>
        <w:t>TENSOTEL</w:t>
      </w:r>
      <w:r>
        <w:t xml:space="preserve"> (EL KENDI INDUSTRIE DU MEDICAMENT)</w:t>
      </w:r>
    </w:p>
    <w:p>
      <w:pPr>
        <w:pStyle w:val="ListBullet"/>
      </w:pPr>
      <w:r>
        <w:t>Formes et Dosages : Comprimé 40 mg (B/30) ; Comprimé 80 mg (B/30)</w:t>
      </w:r>
    </w:p>
    <w:p>
      <w:pPr>
        <w:pStyle w:val="ListBullet"/>
      </w:pPr>
      <w:r>
        <w:t>Statut : Actif</w:t>
      </w:r>
    </w:p>
    <w:p>
      <w:pPr>
        <w:pStyle w:val="ListBullet"/>
      </w:pPr>
      <w:r/>
      <w:r>
        <w:rPr>
          <w:b/>
        </w:rPr>
        <w:t>MICASARTAN</w:t>
      </w:r>
      <w:r>
        <w:t xml:space="preserve"> (HUPP PHARMA)</w:t>
      </w:r>
    </w:p>
    <w:p>
      <w:pPr>
        <w:pStyle w:val="ListBullet"/>
      </w:pPr>
      <w:r>
        <w:t>Formes et Dosages : Comprimé 80 mg (B/30)</w:t>
      </w:r>
    </w:p>
    <w:p>
      <w:pPr>
        <w:pStyle w:val="ListBullet"/>
      </w:pPr>
      <w:r>
        <w:t>Statut : Actif</w:t>
      </w:r>
    </w:p>
    <w:p>
      <w:pPr>
        <w:pStyle w:val="ListBullet"/>
      </w:pPr>
      <w:r/>
      <w:r>
        <w:rPr>
          <w:b/>
        </w:rPr>
        <w:t>TELZART 80 MG</w:t>
      </w:r>
      <w:r>
        <w:t xml:space="preserve"> (LDM)</w:t>
      </w:r>
    </w:p>
    <w:p>
      <w:pPr>
        <w:pStyle w:val="ListBullet"/>
      </w:pPr>
      <w:r>
        <w:t>Formes et Dosages : Comprimé 80 mg (B/28)</w:t>
      </w:r>
    </w:p>
    <w:p>
      <w:pPr>
        <w:pStyle w:val="ListBullet"/>
      </w:pPr>
      <w:r>
        <w:t>Statut : Actif</w:t>
      </w:r>
    </w:p>
    <w:p>
      <w:pPr>
        <w:pStyle w:val="ListBullet"/>
      </w:pPr>
      <w:r/>
      <w:r>
        <w:rPr>
          <w:b/>
        </w:rPr>
        <w:t>TELMISARTAN ZENTIVA</w:t>
      </w:r>
      <w:r>
        <w:t xml:space="preserve"> (WINTHROP PHARMA SAIDAL SPA) (R) ; Comprimés 40 mg et 80 mg (B/30)</w:t>
      </w:r>
    </w:p>
    <w:p>
      <w:r/>
      <w:r>
        <w:rPr>
          <w:b/>
        </w:rPr>
        <w:t>Sous-classe et Mécanisme d'action :</w:t>
      </w:r>
      <w:r/>
    </w:p>
    <w:p>
      <w:pPr>
        <w:pStyle w:val="ListBullet"/>
      </w:pPr>
      <w:r>
        <w:t>Sous-classe : ARA2 de troisième génération, non-biphenyl tetrazole (benzimidazole), non prodrogue, monoprise quotidienne. Élimination presque exclusivement biliaire (sécurité en cas d'IRC). Demi-vée la plus longue de la classe. Haute lipophilie. Agoniste partiel PPAR-γ.</w:t>
      </w:r>
    </w:p>
    <w:p>
      <w:pPr>
        <w:pStyle w:val="ListBullet"/>
      </w:pPr>
      <w:r>
        <w:t>Mécanisme d'action : antagoniste compétitif et sélectif du récepteur AT1 de l'angiotensine II, sans action sur le récepteur AT2 ni sur la bradykinine. Blocage complet de l'angiotensine II. La haute lipophilie explique la longue durée d'action (&gt; 24 h) et l'excellente pénétration tissulaire (cœur, rein, vaisseaux). L'agonisme partiel PPAR-γ (récepteur activé par les proliferateurs des peroxysomes gamma) explique l'effet favorable putatif sur l'insulino-sensibilité et le profil lipidique (réduction des triglycérides, augmentation du HDL-cholestérol) — particularité de la classe, utile chez le diabétique ou le patient dysmétabolique.</w:t>
      </w:r>
    </w:p>
    <w:p>
      <w:r/>
      <w:r>
        <w:rPr>
          <w:b/>
        </w:rPr>
        <w:t>Profil Pharmacologique :</w:t>
      </w:r>
      <w:r/>
    </w:p>
    <w:p>
      <w:pPr>
        <w:pStyle w:val="ListBullet"/>
      </w:pPr>
      <w:r>
        <w:t>Indications : HTA essentielle (1ère intention, en particulier chez le patient diabétique ou dysmétabolique) ; prévention CV secondaire chez le patient à haut risque intolérant aux IEC (TRANSCEND — réduction du critère composite CV) ; réduction de la récidive d'AVC (PRoFESS — non infériorité vs ramipril dans le ONTARGET mais pas de supériorité).</w:t>
      </w:r>
    </w:p>
    <w:p>
      <w:pPr>
        <w:pStyle w:val="ListBullet"/>
      </w:pPr>
      <w:r>
        <w:t>Contre-indications : angio-œdème sous IEC ; grossesse 2e/3e trimestres ; sténose bilatérale des artères rénales ; hyperkaliémie ; association avec aliskirène ; insuffisance hépatique sévère ; obstruction biliaire.</w:t>
      </w:r>
    </w:p>
    <w:p>
      <w:pPr>
        <w:pStyle w:val="ListBullet"/>
      </w:pPr>
      <w:r>
        <w:t>Effets Indésirables : toux sèche (très rare) ; angio-œdème (très rare) ; hyperkaliémie ; IRA fonctionnelle ; hypotension de 1ère dose (souvent modérée en raison de la longue installation de l'effet) ; céphalées, vertiges, asthénie ; rash ; troubles digestifs ; anomalies biologiques hépatiques (plus fréquentes que sous placebo — surveillance des transaminases) ; anémie (chez transplanté rénal) ; infections respiratoires hautes.</w:t>
      </w:r>
    </w:p>
    <w:p>
      <w:r/>
      <w:r>
        <w:rPr>
          <w:b/>
        </w:rPr>
        <w:t>Prévention et Gestion des Effets Indésirables :</w:t>
      </w:r>
      <w:r/>
    </w:p>
    <w:p>
      <w:pPr>
        <w:pStyle w:val="ListBullet"/>
      </w:pPr>
      <w:r>
        <w:t>Mesures Préventives : dosage créatinine + kaliémie + transaminases avant initiation, à 1-2 semaines, puis tous les 3-6 mois. Test de grossesse. Dose initiale faible (40 mg/j) chez le sujet âgé, l'insuffisant rénal, ou le patient sous diurétique. Surveillance PA après 1ère dose. Adaptation au DFG et à la fonction hépatique.</w:t>
      </w:r>
    </w:p>
    <w:p>
      <w:pPr>
        <w:pStyle w:val="ListBullet"/>
      </w:pPr>
      <w:r>
        <w:t>Conduite à Tenir : angio-œdème → arrêt définitif ARA2 et IEC (CI croisée), urgence. Hyperkaliémie → arrêt transitoire, restriction potassique, diurétique. IRA → arrêt, réhydratation. Anomalies hépatiques → arrêt si transaminases &gt; 3× LSN.</w:t>
      </w:r>
    </w:p>
    <w:p>
      <w:r/>
      <w:r>
        <w:rPr>
          <w:b/>
        </w:rPr>
        <w:t>Interactions Importantes :</w:t>
      </w:r>
      <w:r/>
    </w:p>
    <w:p>
      <w:pPr>
        <w:pStyle w:val="ListBullet"/>
      </w:pPr>
      <w:r/>
      <w:r>
        <w:rPr>
          <w:b/>
        </w:rPr>
        <w:t>Telmisartan + AINS</w:t>
      </w:r>
      <w:r>
        <w:t xml:space="preserve"> : baisse effet antihypertenseur + IRA.</w:t>
      </w:r>
    </w:p>
    <w:p>
      <w:pPr>
        <w:pStyle w:val="ListBullet"/>
      </w:pPr>
      <w:r/>
      <w:r>
        <w:rPr>
          <w:b/>
        </w:rPr>
        <w:t>Telmisartan + diurétiques épargneurs de K+ + suppléments K+</w:t>
      </w:r>
      <w:r>
        <w:t xml:space="preserve"> : hyperkaliémie majeure.</w:t>
      </w:r>
    </w:p>
    <w:p>
      <w:pPr>
        <w:pStyle w:val="ListBullet"/>
      </w:pPr>
      <w:r/>
      <w:r>
        <w:rPr>
          <w:b/>
        </w:rPr>
        <w:t>Telmisartan + lithium</w:t>
      </w:r>
      <w:r>
        <w:t xml:space="preserve"> : augmentation lithiémie.</w:t>
      </w:r>
    </w:p>
    <w:p>
      <w:pPr>
        <w:pStyle w:val="ListBullet"/>
      </w:pPr>
      <w:r/>
      <w:r>
        <w:rPr>
          <w:b/>
        </w:rPr>
        <w:t>Telmisartan + aliskirène</w:t>
      </w:r>
      <w:r>
        <w:t xml:space="preserve"> : CI absolue.</w:t>
      </w:r>
    </w:p>
    <w:p>
      <w:pPr>
        <w:pStyle w:val="ListBullet"/>
      </w:pPr>
      <w:r/>
      <w:r>
        <w:rPr>
          <w:b/>
        </w:rPr>
        <w:t>Telmisartan + digoxine</w:t>
      </w:r>
      <w:r>
        <w:t xml:space="preserve"> : augmentation de la digoxinémie (jusqu'à 50 %), surveillance digoxinémie.</w:t>
      </w:r>
    </w:p>
    <w:p>
      <w:pPr>
        <w:pStyle w:val="ListBullet"/>
      </w:pPr>
      <w:r/>
      <w:r>
        <w:rPr>
          <w:b/>
        </w:rPr>
        <w:t>Telmisartan + IEC</w:t>
      </w:r>
      <w:r>
        <w:t xml:space="preserve"> : association déconseillée (ONTARGET — augmentation de l'IRA, de l'hyperkaliémie, de la morbi-mortalité sans bénéfice cardiovasculaire).</w:t>
      </w:r>
    </w:p>
    <w:p>
      <w:r/>
      <w:r>
        <w:rPr>
          <w:b/>
        </w:rPr>
        <w:t>Grossesse et Allaitement :</w:t>
      </w:r>
      <w:r/>
    </w:p>
    <w:p>
      <w:pPr>
        <w:pStyle w:val="ListBullet"/>
      </w:pPr>
      <w:r>
        <w:t>Grossesse : CI absolue 2e/3e trimestres (fœtotoxicité rénale, oligoamnios, hypoplasie pulmonaire). 1er trimestre déconseillé. Arrêt immédiat si découverte de grossesse. Substitution par labétalol, nicardipine, méthyldopa.</w:t>
      </w:r>
    </w:p>
    <w:p>
      <w:pPr>
        <w:pStyle w:val="ListBullet"/>
      </w:pPr>
      <w:r>
        <w:t>Allaitement : passage très faible dans le lait. Compatible selon CRAT, à éviter chez le prématuré et le nouveau-né &lt; 2 semaines.</w:t>
      </w:r>
    </w:p>
    <w:p>
      <w:pPr>
        <w:pStyle w:val="ListBullet"/>
      </w:pPr>
      <w:r>
        <w:t>Précisions : risque fœtal rénal principal.</w:t>
      </w:r>
    </w:p>
    <w:p>
      <w:r/>
      <w:r>
        <w:rPr>
          <w:b/>
        </w:rPr>
        <w:t>Posologie et Mode d'administration (Standard) :</w:t>
      </w:r>
      <w:r/>
    </w:p>
    <w:p>
      <w:pPr>
        <w:pStyle w:val="ListBullet"/>
      </w:pPr>
      <w:r>
        <w:t>Adulte : HTA : 40 mg une fois par jour (matin), augmentable à 80 mg/j, max 80 mg/j. Prévention CV secondaire (TRANSCEND) : 80 mg/j.</w:t>
      </w:r>
    </w:p>
    <w:p>
      <w:pPr>
        <w:pStyle w:val="ListBullet"/>
      </w:pPr>
      <w:r>
        <w:t>Sujet âgé : 40 mg/j initialement, titration prudente.</w:t>
      </w:r>
    </w:p>
    <w:p>
      <w:pPr>
        <w:pStyle w:val="ListBullet"/>
      </w:pPr>
      <w:r>
        <w:t>Insuffisance rénale : DFG 30-80 mL/min : 40-80 mg/j. DFG &lt; 30 mL/min : 40 mg/j (expérience limitée).</w:t>
      </w:r>
    </w:p>
    <w:p>
      <w:pPr>
        <w:pStyle w:val="ListBullet"/>
      </w:pPr>
      <w:r>
        <w:t>Insuffisance hépatique : 40 mg/j initialement (si modérée), éviter si sévère (CI si obstruction biliaire).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telmisartan est disponible en comprimés à 40 et 80 mg. La disponibilité de deux dosages permet une adaptation (40 mg pour la titration ou la première dose, 80 mg pour la dose standard). Le conditionnement B/28 (princeps Micardis) ou B/30 correspond à un mois de traitement. Le telmisartan est largement disponible en Algérie sous 15 marques actives, dont le princeps Micardis (Boehringer Ingelheim) et de très nombreux génériques (Bekerdis, Cardimed, Cardomyl, Mizart, Teldis, Telmed, Telmidis, Telmisa, Telmisarte, Telstal, Tensotel, Micasartan, Telzart). Le telmisartan est aussi largement disponible en associations fixes avec HCTZ (Micardis Plus, Co-Bekerdis, Co-Tensotel, Telmisarte+, etc.). Le telmisartan présente l'avantage unique d'une très longue durée d'action (24 h), d'une efficacité tensionnelle sur les 24 heures (y compris sur la PA du matin — atout pour le patient « morning surge »), et d'un profil métabolique favorable (agonisme PPAR-γ partiel).</w:t>
      </w:r>
    </w:p>
    <w:p>
      <w:r/>
      <w:r>
        <w:rPr>
          <w:b/>
        </w:rPr>
        <w:t>Instructions et Conseils au Patient :</w:t>
      </w:r>
      <w:r/>
    </w:p>
    <w:p>
      <w:pPr>
        <w:pStyle w:val="ListBullet"/>
      </w:pPr>
      <w:r>
        <w:t>Communication au comptoir : « Voici votre traitement antihypertenseur. Prenez-le une fois par jour, le matin, à heure fixe, avec un grand verre d'eau. Il peut se prendre pendant ou en dehors des repas. Ne l'arrêtez pas sans avis médical. Levez-vous lentement pour éviter les vertiges. Évitez les AINS sans avis. Évitez les sels de régime riches en potassium.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Piège classique : le telmisartan a la plus longue demi-vée de la classe — atout pour la couverture tensionnelle du matin (moment du plus haut risque CV), mais aussi inconvénient en cas d'effet indésirable (durée de disparition plus longue).</w:t>
      </w:r>
    </w:p>
    <w:p>
      <w:pPr>
        <w:pStyle w:val="ListBullet"/>
      </w:pPr>
      <w:r>
        <w:t>Piège classique : association déconseillée avec digoxine (augmentation de la digoxinémie) — surveillance.</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IEC.</w:t>
      </w:r>
    </w:p>
    <w:p>
      <w:pPr>
        <w:pStyle w:val="Heading3"/>
      </w:pPr>
      <w:r>
        <w:t>13. DCI : Olmésartan (Seule)</w:t>
      </w:r>
    </w:p>
    <w:p>
      <w:r/>
      <w:r>
        <w:rPr>
          <w:b/>
        </w:rPr>
        <w:t>Liste des Catégories :</w:t>
      </w:r>
      <w:r>
        <w:t xml:space="preserve"> Liste I ; antihypertenseur ARA2 de troisième génération, biphenyl tetrazole. Commercialisé dès 2002 (Daiichi Sankyo — Olmetec). Prodrogue (olmésartan médoxomil → olmésartan actif par hydrolyse intestinale). Élimination rénale (50 %) et biliaire (50 %). Demi-vée plasmatique ≈ 13 h, demi-vée d'action effective 24 h. Profil d'efficacité tensionnelle élevé (réputation d'ARA2 puissant). Effet dose-dépendant marqué entre 10 et 40 mg. Documentation clinique (ROADMAP, OLMEBEST, SEVIT). Risque particulier d'</w:t>
      </w:r>
      <w:r>
        <w:rPr>
          <w:b/>
        </w:rPr>
        <w:t>entéropathie sprue-like</w:t>
      </w:r>
      <w:r>
        <w:t xml:space="preserve"> (effet indésirable rare mais spécifique de la classe, survenant après plusieurs mois/années de traitement).</w:t>
      </w:r>
    </w:p>
    <w:p>
      <w:r/>
      <w:r>
        <w:rPr>
          <w:b/>
        </w:rPr>
        <w:t>Médicaments disponibles en Algérie (Marques, Laboratoires, Formes et Dosages) :</w:t>
      </w:r>
      <w:r/>
    </w:p>
    <w:p>
      <w:pPr>
        <w:pStyle w:val="ListBullet"/>
      </w:pPr>
      <w:r/>
      <w:r>
        <w:rPr>
          <w:b/>
        </w:rPr>
        <w:t>OLBEK</w:t>
      </w:r>
      <w:r>
        <w:t xml:space="preserve"> (LABORATOIRES BEKER)</w:t>
      </w:r>
    </w:p>
    <w:p>
      <w:pPr>
        <w:pStyle w:val="ListBullet"/>
      </w:pPr>
      <w:r>
        <w:t>Formes et Dosages : Comprimé pelliculé 10 mg (B/30) ; Comprimé pelliculé 20 mg (B/30) ; Comprimé pelliculé 40 mg (B/30)</w:t>
      </w:r>
    </w:p>
    <w:p>
      <w:pPr>
        <w:pStyle w:val="ListBullet"/>
      </w:pPr>
      <w:r>
        <w:t>Statut : Actif</w:t>
      </w:r>
    </w:p>
    <w:p>
      <w:pPr>
        <w:pStyle w:val="ListBullet"/>
      </w:pPr>
      <w:r/>
      <w:r>
        <w:rPr>
          <w:b/>
        </w:rPr>
        <w:t>NORMATEC</w:t>
      </w:r>
      <w:r>
        <w:t xml:space="preserve"> (TABUK ALGERIE)</w:t>
      </w:r>
    </w:p>
    <w:p>
      <w:pPr>
        <w:pStyle w:val="ListBullet"/>
      </w:pPr>
      <w:r>
        <w:t>Formes et Dosages : Comprimé pelliculé 20 mg (B/30) ; Comprimé pelliculé 40 mg (B/30)</w:t>
      </w:r>
    </w:p>
    <w:p>
      <w:pPr>
        <w:pStyle w:val="ListBullet"/>
      </w:pPr>
      <w:r>
        <w:t>Statut : Actif</w:t>
      </w:r>
    </w:p>
    <w:p>
      <w:pPr>
        <w:pStyle w:val="ListBullet"/>
      </w:pPr>
      <w:r/>
      <w:r>
        <w:rPr>
          <w:b/>
        </w:rPr>
        <w:t>OLMETEC</w:t>
      </w:r>
      <w:r>
        <w:t xml:space="preserve"> (DAIICHI SANKYO FRANCE SAS) [NR]</w:t>
      </w:r>
    </w:p>
    <w:p>
      <w:pPr>
        <w:pStyle w:val="ListBullet"/>
      </w:pPr>
      <w:r>
        <w:t>Formes et Dosages : Comprimé pelliculé 10 mg (B/30) ; Comprimé pelliculé 20 mg (B/30) ; Comprimé pelliculé 40 mg (B/30)</w:t>
      </w:r>
    </w:p>
    <w:p>
      <w:pPr>
        <w:pStyle w:val="ListBullet"/>
      </w:pPr>
      <w:r>
        <w:t>Statut : Non Renouvelable</w:t>
      </w:r>
    </w:p>
    <w:p>
      <w:r>
        <w:t>Note : à la date de la nomenclature algérienne (Avril 2026), l'olmésartan est disponible sous 2 marques actives (Olbek et Normatec), le princeps Olmetec (Daiichi Sankyo) étant non renouvelable. Cette situation limite l'accès en termes de diversité mais le produit reste disponible en pratique clinique courante.</w:t>
      </w:r>
    </w:p>
    <w:p>
      <w:r/>
      <w:r>
        <w:rPr>
          <w:b/>
        </w:rPr>
        <w:t>Sous-classe et Mécanisme d'action :</w:t>
      </w:r>
      <w:r/>
    </w:p>
    <w:p>
      <w:pPr>
        <w:pStyle w:val="ListBullet"/>
      </w:pPr>
      <w:r>
        <w:t>Sous-classe : ARA2 de troisième génération, biphenyl tetrazole, prodrogue (olmésartan médoxomil), monoprise quotidienne. Élimination mixte rénale et biliaire. Profil d'efficacité tensionnelle élevé.</w:t>
      </w:r>
    </w:p>
    <w:p>
      <w:pPr>
        <w:pStyle w:val="ListBullet"/>
      </w:pPr>
      <w:r>
        <w:t>Mécanisme d'action : l'olmésartan médoxomil est hydrolysé dans le tube digestif en olmésartan (forme active), qui se lie de manière compétitive et sélective au récepteur AT1 de l'angiotensine II. Le blocage est puissant et prolongé, justifiant un effet antihypertenseur parmi les plus puissants de la classe. Vasodilatation, baisse de l'aldostérone, néphroprotection.</w:t>
      </w:r>
    </w:p>
    <w:p>
      <w:r/>
      <w:r>
        <w:rPr>
          <w:b/>
        </w:rPr>
        <w:t>Profil Pharmacologique :</w:t>
      </w:r>
      <w:r/>
    </w:p>
    <w:p>
      <w:pPr>
        <w:pStyle w:val="ListBullet"/>
      </w:pPr>
      <w:r>
        <w:t>Indications : HTA essentielle (1ère intention). L'olmésartan n'a pas d'AMM spécifique en IC, post-IDM ou prévention CV secondaire — son utilisation est restreinte à l'HTA. La dose est déterminée par la réponse tensionnelle et la tolérance (10-40 mg/j).</w:t>
      </w:r>
    </w:p>
    <w:p>
      <w:pPr>
        <w:pStyle w:val="ListBullet"/>
      </w:pPr>
      <w:r>
        <w:t>Contre-indications : angio-œdème sous IEC ; grossesse 2e/3e trimestres ; sténose bilatérale des artères rénales ; hyperkaliémie ; association avec aliskirène ; insuffisance hépatique sévère ; obstruction biliaire ; diabète (associé à aliskirène).</w:t>
      </w:r>
    </w:p>
    <w:p>
      <w:pPr>
        <w:pStyle w:val="ListBullet"/>
      </w:pPr>
      <w:r>
        <w:t xml:space="preserve">Effets Indésirables : toux sèche (très rare) ; angio-œdème (très rare) ; hyperkaliémie ; IRA fonctionnelle ; hypotension de 1ère dose ; céphalées, vertiges, asthénie ; rash ; troubles digestifs ; </w:t>
      </w:r>
      <w:r>
        <w:rPr>
          <w:b/>
        </w:rPr>
        <w:t>entéropathie sprue-like</w:t>
      </w:r>
      <w:r>
        <w:t xml:space="preserve"> (effet indésirable rare mais spécifique — diarrhée chronique sévère, perte de poids, hypoalbuminémie, dénutrition, survenant après plusieurs mois à années de traitement — réversible à l'arrêt — mécanisme immunologique putatif, alerte ANSM 2013) ; anomalies biologiques hépatiques (rares).</w:t>
      </w:r>
    </w:p>
    <w:p>
      <w:r/>
      <w:r>
        <w:rPr>
          <w:b/>
        </w:rPr>
        <w:t>Prévention et Gestion des Effets Indésirables :</w:t>
      </w:r>
      <w:r/>
    </w:p>
    <w:p>
      <w:pPr>
        <w:pStyle w:val="ListBullet"/>
      </w:pPr>
      <w:r>
        <w:t xml:space="preserve">Mesures Préventives : dosage créatinine + kaliémie avant initiation, à 1-2 semaines, puis tous les 3-6 mois. Test de grossesse. Dose initiale faible (10-20 mg/j) chez le sujet âgé, l'insuffisant rénal, ou le patient sous diurétique. Surveillance PA après 1ère dose. Adaptation au DFG et à la fonction hépatique. </w:t>
      </w:r>
      <w:r>
        <w:rPr>
          <w:b/>
        </w:rPr>
        <w:t>Recherche d'entéropathie en cas de diarrhée chronique</w:t>
      </w:r>
      <w:r>
        <w:t xml:space="preserve"> chez un patient sous olmésartan depuis plusieurs mois — arrêt et bilan gastroentérologique.</w:t>
      </w:r>
    </w:p>
    <w:p>
      <w:pPr>
        <w:pStyle w:val="ListBullet"/>
      </w:pPr>
      <w:r>
        <w:t xml:space="preserve">Conduite à Tenir : angio-œdème → arrêt définitif ARA2 et IEC (CI croisée), urgence. Hyperkaliémie → arrêt transitoire, restriction potassique, diurétique. IRA → arrêt, réhydratation. </w:t>
      </w:r>
      <w:r>
        <w:rPr>
          <w:b/>
        </w:rPr>
        <w:t>Entéropathie sprue-like</w:t>
      </w:r>
      <w:r>
        <w:t xml:space="preserve"> → arrêt immédiat et définitif de l'olmésartan (et à titre prudentiel de tous les ARA2), bilan gastroentérologique (endoscopie avec biopsies duodénales — atrophie villositaire partielle, lymphocytose intra-épithéliale), substitution par une autre classe antihypertensive (IC, bêtabloquant, ICA) — l'évolution est généralement favorable en quelques semaines à mois après l'arrêt.</w:t>
      </w:r>
    </w:p>
    <w:p>
      <w:r/>
      <w:r>
        <w:rPr>
          <w:b/>
        </w:rPr>
        <w:t>Interactions Importantes :</w:t>
      </w:r>
      <w:r/>
    </w:p>
    <w:p>
      <w:pPr>
        <w:pStyle w:val="ListBullet"/>
      </w:pPr>
      <w:r/>
      <w:r>
        <w:rPr>
          <w:b/>
        </w:rPr>
        <w:t>Olmésartan + AINS</w:t>
      </w:r>
      <w:r>
        <w:t xml:space="preserve"> : baisse effet antihypertenseur + IRA.</w:t>
      </w:r>
    </w:p>
    <w:p>
      <w:pPr>
        <w:pStyle w:val="ListBullet"/>
      </w:pPr>
      <w:r/>
      <w:r>
        <w:rPr>
          <w:b/>
        </w:rPr>
        <w:t>Olmésartan + diurétiques épargneurs de K+ + suppléments K+</w:t>
      </w:r>
      <w:r>
        <w:t xml:space="preserve"> : hyperkaliémie majeure.</w:t>
      </w:r>
    </w:p>
    <w:p>
      <w:pPr>
        <w:pStyle w:val="ListBullet"/>
      </w:pPr>
      <w:r/>
      <w:r>
        <w:rPr>
          <w:b/>
        </w:rPr>
        <w:t>Olmésartan + lithium</w:t>
      </w:r>
      <w:r>
        <w:t xml:space="preserve"> : augmentation lithiémie.</w:t>
      </w:r>
    </w:p>
    <w:p>
      <w:pPr>
        <w:pStyle w:val="ListBullet"/>
      </w:pPr>
      <w:r/>
      <w:r>
        <w:rPr>
          <w:b/>
        </w:rPr>
        <w:t>Olmésartan + aliskirène</w:t>
      </w:r>
      <w:r>
        <w:t xml:space="preserve"> : CI absolue (surtout chez le diabétique ou l'insuffisant rénal).</w:t>
      </w:r>
    </w:p>
    <w:p>
      <w:pPr>
        <w:pStyle w:val="ListBullet"/>
      </w:pPr>
      <w:r/>
      <w:r>
        <w:rPr>
          <w:b/>
        </w:rPr>
        <w:t>Olmésartan + IEC</w:t>
      </w:r>
      <w:r>
        <w:t xml:space="preserve"> : association déconseillée.</w:t>
      </w:r>
    </w:p>
    <w:p>
      <w:r/>
      <w:r>
        <w:rPr>
          <w:b/>
        </w:rPr>
        <w:t>Grossesse et Allaitement :</w:t>
      </w:r>
      <w:r/>
    </w:p>
    <w:p>
      <w:pPr>
        <w:pStyle w:val="ListBullet"/>
      </w:pPr>
      <w:r>
        <w:t>Grossesse : CI absolue 2e/3e trimestres (fœtotoxicité rénale, oligoamnios, hypoplasie pulmonaire). 1er trimestre déconseillé. Arrêt immédiat si découverte de grossesse. Substitution par labétalol, nicardipine, méthyldopa.</w:t>
      </w:r>
    </w:p>
    <w:p>
      <w:pPr>
        <w:pStyle w:val="ListBullet"/>
      </w:pPr>
      <w:r>
        <w:t>Allaitement : passage très faible dans le lait. Compatible selon CRAT, à éviter chez le prématuré et le nouveau-né &lt; 2 semaines.</w:t>
      </w:r>
    </w:p>
    <w:p>
      <w:pPr>
        <w:pStyle w:val="ListBullet"/>
      </w:pPr>
      <w:r>
        <w:t>Précisions : risque fœtal rénal principal.</w:t>
      </w:r>
    </w:p>
    <w:p>
      <w:r/>
      <w:r>
        <w:rPr>
          <w:b/>
        </w:rPr>
        <w:t>Posologie et Mode d'administration (Standard) :</w:t>
      </w:r>
      <w:r/>
    </w:p>
    <w:p>
      <w:pPr>
        <w:pStyle w:val="ListBullet"/>
      </w:pPr>
      <w:r>
        <w:t>Adulte : HTA : 20 mg une fois par jour (matin), augmentable à 40 mg/j, max 40 mg/j. En cas de réponse insuffisante à 40 mg/j, association fixe avec HCTZ ou ICA.</w:t>
      </w:r>
    </w:p>
    <w:p>
      <w:pPr>
        <w:pStyle w:val="ListBullet"/>
      </w:pPr>
      <w:r>
        <w:t>Sujet âgé : 10-20 mg/j initialement, titration prudente.</w:t>
      </w:r>
    </w:p>
    <w:p>
      <w:pPr>
        <w:pStyle w:val="ListBullet"/>
      </w:pPr>
      <w:r>
        <w:t>Insuffisance rénale : DFG 30-80 mL/min : 10-20 mg/j. DFG &lt; 30 mL/min : 10 mg/j initialement (expérience limitée).</w:t>
      </w:r>
    </w:p>
    <w:p>
      <w:pPr>
        <w:pStyle w:val="ListBullet"/>
      </w:pPr>
      <w:r>
        <w:t>Insuffisance hépatique : 10 mg/j initialement (si modérée), éviter si sévère (CI si obstruction biliaire).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L'olmésartan est disponible en comprimés à 10, 20 et 40 mg, le plus souvent pelliculés. La diversité des dosages permet une adaptation fine (10 mg pour la titration ou la première dose, 20 mg pour la dose standard, 40 mg pour la dose maximale). Le conditionnement B/30 correspond à un mois de traitement. L'olmésartan est disponible en Algérie sous 2 marques actives (Olbek, Normatec) — disponibilité plus limitée que les autres ARA2 mais suffisante pour la pratique courante. L'olmésartan est aussi disponible en associations fixes avec HCTZ et avec l'amlodipine (non incluses dans cette fiche). Le principal atout de l'olmésartan est son efficacité tensionnelle élevée (réputation d'ARA2 puissant, effet dose-dépendant marqué entre 10 et 40 mg). Le principal inconvénient est le risque spécifique d'entéropathie sprue-like — recherche systématique en cas de diarrhée chronique.</w:t>
      </w:r>
    </w:p>
    <w:p>
      <w:r/>
      <w:r>
        <w:rPr>
          <w:b/>
        </w:rPr>
        <w:t>Instructions et Conseils au Patient :</w:t>
      </w:r>
      <w:r/>
    </w:p>
    <w:p>
      <w:pPr>
        <w:pStyle w:val="ListBullet"/>
      </w:pPr>
      <w:r>
        <w:t>Communication au comptoir : « Voici votre traitement antihypertenseur. Prenez-le une fois par jour, le matin, à heure fixe, avec un grand verre d'eau. Il peut se prendre pendant ou en dehors des repas. Ne l'arrêtez pas sans avis médical. Levez-vous lentement pour éviter les vertiges. Évitez les AINS sans avis. Évitez les sels de régime riches en potassium. Si vous développez une diarrhée chronique plusieurs mois après le début du traitement, signalez-la immédiatement à votre médecin.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 xml:space="preserve">Piège classique : </w:t>
      </w:r>
      <w:r>
        <w:rPr>
          <w:b/>
        </w:rPr>
        <w:t>entéropathie sprue-like</w:t>
      </w:r>
      <w:r>
        <w:t xml:space="preserve"> — à évoquer systématiquement devant toute diarrhée chronique chez un patient sous olmésartan depuis plusieurs mois — arrêt immédiat et substitution. Ne pas attribuer à tort à une cause infectieuse ou alimentaire.</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IEC.</w:t>
      </w:r>
    </w:p>
    <w:p>
      <w:pPr>
        <w:pStyle w:val="Heading3"/>
      </w:pPr>
      <w:r>
        <w:t>14. DCI : Azilsartan (Seule)</w:t>
      </w:r>
    </w:p>
    <w:p>
      <w:r/>
      <w:r>
        <w:rPr>
          <w:b/>
        </w:rPr>
        <w:t>Liste des Catégories :</w:t>
      </w:r>
      <w:r>
        <w:t xml:space="preserve"> Liste I ; antihypertenseur ARA2 de dernière génération (commercialisé dès 2011, Takeda — Edarbi), acylsulfonamide. Prodrogue (azilsartan médoxomil → azilsartan actif par hydrolyse intestinale et hépatique). Élimination surtout biliaire/fécale (55 %) et rénale (42 %). Demi-vée plasmatique ≈ 11 h, demi-vée d'action effective 24 h. Profil d'efficacité tensionnelle élevé (réputation d'ARA2 puissant — supériorité documentée vs olmésartan et valsartan sur la baisse tensionnelle à doses maximales). Documentation clinique relativement restreinte (pas d'étude de morbi-mortalité pivot de l'envergure de LIFE, VALUE, CHARM ou ONTARGET).</w:t>
      </w:r>
    </w:p>
    <w:p>
      <w:r/>
      <w:r>
        <w:rPr>
          <w:b/>
        </w:rPr>
        <w:t>Médicaments disponibles en Algérie (Marques, Laboratoires, Formes et Dosages) :</w:t>
      </w:r>
      <w:r/>
    </w:p>
    <w:p>
      <w:pPr>
        <w:pStyle w:val="ListBullet"/>
      </w:pPr>
      <w:r/>
      <w:r>
        <w:rPr>
          <w:b/>
        </w:rPr>
        <w:t>EDARBI</w:t>
      </w:r>
      <w:r>
        <w:t xml:space="preserve"> (HIKMA PHARMA ALGERIA)</w:t>
      </w:r>
    </w:p>
    <w:p>
      <w:pPr>
        <w:pStyle w:val="ListBullet"/>
      </w:pPr>
      <w:r>
        <w:t>Formes et Dosages : Comprimé 40 mg (B/30) ; Comprimé 80 mg (B/30)</w:t>
      </w:r>
    </w:p>
    <w:p>
      <w:pPr>
        <w:pStyle w:val="ListBullet"/>
      </w:pPr>
      <w:r>
        <w:t>Statut : Actif</w:t>
      </w:r>
    </w:p>
    <w:p>
      <w:r>
        <w:t>Note : à la date de la nomenclature algérienne (Avril 2026), l'azilsartan n'est disponible que sous la marque Edarbi (Hikma) — une seule marque active. Cette situation limite l'accès en termes de diversité mais le produit reste disponible en pratique clinique. L'azilsartan est aussi disponible en association fixe avec la chlorthalidone (Edarbyclor — fiche dédiée).</w:t>
      </w:r>
    </w:p>
    <w:p>
      <w:r/>
      <w:r>
        <w:rPr>
          <w:b/>
        </w:rPr>
        <w:t>Sous-classe et Mécanisme d'action :</w:t>
      </w:r>
      <w:r/>
    </w:p>
    <w:p>
      <w:pPr>
        <w:pStyle w:val="ListBullet"/>
      </w:pPr>
      <w:r>
        <w:t>Sous-classe : ARA2 de dernière génération, acylsulfonamide, prodrogue (azilsartan médoxomil), monoprise quotidienne. Élimination mixte biliaire et rénale. Profil d'efficacité tensionnelle élevé (réputation d'ARA2 puissant).</w:t>
      </w:r>
    </w:p>
    <w:p>
      <w:pPr>
        <w:pStyle w:val="ListBullet"/>
      </w:pPr>
      <w:r>
        <w:t>Mécanisme d'action : l'azilsartan médoxomil est hydrolysé dans le tube digestif et le foie en azilsartan (forme active), qui se lie de manière compétitive et sélective au récepteur AT1 de l'angiotensine II. Le blocage est puissant et prolongé. Vasodilatation, baisse de l'aldostérone, néphroprotection putative.</w:t>
      </w:r>
    </w:p>
    <w:p>
      <w:r/>
      <w:r>
        <w:rPr>
          <w:b/>
        </w:rPr>
        <w:t>Profil Pharmacologique :</w:t>
      </w:r>
      <w:r/>
    </w:p>
    <w:p>
      <w:pPr>
        <w:pStyle w:val="ListBullet"/>
      </w:pPr>
      <w:r>
        <w:t>Indications : HTA essentielle (1ère intention). L'azilsartan n'a pas d'AMM spécifique en IC, post-IDM ou prévention CV secondaire — son utilisation est restreinte à l'HTA.</w:t>
      </w:r>
    </w:p>
    <w:p>
      <w:pPr>
        <w:pStyle w:val="ListBullet"/>
      </w:pPr>
      <w:r>
        <w:t>Contre-indications : angio-œdème sous IEC ; grossesse 2e/3e trimestres ; sténose bilatérale des artères rénales ; hyperkaliémie ; association avec aliskirène ; insuffisance hépatique sévère (CI si cirrhose).</w:t>
      </w:r>
    </w:p>
    <w:p>
      <w:pPr>
        <w:pStyle w:val="ListBullet"/>
      </w:pPr>
      <w:r>
        <w:t>Effets Indésirables : toux sèche (très rare) ; angio-œdème (très rare) ; hyperkaliémie ; IRA fonctionnelle ; hypotension de 1ère dose (souvent modérée) ; céphalées, vertiges, asthénie ; rash ; troubles digestifs ; anomalies biologiques hépatiques (rares) ; anémie (chez transplanté rénal) ; augmentation de la créatinine (souvent transitoire en début de traitement).</w:t>
      </w:r>
    </w:p>
    <w:p>
      <w:r/>
      <w:r>
        <w:rPr>
          <w:b/>
        </w:rPr>
        <w:t>Prévention et Gestion des Effets Indésirables :</w:t>
      </w:r>
      <w:r/>
    </w:p>
    <w:p>
      <w:pPr>
        <w:pStyle w:val="ListBullet"/>
      </w:pPr>
      <w:r>
        <w:t>Mesures Préventives : dosage créatinine + kaliémie avant initiation, à 1-2 semaines, puis tous les 3-6 mois. Test de grossesse. Dose initiale faible (40 mg/j) chez le sujet âgé, l'insuffisant rénal, ou le patient sous diurétique. Surveillance PA après 1ère dose. Adaptation au DFG et à la fonction hépatique.</w:t>
      </w:r>
    </w:p>
    <w:p>
      <w:pPr>
        <w:pStyle w:val="ListBullet"/>
      </w:pPr>
      <w:r>
        <w:t>Conduite à Tenir : angio-œdème → arrêt définitif ARA2 et IEC (CI croisée), urgence. Hyperkaliémie → arrêt transitoire, restriction potassique, diurétique. IRA → arrêt, réhydratation.</w:t>
      </w:r>
    </w:p>
    <w:p>
      <w:r/>
      <w:r>
        <w:rPr>
          <w:b/>
        </w:rPr>
        <w:t>Interactions Importantes :</w:t>
      </w:r>
      <w:r/>
    </w:p>
    <w:p>
      <w:pPr>
        <w:pStyle w:val="ListBullet"/>
      </w:pPr>
      <w:r/>
      <w:r>
        <w:rPr>
          <w:b/>
        </w:rPr>
        <w:t>Azilsartan + AINS</w:t>
      </w:r>
      <w:r>
        <w:t xml:space="preserve"> : baisse effet antihypertenseur + IRA.</w:t>
      </w:r>
    </w:p>
    <w:p>
      <w:pPr>
        <w:pStyle w:val="ListBullet"/>
      </w:pPr>
      <w:r/>
      <w:r>
        <w:rPr>
          <w:b/>
        </w:rPr>
        <w:t>Azilsartan + diurétiques épargneurs de K+ + suppléments K+</w:t>
      </w:r>
      <w:r>
        <w:t xml:space="preserve"> : hyperkaliémie majeure.</w:t>
      </w:r>
    </w:p>
    <w:p>
      <w:pPr>
        <w:pStyle w:val="ListBullet"/>
      </w:pPr>
      <w:r/>
      <w:r>
        <w:rPr>
          <w:b/>
        </w:rPr>
        <w:t>Azilsartan + lithium</w:t>
      </w:r>
      <w:r>
        <w:t xml:space="preserve"> : augmentation lithiémie.</w:t>
      </w:r>
    </w:p>
    <w:p>
      <w:pPr>
        <w:pStyle w:val="ListBullet"/>
      </w:pPr>
      <w:r/>
      <w:r>
        <w:rPr>
          <w:b/>
        </w:rPr>
        <w:t>Azilsartan + aliskirène</w:t>
      </w:r>
      <w:r>
        <w:t xml:space="preserve"> : CI absolue.</w:t>
      </w:r>
    </w:p>
    <w:p>
      <w:pPr>
        <w:pStyle w:val="ListBullet"/>
      </w:pPr>
      <w:r/>
      <w:r>
        <w:rPr>
          <w:b/>
        </w:rPr>
        <w:t>Azilsartan + IEC</w:t>
      </w:r>
      <w:r>
        <w:t xml:space="preserve"> : association déconseillée.</w:t>
      </w:r>
    </w:p>
    <w:p>
      <w:r/>
      <w:r>
        <w:rPr>
          <w:b/>
        </w:rPr>
        <w:t>Grossesse et Allaitement :</w:t>
      </w:r>
      <w:r/>
    </w:p>
    <w:p>
      <w:pPr>
        <w:pStyle w:val="ListBullet"/>
      </w:pPr>
      <w:r>
        <w:t>Grossesse : CI absolue 2e/3e trimestres (fœtotoxicité rénale, oligoamnios, hypoplasie pulmonaire). 1er trimestre déconseillé. Arrêt immédiat si découverte de grossesse. Substitution par labétalol, nicardipine, méthyldopa.</w:t>
      </w:r>
    </w:p>
    <w:p>
      <w:pPr>
        <w:pStyle w:val="ListBullet"/>
      </w:pPr>
      <w:r>
        <w:t>Allaitement : passage très faible dans le lait. Compatible selon CRAT, à éviter chez le prématuré et le nouveau-né &lt; 2 semaines.</w:t>
      </w:r>
    </w:p>
    <w:p>
      <w:pPr>
        <w:pStyle w:val="ListBullet"/>
      </w:pPr>
      <w:r>
        <w:t>Précisions : risque fœtal rénal principal.</w:t>
      </w:r>
    </w:p>
    <w:p>
      <w:r/>
      <w:r>
        <w:rPr>
          <w:b/>
        </w:rPr>
        <w:t>Posologie et Mode d'administration (Standard) :</w:t>
      </w:r>
      <w:r/>
    </w:p>
    <w:p>
      <w:pPr>
        <w:pStyle w:val="ListBullet"/>
      </w:pPr>
      <w:r>
        <w:t>Adulte : HTA : 40 mg une fois par jour (matin), augmentable à 80 mg/j, max 80 mg/j.</w:t>
      </w:r>
    </w:p>
    <w:p>
      <w:pPr>
        <w:pStyle w:val="ListBullet"/>
      </w:pPr>
      <w:r>
        <w:t>Sujet âgé : 40 mg/j initialement, titration prudente.</w:t>
      </w:r>
    </w:p>
    <w:p>
      <w:pPr>
        <w:pStyle w:val="ListBullet"/>
      </w:pPr>
      <w:r>
        <w:t>Insuffisance rénale : pas d'adaptation stricte nécessaire, surveillance. Expérience limitée si DFG &lt; 30 mL/min.</w:t>
      </w:r>
    </w:p>
    <w:p>
      <w:pPr>
        <w:pStyle w:val="ListBullet"/>
      </w:pPr>
      <w:r>
        <w:t>Insuffisance hépatique : 40 mg/j initialement (si modérée), éviter si sévère (CI si cirrhose).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L'azilsartan est disponible en comprimés à 40 et 80 mg. Le conditionnement B/30 correspond à un mois de traitement monodose. L'azilsartan est disponible en Algérie sous une seule marque active (Edarbi, Hikma). L'azilsartan est aussi disponible en association fixe avec la chlorthalidone (Edarbyclor — fiche dédiée), combinaison originale utilisant la chlorthalidone (diurétique thiazidique de référence selon les recommandations 2017 ACC/AHA). Le principal atout de l'azilsartan est son efficacité tensionnelle élevée (réputation d'ARA2 puissant, supériorité documentée vs olmésartan et valsartan sur la baisse tensionnelle à doses maximales). Le principal inconvénient est sa documentation clinique limitée en termes de morbi-mortalité (pas d'étude pivot de l'envergure de HOPE ou LIFE) et sa disponibilité monomarque en Algérie (risque de rupture d'approvisionnement, coût potentiellement plus élevé).</w:t>
      </w:r>
    </w:p>
    <w:p>
      <w:r/>
      <w:r>
        <w:rPr>
          <w:b/>
        </w:rPr>
        <w:t>Instructions et Conseils au Patient :</w:t>
      </w:r>
      <w:r/>
    </w:p>
    <w:p>
      <w:pPr>
        <w:pStyle w:val="ListBullet"/>
      </w:pPr>
      <w:r>
        <w:t>Communication au comptoir : « Voici votre traitement antihypertenseur. Prenez-le une fois par jour, le matin, à heure fixe, avec un grand verre d'eau. Il peut se prendre pendant ou en dehors des repas. Ne l'arrêtez pas sans avis médical. Levez-vous lentement pour éviter les vertiges. Évitez les AINS sans avis. Évitez les sels de régime riches en potassium. Strictement interdit pendant la grossesse. »</w:t>
      </w:r>
    </w:p>
    <w:p>
      <w:pPr>
        <w:pStyle w:val="ListBullet"/>
      </w:pPr>
      <w:r>
        <w:t>Mode d'utilisation pratique : prise matinale à heure fixe. Tenir un agenda tensionnel. Apporter les résultats biologiques.</w:t>
      </w:r>
    </w:p>
    <w:p>
      <w:r/>
      <w:r>
        <w:rPr>
          <w:b/>
        </w:rPr>
        <w:t>Notes, Règles d'Or &amp; Pièges au Comptoir :</w:t>
      </w:r>
      <w:r/>
    </w:p>
    <w:p>
      <w:pPr>
        <w:pStyle w:val="ListBullet"/>
      </w:pPr>
      <w:r>
        <w:t>Piège classique : disponibilité algérienne exclusive sous Edarbi (Hikma) — risque de rupture d'approvisionnement. Prévoir un message d'information au patient et proposer une substitution par un autre ARA2 (candésartan, valsartan, telmisartan) en accord avec le prescripteur.</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Wash-out 24-36 h avant IEC.</w:t>
      </w:r>
    </w:p>
    <w:p>
      <w:pPr>
        <w:pStyle w:val="Heading2"/>
      </w:pPr>
      <w:r>
        <w:t>SOUS-CLASSE 3 — ASSOCIATIONS FIXES IEC + DIURÉTIQUES</w:t>
      </w:r>
    </w:p>
    <w:p>
      <w:pPr>
        <w:pStyle w:val="Heading3"/>
      </w:pPr>
      <w:r>
        <w:t>Introduction de la sous-classe</w:t>
      </w:r>
    </w:p>
    <w:p>
      <w:r>
        <w:t xml:space="preserve">Les associations fixes IEC + diurétiques représentent une stratégie thérapeutique de choix dans l'HTA modérée à sévère (grade 2-3 selon ESH/ESC), dans l'HTA résistant au traitement monothérapie, et dans l'HTA du sujet âgé ou du diabétique. L'association IEC + diurétique thiazidique est </w:t>
      </w:r>
      <w:r>
        <w:rPr>
          <w:b/>
        </w:rPr>
        <w:t>synergique</w:t>
      </w:r>
      <w:r>
        <w:t xml:space="preserve"> sur le plan pharmacologique et physiopathologique : (i) le diurétique thiazidique agit sur le tube contourné distal en inhibant le cotransporteur NaCl (NCC), augmentant la natriurèse et diminuant la volémie, ce qui stimule transitoirement le SRAA (effet rebond à long terme) ; (ii) l'IEC bloque cette activation du SRAA induite par le diurétique, potentialisant l'effet antihypertenseur et prévenant la perte de K+ et la hausse de l'acide urique induites par le thiazidique. Cette synergie permet de réduire les doses respectives (faible dose de thiazidique — généralement 12,5-25 mg d'HCTZ), de limiter les effets indésirables métaboliques (hypokaliémie, hyperuricémie, hyperglycémie), et d'améliorer l'observance (un seul comprimé au lieu de deux).</w:t>
      </w:r>
    </w:p>
    <w:p>
      <w:r>
        <w:t xml:space="preserve">Les associations fixes disponibles en Algérie sont : captopril + HCTZ, énalapril + HCTZ, moexipril + HCTZ, périndopril + indapamide (substitution du thiazidique par un apparenté — l'indapamide), quinapril + HCTZ, ramipril + HCTZ. La particularité du </w:t>
      </w:r>
      <w:r>
        <w:rPr>
          <w:b/>
        </w:rPr>
        <w:t>périndopril + indapamide</w:t>
      </w:r>
      <w:r>
        <w:t xml:space="preserve"> mérite d'être soulignée : cette combinaison a été étudiée dans de grandes études pivot (PROGRESS — prévention de la récidive d'AVC, ADVANCE — diabète T2, HYVET — sujet âgé), et bénéficie de la plus forte évidence clinique en termes de morbi-mortalité. L'</w:t>
      </w:r>
      <w:r>
        <w:rPr>
          <w:b/>
        </w:rPr>
        <w:t>indapamide</w:t>
      </w:r>
      <w:r>
        <w:t xml:space="preserve"> est un diurétique thiazidique-like (sulfonamide apparenté) qui, à faible dose (1,5 mg LP ou 2,5 mg), possède un effet vasodilatateur direct indépendant de l'effet diurétique, et un profil métabolique meilleur que l'HCTZ (moins d'hypokaliémie, moins d'hyperuricémie, moins d'hyperglycémie).</w:t>
      </w:r>
    </w:p>
    <w:p>
      <w:r>
        <w:t>Les associations fixes IEC + diurétique partagent les contre-indications et précautions des deux composants : CI absolue de l'IEC (angio-œdème, grossesse 2e/3e trimestres, sténose bilatérale des artères rénales, hyperkaliémie) ; CI du thiazidique (insuffisance rénale sévère DFG &lt; 30 mL/min — inefficacité ; hypersensibilité aux sulfamides ; hyponatrémie ; hypokaliémie ; hyperuricémie avec goutte) ; surveillance stricte de la kaliémie (effet antagonique : l'IEC augmente, le thiazidique diminue — effet net variable), de la créatinine (risque d'IRA fonctionnelle en cas d'hypovolémie), de la natrémie (hyponatrémie thiazidique — sujet âgé, femme, hypokaliémie préexistante), et de l'uricémie (hyperuricémie thiazidique).</w:t>
      </w:r>
    </w:p>
    <w:p>
      <w:pPr>
        <w:pStyle w:val="Heading3"/>
      </w:pPr>
      <w:r>
        <w:t>Médicaments disponibles en Algérie (vue d'ensemble)</w:t>
      </w:r>
    </w:p>
    <w:p>
      <w:r>
        <w:t>Six associations fixes IEC + diurétiques sont présentes dans la nomenclature algérienne : captopril + HCTZ (Capocard Plus, Co-Tensoprel, Ecazide — actifs ; Saipril Plus, Captopril HCTZ Merck, Priazide — retirés/NR), énalapril + HCTZ (Enalapril/HCTZ Mylan, Angiozide — NR ; Enalapril HCTZ Iberal — retiré), moexipril + HCTZ (Fempress Plus — NR), périndopril + indapamide (Preterax, Preterax Arginine, Bipreterax Arginine, Everyl, Fluterax, Bieveryl — actifs ; Preterax, Bipreterax, Binovax — retirés), quinapril + HCTZ (Acuilix — actif ; Quinapril/HCTZ Winthrop — retiré), ramipril + HCTZ (Ramitrim Plus, Tanatril+, Tritazide — actifs ; Corenipril — NR).</w:t>
      </w:r>
    </w:p>
    <w:p>
      <w:pPr>
        <w:pStyle w:val="Heading3"/>
      </w:pPr>
      <w:r>
        <w:t>15. DCI : Captopril + Hydrochlorothiazide (En Association)</w:t>
      </w:r>
    </w:p>
    <w:p>
      <w:r/>
      <w:r>
        <w:rPr>
          <w:b/>
        </w:rPr>
        <w:t>Liste des Catégories :</w:t>
      </w:r>
      <w:r>
        <w:t xml:space="preserve"> Liste I ; antihypertenseur association fixe IEC + diurétique thiazidique. Combinaison historique des années 1980. Le captopril (IEC de 1ère génération, groupement sulfhydrylé -SH) et l'hydrochlorothiazide (diurétique thiazidique de référence) ont des durées d'action courtes (captopril 6-8 h, HCTZ 12 h), imposant une administration bi-quotidienne. L'association est particulièrement utile dans l'HTA modérée à sévère avec composante volumique (sujet âgé, HTA systolique isolée, insuffisance cardiaque).</w:t>
      </w:r>
    </w:p>
    <w:p>
      <w:r/>
      <w:r>
        <w:rPr>
          <w:b/>
        </w:rPr>
        <w:t>Médicaments disponibles en Algérie (Marques, Laboratoires, Formes et Dosages) :</w:t>
      </w:r>
      <w:r/>
    </w:p>
    <w:p>
      <w:pPr>
        <w:pStyle w:val="ListBullet"/>
      </w:pPr>
      <w:r/>
      <w:r>
        <w:rPr>
          <w:b/>
        </w:rPr>
        <w:t>CAPOCARD PLUS</w:t>
      </w:r>
      <w:r>
        <w:t xml:space="preserve"> (DAR AL DAWA)</w:t>
      </w:r>
    </w:p>
    <w:p>
      <w:pPr>
        <w:pStyle w:val="ListBullet"/>
      </w:pPr>
      <w:r>
        <w:t>Formes et Dosages : Comprimé sécable 50 mg/25 mg (B/30)</w:t>
      </w:r>
    </w:p>
    <w:p>
      <w:pPr>
        <w:pStyle w:val="ListBullet"/>
      </w:pPr>
      <w:r>
        <w:t>Statut : Actif</w:t>
      </w:r>
    </w:p>
    <w:p>
      <w:pPr>
        <w:pStyle w:val="ListBullet"/>
      </w:pPr>
      <w:r/>
      <w:r>
        <w:rPr>
          <w:b/>
        </w:rPr>
        <w:t>CO-TENSOPREL</w:t>
      </w:r>
      <w:r>
        <w:t xml:space="preserve"> (LABORATOIRES MERINAL)</w:t>
      </w:r>
    </w:p>
    <w:p>
      <w:pPr>
        <w:pStyle w:val="ListBullet"/>
      </w:pPr>
      <w:r>
        <w:t>Formes et Dosages : Comprimé 50 mg/25 mg (B/30)</w:t>
      </w:r>
    </w:p>
    <w:p>
      <w:pPr>
        <w:pStyle w:val="ListBullet"/>
      </w:pPr>
      <w:r>
        <w:t>Statut : Actif</w:t>
      </w:r>
    </w:p>
    <w:p>
      <w:pPr>
        <w:pStyle w:val="ListBullet"/>
      </w:pPr>
      <w:r/>
      <w:r>
        <w:rPr>
          <w:b/>
        </w:rPr>
        <w:t>ECAZIDE</w:t>
      </w:r>
      <w:r>
        <w:t xml:space="preserve"> (SPA UNION PHARMACEUTIQUE CONSTANTINOISE PRODUCTION)</w:t>
      </w:r>
    </w:p>
    <w:p>
      <w:pPr>
        <w:pStyle w:val="ListBullet"/>
      </w:pPr>
      <w:r>
        <w:t>Formes et Dosages : Comprimé sécable 50 mg/25 mg (B/28 et B/30)</w:t>
      </w:r>
    </w:p>
    <w:p>
      <w:pPr>
        <w:pStyle w:val="ListBullet"/>
      </w:pPr>
      <w:r>
        <w:t>Statut : Actif</w:t>
      </w:r>
    </w:p>
    <w:p>
      <w:pPr>
        <w:pStyle w:val="ListBullet"/>
      </w:pPr>
      <w:r/>
      <w:r>
        <w:rPr>
          <w:b/>
        </w:rPr>
        <w:t>SAIPRIL PLUS</w:t>
      </w:r>
      <w:r>
        <w:t xml:space="preserve"> (GROUPE SAIDAL) [NR]</w:t>
      </w:r>
    </w:p>
    <w:p>
      <w:pPr>
        <w:pStyle w:val="ListBullet"/>
      </w:pPr>
      <w:r>
        <w:t>Formes et Dosages : Comprimé 50 mg/25 mg (B/30)</w:t>
      </w:r>
    </w:p>
    <w:p>
      <w:pPr>
        <w:pStyle w:val="ListBullet"/>
      </w:pPr>
      <w:r>
        <w:t>Statut : Non Renouvelable</w:t>
      </w:r>
    </w:p>
    <w:p>
      <w:pPr>
        <w:pStyle w:val="ListBullet"/>
      </w:pPr>
      <w:r/>
      <w:r>
        <w:rPr>
          <w:b/>
        </w:rPr>
        <w:t>CAPTOPRIL HYDROCHLOROTHIAZIDE MERCK</w:t>
      </w:r>
      <w:r>
        <w:t xml:space="preserve"> (MERCK GENERIQUES) (R) ; Comprimé 50 mg/25 mg (B/28)</w:t>
      </w:r>
    </w:p>
    <w:p>
      <w:pPr>
        <w:pStyle w:val="ListBullet"/>
      </w:pPr>
      <w:r/>
      <w:r>
        <w:rPr>
          <w:b/>
        </w:rPr>
        <w:t>PRIAZIDE</w:t>
      </w:r>
      <w:r>
        <w:t xml:space="preserve"> (SALEM) (R) ; Comprimé sécable 50 mg/25 mg (B/30)</w:t>
      </w:r>
    </w:p>
    <w:p>
      <w:r/>
      <w:r>
        <w:rPr>
          <w:b/>
        </w:rPr>
        <w:t>Sous-classe et Mécanisme d'action :</w:t>
      </w:r>
      <w:r/>
    </w:p>
    <w:p>
      <w:pPr>
        <w:pStyle w:val="ListBullet"/>
      </w:pPr>
      <w:r>
        <w:t>Sous-classe : Association fixe IEC (captopril, groupement sulfhydrylé -SH) + diurétique thiazidique (HCTZ). Administration bi-quotidienne.</w:t>
      </w:r>
    </w:p>
    <w:p>
      <w:pPr>
        <w:pStyle w:val="ListBullet"/>
      </w:pPr>
      <w:r>
        <w:t>Mécanisme d'action : synergie pharmacologique entre (1) le captopril qui bloque l'ECA → vasodilatation, baisse de l'aldostérone, épargne potassique, néphroprotection ; et (2) l'HCTZ qui inhibe le cotransporteur NaCl (NCC) au tube contourné distal → natriurèse, baisse de la volémie, vasodilatation directe faible. L'IEC prévient l'activation du SRAA induite par le thiazidique, potentialise l'effet antihypertenseur, et corrige la perte de K+ et la hausse de l'acide urique induites par le thiazidique.</w:t>
      </w:r>
    </w:p>
    <w:p>
      <w:r/>
      <w:r>
        <w:rPr>
          <w:b/>
        </w:rPr>
        <w:t>Profil Pharmacologique :</w:t>
      </w:r>
      <w:r/>
    </w:p>
    <w:p>
      <w:pPr>
        <w:pStyle w:val="ListBullet"/>
      </w:pPr>
      <w:r>
        <w:t>Indications : HTA modérée à sévère (grade 2-3) non contrôlée par monothérapie ; HTA du sujet âgé (composante volumique) ; HTA systolique isolée ; insuffisance cardiaque chronique (en association avec bêtabloquant — situation historique largement remplacée aujourd'hui par les associations IEC de longue durée + ICA).</w:t>
      </w:r>
    </w:p>
    <w:p>
      <w:pPr>
        <w:pStyle w:val="ListBullet"/>
      </w:pPr>
      <w:r>
        <w:t>Contre-indications : angio-œdème sous IEC ; grossesse 2e/3e trimestres ; sténose bilatérale des artères rénales ; hyperkaliémie (paradoxalement, plus rare qu'avec IEC seul grâce au thiazidique) ; hypokaliémie ; hyponatrémie ; insuffisance rénale sévère (DFG &lt; 30 mL/min — inefficacité du thiazidique) ; hyperuricémie avec goutte ; hypersensibilité aux sulfamides ; association avec aliskirène/sacubitril/lithium.</w:t>
      </w:r>
    </w:p>
    <w:p>
      <w:pPr>
        <w:pStyle w:val="ListBullet"/>
      </w:pPr>
      <w:r>
        <w:t>Effets Indésirables : toux sèche (5-20 % — liée au captopril) ; angio-œdème (0,1-0,7 %) ; hyperkaliémie (effet IEC) ou hypokaliémie (effet thiazidique — effet net variable, surveillance indispensable) ; IRA fonctionnelle ; hypotension de 1ère dose ; hyponatrémie (sujet âgé, femme, hypokaliémie — risque thiazidique) ; hyperuricémie (effet thiazidique, prudence si goutte) ; hyperglycémie (effet thiazidique dose-dépendant, atténué par l'IEC) ; céphalées, vertiges, asthénie ; rash ; troubles digestifs ; photosensibilité (thiazidique) ; protéinurie et neutropénie (à fortes doses de captopril).</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(1/2 comprimé par jour) chez le sujet âgé, l'insuffisant rénal modéré, ou le patient déjà sous diurétique (arrêt 24-48 h avant pour limiter l'hypotension de 1ère dose). Surveillance PA après 1ère dose. Surveillance accrue chez la femme âgée (risque majoré d'hyponatrémie thiazidique).</w:t>
      </w:r>
    </w:p>
    <w:p>
      <w:pPr>
        <w:pStyle w:val="ListBullet"/>
      </w:pPr>
      <w:r>
        <w:t>Conduite à Tenir : angio-œdème → arrêt définitif IEC et ARA2 (CI croisée), urgence. Hyperkaliémie → arrêt transitoire, restriction potassique, diurétique (effet paradoxal bénéfique du thiazidique). Hypokaliémie → supplémentation potassique, surveillance. Hyponatrémie → arrêt immédiat (en particulier si sévère &lt; 125 mmol/L), restriction hydrique, surveillance neurologique. Hyperuricémie → surveillance, allopurinol si goutte.</w:t>
      </w:r>
    </w:p>
    <w:p>
      <w:r/>
      <w:r>
        <w:rPr>
          <w:b/>
        </w:rPr>
        <w:t>Interactions Importantes :</w:t>
      </w:r>
      <w:r/>
    </w:p>
    <w:p>
      <w:pPr>
        <w:pStyle w:val="ListBullet"/>
      </w:pPr>
      <w:r/>
      <w:r>
        <w:rPr>
          <w:b/>
        </w:rPr>
        <w:t>Captopril + HCTZ + AINS</w:t>
      </w:r>
      <w:r>
        <w:t xml:space="preserve"> : baisse effet antihypertenseur + IRA (triple whammy — risque majeur, surtout sujet âgé déshydraté).</w:t>
      </w:r>
    </w:p>
    <w:p>
      <w:pPr>
        <w:pStyle w:val="ListBullet"/>
      </w:pPr>
      <w:r/>
      <w:r>
        <w:rPr>
          <w:b/>
        </w:rPr>
        <w:t>Captopril + HCTZ + lithium</w:t>
      </w:r>
      <w:r>
        <w:t xml:space="preserve"> : augmentation lithiémie (effet additif — lithium et thiazidique diminuent l'excrétion rénale du lithium).</w:t>
      </w:r>
    </w:p>
    <w:p>
      <w:pPr>
        <w:pStyle w:val="ListBullet"/>
      </w:pPr>
      <w:r/>
      <w:r>
        <w:rPr>
          <w:b/>
        </w:rPr>
        <w:t>Captopril + HCTZ + diurétiques épargneurs de K+</w:t>
      </w:r>
      <w:r>
        <w:t xml:space="preserve"> : pas d'hyperkaliémie majeure grâce au thiazidique, mais surveillance.</w:t>
      </w:r>
    </w:p>
    <w:p>
      <w:pPr>
        <w:pStyle w:val="ListBullet"/>
      </w:pPr>
      <w:r/>
      <w:r>
        <w:rPr>
          <w:b/>
        </w:rPr>
        <w:t>Captopril + HCTZ + AINS + diurétique (quadruple whammy)</w:t>
      </w:r>
      <w:r>
        <w:t xml:space="preserve"> : IRA majeure.</w:t>
      </w:r>
    </w:p>
    <w:p>
      <w:pPr>
        <w:pStyle w:val="ListBullet"/>
      </w:pPr>
      <w:r/>
      <w:r>
        <w:rPr>
          <w:b/>
        </w:rPr>
        <w:t>Captopril + HCTZ + digitaliques</w:t>
      </w:r>
      <w:r>
        <w:t xml:space="preserve"> : hypokaliémie thiazidique favorisant l'intoxication digitalique — surveillance.</w:t>
      </w:r>
    </w:p>
    <w:p>
      <w:pPr>
        <w:pStyle w:val="ListBullet"/>
      </w:pPr>
      <w:r/>
      <w:r>
        <w:rPr>
          <w:b/>
        </w:rPr>
        <w:t>Captopril + HCTZ + aliskirène/sacubitril</w:t>
      </w:r>
      <w:r>
        <w:t xml:space="preserve"> : CI absolue.</w:t>
      </w:r>
    </w:p>
    <w:p>
      <w:r/>
      <w:r>
        <w:rPr>
          <w:b/>
        </w:rPr>
        <w:t>Grossesse et Allaitement :</w:t>
      </w:r>
      <w:r/>
    </w:p>
    <w:p>
      <w:pPr>
        <w:pStyle w:val="ListBullet"/>
      </w:pPr>
      <w:r>
        <w:t>Grossesse : CI absolue 2e/3e trimestres (IEC + thiazidique). 1er trimestre déconseillé. Le thiazidique traverse le placenta et peut entraîner une déplétion volémique fœtale, une hypoglycémie néonatale, une thrombopénie néonatale, une hyponatrémie néonatale. Substitution par labétalol, nicardipine, méthyldopa.</w:t>
      </w:r>
    </w:p>
    <w:p>
      <w:pPr>
        <w:pStyle w:val="ListBullet"/>
      </w:pPr>
      <w:r>
        <w:t>Allaitement : l'HCTZ passe faiblement dans le lait (mais risque d'inhibition de la lactation à fortes doses). Compatible selon CRAT, à éviter chez le prématuré et le nouveau-né &lt; 2 semaines. Surveillance PA, kaliémie, natrémie et glycémie du nourrisson.</w:t>
      </w:r>
    </w:p>
    <w:p>
      <w:pPr>
        <w:pStyle w:val="ListBullet"/>
      </w:pPr>
      <w:r>
        <w:t>Précisions : risque fœtal rénal principal (IEC) + risque fœtal métabolique (thiazidique).</w:t>
      </w:r>
    </w:p>
    <w:p>
      <w:r/>
      <w:r>
        <w:rPr>
          <w:b/>
        </w:rPr>
        <w:t>Posologie et Mode d'administration (Standard) :</w:t>
      </w:r>
      <w:r/>
    </w:p>
    <w:p>
      <w:pPr>
        <w:pStyle w:val="ListBullet"/>
      </w:pPr>
      <w:r>
        <w:t>Adulte : HTA : 1 comprimé (50 mg/25 mg) × 1-2/jour, max 50 mg/25 mg × 2/j. Adaptation en fonction de la réponse tensionnelle et de la tolérance.</w:t>
      </w:r>
    </w:p>
    <w:p>
      <w:pPr>
        <w:pStyle w:val="ListBullet"/>
      </w:pPr>
      <w:r>
        <w:t>Sujet âgé : 1/2 comprimé × 1-2/jour initialement, titration prudente.</w:t>
      </w:r>
    </w:p>
    <w:p>
      <w:pPr>
        <w:pStyle w:val="ListBullet"/>
      </w:pPr>
      <w:r>
        <w:t>Insuffisance rénale : DFG 30-60 mL/min : posologie réduite. DFG &lt; 30 mL/min : CI (inefficacité du thiazidique).</w:t>
      </w:r>
    </w:p>
    <w:p>
      <w:pPr>
        <w:pStyle w:val="ListBullet"/>
      </w:pPr>
      <w:r>
        <w:t>Durée : au long cours.</w:t>
      </w:r>
    </w:p>
    <w:p>
      <w:pPr>
        <w:pStyle w:val="ListBullet"/>
      </w:pPr>
      <w:r>
        <w:t>Moment de prise : 30 minutes à 1 heure avant les repas (en raison du captopril — particularité unique), à heure fixe.</w:t>
      </w:r>
    </w:p>
    <w:p>
      <w:r/>
      <w:r>
        <w:rPr>
          <w:b/>
        </w:rPr>
        <w:t>Arbitrage et Bénéfices des Formes Galéniques :</w:t>
      </w:r>
      <w:r/>
    </w:p>
    <w:p>
      <w:r>
        <w:t>Le captopril + HCTZ est disponible en comprimés à 50 mg/25 mg, le plus souvent sécables. La sécabilité permet la titration fine (25 mg/12,5 mg à partir d'un comprimé à 50 mg/25 mg). Le conditionnement B/28 ou B/30 correspond à un mois de traitement. Le captopril + HCTZ est disponible en Algérie sous 3 marques actives (Capocard Plus, Co-Tensoprel, Ecazide) et 1 NR (Saipril Plus). La principale limite est la bi-quotidienneté de la prise (en raison de la courte durée d'action du captopril), désavantage majeur en termes d'observance par rapport aux associations fixes modernes (périndopril + indapamide, ramipril + HCTZ) qui autorisent la monoprise.</w:t>
      </w:r>
    </w:p>
    <w:p>
      <w:r/>
      <w:r>
        <w:rPr>
          <w:b/>
        </w:rPr>
        <w:t>Instructions et Conseils au Patient :</w:t>
      </w:r>
      <w:r/>
    </w:p>
    <w:p>
      <w:pPr>
        <w:pStyle w:val="ListBullet"/>
      </w:pPr>
      <w:r>
        <w:t>Communication au comptoir : « Voici votre traitement antihypertenseur combinant deux médicaments en un seul comprimé. Prenez-le deux fois par jour, à heure fixe, 30 minutes avant les repas (à jeun). Ne l'arrêtez pas sans avis médical. Une toux sèche peut survenir — signalez-la. Levez-vous lentement pour éviter les vertiges. Évitez les AINS sans avis (ibuprofène). Évitez les sels de régime riches en potassium. Signalez toute diarrhée ou vomissement (risque de déshydratation et d'atteinte rénale). Strictement interdit pendant la grossesse. »</w:t>
      </w:r>
    </w:p>
    <w:p>
      <w:pPr>
        <w:pStyle w:val="ListBullet"/>
      </w:pPr>
      <w:r>
        <w:t>Mode d'utilisation pratique : prise bi-quotidienne à jeun, à heure fixe. Tenir un agenda tensionnel. Apporter les résultats biologiques (créatinine, kaliémie, natrémie, uricémie, glycémie).</w:t>
      </w:r>
    </w:p>
    <w:p>
      <w:r/>
      <w:r>
        <w:rPr>
          <w:b/>
        </w:rPr>
        <w:t>Notes, Règles d'Or &amp; Pièges au Comptoir :</w:t>
      </w:r>
      <w:r/>
    </w:p>
    <w:p>
      <w:pPr>
        <w:pStyle w:val="ListBullet"/>
      </w:pPr>
      <w:r>
        <w:t>Piège classique : prendre à jeun (biodisponibilité du captopril diminuée par la nourriture).</w:t>
      </w:r>
    </w:p>
    <w:p>
      <w:pPr>
        <w:pStyle w:val="ListBullet"/>
      </w:pPr>
      <w:r>
        <w:t>Piège classique : triple whammy (IEC + AINS + diurétique) chez le sujet âgé déshydraté — déconseiller formellement l'automédication par AINS.</w:t>
      </w:r>
    </w:p>
    <w:p>
      <w:pPr>
        <w:pStyle w:val="ListBullet"/>
      </w:pPr>
      <w:r>
        <w:t>Piège classique : hyponatrémie thiazidique — femme âgée, hypokaliémie préexistante — recherche systématique à l'initiation.</w:t>
      </w:r>
    </w:p>
    <w:p>
      <w:pPr>
        <w:pStyle w:val="ListBullet"/>
      </w:pPr>
      <w:r>
        <w:t>Piège classique : chez la femme enceinte ou planifiant une grossesse, contre-indication absolue.</w:t>
      </w:r>
    </w:p>
    <w:p>
      <w:pPr>
        <w:pStyle w:val="ListBullet"/>
      </w:pPr>
      <w:r>
        <w:t>Règle de prise : bi-quotidienne à jeun.</w:t>
      </w:r>
    </w:p>
    <w:p>
      <w:pPr>
        <w:pStyle w:val="ListBullet"/>
      </w:pPr>
      <w:r>
        <w:t>Préparation et Conservation : température &lt; 25 °C, à l'abri de l'humidité et de la lumière (captopril s'oxyde).</w:t>
      </w:r>
    </w:p>
    <w:p>
      <w:pPr>
        <w:pStyle w:val="ListBullet"/>
      </w:pPr>
      <w:r>
        <w:t>Piège du surdosage / Substitution : hypotension, hyperkaliémie, hyponatrémie. Wash-out 24-36 h avant ARA2.</w:t>
      </w:r>
    </w:p>
    <w:p>
      <w:pPr>
        <w:pStyle w:val="Heading3"/>
      </w:pPr>
      <w:r>
        <w:t>16. DCI : Énalapril + Hydrochlorothiazide (En Association)</w:t>
      </w:r>
    </w:p>
    <w:p>
      <w:r/>
      <w:r>
        <w:rPr>
          <w:b/>
        </w:rPr>
        <w:t>Liste des Catégories :</w:t>
      </w:r>
      <w:r>
        <w:t xml:space="preserve"> Liste I ; antihypertenseur association fixe IEC + diurétique thiazidique. Combinaison des années 1980-90, monoprise quotidienne (énalapril prodrogue longue durée + HCTZ). Association historique de référence, largement prescrite dans le monde, mais aujourd'hui non renouvelable en Algérie (pénurie relative).</w:t>
      </w:r>
    </w:p>
    <w:p>
      <w:r/>
      <w:r>
        <w:rPr>
          <w:b/>
        </w:rPr>
        <w:t>Médicaments disponibles en Algérie (Marques, Laboratoires, Formes et Dosages) :</w:t>
      </w:r>
      <w:r/>
    </w:p>
    <w:p>
      <w:pPr>
        <w:pStyle w:val="ListBullet"/>
      </w:pPr>
      <w:r/>
      <w:r>
        <w:rPr>
          <w:b/>
        </w:rPr>
        <w:t>ENALAPRIL/HYDROCHLOROTHIAZIDE MYLAN</w:t>
      </w:r>
      <w:r>
        <w:t xml:space="preserve"> (MYLAN SAS) [NR]</w:t>
      </w:r>
    </w:p>
    <w:p>
      <w:pPr>
        <w:pStyle w:val="ListBullet"/>
      </w:pPr>
      <w:r>
        <w:t>Formes et Dosages : Comprimé sécable 20 mg/12,5 mg (B/30)</w:t>
      </w:r>
    </w:p>
    <w:p>
      <w:pPr>
        <w:pStyle w:val="ListBullet"/>
      </w:pPr>
      <w:r>
        <w:t>Statut : Non Renouvelable</w:t>
      </w:r>
    </w:p>
    <w:p>
      <w:pPr>
        <w:pStyle w:val="ListBullet"/>
      </w:pPr>
      <w:r/>
      <w:r>
        <w:rPr>
          <w:b/>
        </w:rPr>
        <w:t>ANGIOZIDE</w:t>
      </w:r>
      <w:r>
        <w:t xml:space="preserve"> (JORDANIAN PHARMACEUTICAL MANUFACTURING (JPM)) [NR]</w:t>
      </w:r>
    </w:p>
    <w:p>
      <w:pPr>
        <w:pStyle w:val="ListBullet"/>
      </w:pPr>
      <w:r>
        <w:t>Formes et Dosages : Comprimé 20 mg/12,5 mg (B/20)</w:t>
      </w:r>
    </w:p>
    <w:p>
      <w:pPr>
        <w:pStyle w:val="ListBullet"/>
      </w:pPr>
      <w:r>
        <w:t>Statut : Non Renouvelable</w:t>
      </w:r>
    </w:p>
    <w:p>
      <w:pPr>
        <w:pStyle w:val="ListBullet"/>
      </w:pPr>
      <w:r/>
      <w:r>
        <w:rPr>
          <w:b/>
        </w:rPr>
        <w:t>ENALAPRIL/HYDROCHLOROTHIAZIDE IBERAL</w:t>
      </w:r>
      <w:r>
        <w:t xml:space="preserve"> (IBERAL SPA) (R)</w:t>
      </w:r>
    </w:p>
    <w:p>
      <w:pPr>
        <w:pStyle w:val="ListBullet"/>
      </w:pPr>
      <w:r>
        <w:t>Formes et Dosages : Comprimé sécable 20 mg/12,5 mg (B/28)</w:t>
      </w:r>
    </w:p>
    <w:p>
      <w:pPr>
        <w:pStyle w:val="ListBullet"/>
      </w:pPr>
      <w:r>
        <w:t>Statut : Retiré</w:t>
      </w:r>
    </w:p>
    <w:p>
      <w:r>
        <w:t>Note : à la date de la nomenclature algérienne (Avril 2026), l'énalapril + HCTZ n'est plus disponible en marque active — seules les formes NR (Mylan, JPM) et historiques retirées (Iberal) subsistent. Cette pénurie justifie un switch fréquent vers le périndopril + indapamide ou le ramipril + HCTZ en pratique clinique.</w:t>
      </w:r>
    </w:p>
    <w:p>
      <w:r/>
      <w:r>
        <w:rPr>
          <w:b/>
        </w:rPr>
        <w:t>Sous-classe et Mécanisme d'action :</w:t>
      </w:r>
      <w:r/>
    </w:p>
    <w:p>
      <w:pPr>
        <w:pStyle w:val="ListBullet"/>
      </w:pPr>
      <w:r>
        <w:t>Sous-classe : Association fixe IEC (énalapril, groupement carboxylé -COOH, prodrogue) + diurétique thiazidique (HCTZ). Monoprise quotidienne.</w:t>
      </w:r>
    </w:p>
    <w:p>
      <w:pPr>
        <w:pStyle w:val="ListBullet"/>
      </w:pPr>
      <w:r>
        <w:t>Mécanisme d'action : synergie pharmacologique entre (1) l'énalapril (→ énalaprilate) qui bloque l'ECA → vasodilatation, baisse de l'aldostérone, épargne potassique, néphroprotection ; et (2) l'HCTZ qui inhibe le NCC au tube contourné distal → natriurèse, baisse de la volémie. L'IEC prévient l'activation du SRAA induite par le thiazidique et corrige la perte de K+ et la hausse de l'acide urique thiazidique.</w:t>
      </w:r>
    </w:p>
    <w:p>
      <w:r/>
      <w:r>
        <w:rPr>
          <w:b/>
        </w:rPr>
        <w:t>Profil Pharmacologique :</w:t>
      </w:r>
      <w:r/>
    </w:p>
    <w:p>
      <w:pPr>
        <w:pStyle w:val="ListBullet"/>
      </w:pPr>
      <w:r>
        <w:t>Indications : HTA modérée à sévère non contrôlée par monothérapie ; HTA du sujet âgé ; HTA systolique isolée ; insuffisance cardiaque chronique (titration sous surveillance spécialisée — en pratique, l'association fixe est moins souple que la combinaison libre en IC).</w:t>
      </w:r>
    </w:p>
    <w:p>
      <w:pPr>
        <w:pStyle w:val="ListBullet"/>
      </w:pPr>
      <w:r>
        <w:t>Contre-indications : angio-œdème sous IEC ; grossesse 2e/3e trimestres ; sténose bilatérale des artères rénales ; hyperkaliémie ; hypokaliémie ; hyponatrémie ; insuffisance rénale sévère (DFG &lt; 30 mL/min) ; hyperuricémie avec goutte ; hypersensibilité sulfamides ; association avec aliskirène/sacubitril/lithium.</w:t>
      </w:r>
    </w:p>
    <w:p>
      <w:pPr>
        <w:pStyle w:val="ListBullet"/>
      </w:pPr>
      <w:r>
        <w:t>Effets Indésirables : toux sèche (5-20 % — liée à l'énalapril) ; angio-œdème (0,1-0,7 %) ; hyperkaliémie ou hypokaliémie ; IRA fonctionnelle ; hypotension de 1ère dose ; hyponatrémie (thiazidique) ; hyperuricémie (thiazidique) ; hyperglycémie (thiazidique) ; céphalées, vertiges, asthénie ; rash ; troubles digestifs ; photosensibilité.</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(1/2 comprimé par jour) chez le sujet âgé, l'insuffisant rénal modéré, ou le patient déjà sous diurétique. Surveillance PA après 1ère dose.</w:t>
      </w:r>
    </w:p>
    <w:p>
      <w:pPr>
        <w:pStyle w:val="ListBullet"/>
      </w:pPr>
      <w:r>
        <w:t>Conduite à Tenir : angio-œdème → arrêt définitif IEC et ARA2, urgence. Hyperkaliémie → arrêt transitoire, restriction potassique, diurétique. Hypokaliémie → supplémentation potassique, surveillance. Hyponatrémie → arrêt immédiat (en particulier si sévère), restriction hydrique, surveillance neurologique. Hyperuricémie → surveillance, allopurinol si goutte.</w:t>
      </w:r>
    </w:p>
    <w:p>
      <w:r/>
      <w:r>
        <w:rPr>
          <w:b/>
        </w:rPr>
        <w:t>Interactions Importantes :</w:t>
      </w:r>
      <w:r/>
    </w:p>
    <w:p>
      <w:pPr>
        <w:pStyle w:val="ListBullet"/>
      </w:pPr>
      <w:r/>
      <w:r>
        <w:rPr>
          <w:b/>
        </w:rPr>
        <w:t>Énalapril + HCTZ + AINS</w:t>
      </w:r>
      <w:r>
        <w:t xml:space="preserve"> : triple whammy — baisse effet antihypertenseur + IRA majeure.</w:t>
      </w:r>
    </w:p>
    <w:p>
      <w:pPr>
        <w:pStyle w:val="ListBullet"/>
      </w:pPr>
      <w:r/>
      <w:r>
        <w:rPr>
          <w:b/>
        </w:rPr>
        <w:t>Énalapril + HCTZ + lithium</w:t>
      </w:r>
      <w:r>
        <w:t xml:space="preserve"> : augmentation lithiémie (effet additif).</w:t>
      </w:r>
    </w:p>
    <w:p>
      <w:pPr>
        <w:pStyle w:val="ListBullet"/>
      </w:pPr>
      <w:r/>
      <w:r>
        <w:rPr>
          <w:b/>
        </w:rPr>
        <w:t>Énalapril + HCTZ + diurétiques épargneurs de K+</w:t>
      </w:r>
      <w:r>
        <w:t xml:space="preserve"> : surveillance stricte.</w:t>
      </w:r>
    </w:p>
    <w:p>
      <w:pPr>
        <w:pStyle w:val="ListBullet"/>
      </w:pPr>
      <w:r/>
      <w:r>
        <w:rPr>
          <w:b/>
        </w:rPr>
        <w:t>Énalapril + HCTZ + digitaliques</w:t>
      </w:r>
      <w:r>
        <w:t xml:space="preserve"> : hypokaliémie thiazidique favorisant l'intoxication digitalique.</w:t>
      </w:r>
    </w:p>
    <w:p>
      <w:pPr>
        <w:pStyle w:val="ListBullet"/>
      </w:pPr>
      <w:r/>
      <w:r>
        <w:rPr>
          <w:b/>
        </w:rPr>
        <w:t>Énalapril + HCTZ + aliskirène/sacubitril</w:t>
      </w:r>
      <w:r>
        <w:t xml:space="preserve"> : CI absolue.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 Surveillance PA, kaliémie, natrémie et glycémie du nourrisson.</w:t>
      </w:r>
    </w:p>
    <w:p>
      <w:pPr>
        <w:pStyle w:val="ListBullet"/>
      </w:pPr>
      <w:r>
        <w:t>Précisions : risque fœtal rénal (IEC) + métabolique (thiazidique).</w:t>
      </w:r>
    </w:p>
    <w:p>
      <w:r/>
      <w:r>
        <w:rPr>
          <w:b/>
        </w:rPr>
        <w:t>Posologie et Mode d'administration (Standard) :</w:t>
      </w:r>
      <w:r/>
    </w:p>
    <w:p>
      <w:pPr>
        <w:pStyle w:val="ListBullet"/>
      </w:pPr>
      <w:r>
        <w:t>Adulte : HTA : 1 comprimé (20 mg/12,5 mg) une fois par jour (matin), max 1 comprimé × 2/jour (rare).</w:t>
      </w:r>
    </w:p>
    <w:p>
      <w:pPr>
        <w:pStyle w:val="ListBullet"/>
      </w:pPr>
      <w:r>
        <w:t>Sujet âgé : 1/2 comprimé par jour initialement, titration prudente.</w:t>
      </w:r>
    </w:p>
    <w:p>
      <w:pPr>
        <w:pStyle w:val="ListBullet"/>
      </w:pPr>
      <w:r>
        <w:t>Insuffisance rénale : DFG 30-60 mL/min : posologie réduite (10 mg/6,25 mg ou 1/2 cp 20 mg/12,5 mg). DFG &lt; 30 mL/min : CI (inefficacité du thiazidique).</w:t>
      </w:r>
    </w:p>
    <w:p>
      <w:pPr>
        <w:pStyle w:val="ListBullet"/>
      </w:pPr>
      <w:r>
        <w:t>Durée : au long cours.</w:t>
      </w:r>
    </w:p>
    <w:p>
      <w:pPr>
        <w:pStyle w:val="ListBullet"/>
      </w:pPr>
      <w:r>
        <w:t>Moment de prise : monoprise matinale, indépendante des repas (à la différence du captopril, l'énalapril n'est pas affecté par la nourriture).</w:t>
      </w:r>
    </w:p>
    <w:p>
      <w:r/>
      <w:r>
        <w:rPr>
          <w:b/>
        </w:rPr>
        <w:t>Arbitrage et Bénéfices des Formes Galéniques :</w:t>
      </w:r>
      <w:r/>
    </w:p>
    <w:p>
      <w:r>
        <w:t>L'énalapril + HCTZ est disponible en comprimés à 20 mg/12,5 mg, le plus souvent sécables. La sécabilité permet la titration fine (10 mg/6,25 mg à partir d'un comprimé à 20 mg/12,5 mg). Le conditionnement B/20 ou B/30 correspond à un mois de traitement. Le principal atout de l'énalapril + HCTZ est la monoprise quotidienne (vs bi-quotidienne pour le captopril + HCTZ), améliorant l'observance. Le principal inconvénient est l'indisponibilité actuelle en Algérie (NR), justifiant les substitutions fréquentes.</w:t>
      </w:r>
    </w:p>
    <w:p>
      <w:r/>
      <w:r>
        <w:rPr>
          <w:b/>
        </w:rPr>
        <w:t>Instructions et Conseils au Patient :</w:t>
      </w:r>
      <w:r/>
    </w:p>
    <w:p>
      <w:pPr>
        <w:pStyle w:val="ListBullet"/>
      </w:pPr>
      <w:r>
        <w:t>Communication au comptoir : « Ce médicament n'est plus disponible en Algérie. Je vous propose de contacter votre prescripteur pour une substitution par un médicament équivalent (périndopril + indapamide, ramipril + HCTZ). Ne pas arrêter votre traitement sans avis médical.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médicament non disponible en Algérie (NR) — information à transmettre au patient et au prescripteur pour substitution.</w:t>
      </w:r>
    </w:p>
    <w:p>
      <w:pPr>
        <w:pStyle w:val="ListBullet"/>
      </w:pPr>
      <w:r>
        <w:t>Piège classique : triple whammy (IEC + AINS + diurétique) chez le sujet âgé déshydraté — déconseiller formellement l'automédication par AINS.</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non applicable (NR).</w:t>
      </w:r>
    </w:p>
    <w:p>
      <w:pPr>
        <w:pStyle w:val="ListBullet"/>
      </w:pPr>
      <w:r>
        <w:t>Piège du surdosage / Substitution : wash-out 24-36 h avant ARA2.</w:t>
      </w:r>
    </w:p>
    <w:p>
      <w:pPr>
        <w:pStyle w:val="Heading3"/>
      </w:pPr>
      <w:r>
        <w:t>17. DCI : Moexipril + Hydrochlorothiazide (En Association)</w:t>
      </w:r>
    </w:p>
    <w:p>
      <w:r/>
      <w:r>
        <w:rPr>
          <w:b/>
        </w:rPr>
        <w:t>Liste des Catégories :</w:t>
      </w:r>
      <w:r>
        <w:t xml:space="preserve"> Liste I ; antihypertenseur association fixe IEC + diurétique thiazidique. Le moexipril est un IEC de 2ème génération (groupement carboxylé -COOH, prodrogue → moexiprilate actif), proche de l'énalapril mais avec une courte demi-vée (≈ 2-3 h pour la molécule mère, 8-12 h pour le métabolite actif). Sa biodisponibilité est réduite par la nourriture (particularité à signaler — comme le captopril et le périndopril). L'association avec HCTZ est commerciale historique (Schwarz Pharma — Fempress Plus), mais le moexipril en monothérapie n'est pas disponible en Algérie.</w:t>
      </w:r>
    </w:p>
    <w:p>
      <w:r/>
      <w:r>
        <w:rPr>
          <w:b/>
        </w:rPr>
        <w:t>Médicaments disponibles en Algérie (Marques, Laboratoires, Formes et Dosages) :</w:t>
      </w:r>
      <w:r/>
    </w:p>
    <w:p>
      <w:pPr>
        <w:pStyle w:val="ListBullet"/>
      </w:pPr>
      <w:r/>
      <w:r>
        <w:rPr>
          <w:b/>
        </w:rPr>
        <w:t>FEMPRESS PLUS</w:t>
      </w:r>
      <w:r>
        <w:t xml:space="preserve"> (SCHWARZ PHARMA AG) [NR]</w:t>
      </w:r>
    </w:p>
    <w:p>
      <w:pPr>
        <w:pStyle w:val="ListBullet"/>
      </w:pPr>
      <w:r>
        <w:t>Formes et Dosages : Comprimé pelliculé sécable 15 mg/25 mg (B/30)</w:t>
      </w:r>
    </w:p>
    <w:p>
      <w:pPr>
        <w:pStyle w:val="ListBullet"/>
      </w:pPr>
      <w:r>
        <w:t>Statut : Non Renouvelable</w:t>
      </w:r>
    </w:p>
    <w:p>
      <w:r>
        <w:t>Note : à la date de la nomenclature algérienne (Avril 2026), le moexipril + HCTZ n'est plus disponible en marque active — seule la forme Fempress Plus (Schwarz Pharma) subsiste en statut NR. Cette pénurie justifie un switch vers le périndopril + indapamide, le ramipril + HCTZ ou l'énalapril + HCTZ (en cas de retour sur le marché).</w:t>
      </w:r>
    </w:p>
    <w:p>
      <w:r/>
      <w:r>
        <w:rPr>
          <w:b/>
        </w:rPr>
        <w:t>Sous-classe et Mécanisme d'action :</w:t>
      </w:r>
      <w:r/>
    </w:p>
    <w:p>
      <w:pPr>
        <w:pStyle w:val="ListBullet"/>
      </w:pPr>
      <w:r>
        <w:t>Sous-classe : Association fixe IEC (moexipril, groupement carboxylé -COOH, prodrogue) + diurétique thiazidique (HCTZ). Monoprise quotidienne (en raison du métabolite actif longue durée).</w:t>
      </w:r>
    </w:p>
    <w:p>
      <w:pPr>
        <w:pStyle w:val="ListBullet"/>
      </w:pPr>
      <w:r>
        <w:t>Mécanisme d'action : le moexipril est hydrolysé dans le foie en moexiprilate (diacide actif), qui se lie de manière compétitive au zinc de l'ECA. Inhibition de l'ECA plasmatique et tissulaire → vasodilatation, baisse de l'aldostérone, néphroprotection. L'HCTZ inhibe le NCC au tube contourné distal → natriurèse, baisse de la volémie. Synergie pharmacologique entre les deux composants (l'IEC prévient l'activation du SRAA induite par le thiazidique et corrige la perte de K+ thiazidique).</w:t>
      </w:r>
    </w:p>
    <w:p>
      <w:r/>
      <w:r>
        <w:rPr>
          <w:b/>
        </w:rPr>
        <w:t>Profil Pharmacologique :</w:t>
      </w:r>
      <w:r/>
    </w:p>
    <w:p>
      <w:pPr>
        <w:pStyle w:val="ListBullet"/>
      </w:pPr>
      <w:r>
        <w:t>Indications : HTA modérée à sévère non contrôlée par monothérapie.</w:t>
      </w:r>
    </w:p>
    <w:p>
      <w:pPr>
        <w:pStyle w:val="ListBullet"/>
      </w:pPr>
      <w:r>
        <w:t>Contre-indications : angio-œdème sous IEC ; grossesse 2e/3e trimestres ; sténose bilatérale des artères rénales ; hyperkaliémie ; hypokaliémie ; hyponatrémie ; insuffisance rénale sévère (DFG &lt; 30 mL/min) ; hyperuricémie avec goutte ; hypersensibilité sulfamides ; association avec aliskirène/sacubutrile/lithium.</w:t>
      </w:r>
    </w:p>
    <w:p>
      <w:pPr>
        <w:pStyle w:val="ListBullet"/>
      </w:pPr>
      <w:r>
        <w:t>Effets Indésirables : toux sèche (5-20 %) ; angio-œdème (0,1-0,7 %) ; hyperkaliémie ou hypokaliémie ; IRA fonctionnelle ; hypotension de 1ère dose ; hyponatrémie (thiazidique) ; hyperuricémie (thiazidique) ; hyperglycémie (thiazidique) ; céphalées, vertiges, asthénie ; rash ; troubles digestifs ; photosensibilité.</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(1/2 comprimé par jour) chez le sujet âgé, l'insuffisant rénal modéré, ou le patient déjà sous diurétique. Surveillance PA après 1ère dose.</w:t>
      </w:r>
    </w:p>
    <w:p>
      <w:pPr>
        <w:pStyle w:val="ListBullet"/>
      </w:pPr>
      <w:r>
        <w:t>Conduite à Tenir : angio-œdème → arrêt définitif IEC et ARA2, urgence. Hyperkaliémie → arrêt transitoire, restriction potassique, diurétique. Hypokaliémie → supplémentation potassique. Hyponatrémie → arrêt immédiat (en particulier si sévère). Hyperuricémie → surveillance, allopurinol si goutte.</w:t>
      </w:r>
    </w:p>
    <w:p>
      <w:r/>
      <w:r>
        <w:rPr>
          <w:b/>
        </w:rPr>
        <w:t>Interactions Importantes :</w:t>
      </w:r>
      <w:r/>
    </w:p>
    <w:p>
      <w:pPr>
        <w:pStyle w:val="ListBullet"/>
      </w:pPr>
      <w:r/>
      <w:r>
        <w:rPr>
          <w:b/>
        </w:rPr>
        <w:t>Moexipril + HCTZ + AINS</w:t>
      </w:r>
      <w:r>
        <w:t xml:space="preserve"> : triple whammy — baisse effet antihypertenseur + IRA.</w:t>
      </w:r>
    </w:p>
    <w:p>
      <w:pPr>
        <w:pStyle w:val="ListBullet"/>
      </w:pPr>
      <w:r/>
      <w:r>
        <w:rPr>
          <w:b/>
        </w:rPr>
        <w:t>Moexipril + HCTZ + lithium</w:t>
      </w:r>
      <w:r>
        <w:t xml:space="preserve"> : augmentation lithiémie.</w:t>
      </w:r>
    </w:p>
    <w:p>
      <w:pPr>
        <w:pStyle w:val="ListBullet"/>
      </w:pPr>
      <w:r/>
      <w:r>
        <w:rPr>
          <w:b/>
        </w:rPr>
        <w:t>Moexipril + HCTZ + digitaliques</w:t>
      </w:r>
      <w:r>
        <w:t xml:space="preserve"> : hypokaliémie thiazidique favorisant l'intoxication digitalique.</w:t>
      </w:r>
    </w:p>
    <w:p>
      <w:pPr>
        <w:pStyle w:val="ListBullet"/>
      </w:pPr>
      <w:r/>
      <w:r>
        <w:rPr>
          <w:b/>
        </w:rPr>
        <w:t>Moexipril + HCTZ + aliskirène/sacubitril</w:t>
      </w:r>
      <w:r>
        <w:t xml:space="preserve"> : CI absolue.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(IEC) + métabolique (thiazidique).</w:t>
      </w:r>
    </w:p>
    <w:p>
      <w:r/>
      <w:r>
        <w:rPr>
          <w:b/>
        </w:rPr>
        <w:t>Posologie et Mode d'administration (Standard) :</w:t>
      </w:r>
      <w:r/>
    </w:p>
    <w:p>
      <w:pPr>
        <w:pStyle w:val="ListBullet"/>
      </w:pPr>
      <w:r>
        <w:t>Adulte : HTA : 1 comprimé (15 mg/25 mg) une fois par jour (matin), max 1 comprimé × 2/jour.</w:t>
      </w:r>
    </w:p>
    <w:p>
      <w:pPr>
        <w:pStyle w:val="ListBullet"/>
      </w:pPr>
      <w:r>
        <w:t>Sujet âgé : 1/2 comprimé par jour initialement, titration prudente.</w:t>
      </w:r>
    </w:p>
    <w:p>
      <w:pPr>
        <w:pStyle w:val="ListBullet"/>
      </w:pPr>
      <w:r>
        <w:t>Insuffisance rénale : DFG 30-60 mL/min : posologie réduite. DFG &lt; 30 mL/min : CI.</w:t>
      </w:r>
    </w:p>
    <w:p>
      <w:pPr>
        <w:pStyle w:val="ListBullet"/>
      </w:pPr>
      <w:r>
        <w:t>Durée : au long cours.</w:t>
      </w:r>
    </w:p>
    <w:p>
      <w:pPr>
        <w:pStyle w:val="ListBullet"/>
      </w:pPr>
      <w:r>
        <w:t xml:space="preserve">Moment de prise : monoprise matinale, </w:t>
      </w:r>
      <w:r>
        <w:rPr>
          <w:b/>
        </w:rPr>
        <w:t>à jeun</w:t>
      </w:r>
      <w:r>
        <w:t xml:space="preserve"> (la biodisponibilité du moexiprilate est réduite d'environ 40 % par la prise alimentaire — particularité commune avec le captopril et le périndopril).</w:t>
      </w:r>
    </w:p>
    <w:p>
      <w:r/>
      <w:r>
        <w:rPr>
          <w:b/>
        </w:rPr>
        <w:t>Arbitrage et Bénéfices des Formes Galéniques :</w:t>
      </w:r>
      <w:r/>
    </w:p>
    <w:p>
      <w:r>
        <w:t xml:space="preserve">Le moexipril + HCTZ est disponible uniquement en comprimés à 15 mg/25 mg, pelliculés et sécables. La sécabilité permet la titration fine (7,5 mg/12,5 mg à partir d'un comprimé à 15 mg/25 mg). Le conditionnement B/30 correspond à un mois de traitement. Le moexipril + HCTZ est </w:t>
      </w:r>
      <w:r>
        <w:rPr>
          <w:b/>
        </w:rPr>
        <w:t>indisponible en Algérie</w:t>
      </w:r>
      <w:r>
        <w:t xml:space="preserve"> (NR), justifiant les substitutions fréquentes. Le principal atout de cette combinaison était la disponibilité d'un IEC carboxylé en association fixe monoprise, mais sa pénurie algérienne en limite l'intérêt pratique actuel.</w:t>
      </w:r>
    </w:p>
    <w:p>
      <w:r/>
      <w:r>
        <w:rPr>
          <w:b/>
        </w:rPr>
        <w:t>Instructions et Conseils au Patient :</w:t>
      </w:r>
      <w:r/>
    </w:p>
    <w:p>
      <w:pPr>
        <w:pStyle w:val="ListBullet"/>
      </w:pPr>
      <w:r>
        <w:t>Communication au comptoir : « Ce médicament n'est plus disponible en Algérie. Je vous propose de contacter votre prescripteur pour une substitution par un médicament équivalent (périndopril + indapamide, ramipril + HCTZ). Ne pas arrêter votre traitement sans avis médical. »</w:t>
      </w:r>
    </w:p>
    <w:p>
      <w:pPr>
        <w:pStyle w:val="ListBullet"/>
      </w:pPr>
      <w:r>
        <w:t>Mode d'utilisation pratique : prise matinale à jeun, à heure fixe. Tenir un agenda tensionnel.</w:t>
      </w:r>
    </w:p>
    <w:p>
      <w:r/>
      <w:r>
        <w:rPr>
          <w:b/>
        </w:rPr>
        <w:t>Notes, Règles d'Or &amp; Pièges au Comptoir :</w:t>
      </w:r>
      <w:r/>
    </w:p>
    <w:p>
      <w:pPr>
        <w:pStyle w:val="ListBullet"/>
      </w:pPr>
      <w:r>
        <w:t>Piège classique : médicament non disponible en Algérie (NR) — information à transmettre pour substitution.</w:t>
      </w:r>
    </w:p>
    <w:p>
      <w:pPr>
        <w:pStyle w:val="ListBullet"/>
      </w:pPr>
      <w:r>
        <w:t>Piège classique : prendre à jeun (biodisponibilité diminuée par la nourriture — particularité à signaler).</w:t>
      </w:r>
    </w:p>
    <w:p>
      <w:pPr>
        <w:pStyle w:val="ListBullet"/>
      </w:pPr>
      <w:r>
        <w:t>Piège classique : chez la femme enceinte ou planifiant une grossesse, contre-indication absolue.</w:t>
      </w:r>
    </w:p>
    <w:p>
      <w:pPr>
        <w:pStyle w:val="ListBullet"/>
      </w:pPr>
      <w:r>
        <w:t>Règle de prise : monoprise matinale à jeun.</w:t>
      </w:r>
    </w:p>
    <w:p>
      <w:pPr>
        <w:pStyle w:val="ListBullet"/>
      </w:pPr>
      <w:r>
        <w:t>Préparation et Conservation : non applicable (NR).</w:t>
      </w:r>
    </w:p>
    <w:p>
      <w:pPr>
        <w:pStyle w:val="ListBullet"/>
      </w:pPr>
      <w:r>
        <w:t>Piège du surdosage / Substitution : wash-out 24-36 h avant ARA2.</w:t>
      </w:r>
    </w:p>
    <w:p>
      <w:pPr>
        <w:pStyle w:val="Heading3"/>
      </w:pPr>
      <w:r>
        <w:t>18. DCI : Périndopril + Indapamide (En Association)</w:t>
      </w:r>
    </w:p>
    <w:p>
      <w:r/>
      <w:r>
        <w:rPr>
          <w:b/>
        </w:rPr>
        <w:t>Liste des Catégories :</w:t>
      </w:r>
      <w:r>
        <w:t xml:space="preserve"> Liste I ; antihypertenseur association fixe IEC + diurétique thiazidique-like. </w:t>
      </w:r>
      <w:r>
        <w:rPr>
          <w:b/>
        </w:rPr>
        <w:t>Combinaison de référence</w:t>
      </w:r>
      <w:r>
        <w:t xml:space="preserve"> (Servier — Preterax), documentée par les plus grandes études pivot de morbi-mortalité (PROGRESS — prévention de la récidive d'AVC, ADVANCE — néphroprotection et survie du diabète T2, HYVET — HTA du sujet âgé &gt; 80 ans, ASCOT-BPLA — supériorité vs aténolol + diurétique). Le périndopril (IEC 3ème génération, longue durée d'action 24 h) et l'indapamide (thiazidique-like, effet vasodilatateur direct, profil métabolique supérieur à l'HCTZ — moins d'hypokaliémie, d'hyperuricémie, d'hyperglycémie) forment la synergie pharmacologique idéale. Monoprise quotidienne. Disponible en formes arginine et tert-butylamine, avec ratio posologique fixe 8:2,5 (arginine) ou 4:1,25 (erbumine équivalent).</w:t>
      </w:r>
    </w:p>
    <w:p>
      <w:r/>
      <w:r>
        <w:rPr>
          <w:b/>
        </w:rPr>
        <w:t>Médicaments disponibles en Algérie (Marques, Laboratoires, Formes et Dosages) :</w:t>
      </w:r>
      <w:r/>
    </w:p>
    <w:p>
      <w:pPr>
        <w:pStyle w:val="ListBullet"/>
      </w:pPr>
      <w:r/>
      <w:r>
        <w:rPr>
          <w:b/>
        </w:rPr>
        <w:t>PRETERAX ARGININE</w:t>
      </w:r>
      <w:r>
        <w:t xml:space="preserve"> (LES LABORATOIRES SERVIER)</w:t>
      </w:r>
    </w:p>
    <w:p>
      <w:pPr>
        <w:pStyle w:val="ListBullet"/>
      </w:pPr>
      <w:r>
        <w:t>Formes et Dosages : Comprimé pelliculé 2,5 mg/0,625 mg [PILULIER/30] ; Comprimé pelliculé 5 mg/1,25 mg ; Comprimé pelliculé 10 mg/2,5 mg (Bipreterax Arginine)</w:t>
      </w:r>
    </w:p>
    <w:p>
      <w:pPr>
        <w:pStyle w:val="ListBullet"/>
      </w:pPr>
      <w:r>
        <w:t>Statut : Actif</w:t>
      </w:r>
    </w:p>
    <w:p>
      <w:pPr>
        <w:pStyle w:val="ListBullet"/>
      </w:pPr>
      <w:r/>
      <w:r>
        <w:rPr>
          <w:b/>
        </w:rPr>
        <w:t>BIPRETERAX ARGININE</w:t>
      </w:r>
      <w:r>
        <w:t xml:space="preserve"> (LES LABORATOIRES SERVIER)</w:t>
      </w:r>
    </w:p>
    <w:p>
      <w:pPr>
        <w:pStyle w:val="ListBullet"/>
      </w:pPr>
      <w:r>
        <w:t>Formes et Dosages : Comprimé pelliculé 5 mg/1,25 mg [PILULIER/30] ; Comprimé pelliculé 10 mg/2,5 mg [PILULIER/30]</w:t>
      </w:r>
    </w:p>
    <w:p>
      <w:pPr>
        <w:pStyle w:val="ListBullet"/>
      </w:pPr>
      <w:r>
        <w:t>Statut : Actif</w:t>
      </w:r>
    </w:p>
    <w:p>
      <w:pPr>
        <w:pStyle w:val="ListBullet"/>
      </w:pPr>
      <w:r/>
      <w:r>
        <w:rPr>
          <w:b/>
        </w:rPr>
        <w:t>PRETERAX</w:t>
      </w:r>
      <w:r>
        <w:t xml:space="preserve"> (SERVIER) [R] — forme historique erbumine</w:t>
      </w:r>
    </w:p>
    <w:p>
      <w:pPr>
        <w:pStyle w:val="ListBullet"/>
      </w:pPr>
      <w:r/>
      <w:r>
        <w:rPr>
          <w:b/>
        </w:rPr>
        <w:t>BIPRETERAX</w:t>
      </w:r>
      <w:r>
        <w:t xml:space="preserve"> (SERVIER) [R] — forme historique erbumine</w:t>
      </w:r>
    </w:p>
    <w:p>
      <w:pPr>
        <w:pStyle w:val="ListBullet"/>
      </w:pPr>
      <w:r/>
      <w:r>
        <w:rPr>
          <w:b/>
        </w:rPr>
        <w:t>FLUTERAX</w:t>
      </w:r>
      <w:r>
        <w:t xml:space="preserve"> (EL KENDI INDUSTRIE DU MEDICAMENT)</w:t>
      </w:r>
    </w:p>
    <w:p>
      <w:pPr>
        <w:pStyle w:val="ListBullet"/>
      </w:pPr>
      <w:r>
        <w:t>Formes et Dosages : Comprimé pelliculé 2 mg/0,625 mg (B/30) ; Comprimé pelliculé 4 mg/1,25 mg (B/30)</w:t>
      </w:r>
    </w:p>
    <w:p>
      <w:pPr>
        <w:pStyle w:val="ListBullet"/>
      </w:pPr>
      <w:r>
        <w:t>Statut : Actif</w:t>
      </w:r>
    </w:p>
    <w:p>
      <w:pPr>
        <w:pStyle w:val="ListBullet"/>
      </w:pPr>
      <w:r/>
      <w:r>
        <w:rPr>
          <w:b/>
        </w:rPr>
        <w:t>EVERYL</w:t>
      </w:r>
      <w:r>
        <w:t xml:space="preserve"> (LABORATOIRES BEKER)</w:t>
      </w:r>
    </w:p>
    <w:p>
      <w:pPr>
        <w:pStyle w:val="ListBullet"/>
      </w:pPr>
      <w:r>
        <w:t>Formes et Dosages : Comprimé sécable 2 mg/0,625 mg (B/30)</w:t>
      </w:r>
    </w:p>
    <w:p>
      <w:pPr>
        <w:pStyle w:val="ListBullet"/>
      </w:pPr>
      <w:r>
        <w:t>Statut : Actif</w:t>
      </w:r>
    </w:p>
    <w:p>
      <w:pPr>
        <w:pStyle w:val="ListBullet"/>
      </w:pPr>
      <w:r/>
      <w:r>
        <w:rPr>
          <w:b/>
        </w:rPr>
        <w:t>BIEVERYL</w:t>
      </w:r>
      <w:r>
        <w:t xml:space="preserve"> (LABORATOIRES BEKER)</w:t>
      </w:r>
    </w:p>
    <w:p>
      <w:pPr>
        <w:pStyle w:val="ListBullet"/>
      </w:pPr>
      <w:r>
        <w:t>Formes et Dosages : Comprimé sécable 4 mg/1,25 mg (B/30)</w:t>
      </w:r>
    </w:p>
    <w:p>
      <w:pPr>
        <w:pStyle w:val="ListBullet"/>
      </w:pPr>
      <w:r>
        <w:t>Statut : Actif</w:t>
      </w:r>
    </w:p>
    <w:p>
      <w:pPr>
        <w:pStyle w:val="ListBullet"/>
      </w:pPr>
      <w:r/>
      <w:r>
        <w:rPr>
          <w:b/>
        </w:rPr>
        <w:t>BINOVAX</w:t>
      </w:r>
      <w:r>
        <w:t xml:space="preserve"> (NOVAPHARM TRADING SARL) (R) ; Comprimé 4 mg/1,25 mg (B/30)</w:t>
      </w:r>
    </w:p>
    <w:p>
      <w:r>
        <w:t>Note : à la date de la nomenclature algérienne (Avril 2026), le périndopril + indapamide est largement disponible sous 5 marques actives (Preterax Arginine, Bipreterax Arginine, Fluterax, Everyl, Bieveryl), dont le princeps Servier (Preterax/Bipreterax Arginine) et plusieurs génériques. La coexistence des formes erbumine (Preterax/Bipreterax historiques retirés, Fluterax, Everyl, Bieveryl) et arginine (Preterax Arginine, Bipreterax Arginine) impose une attention particulière à la délivrance — équivalence posologique : 5 mg arginine = 4 mg erbumine en activité.</w:t>
      </w:r>
    </w:p>
    <w:p>
      <w:r/>
      <w:r>
        <w:rPr>
          <w:b/>
        </w:rPr>
        <w:t>Sous-classe et Mécanisme d'action :</w:t>
      </w:r>
      <w:r/>
    </w:p>
    <w:p>
      <w:pPr>
        <w:pStyle w:val="ListBullet"/>
      </w:pPr>
      <w:r>
        <w:t>Sous-classe : Association fixe IEC (périndopril, groupement carboxylé -COOH, prodrogue, 3ème génération, longue durée d'action 24 h) + diurétique thiazidique-like (indapamide). Monoprise quotidienne. Combinaison de référence avec la plus forte évidence clinique.</w:t>
      </w:r>
    </w:p>
    <w:p>
      <w:pPr>
        <w:pStyle w:val="ListBullet"/>
      </w:pPr>
      <w:r>
        <w:t>Mécanisme d'action : le périndopril est hydrolysé en périndoprilate (diacide actif), qui inhibe l'ECA plasmatique et tissulaire → vasodilatation, baisse de l'aldostérone, néphroprotection, régression de l'hypertrophie VG. L'indapamide est un sulfonamide apparenté au thiazidique, qui inhibe le NCC au tube contourné distal (natriurèse, baisse de la volémie) mais présente aussi un effet vasodilatateur direct (indépendant du effet diurétique) par inhibition du calcium intracellulaire au niveau des cellules musculaires lisses vasculaires. Synergie pharmacologique parfaite : l'IEC prévient l'activation du SRAA induite par l'indapamide, potentialise l'effet antihypertenseur, et corrige la perte de K+ thiazidique-like.</w:t>
      </w:r>
    </w:p>
    <w:p>
      <w:r/>
      <w:r>
        <w:rPr>
          <w:b/>
        </w:rPr>
        <w:t>Profil Pharmacologique :</w:t>
      </w:r>
      <w:r/>
    </w:p>
    <w:p>
      <w:pPr>
        <w:pStyle w:val="ListBullet"/>
      </w:pPr>
      <w:r>
        <w:t>Indications : HTA essentielle modérée à sévère (1ère intention en cas d'HTA grade 2 ou à haut risque CV) ; HTA du sujet âgé (HYVET — réduction de 30 % de la mortalité totale, 39 % de la mortalité CV et 64 % de l'IC chez les sujets &gt; 80 ans) ; prévention de la récidive d'AVC (PROGRESS — réduction de 43 % de la récidive d'AVC, en particulier hémorragique, chez les patients ayant un antécédent d'AVC ou AIT) ; néphropathie et prévention CV chez le diabétique T2 (ADVANCE — réduction de 14 % de la mortalité totale, 18 % de la mortalité CV, 21 % de la néphropathie) ; HTA avec hypertrophie VG.</w:t>
      </w:r>
    </w:p>
    <w:p>
      <w:pPr>
        <w:pStyle w:val="ListBullet"/>
      </w:pPr>
      <w:r>
        <w:t>Contre-indications : angio-œdème sous IEC ; grossesse 2e/3e trimestres ; sténose bilatérale des artères rénales ; hyperkaliémie ; hypokaliémie ; hyponatrémie ; insuffisance rénale sévère (DFG &lt; 30 mL/min — inefficacité de l'indapamide) ; hypersensibilité sulfamides ; association avec aliskirène/sacubitril/lithium.</w:t>
      </w:r>
    </w:p>
    <w:p>
      <w:pPr>
        <w:pStyle w:val="ListBullet"/>
      </w:pPr>
      <w:r>
        <w:t>Effets Indésirables : toux sèche (5-15 %) ; angio-œdème (0,1-0,7 %) ; hyperkaliémie ou hypokaliémie (effet net variable, surveillance indispensable) ; IRA fonctionnelle ; hypotension de 1ère dose ; hyponatrémie (sujet âgé, femme, hypokaliémie) ; hyperuricémie (indapamide, moins marquée qu'avec HCTZ) ; hyperglycémie (indapamide, moins marquée qu'avec HCTZ) ; allongement du QT (en cas d'hypokaliémie sévère) ; céphalées, vertiges, asthénie ; rash ; troubles digestifs ; photosensibilité.</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(2,5 mg/0,625 mg arginine ou 2 mg/0,625 mg erbumine par jour) chez le sujet âgé, l'insuffisant rénal modéré, ou le patient déjà sous diurétique (arrêt 24-48 h avant pour limiter l'hypotension de 1ère dose). Surveillance PA après 1ère dose.</w:t>
      </w:r>
    </w:p>
    <w:p>
      <w:pPr>
        <w:pStyle w:val="ListBullet"/>
      </w:pPr>
      <w:r>
        <w:t>Conduite à Tenir : angio-œdème → arrêt définitif IEC et ARA2, urgence. Hyperkaliémie → arrêt transitoire, restriction potassique, diurétique. Hypokaliémie → supplémentation potassique, surveillance. Hyponatrémie → arrêt immédiat (en particulier si sévère). Hyperuricémie → surveillance, allopurinol si goutte.</w:t>
      </w:r>
    </w:p>
    <w:p>
      <w:r/>
      <w:r>
        <w:rPr>
          <w:b/>
        </w:rPr>
        <w:t>Interactions Importantes :</w:t>
      </w:r>
      <w:r/>
    </w:p>
    <w:p>
      <w:pPr>
        <w:pStyle w:val="ListBullet"/>
      </w:pPr>
      <w:r/>
      <w:r>
        <w:rPr>
          <w:b/>
        </w:rPr>
        <w:t>Périndopril + Indapamide + AINS</w:t>
      </w:r>
      <w:r>
        <w:t xml:space="preserve"> : triple whammy — baisse effet antihypertenseur + IRA.</w:t>
      </w:r>
    </w:p>
    <w:p>
      <w:pPr>
        <w:pStyle w:val="ListBullet"/>
      </w:pPr>
      <w:r/>
      <w:r>
        <w:rPr>
          <w:b/>
        </w:rPr>
        <w:t>Périndopril + Indapamide + lithium</w:t>
      </w:r>
      <w:r>
        <w:t xml:space="preserve"> : augmentation lithiémie (effet additif — prudence majeure).</w:t>
      </w:r>
    </w:p>
    <w:p>
      <w:pPr>
        <w:pStyle w:val="ListBullet"/>
      </w:pPr>
      <w:r/>
      <w:r>
        <w:rPr>
          <w:b/>
        </w:rPr>
        <w:t>Périndopril + Indapamide + digitaliques</w:t>
      </w:r>
      <w:r>
        <w:t xml:space="preserve"> : hypokaliémie indapamide-like favorisant l'intoxication digitalique.</w:t>
      </w:r>
    </w:p>
    <w:p>
      <w:pPr>
        <w:pStyle w:val="ListBullet"/>
      </w:pPr>
      <w:r/>
      <w:r>
        <w:rPr>
          <w:b/>
        </w:rPr>
        <w:t>Périndopril + Indapamide + médicaments allongeant le QT (amiodarone, certains antibiotiques, certains antipsychotiques)</w:t>
      </w:r>
      <w:r>
        <w:t xml:space="preserve"> : hypokaliémie indapamide-like majorant le risque de torsades de pointes.</w:t>
      </w:r>
    </w:p>
    <w:p>
      <w:pPr>
        <w:pStyle w:val="ListBullet"/>
      </w:pPr>
      <w:r/>
      <w:r>
        <w:rPr>
          <w:b/>
        </w:rPr>
        <w:t>Périndopril + Indapamide + aliskirène/sacubitril</w:t>
      </w:r>
      <w:r>
        <w:t xml:space="preserve"> : CI absolue.</w:t>
      </w:r>
    </w:p>
    <w:p>
      <w:r/>
      <w:r>
        <w:rPr>
          <w:b/>
        </w:rPr>
        <w:t>Grossesse et Allaitement :</w:t>
      </w:r>
      <w:r/>
    </w:p>
    <w:p>
      <w:pPr>
        <w:pStyle w:val="ListBullet"/>
      </w:pPr>
      <w:r>
        <w:t>Grossesse : CI absolue 2e/3e trimestres (IEC + indapamide). 1er trimestre déconseillé. Le thiazidique-like traverse le placenta et peut entraîner une déplétion volémique fœtale, une hypoglycémie néonatale, une thrombopénie néonatale, une hyponatrémie néonatale. Substitution par labétalol, nicardipine, méthyldopa.</w:t>
      </w:r>
    </w:p>
    <w:p>
      <w:pPr>
        <w:pStyle w:val="ListBullet"/>
      </w:pPr>
      <w:r>
        <w:t>Allaitement : l'indapamide passe faiblement dans le lait (mais risque d'inhibition de la lactation). Compatible selon CRAT, à éviter chez le prématuré et le nouveau-né &lt; 2 semaines. Surveillance PA, kaliémie, natrémie et glycémie du nourrisson.</w:t>
      </w:r>
    </w:p>
    <w:p>
      <w:pPr>
        <w:pStyle w:val="ListBullet"/>
      </w:pPr>
      <w:r>
        <w:t>Précisions : risque fœtal rénal principal (IEC) + risque fœtal métabolique (indapamide).</w:t>
      </w:r>
    </w:p>
    <w:p>
      <w:r/>
      <w:r>
        <w:rPr>
          <w:b/>
        </w:rPr>
        <w:t>Posologie et Mode d'administration (Standard) :</w:t>
      </w:r>
      <w:r/>
    </w:p>
    <w:p>
      <w:pPr>
        <w:pStyle w:val="ListBullet"/>
      </w:pPr>
      <w:r>
        <w:t>Adulte : HTA : 1 comprimé (5 mg/1,25 mg arginine ou 4 mg/1,25 mg erbumine) une fois par jour (matin), augmentable à 1 comprimé (10 mg/2,5 mg arginine ou 8 mg/2,5 mg erbumine). Prévention AVC (PROGRESS) : 1 comprimé (10 mg/2,5 mg arginine ou 8 mg/2,5 mg erbumine). Sujet âgé (HYVET) : dose initiale 2,5 mg/0,625 mg arginine, titration prudente à 5 mg/1,25 mg puis 10 mg/2,5 mg si toléré.</w:t>
      </w:r>
    </w:p>
    <w:p>
      <w:pPr>
        <w:pStyle w:val="ListBullet"/>
      </w:pPr>
      <w:r>
        <w:t>Sujet âgé : 2,5 mg/0,625 mg arginine initialement, titration prudente.</w:t>
      </w:r>
    </w:p>
    <w:p>
      <w:pPr>
        <w:pStyle w:val="ListBullet"/>
      </w:pPr>
      <w:r>
        <w:t>Insuffisance rénale : DFG 30-60 mL/min : posologie réduite. DFG &lt; 30 mL/min : CI (inefficacité de l'indapamide).</w:t>
      </w:r>
    </w:p>
    <w:p>
      <w:pPr>
        <w:pStyle w:val="ListBullet"/>
      </w:pPr>
      <w:r>
        <w:t>Durée : au long cours.</w:t>
      </w:r>
    </w:p>
    <w:p>
      <w:pPr>
        <w:pStyle w:val="ListBullet"/>
      </w:pPr>
      <w:r>
        <w:t xml:space="preserve">Moment de prise : monoprise matinale, </w:t>
      </w:r>
      <w:r>
        <w:rPr>
          <w:b/>
        </w:rPr>
        <w:t>à jeun</w:t>
      </w:r>
      <w:r>
        <w:t xml:space="preserve"> (la biodisponibilité du périndoprilate est réduite d'environ 35 % par la prise alimentaire — particularité du périndopril).</w:t>
      </w:r>
    </w:p>
    <w:p>
      <w:r/>
      <w:r>
        <w:rPr>
          <w:b/>
        </w:rPr>
        <w:t>Arbitrage et Bénéfices des Formes Galéniques :</w:t>
      </w:r>
      <w:r/>
    </w:p>
    <w:p>
      <w:r>
        <w:t xml:space="preserve">Le périndopril + indapamide est disponible en comprimés à 2 mg/0,625 mg, 4 mg/1,25 mg (erbumine) et 2,5 mg/0,625 mg, 5 mg/1,25 mg, 10 mg/2,5 mg (arginine), le plus souvent pelliculés et sécables (parfois en pilulier Servier). La diversité des dosages permet une adaptation fine et une titration prudente (2,5 mg/0,625 mg arginine pour la dose initiale chez le sujet âgé ou la première dose ; 10 mg/2,5 mg arginine pour la dose maximale). Le conditionnement B/30 (ou pilulier/30) correspond à un mois de traitement. Le périndopril + indapamide est largement disponible en Algérie sous 5 marques actives, dont le princeps Preterax/Bipreterax Arginine (Servier) et plusieurs génériques (Fluterax, Everyl, Bieveryl). Le principal atout est la </w:t>
      </w:r>
      <w:r>
        <w:rPr>
          <w:b/>
        </w:rPr>
        <w:t>force de l'évidence clinique</w:t>
      </w:r>
      <w:r>
        <w:t xml:space="preserve"> (PROGRESS, ADVANCE, HYVET, ASCOT-BPLA) — c'est l'association fixe IEC + diurétique la mieux documentée en termes de morbi-mortalité, et le médicament de choix pour l'HTA du sujet âgé, la prévention de la récidive d'AVC, et la néphroprotection du diabétique T2. Le profil métabolique de l'indapamide est supérieur à celui de l'HCTZ (moins d'hypokaliémie, d'hyperuricémie, d'hyperglycémie). Le principal inconvénient est la nécessité de prendre à jeun (particularité du périndopril) et la vigilance accrue à la coexistence des selles arginine/erbumine.</w:t>
      </w:r>
    </w:p>
    <w:p>
      <w:r/>
      <w:r>
        <w:rPr>
          <w:b/>
        </w:rPr>
        <w:t>Instructions et Conseils au Patient :</w:t>
      </w:r>
      <w:r/>
    </w:p>
    <w:p>
      <w:pPr>
        <w:pStyle w:val="ListBullet"/>
      </w:pPr>
      <w:r>
        <w:t>Communication au comptoir : « Voici votre traitement antihypertenseur combinant deux médicaments en un seul comprimé. Prenez-le une fois par jour, le matin, à jeun (avant le petit-déjeuner), à heure fixe. Ne l'arrêtez pas sans avis médical. Une toux sèche peut survenir — signalez-la. Levez-vous lentement pour éviter les vertiges. Évitez les AINS sans avis (ibuprofène). Évitez les sels de régime riches en potassium. Signalez toute diarrhée ou vomissement. Strictement interdit pendant la grossesse. »</w:t>
      </w:r>
    </w:p>
    <w:p>
      <w:pPr>
        <w:pStyle w:val="ListBullet"/>
      </w:pPr>
      <w:r>
        <w:t>Mode d'utilisation pratique : prise matinale à jeun, à heure fixe. Tenir un agenda tensionnel. Apporter les résultats biologiques (créatinine, kaliémie, natrémie, uricémie, glycémie).</w:t>
      </w:r>
    </w:p>
    <w:p>
      <w:r/>
      <w:r>
        <w:rPr>
          <w:b/>
        </w:rPr>
        <w:t>Notes, Règles d'Or &amp; Pièges au Comptoir :</w:t>
      </w:r>
      <w:r/>
    </w:p>
    <w:p>
      <w:pPr>
        <w:pStyle w:val="ListBullet"/>
      </w:pPr>
      <w:r>
        <w:t>Piège classique : prendre à jeun (biodisponibilité diminuée par la nourriture).</w:t>
      </w:r>
    </w:p>
    <w:p>
      <w:pPr>
        <w:pStyle w:val="ListBullet"/>
      </w:pPr>
      <w:r>
        <w:t>Piège classique : ne pas confondre les selles (arginine vs erbumine) — toujours vérifier la correspondance posologique 5 mg arginine = 4 mg erbumine.</w:t>
      </w:r>
    </w:p>
    <w:p>
      <w:pPr>
        <w:pStyle w:val="ListBullet"/>
      </w:pPr>
      <w:r>
        <w:t>Piège classique : triple whammy (IEC + AINS + diurétique) chez le sujet âgé déshydraté — déconseiller formellement l'automédication par AINS.</w:t>
      </w:r>
    </w:p>
    <w:p>
      <w:pPr>
        <w:pStyle w:val="ListBullet"/>
      </w:pPr>
      <w:r>
        <w:t>Piège classique : chez la femme enceinte ou planifiant une grossesse, contre-indication absolue.</w:t>
      </w:r>
    </w:p>
    <w:p>
      <w:pPr>
        <w:pStyle w:val="ListBullet"/>
      </w:pPr>
      <w:r>
        <w:t>Piège classique : chez le sujet &gt; 80 ans, démarrer à la dose la plus faible (2,5 mg/0,625 mg arginine) et titrer prudemment (HYVET).</w:t>
      </w:r>
    </w:p>
    <w:p>
      <w:pPr>
        <w:pStyle w:val="ListBullet"/>
      </w:pPr>
      <w:r>
        <w:t>Règle de prise : monoprise matinale à jeun.</w:t>
      </w:r>
    </w:p>
    <w:p>
      <w:pPr>
        <w:pStyle w:val="ListBullet"/>
      </w:pPr>
      <w:r>
        <w:t>Préparation et Conservation : température &lt; 25 °C, à l'abri de l'humidité.</w:t>
      </w:r>
    </w:p>
    <w:p>
      <w:pPr>
        <w:pStyle w:val="ListBullet"/>
      </w:pPr>
      <w:r>
        <w:t>Piège du surdosage / Substitution : hypotension, hyperkaliémie, hyponatrémie. Wash-out 24-36 h avant ARA2.</w:t>
      </w:r>
    </w:p>
    <w:p>
      <w:pPr>
        <w:pStyle w:val="Heading3"/>
      </w:pPr>
      <w:r>
        <w:t>19. DCI : Quinapril + Hydrochlorothiazide (En Association)</w:t>
      </w:r>
    </w:p>
    <w:p>
      <w:r/>
      <w:r>
        <w:rPr>
          <w:b/>
        </w:rPr>
        <w:t>Liste des Catégories :</w:t>
      </w:r>
      <w:r>
        <w:t xml:space="preserve"> Liste I ; antihypertenseur association fixe IEC + diurétique thiazidique. Combinaison historique des années 1990 (Pfizer — Acuilix). Le quinapril (IEC de 2ème génération, groupement carboxylé -COOH, prodrogue, forte affinité tissulaire) et l'HCTZ (diurétique thiazidique de référence) forment une association monoprise quotidienne.</w:t>
      </w:r>
    </w:p>
    <w:p>
      <w:r/>
      <w:r>
        <w:rPr>
          <w:b/>
        </w:rPr>
        <w:t>Médicaments disponibles en Algérie (Marques, Laboratoires, Formes et Dosages) :</w:t>
      </w:r>
      <w:r/>
    </w:p>
    <w:p>
      <w:pPr>
        <w:pStyle w:val="ListBullet"/>
      </w:pPr>
      <w:r/>
      <w:r>
        <w:rPr>
          <w:b/>
        </w:rPr>
        <w:t>ACUILIX</w:t>
      </w:r>
      <w:r>
        <w:t xml:space="preserve"> (PFIZER HOLDING FRANCE)</w:t>
      </w:r>
    </w:p>
    <w:p>
      <w:pPr>
        <w:pStyle w:val="ListBullet"/>
      </w:pPr>
      <w:r>
        <w:t>Formes et Dosages : Comprimé pelliculé sécable 20 mg/12,5 mg (B/28)</w:t>
      </w:r>
    </w:p>
    <w:p>
      <w:pPr>
        <w:pStyle w:val="ListBullet"/>
      </w:pPr>
      <w:r>
        <w:t>Statut : Actif</w:t>
      </w:r>
    </w:p>
    <w:p>
      <w:pPr>
        <w:pStyle w:val="ListBullet"/>
      </w:pPr>
      <w:r/>
      <w:r>
        <w:rPr>
          <w:b/>
        </w:rPr>
        <w:t>QUINAPRIL / HYDROCHLOROTHIAZIDE WINTHROP</w:t>
      </w:r>
      <w:r>
        <w:t xml:space="preserve"> (SANOFI-AVENTIS FRANCE) (R)</w:t>
      </w:r>
    </w:p>
    <w:p>
      <w:pPr>
        <w:pStyle w:val="ListBullet"/>
      </w:pPr>
      <w:r>
        <w:t>Formes et Dosages : Comprimé pelliculé sécable 20 mg/12,5 mg (B/30)</w:t>
      </w:r>
    </w:p>
    <w:p>
      <w:pPr>
        <w:pStyle w:val="ListBullet"/>
      </w:pPr>
      <w:r>
        <w:t>Statut : Retiré</w:t>
      </w:r>
    </w:p>
    <w:p>
      <w:r>
        <w:t>Note : à la date de la nomenclature algérienne (Avril 2026), le quinapril + HCTZ est disponible uniquement sous la marque Acuilix (Pfizer) — une seule marque active. Cette monopole de marque a des implications en termes d'approvisionnement et de coût.</w:t>
      </w:r>
    </w:p>
    <w:p>
      <w:r/>
      <w:r>
        <w:rPr>
          <w:b/>
        </w:rPr>
        <w:t>Sous-classe et Mécanisme d'action :</w:t>
      </w:r>
      <w:r/>
    </w:p>
    <w:p>
      <w:pPr>
        <w:pStyle w:val="ListBullet"/>
      </w:pPr>
      <w:r>
        <w:t>Sous-classe : Association fixe IEC (quinapril, groupement carboxylé -COOH, prodrogue) + diurétique thiazidique (HCTZ). Monoprise quotidienne.</w:t>
      </w:r>
    </w:p>
    <w:p>
      <w:pPr>
        <w:pStyle w:val="ListBullet"/>
      </w:pPr>
      <w:r>
        <w:t>Mécanisme d'action : le quinapril est hydrolysé dans le foie en quinaprilate (diacide actif), qui se lie de manière compétitive au zinc de l'ECA. Inhibition de l'ECA plasmatique et tissulaire (forte affinité vasculaire et cardiaque) → vasodilatation, baisse de l'aldostérone, néphroprotection. L'HCTZ inhibe le NCC au tube contourné distal → natriurèse, baisse de la volémie. Synergie pharmacologique entre les deux composants.</w:t>
      </w:r>
    </w:p>
    <w:p>
      <w:r/>
      <w:r>
        <w:rPr>
          <w:b/>
        </w:rPr>
        <w:t>Profil Pharmacologique :</w:t>
      </w:r>
      <w:r/>
    </w:p>
    <w:p>
      <w:pPr>
        <w:pStyle w:val="ListBullet"/>
      </w:pPr>
      <w:r>
        <w:t>Indications : HTA modérée à sévère non contrôlée par monothérapie.</w:t>
      </w:r>
    </w:p>
    <w:p>
      <w:pPr>
        <w:pStyle w:val="ListBullet"/>
      </w:pPr>
      <w:r>
        <w:t>Contre-indications : angio-œdème sous IEC ; grossesse 2e/3e trimestres ; sténose bilatérale des artères rénales ; hyperkaliémie ; hypokaliémie ; hyponatrémie ; insuffisance rénale sévère (DFG &lt; 30 mL/min) ; hyperuricémie avec goutte ; hypersensibilité sulfamides ; association avec aliskirène/sacubitril/lithium.</w:t>
      </w:r>
    </w:p>
    <w:p>
      <w:pPr>
        <w:pStyle w:val="ListBullet"/>
      </w:pPr>
      <w:r>
        <w:t>Effets Indésirables : toux sèche (5-15 %) ; angio-œdème (0,1-0,7 %) ; hyperkaliémie ou hypokaliémie ; IRA fonctionnelle ; hypotension de 1ère dose ; hyponatrémie (thiazidique) ; hyperuricémie (thiazidique) ; hyperglycémie (thiazidique) ; céphalées, vertiges, asthénie ; rash ; troubles digestifs ; photosensibilité.</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(1/2 comprimé par jour) chez le sujet âgé, l'insuffisant rénal modéré, ou le patient déjà sous diurétique. Surveillance PA après 1ère dose.</w:t>
      </w:r>
    </w:p>
    <w:p>
      <w:pPr>
        <w:pStyle w:val="ListBullet"/>
      </w:pPr>
      <w:r>
        <w:t>Conduite à Tenir : angio-œdème → arrêt définitif IEC et ARA2, urgence. Hyperkaliémie → arrêt transitoire, restriction potassique, diurétique. Hypokaliémie → supplémentation potassique. Hyponatrémie → arrêt immédiat (en particulier si sévère). Hyperuricémie → surveillance, allopurinol si goutte.</w:t>
      </w:r>
    </w:p>
    <w:p>
      <w:r/>
      <w:r>
        <w:rPr>
          <w:b/>
        </w:rPr>
        <w:t>Interactions Importantes :</w:t>
      </w:r>
      <w:r/>
    </w:p>
    <w:p>
      <w:pPr>
        <w:pStyle w:val="ListBullet"/>
      </w:pPr>
      <w:r/>
      <w:r>
        <w:rPr>
          <w:b/>
        </w:rPr>
        <w:t>Quinapril + HCTZ + AINS</w:t>
      </w:r>
      <w:r>
        <w:t xml:space="preserve"> : triple whammy — baisse effet antihypertenseur + IRA.</w:t>
      </w:r>
    </w:p>
    <w:p>
      <w:pPr>
        <w:pStyle w:val="ListBullet"/>
      </w:pPr>
      <w:r/>
      <w:r>
        <w:rPr>
          <w:b/>
        </w:rPr>
        <w:t>Quinapril + HCTZ + lithium</w:t>
      </w:r>
      <w:r>
        <w:t xml:space="preserve"> : augmentation lithiémie.</w:t>
      </w:r>
    </w:p>
    <w:p>
      <w:pPr>
        <w:pStyle w:val="ListBullet"/>
      </w:pPr>
      <w:r/>
      <w:r>
        <w:rPr>
          <w:b/>
        </w:rPr>
        <w:t>Quinapril + HCTZ + digitaliques</w:t>
      </w:r>
      <w:r>
        <w:t xml:space="preserve"> : hypokaliémie thiazidique favorisant l'intoxication digitalique.</w:t>
      </w:r>
    </w:p>
    <w:p>
      <w:pPr>
        <w:pStyle w:val="ListBullet"/>
      </w:pPr>
      <w:r/>
      <w:r>
        <w:rPr>
          <w:b/>
        </w:rPr>
        <w:t>Quinapril + HCTZ + aliskirène/sacubitril</w:t>
      </w:r>
      <w:r>
        <w:t xml:space="preserve"> : CI absolue.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(IEC) + métabolique (thiazidique).</w:t>
      </w:r>
    </w:p>
    <w:p>
      <w:r/>
      <w:r>
        <w:rPr>
          <w:b/>
        </w:rPr>
        <w:t>Posologie et Mode d'administration (Standard) :</w:t>
      </w:r>
      <w:r/>
    </w:p>
    <w:p>
      <w:pPr>
        <w:pStyle w:val="ListBullet"/>
      </w:pPr>
      <w:r>
        <w:t>Adulte : HTA : 1 comprimé (20 mg/12,5 mg) une fois par jour (matin), max 1 comprimé × 2/jour (rare).</w:t>
      </w:r>
    </w:p>
    <w:p>
      <w:pPr>
        <w:pStyle w:val="ListBullet"/>
      </w:pPr>
      <w:r>
        <w:t>Sujet âgé : 1/2 comprimé par jour initialement, titration prudente.</w:t>
      </w:r>
    </w:p>
    <w:p>
      <w:pPr>
        <w:pStyle w:val="ListBullet"/>
      </w:pPr>
      <w:r>
        <w:t>Insuffisance rénale : DFG 30-60 mL/min : posologie réduite. DFG &lt; 30 mL/min : CI.</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quinapril + HCTZ est disponible en comprimés à 20 mg/12,5 mg, pelliculés et sécables. La sécabilité permet la titration fine (10 mg/6,25 mg à partir d'un comprimé à 20 mg/12,5 mg). Le conditionnement B/28 correspond à un mois de traitement. Le quinapril + HCTZ est disponible en Algérie sous une seule marque active (Acuilix, Pfizer) — disponibilité limitée mais suffisante pour la pratique courante. Le principal atout de cette combinaison est la monoprise quotidienne et la forte affinité tissulaire du quinapril. Le principal inconvénient est la monomarque algérienne (risque de rupture d'approvisionnement).</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Une toux sèche peut survenir — signalez-la.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disponibilité algérienne exclusive sous Acuilix (Pfizer) — risque de rupture d'approvisionnement.</w:t>
      </w:r>
    </w:p>
    <w:p>
      <w:pPr>
        <w:pStyle w:val="ListBullet"/>
      </w:pPr>
      <w:r>
        <w:t>Piège classique : triple whammy (IEC + AINS + diurétique) chez le sujet âgé déshydraté.</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24-36 h avant ARA2.</w:t>
      </w:r>
    </w:p>
    <w:p>
      <w:pPr>
        <w:pStyle w:val="Heading3"/>
      </w:pPr>
      <w:r>
        <w:t>20. DCI : Ramipril + Hydrochlorothiazide (En Association)</w:t>
      </w:r>
    </w:p>
    <w:p>
      <w:r/>
      <w:r>
        <w:rPr>
          <w:b/>
        </w:rPr>
        <w:t>Liste des Catégories :</w:t>
      </w:r>
      <w:r>
        <w:t xml:space="preserve"> Liste I ; antihypertenseur association fixe IEC + diurétique thiazidique. Combinaison moderne des années 1990 (Sanofi — Tritazide). Le ramipril (IEC de 3ème génération, longue durée d'action 24 h, documentation HOPE) et l'HCTZ (diurétique thiazidique de référence) forment une association monoprise quotidienne.</w:t>
      </w:r>
    </w:p>
    <w:p>
      <w:r/>
      <w:r>
        <w:rPr>
          <w:b/>
        </w:rPr>
        <w:t>Médicaments disponibles en Algérie (Marques, Laboratoires, Formes et Dosages) :</w:t>
      </w:r>
      <w:r/>
    </w:p>
    <w:p>
      <w:pPr>
        <w:pStyle w:val="ListBullet"/>
      </w:pPr>
      <w:r/>
      <w:r>
        <w:rPr>
          <w:b/>
        </w:rPr>
        <w:t>TRITAZIDE</w:t>
      </w:r>
      <w:r>
        <w:t xml:space="preserve"> (SANOFI AVENTIS ALGERIE)</w:t>
      </w:r>
    </w:p>
    <w:p>
      <w:pPr>
        <w:pStyle w:val="ListBullet"/>
      </w:pPr>
      <w:r>
        <w:t>Formes et Dosages : Comprimé 5 mg/12,5 mg (B/28) ; Comprimé 10 mg/12,5 mg (B/28) ; Comprimé 10 mg/25 mg (B/28)</w:t>
      </w:r>
    </w:p>
    <w:p>
      <w:pPr>
        <w:pStyle w:val="ListBullet"/>
      </w:pPr>
      <w:r>
        <w:t>Statut : Actif</w:t>
      </w:r>
    </w:p>
    <w:p>
      <w:pPr>
        <w:pStyle w:val="ListBullet"/>
      </w:pPr>
      <w:r/>
      <w:r>
        <w:rPr>
          <w:b/>
        </w:rPr>
        <w:t>RAMITRIM PLUS</w:t>
      </w:r>
      <w:r>
        <w:t xml:space="preserve"> (EL KENDI INDUSTRIE DU MEDICAMENT)</w:t>
      </w:r>
    </w:p>
    <w:p>
      <w:pPr>
        <w:pStyle w:val="ListBullet"/>
      </w:pPr>
      <w:r>
        <w:t>Formes et Dosages : Comprimé 5 mg/12,5 mg (B/30) ; Comprimé 10 mg/12,5 mg (B/30) ; Comprimé 10 mg/25 mg (B/30)</w:t>
      </w:r>
    </w:p>
    <w:p>
      <w:pPr>
        <w:pStyle w:val="ListBullet"/>
      </w:pPr>
      <w:r>
        <w:t>Statut : Actif</w:t>
      </w:r>
    </w:p>
    <w:p>
      <w:pPr>
        <w:pStyle w:val="ListBullet"/>
      </w:pPr>
      <w:r/>
      <w:r>
        <w:rPr>
          <w:b/>
        </w:rPr>
        <w:t>TANATRIL +</w:t>
      </w:r>
      <w:r>
        <w:t xml:space="preserve"> (PHARMALLIANCE)</w:t>
      </w:r>
    </w:p>
    <w:p>
      <w:pPr>
        <w:pStyle w:val="ListBullet"/>
      </w:pPr>
      <w:r>
        <w:t>Formes et Dosages : Comprimé 5 mg/12,5 mg (B/30) ; Comprimé 10 mg/12,5 mg (B/30) ; Comprimé 10 mg/25 mg (B/30)</w:t>
      </w:r>
    </w:p>
    <w:p>
      <w:pPr>
        <w:pStyle w:val="ListBullet"/>
      </w:pPr>
      <w:r>
        <w:t>Statut : Actif</w:t>
      </w:r>
    </w:p>
    <w:p>
      <w:pPr>
        <w:pStyle w:val="ListBullet"/>
      </w:pPr>
      <w:r/>
      <w:r>
        <w:rPr>
          <w:b/>
        </w:rPr>
        <w:t>CORENIPRIL</w:t>
      </w:r>
      <w:r>
        <w:t xml:space="preserve"> (GROUPE SAIDAL) [NR]</w:t>
      </w:r>
    </w:p>
    <w:p>
      <w:pPr>
        <w:pStyle w:val="ListBullet"/>
      </w:pPr>
      <w:r>
        <w:t>Formes et Dosages : Comprimé sécable 5 mg/12,5 mg (B/40) ; Comprimé sécable 10 mg/25 mg (B/40)</w:t>
      </w:r>
    </w:p>
    <w:p>
      <w:pPr>
        <w:pStyle w:val="ListBullet"/>
      </w:pPr>
      <w:r>
        <w:t>Statut : Non Renouvelable</w:t>
      </w:r>
    </w:p>
    <w:p>
      <w:r>
        <w:t>Note : à la date de la nomenclature algérienne (Avril 2026), le ramipril + HCTZ est largement disponible sous 3 marques actives (Tritazide, Ramitrim Plus, Tanatril+) et 1 NR (Corenipril), dont le princeps Tritazide (Sanofi Aventis Algérie, produit local) et plusieurs génériques.</w:t>
      </w:r>
    </w:p>
    <w:p>
      <w:r/>
      <w:r>
        <w:rPr>
          <w:b/>
        </w:rPr>
        <w:t>Sous-classe et Mécanisme d'action :</w:t>
      </w:r>
      <w:r/>
    </w:p>
    <w:p>
      <w:pPr>
        <w:pStyle w:val="ListBullet"/>
      </w:pPr>
      <w:r>
        <w:t>Sous-classe : Association fixe IEC (ramipril, groupement carboxylé -COOH, prodrogue, 3ème génération, longue durée d'action 24 h) + diurétique thiazidique (HCTZ). Monoprise quotidienne.</w:t>
      </w:r>
    </w:p>
    <w:p>
      <w:pPr>
        <w:pStyle w:val="ListBullet"/>
      </w:pPr>
      <w:r>
        <w:t>Mécanisme d'action : le ramipril est hydrolysé dans le foie en ramiprilate (diacide actif), qui inhibe l'ECA plasmatique et tissulaire → vasodilatation, baisse de l'aldostérone, néphroprotection, régression de l'hypertrophie VG. L'HCTZ inhibe le NCC au tube contourné distal → natriurèse, baisse de la volémie. Synergie pharmacologique entre les deux composants.</w:t>
      </w:r>
    </w:p>
    <w:p>
      <w:r/>
      <w:r>
        <w:rPr>
          <w:b/>
        </w:rPr>
        <w:t>Profil Pharmacologique :</w:t>
      </w:r>
      <w:r/>
    </w:p>
    <w:p>
      <w:pPr>
        <w:pStyle w:val="ListBullet"/>
      </w:pPr>
      <w:r>
        <w:t>Indications : HTA modérée à sévère non contrôlée par monothérapie ; HTA du sujet âgé ; HTA systolique isolée ; prévention CV secondaire chez le patient à haut risque (HOPE — mais l'ajout d'HCTZ n'a pas été spécifiquement étudié).</w:t>
      </w:r>
    </w:p>
    <w:p>
      <w:pPr>
        <w:pStyle w:val="ListBullet"/>
      </w:pPr>
      <w:r>
        <w:t>Contre-indications : angio-œdème sous IEC ; grossesse 2e/3e trimestres ; sténose bilatérale des artères rénales ; hyperkaliémie ; hypokaliémie ; hyponatrémie ; insuffisance rénale sévère (DFG &lt; 30 mL/min) ; hyperuricémie avec goutte ; hypersensibilité sulfamides ; association avec aliskirène/sacubitril/lithium.</w:t>
      </w:r>
    </w:p>
    <w:p>
      <w:pPr>
        <w:pStyle w:val="ListBullet"/>
      </w:pPr>
      <w:r>
        <w:t>Effets Indésirables : toux sèche (5-15 %) ; angio-œdème (0,1-0,7 %) ; hyperkaliémie ou hypokaliémie ; IRA fonctionnelle ; hypotension de 1ère dose ; hyponatrémie (thiazidique) ; hyperuricémie (thiazidique) ; hyperglycémie (thiazidique) ; céphalées, vertiges, asthénie ; rash ; troubles digestifs ; photosensibilité.</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(1/2 comprimé 5 mg/12,5 mg par jour) chez le sujet âgé, l'insuffisant rénal modéré, ou le patient déjà sous diurétique. Surveillance PA après 1ère dose.</w:t>
      </w:r>
    </w:p>
    <w:p>
      <w:pPr>
        <w:pStyle w:val="ListBullet"/>
      </w:pPr>
      <w:r>
        <w:t>Conduite à Tenir : angio-œdème → arrêt définitif IEC et ARA2, urgence. Hyperkaliémie → arrêt transitoire, restriction potassique, diurétique. Hypokaliémie → supplémentation potassique. Hyponatrémie → arrêt immédiat (en particulier si sévère). Hyperuricémie → surveillance, allopurinol si goutte.</w:t>
      </w:r>
    </w:p>
    <w:p>
      <w:r/>
      <w:r>
        <w:rPr>
          <w:b/>
        </w:rPr>
        <w:t>Interactions Importantes :</w:t>
      </w:r>
      <w:r/>
    </w:p>
    <w:p>
      <w:pPr>
        <w:pStyle w:val="ListBullet"/>
      </w:pPr>
      <w:r/>
      <w:r>
        <w:rPr>
          <w:b/>
        </w:rPr>
        <w:t>Ramipril + HCTZ + AINS</w:t>
      </w:r>
      <w:r>
        <w:t xml:space="preserve"> : triple whammy — baisse effet antihypertenseur + IRA.</w:t>
      </w:r>
    </w:p>
    <w:p>
      <w:pPr>
        <w:pStyle w:val="ListBullet"/>
      </w:pPr>
      <w:r/>
      <w:r>
        <w:rPr>
          <w:b/>
        </w:rPr>
        <w:t>Ramipril + HCTZ + lithium</w:t>
      </w:r>
      <w:r>
        <w:t xml:space="preserve"> : augmentation lithiémie.</w:t>
      </w:r>
    </w:p>
    <w:p>
      <w:pPr>
        <w:pStyle w:val="ListBullet"/>
      </w:pPr>
      <w:r/>
      <w:r>
        <w:rPr>
          <w:b/>
        </w:rPr>
        <w:t>Ramipril + HCTZ + digitaliques</w:t>
      </w:r>
      <w:r>
        <w:t xml:space="preserve"> : hypokaliémie thiazidique favorisant l'intoxication digitalique.</w:t>
      </w:r>
    </w:p>
    <w:p>
      <w:pPr>
        <w:pStyle w:val="ListBullet"/>
      </w:pPr>
      <w:r/>
      <w:r>
        <w:rPr>
          <w:b/>
        </w:rPr>
        <w:t>Ramipril + HCTZ + aliskirène/sacubitril</w:t>
      </w:r>
      <w:r>
        <w:t xml:space="preserve"> : CI absolue.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(IEC) + métabolique (thiazidique).</w:t>
      </w:r>
    </w:p>
    <w:p>
      <w:r/>
      <w:r>
        <w:rPr>
          <w:b/>
        </w:rPr>
        <w:t>Posologie et Mode d'administration (Standard) :</w:t>
      </w:r>
      <w:r/>
    </w:p>
    <w:p>
      <w:pPr>
        <w:pStyle w:val="ListBullet"/>
      </w:pPr>
      <w:r>
        <w:t>Adulte : HTA : 1 comprimé (5 mg/12,5 mg) une fois par jour (matin), augmentable à 10 mg/12,5 mg ou 10 mg/25 mg. Max 1 comprimé 10 mg/25 mg par jour.</w:t>
      </w:r>
    </w:p>
    <w:p>
      <w:pPr>
        <w:pStyle w:val="ListBullet"/>
      </w:pPr>
      <w:r>
        <w:t>Sujet âgé : 1/2 comprimé 5 mg/12,5 mg par jour initialement, titration prudente.</w:t>
      </w:r>
    </w:p>
    <w:p>
      <w:pPr>
        <w:pStyle w:val="ListBullet"/>
      </w:pPr>
      <w:r>
        <w:t>Insuffisance rénale : DFG 30-60 mL/min : posologie réduite. DFG &lt; 30 mL/min : CI.</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ramipril + HCTZ est disponible en comprimés à 5 mg/12,5 mg, 10 mg/12,5 mg et 10 mg/25 mg. La diversité des dosages permet une adaptation fine et une titration prudente (5 mg/12,5 mg pour la dose initiale ou la première dose ; 10 mg/12,5 mg pour la dose modérée ; 10 mg/25 mg pour la dose maximale). Le conditionnement B/28 ou B/30 correspond à un mois de traitement. Le ramipril + HCTZ est largement disponible en Algérie sous 3 marques actives, dont le princeps Tritazide (Sanofi Aventis Algérie) et plusieurs génériques (Ramitrim Plus, Tanatril+). Le principal atout de cette combinaison est la monoprise quotidienne et l'efficacité démontrée du ramipril en prévention CV secondaire (HOPE). Le principal inconvénient est le profil métabolique de l'HCTZ (hypokaliémie, hyperuricémie, hyperglycémie) — inférieur à celui de l'indapamide du périndopril + indapamide.</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Une toux sèche peut survenir — signalez-la.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triple whammy (IEC + AINS + diurétique) chez le sujet âgé déshydraté.</w:t>
      </w:r>
    </w:p>
    <w:p>
      <w:pPr>
        <w:pStyle w:val="ListBullet"/>
      </w:pPr>
      <w:r>
        <w:t>Piège classique : chez la femme enceinte ou planifiant une grossesse, contre-indication absolue.</w:t>
      </w:r>
    </w:p>
    <w:p>
      <w:pPr>
        <w:pStyle w:val="ListBullet"/>
      </w:pPr>
      <w:r>
        <w:t>Piège classique : disponibilité de 3 dosages (5/12,5, 10/12,5, 10/25) — vigilance à la délivrance.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24-36 h avant ARA2.</w:t>
      </w:r>
    </w:p>
    <w:p>
      <w:pPr>
        <w:pStyle w:val="Heading2"/>
      </w:pPr>
      <w:r>
        <w:t>SOUS-CLASSE 4 — ASSOCIATIONS FIXES ARA2 + DIURÉTIQUES</w:t>
      </w:r>
    </w:p>
    <w:p>
      <w:pPr>
        <w:pStyle w:val="Heading3"/>
      </w:pPr>
      <w:r>
        <w:t>Introduction de la sous-classe</w:t>
      </w:r>
    </w:p>
    <w:p>
      <w:r>
        <w:t>Les associations fixes ARA2 + diurétiques représentent une alternative de choix aux associations IEC + diurétiques, en particulier en cas d'intolérance aux IEC (toux sèche, angio-œdème). Elles sont indiquées dans l'HTA modérée à sévère, l'HTA du sujet âgé, l'HTA résistante, et en seconde intention après échec d'une monothérapie par ARA2. L'association ARA2 + thiazidique est synergique sur le plan pharmacologique et physiopathologique : (i) le thiazidique augmente la natriurèse et diminue la volémie, ce qui stimule transitoirement le SRAA ; (ii) l'ARA2 bloque cette activation du SRAA en bloquant le récepteur AT1, potentialisant l'effet antihypertenseur et prévenant la perte de K+ et la hausse de l'acide urique thiazidique. La synergie est équivalente à celle observée avec les associations IEC + diurétique, mais avec une meilleure tolérance (pas de toux, moins d'angio-œdème).</w:t>
      </w:r>
    </w:p>
    <w:p>
      <w:r>
        <w:t>Les associations fixes ARA2 + diurétiques disponibles en Algérie sont : azilsartan + chlorthalidone, candésartan + HCTZ, irbésartan + HCTZ, losartan + HCTZ, telmisartan + HCTZ, valsartan + HCTZ. La particularité de l'</w:t>
      </w:r>
      <w:r>
        <w:rPr>
          <w:b/>
        </w:rPr>
        <w:t>azilsartan + chlorthalidone</w:t>
      </w:r>
      <w:r>
        <w:t xml:space="preserve"> (Edarbyclor) mérite d'être soulignée : la chlorthalidone est un diurétique thiazidique-like (sulfonamide apparenté) de référence selon les recommandations 2017 ACC/AHA, avec une durée d'action plus longue (24-48 h vs 12-15 h pour l'HCTZ) et une meilleure efficacité tensionnelle à dose équivalente, mais un risque majoré d'hypokaliémie et d'hyponatrémie (donc surveillance accrue).</w:t>
      </w:r>
    </w:p>
    <w:p>
      <w:r>
        <w:t>Les associations fixes ARA2 + diurétique partagent les contre-indications et précautions des deux composants : CI absolue de l'ARA2 (angio-œdème sous IEC — contre-indication croisée rare mais possible avec ARA2 ; grossesse 2e/3e trimestres ; sténose bilatérale des artères rénales ; hyperkaliémie) ; CI du thiazidique (insuffisance rénale sévère DFG &lt; 30 mL/min — inefficacité ; hypersensibilité aux sulfamides ; hyponatrémie ; hypokaliémie ; hyperuricémie avec goutte) ; surveillance stricte de la kaliémie (effet antagonique : l'ARA2 augmente, le thiazidique diminue — effet net variable), de la créatinine (risque d'IRA fonctionnelle en cas d'hypovolémie), de la natrémie (hyponatrémie thiazidique — sujet âgé, femme, hypokaliémie préexistante), et de l'uricémie (hyperuricémie thiazidique).</w:t>
      </w:r>
    </w:p>
    <w:p>
      <w:pPr>
        <w:pStyle w:val="Heading3"/>
      </w:pPr>
      <w:r>
        <w:t>Médicaments disponibles en Algérie (vue d'ensemble)</w:t>
      </w:r>
    </w:p>
    <w:p>
      <w:r>
        <w:t>Six associations fixes ARA2 + diurétiques sont présentes dans la nomenclature algérienne : azilsartan + chlorthalidone (Edarbyclor — 1 marque active), candésartan + HCTZ (Blopress Plus, Canderax Plus, Cardaxel Plus, Co-Sarcand, Co-Atabek, Hytacand, Sartacand Plus, Hytasartan — 8 marques actives), irbésartan + HCTZ (CoAprovel, CoAprosart, Co-Aradex, CoAravel, Co-Irbedim, Co-Irbek, Co-Irbezart, Cozibrat, Gizlan-Plus, Rotazar Plus, Ipisart Plus, Irbe Plus, Irbisart+, Co-Avasart, Co-Avsart — 16 marques actives), losartan + HCTZ (Cobektal, Co-Hysartan, Co-Norta, Co-Norta Fort, Forlysart, Fortazaar, Hyzaar, Thiazartan — 8 marques actives), telmisartan + HCTZ (Micardis Plus, Co-Bekerdis, Co-Tensotel, Cardomyl Plus, Mizart Plus, Telmed Plus, Telmidis Plus, Telmisarte+ — 8 marques actives), valsartan + HCTZ (Cotareg, Co-Taroval, Co-Valastan, Co-Vareg, Co-Arbitan, Co-Lipirinad, Co-Reta, Cosarteg, Co-Tabuvan, Co-Valex, Covestag, Novalvalz Plus, Valaclor Plus, Valsis Plus, Co-Valsartan Ival, Co-Sarteg, Divalan Plus, Thia-Valsan — 19 marques actives).</w:t>
      </w:r>
    </w:p>
    <w:p>
      <w:pPr>
        <w:pStyle w:val="Heading3"/>
      </w:pPr>
      <w:r>
        <w:t>21. DCI : Azilsartan + Chlorthalidone (En Association)</w:t>
      </w:r>
    </w:p>
    <w:p>
      <w:r/>
      <w:r>
        <w:rPr>
          <w:b/>
        </w:rPr>
        <w:t>Liste des Catégories :</w:t>
      </w:r>
      <w:r>
        <w:t xml:space="preserve"> Liste I ; antihypertenseur association fixe ARA2 + diurétique thiazidique-like. Combinaison moderne des années 2010 (Takeda — Edarbyclor). L'azilsartan (ARA2 dernière génération, acylsulfonamide, prodrogue, profil d'efficacité tensionnelle élevé) et la </w:t>
      </w:r>
      <w:r>
        <w:rPr>
          <w:b/>
        </w:rPr>
        <w:t>chlorthalidone</w:t>
      </w:r>
      <w:r>
        <w:t xml:space="preserve"> (diurétique thiazidique-like de référence selon les recommandations 2017 ACC/AHA, durée d'action plus longue et meilleure efficacité que l'HCTZ) forment une association monoprise quotidienne particulièrement puissante sur la baisse tensionnelle. La chlorthalidone présente une plus longue durée d'action (24-72 h) que l'HCTZ (12-15 h), une meilleure efficacité tensionnelle, mais aussi un risque majoré d'hypokaliémie et d'hyponatrémie.</w:t>
      </w:r>
    </w:p>
    <w:p>
      <w:r/>
      <w:r>
        <w:rPr>
          <w:b/>
        </w:rPr>
        <w:t>Médicaments disponibles en Algérie (Marques, Laboratoires, Formes et Dosages) :</w:t>
      </w:r>
      <w:r/>
    </w:p>
    <w:p>
      <w:pPr>
        <w:pStyle w:val="ListBullet"/>
      </w:pPr>
      <w:r/>
      <w:r>
        <w:rPr>
          <w:b/>
        </w:rPr>
        <w:t>EDARBYCLOR</w:t>
      </w:r>
      <w:r>
        <w:t xml:space="preserve"> (HIKMA PHARMA ALGERIA)</w:t>
      </w:r>
    </w:p>
    <w:p>
      <w:pPr>
        <w:pStyle w:val="ListBullet"/>
      </w:pPr>
      <w:r>
        <w:t>Formes et Dosages : Comprimé pelliculé 40 mg/25 mg (B/30)</w:t>
      </w:r>
    </w:p>
    <w:p>
      <w:pPr>
        <w:pStyle w:val="ListBullet"/>
      </w:pPr>
      <w:r>
        <w:t>Statut : Actif</w:t>
      </w:r>
    </w:p>
    <w:p>
      <w:r>
        <w:t>Note : à la date de la nomenclature algérienne (Avril 2026), l'azilsartan + chlorthalidone est disponible uniquement sous la marque Edarbyclor (Hikma) — une seule marque active, en cohérence avec la disponibilité monomarque de l'azilsartan en monothérapie (Edarbi).</w:t>
      </w:r>
    </w:p>
    <w:p>
      <w:r/>
      <w:r>
        <w:rPr>
          <w:b/>
        </w:rPr>
        <w:t>Sous-classe et Mécanisme d'action :</w:t>
      </w:r>
      <w:r/>
    </w:p>
    <w:p>
      <w:pPr>
        <w:pStyle w:val="ListBullet"/>
      </w:pPr>
      <w:r>
        <w:t>Sous-classe : Association fixe ARA2 (azilsartan médoxomil, acylsulfonamide, prodrogue, dernière génération) + diurétique thiazidique-like (chlorthalidone). Monoprise quotidienne.</w:t>
      </w:r>
    </w:p>
    <w:p>
      <w:pPr>
        <w:pStyle w:val="ListBullet"/>
      </w:pPr>
      <w:r>
        <w:t>Mécanisme d'action : l'azilsartan médoxomil est hydrolysé dans le tube digestif et le foie en azilsartan (forme active), qui se lie de manière compétitive et sélective au récepteur AT1 de l'angiotensine II → blocage complet de l'angiotensine II, vasodilatation, baisse de l'aldostérone, néphroprotection. La chlorthalidone inhibe le NCC au tube contourné distal (natriurèse, baisse de la volémie) avec une longue durée d'action (24-72 h, due à la liaison aux globules rouges avec libération progressive). Synergie pharmacologique entre les deux composants.</w:t>
      </w:r>
    </w:p>
    <w:p>
      <w:r/>
      <w:r>
        <w:rPr>
          <w:b/>
        </w:rPr>
        <w:t>Profil Pharmacologique :</w:t>
      </w:r>
      <w:r/>
    </w:p>
    <w:p>
      <w:pPr>
        <w:pStyle w:val="ListBullet"/>
      </w:pPr>
      <w:r>
        <w:t>Indications : HTA modérée à sévère non contrôlée par monothérapie ; HTA résistante (en association avec un ICA ou un autre antihypertenseur) ; HTA du sujet âgé (avec composante volumique).</w:t>
      </w:r>
    </w:p>
    <w:p>
      <w:pPr>
        <w:pStyle w:val="ListBullet"/>
      </w:pPr>
      <w:r>
        <w:t>Contre-indications : angio-œdème sous IEC (contre-indication croisée) ; grossesse 2e/3e trimestres ; sténose bilatérale des artères rénales ; hyperkaliémie ; hypokaliémie ; hyponatrémie ; insuffisance rénale sévère (DFG &lt; 30 mL/min — inefficacité de la chlorthalidone) ; hypersensibilité sulfamides ; association avec aliskirène/lithium.</w:t>
      </w:r>
    </w:p>
    <w:p>
      <w:pPr>
        <w:pStyle w:val="ListBullet"/>
      </w:pPr>
      <w:r>
        <w:t>Effets Indésirables : toux sèche (très rare) ; angio-œdème (très rare) ; hyperkaliémie ou hypokaliémie (la chlorthalidone est plus hypokaliémiante que l'HCTZ) ; IRA fonctionnelle ; hypotension de 1ère dose ; hyponatrémie (sujet âgé, femme, hypokaliémie — risque chlorthalidone &gt; HCTZ) ; hyperuricémie (chlorthalidone) ; hyperglycémie (chlorthalidone) ; allongement du QT (en cas d'hypokaliémie sévère) ; céphalées, vertiges, asthénie ; rash ; troubles digestifs ; photosensibilité ; anomalies biologiques hépatiques (rares) ; augmentation de la créatinine (souvent transitoire).</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(40 mg/25 mg, ou 1/2 comprimé si hypovolémie ou sujet âgé). Surveillance PA après 1ère dose. Surveillance accrue de la kaliémie et de la natrémie (chlorthalidone plus hypokaliémiante et hyponatriémiante que l'HCTZ).</w:t>
      </w:r>
    </w:p>
    <w:p>
      <w:pPr>
        <w:pStyle w:val="ListBullet"/>
      </w:pPr>
      <w:r>
        <w:t>Conduite à Tenir : angio-œdème → arrêt définitif ARA2 et IEC (CI croisée), urgence. Hyperkaliémie → arrêt transitoire, restriction potassique. Hypokaliémie → supplémentation potassique, surveillance accrue. Hyponatrémie → arrêt immédiat (en particulier si sévère), restriction hydrique, surveillance neurologique. Hyperuricémie → surveillance, allopurinol si goutte.</w:t>
      </w:r>
    </w:p>
    <w:p>
      <w:r/>
      <w:r>
        <w:rPr>
          <w:b/>
        </w:rPr>
        <w:t>Interactions Importantes :</w:t>
      </w:r>
      <w:r/>
    </w:p>
    <w:p>
      <w:pPr>
        <w:pStyle w:val="ListBullet"/>
      </w:pPr>
      <w:r/>
      <w:r>
        <w:rPr>
          <w:b/>
        </w:rPr>
        <w:t>Azilsartan + Chlorthalidone + AINS</w:t>
      </w:r>
      <w:r>
        <w:t xml:space="preserve"> : triple whammy — baisse effet antihypertenseur + IRA majeure.</w:t>
      </w:r>
    </w:p>
    <w:p>
      <w:pPr>
        <w:pStyle w:val="ListBullet"/>
      </w:pPr>
      <w:r/>
      <w:r>
        <w:rPr>
          <w:b/>
        </w:rPr>
        <w:t>Azilsartan + Chlorthalidone + lithium</w:t>
      </w:r>
      <w:r>
        <w:t xml:space="preserve"> : augmentation lithiémie (effet additif — prudence majeure).</w:t>
      </w:r>
    </w:p>
    <w:p>
      <w:pPr>
        <w:pStyle w:val="ListBullet"/>
      </w:pPr>
      <w:r/>
      <w:r>
        <w:rPr>
          <w:b/>
        </w:rPr>
        <w:t>Azilsartan + Chlorthalidone + digitaliques</w:t>
      </w:r>
      <w:r>
        <w:t xml:space="preserve"> : hypokaliémie chlorthalidone majorant le risque d'intoxication digitalique.</w:t>
      </w:r>
    </w:p>
    <w:p>
      <w:pPr>
        <w:pStyle w:val="ListBullet"/>
      </w:pPr>
      <w:r/>
      <w:r>
        <w:rPr>
          <w:b/>
        </w:rPr>
        <w:t>Azilsartan + Chlorthalidone + médicaments allongeant le QT (amiodarone, certains antibiotiques, certains antipsychotiques)</w:t>
      </w:r>
      <w:r>
        <w:t xml:space="preserve"> : hypokaliémie majorant le risque de torsades de pointes.</w:t>
      </w:r>
    </w:p>
    <w:p>
      <w:pPr>
        <w:pStyle w:val="ListBullet"/>
      </w:pPr>
      <w:r/>
      <w:r>
        <w:rPr>
          <w:b/>
        </w:rPr>
        <w:t>Azilsartan + Chlorthalidone + aliskirène</w:t>
      </w:r>
      <w:r>
        <w:t xml:space="preserve"> : CI absolue.</w:t>
      </w:r>
    </w:p>
    <w:p>
      <w:r/>
      <w:r>
        <w:rPr>
          <w:b/>
        </w:rPr>
        <w:t>Grossesse et Allaitement :</w:t>
      </w:r>
      <w:r/>
    </w:p>
    <w:p>
      <w:pPr>
        <w:pStyle w:val="ListBullet"/>
      </w:pPr>
      <w:r>
        <w:t>Grossesse : CI absolue 2e/3e trimestres (ARA2 + chlorthalidone). 1er trimestre déconseillé. Substitution par labétalol, nicardipine, méthyldopa.</w:t>
      </w:r>
    </w:p>
    <w:p>
      <w:pPr>
        <w:pStyle w:val="ListBullet"/>
      </w:pPr>
      <w:r>
        <w:t>Allaitement : la chlorthalidone passe dans le lait (rapport lait/plasma élevé — 0,25) — risque d'inhibition de la lactation, d'hypotension, d'hypokaliémie et d'hyponatrémie du nourrisson. À ÉVITER pendant l'allaitement. Préférer un autre antihypertenseur compatible (labétalol, nicardipine, méthyldopa).</w:t>
      </w:r>
    </w:p>
    <w:p>
      <w:pPr>
        <w:pStyle w:val="ListBullet"/>
      </w:pPr>
      <w:r>
        <w:t>Précisions : risque fœtal rénal (ARA2) + métabolique (chlorthalidone).</w:t>
      </w:r>
    </w:p>
    <w:p>
      <w:r/>
      <w:r>
        <w:rPr>
          <w:b/>
        </w:rPr>
        <w:t>Posologie et Mode d'administration (Standard) :</w:t>
      </w:r>
      <w:r/>
    </w:p>
    <w:p>
      <w:pPr>
        <w:pStyle w:val="ListBullet"/>
      </w:pPr>
      <w:r>
        <w:t>Adulte : HTA : 1 comprimé (40 mg/25 mg) une fois par jour (matin). Dose maximale 40 mg/25 mg par jour (la dose d'azilsartan ne doit pas dépasser 80 mg/jour, mais l'association fixe est limitée à 40 mg/25 mg).</w:t>
      </w:r>
    </w:p>
    <w:p>
      <w:pPr>
        <w:pStyle w:val="ListBullet"/>
      </w:pPr>
      <w:r>
        <w:t>Sujet âgé : 1/2 comprimé par jour initialement (en particulier si hypovolémie ou traitement diurétique concomitant), titration prudente.</w:t>
      </w:r>
    </w:p>
    <w:p>
      <w:pPr>
        <w:pStyle w:val="ListBullet"/>
      </w:pPr>
      <w:r>
        <w:t>Insuffisance rénale : DFG 30-60 mL/min : posologie réduite (1/2 comprimé par jour). DFG &lt; 30 mL/min : CI (inefficacité de la chlorthalidone).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L'azilsartan + chlorthalidone est disponible en comprimés à 40 mg/25 mg, pelliculés. Le conditionnement B/30 correspond à un mois de traitement monodose. L'azilsartan + chlorthalidone est disponible en Algérie sous une seule marque active (Edarbyclor, Hikma). Le principal atout de cette combinaison est l'efficacité tensionnelle élevée (azilsartan puissant + chlorthalidone de référence selon ACC/AHA 2017) — c'est l'une des associations fixes les plus puissantes sur la baisse tensionnelle. Le principal inconvénient est le profil métabolique de la chlorthalidone (plus hypokaliémiante et hyponatriémiante que l'HCTZ, surveillance accrue), la monomarque algérienne (risque de rupture d'approvisionnement), et la documentation clinique limitée en termes de morbi-mortalité.</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Levez-vous lentement pour éviter les vertiges. Évitez les AINS sans avis (ibuprofène). Évitez les sels de régime riches en potassium. Signalez toute diarrhée ou vomissement. Strictement interdit pendant la grossesse. »</w:t>
      </w:r>
    </w:p>
    <w:p>
      <w:pPr>
        <w:pStyle w:val="ListBullet"/>
      </w:pPr>
      <w:r>
        <w:t>Mode d'utilisation pratique : prise matinale à heure fixe. Tenir un agenda tensionnel. Apporter les résultats biologiques (créatinine, kaliémie, natrémie, uricémie, glycémie).</w:t>
      </w:r>
    </w:p>
    <w:p>
      <w:r/>
      <w:r>
        <w:rPr>
          <w:b/>
        </w:rPr>
        <w:t>Notes, Règles d'Or &amp; Pièges au Comptoir :</w:t>
      </w:r>
      <w:r/>
    </w:p>
    <w:p>
      <w:pPr>
        <w:pStyle w:val="ListBullet"/>
      </w:pPr>
      <w:r>
        <w:t>Piège classique : la chlorthalidone est plus hypokaliémiante et hyponatriémiante que l'HCTZ — surveillance accrue.</w:t>
      </w:r>
    </w:p>
    <w:p>
      <w:pPr>
        <w:pStyle w:val="ListBullet"/>
      </w:pPr>
      <w:r>
        <w:t>Piège classique : disponibilité algérienne exclusive sous Edarbyclor (Hikma) — risque de rupture d'approvisionnement.</w:t>
      </w:r>
    </w:p>
    <w:p>
      <w:pPr>
        <w:pStyle w:val="ListBullet"/>
      </w:pPr>
      <w:r>
        <w:t>Piège classique : chez la femme enceinte ou planifiant une grossesse, contre-indication absolue.</w:t>
      </w:r>
    </w:p>
    <w:p>
      <w:pPr>
        <w:pStyle w:val="ListBullet"/>
      </w:pPr>
      <w:r>
        <w:t>Piège classique : chez la femme allaitante, à éviter (chlorthalidone passe dans le lait).</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24-36 h avant IEC.</w:t>
      </w:r>
    </w:p>
    <w:p>
      <w:pPr>
        <w:pStyle w:val="Heading3"/>
      </w:pPr>
      <w:r>
        <w:t>22. DCI : Candésartan + Hydrochlorothiazide (En Association)</w:t>
      </w:r>
    </w:p>
    <w:p>
      <w:r/>
      <w:r>
        <w:rPr>
          <w:b/>
        </w:rPr>
        <w:t>Liste des Catégories :</w:t>
      </w:r>
      <w:r>
        <w:t xml:space="preserve"> Liste I ; antihypertenseur association fixe ARA2 + diurétique thiazidique. Combinaison historique des années 1990 (AstraZeneca — Hytacand, Atacand Plus). Le candésartan (ARA2 de 2ème génération, biphenyl tetrazole, prodrogue, profil d'efficacité tensionnelle élevé) et l'HCTZ (diurétique thiazidique de référence) forment une association monoprise quotidienne.</w:t>
      </w:r>
    </w:p>
    <w:p>
      <w:r/>
      <w:r>
        <w:rPr>
          <w:b/>
        </w:rPr>
        <w:t>Médicaments disponibles en Algérie (Marques, Laboratoires, Formes et Dosages) :</w:t>
      </w:r>
      <w:r/>
    </w:p>
    <w:p>
      <w:pPr>
        <w:pStyle w:val="ListBullet"/>
      </w:pPr>
      <w:r/>
      <w:r>
        <w:rPr>
          <w:b/>
        </w:rPr>
        <w:t>HYTACAND</w:t>
      </w:r>
      <w:r>
        <w:t xml:space="preserve"> (ASTRA ZENECA AG)</w:t>
      </w:r>
    </w:p>
    <w:p>
      <w:pPr>
        <w:pStyle w:val="ListBullet"/>
      </w:pPr>
      <w:r>
        <w:t>Formes et Dosages : Comprimé 8 mg/12,5 mg (B/30) ; Comprimé 16 mg/12,5 mg (B/30)</w:t>
      </w:r>
    </w:p>
    <w:p>
      <w:pPr>
        <w:pStyle w:val="ListBullet"/>
      </w:pPr>
      <w:r>
        <w:t>Statut : Actif</w:t>
      </w:r>
    </w:p>
    <w:p>
      <w:pPr>
        <w:pStyle w:val="ListBullet"/>
      </w:pPr>
      <w:r/>
      <w:r>
        <w:rPr>
          <w:b/>
        </w:rPr>
        <w:t>BLOPRESS 8 PLUS / BLOPRESS 16 PLUS</w:t>
      </w:r>
      <w:r>
        <w:t xml:space="preserve"> (HIKMA PHARMA ALGERIA)</w:t>
      </w:r>
    </w:p>
    <w:p>
      <w:pPr>
        <w:pStyle w:val="ListBullet"/>
      </w:pPr>
      <w:r>
        <w:t>Formes et Dosages : Comprimé 8 mg/12,5 mg (B/30) ; Comprimé 16 mg/12,5 mg (B/30)</w:t>
      </w:r>
    </w:p>
    <w:p>
      <w:pPr>
        <w:pStyle w:val="ListBullet"/>
      </w:pPr>
      <w:r>
        <w:t>Statut : Actif</w:t>
      </w:r>
    </w:p>
    <w:p>
      <w:pPr>
        <w:pStyle w:val="ListBullet"/>
      </w:pPr>
      <w:r/>
      <w:r>
        <w:rPr>
          <w:b/>
        </w:rPr>
        <w:t>CANDERAX PLUS</w:t>
      </w:r>
      <w:r>
        <w:t xml:space="preserve"> (PHARMALLIANCE)</w:t>
      </w:r>
    </w:p>
    <w:p>
      <w:pPr>
        <w:pStyle w:val="ListBullet"/>
      </w:pPr>
      <w:r>
        <w:t>Formes et Dosages : Comprimé 8 mg/12,5 mg (B/30) ; Comprimé 16 mg/12,5 mg (B/30)</w:t>
      </w:r>
    </w:p>
    <w:p>
      <w:pPr>
        <w:pStyle w:val="ListBullet"/>
      </w:pPr>
      <w:r>
        <w:t>Statut : Actif</w:t>
      </w:r>
    </w:p>
    <w:p>
      <w:pPr>
        <w:pStyle w:val="ListBullet"/>
      </w:pPr>
      <w:r/>
      <w:r>
        <w:rPr>
          <w:b/>
        </w:rPr>
        <w:t>CARDAXEL PLUS</w:t>
      </w:r>
      <w:r>
        <w:t xml:space="preserve"> (BIOGALENIC)</w:t>
      </w:r>
    </w:p>
    <w:p>
      <w:pPr>
        <w:pStyle w:val="ListBullet"/>
      </w:pPr>
      <w:r>
        <w:t>Formes et Dosages : Comprimé 8 mg/12,5 mg (B/30) ; Comprimé 16 mg/12,5 mg (B/30)</w:t>
      </w:r>
    </w:p>
    <w:p>
      <w:pPr>
        <w:pStyle w:val="ListBullet"/>
      </w:pPr>
      <w:r>
        <w:t>Statut : Actif</w:t>
      </w:r>
    </w:p>
    <w:p>
      <w:pPr>
        <w:pStyle w:val="ListBullet"/>
      </w:pPr>
      <w:r/>
      <w:r>
        <w:rPr>
          <w:b/>
        </w:rPr>
        <w:t>CO SARCAND</w:t>
      </w:r>
      <w:r>
        <w:t xml:space="preserve"> (EL KENDI INDUSTRIE DU MEDICAMENT)</w:t>
      </w:r>
    </w:p>
    <w:p>
      <w:pPr>
        <w:pStyle w:val="ListBullet"/>
      </w:pPr>
      <w:r>
        <w:t>Formes et Dosages : Comprimé 8 mg/12,5 mg (B/30) ; Comprimé 16 mg/12,5 mg (B/30)</w:t>
      </w:r>
    </w:p>
    <w:p>
      <w:pPr>
        <w:pStyle w:val="ListBullet"/>
      </w:pPr>
      <w:r>
        <w:t>Statut : Actif</w:t>
      </w:r>
    </w:p>
    <w:p>
      <w:pPr>
        <w:pStyle w:val="ListBullet"/>
      </w:pPr>
      <w:r/>
      <w:r>
        <w:rPr>
          <w:b/>
        </w:rPr>
        <w:t>CO-ATABEK</w:t>
      </w:r>
      <w:r>
        <w:t xml:space="preserve"> (LABORATOIRES BEKER)</w:t>
      </w:r>
    </w:p>
    <w:p>
      <w:pPr>
        <w:pStyle w:val="ListBullet"/>
      </w:pPr>
      <w:r>
        <w:t>Formes et Dosages : Comprimé 8 mg/12,5 mg (B/30) ; Comprimé sécable 16 mg/12,5 mg (B/30)</w:t>
      </w:r>
    </w:p>
    <w:p>
      <w:pPr>
        <w:pStyle w:val="ListBullet"/>
      </w:pPr>
      <w:r>
        <w:t>Statut : Actif</w:t>
      </w:r>
    </w:p>
    <w:p>
      <w:pPr>
        <w:pStyle w:val="ListBullet"/>
      </w:pPr>
      <w:r/>
      <w:r>
        <w:rPr>
          <w:b/>
        </w:rPr>
        <w:t>SARTACAND PLUS</w:t>
      </w:r>
      <w:r>
        <w:t xml:space="preserve"> (FRATER-RAZES FORME SECHE)</w:t>
      </w:r>
    </w:p>
    <w:p>
      <w:pPr>
        <w:pStyle w:val="ListBullet"/>
      </w:pPr>
      <w:r>
        <w:t>Formes et Dosages : Comprimé 8 mg/12,5 mg (B/30) ; Comprimé 16 mg/12,5 mg (B/30)</w:t>
      </w:r>
    </w:p>
    <w:p>
      <w:pPr>
        <w:pStyle w:val="ListBullet"/>
      </w:pPr>
      <w:r>
        <w:t>Statut : Actif</w:t>
      </w:r>
    </w:p>
    <w:p>
      <w:pPr>
        <w:pStyle w:val="ListBullet"/>
      </w:pPr>
      <w:r/>
      <w:r>
        <w:rPr>
          <w:b/>
        </w:rPr>
        <w:t>HYTASARTAN</w:t>
      </w:r>
      <w:r>
        <w:t xml:space="preserve"> (HUPP PHARMA)</w:t>
      </w:r>
    </w:p>
    <w:p>
      <w:pPr>
        <w:pStyle w:val="ListBullet"/>
      </w:pPr>
      <w:r>
        <w:t>Formes et Dosages : Comprimé 8 mg/12,5 mg (B/30) ; Comprimé 16 mg/12,5 mg (B/30)</w:t>
      </w:r>
    </w:p>
    <w:p>
      <w:pPr>
        <w:pStyle w:val="ListBullet"/>
      </w:pPr>
      <w:r>
        <w:t>Statut : Actif</w:t>
      </w:r>
    </w:p>
    <w:p>
      <w:pPr>
        <w:pStyle w:val="ListBullet"/>
      </w:pPr>
      <w:r/>
      <w:r>
        <w:rPr>
          <w:b/>
        </w:rPr>
        <w:t>ONSART PLUS</w:t>
      </w:r>
      <w:r>
        <w:t xml:space="preserve"> (ABDI IBRAHIM) (R) ; Comprimé 16 mg/12,5 mg (B/28)</w:t>
      </w:r>
    </w:p>
    <w:p>
      <w:r/>
      <w:r>
        <w:rPr>
          <w:b/>
        </w:rPr>
        <w:t>Sous-classe et Mécanisme d'action :</w:t>
      </w:r>
      <w:r/>
    </w:p>
    <w:p>
      <w:pPr>
        <w:pStyle w:val="ListBullet"/>
      </w:pPr>
      <w:r>
        <w:t>Sous-classe : Association fixe ARA2 (candésartan cilexetil, biphenyl tetrazole, prodrogue) + diurétique thiazidique (HCTZ). Monoprise quotidienne.</w:t>
      </w:r>
    </w:p>
    <w:p>
      <w:pPr>
        <w:pStyle w:val="ListBullet"/>
      </w:pPr>
      <w:r>
        <w:t>Mécanisme d'action : le candésartan cilexetil est hydrolysé dans le tube digestif en candésartan (forme active), qui se lie de manière compétitive et sélective au récepteur AT1 de l'angiotensine II → blocage complet de l'angiotensine II, vasodilatation, baisse de l'aldostérone, néphroprotection. L'HCTZ inhibe le NCC au tube contourné distal → natriurèse, baisse de la volémie. Synergie pharmacologique entre les deux composants.</w:t>
      </w:r>
    </w:p>
    <w:p>
      <w:r/>
      <w:r>
        <w:rPr>
          <w:b/>
        </w:rPr>
        <w:t>Profil Pharmacologique :</w:t>
      </w:r>
      <w:r/>
    </w:p>
    <w:p>
      <w:pPr>
        <w:pStyle w:val="ListBullet"/>
      </w:pPr>
      <w:r>
        <w:t>Indications : HTA modérée à sévère non contrôlée par monothérapie ; HTA du sujet âgé ; HTA systolique isolée.</w:t>
      </w:r>
    </w:p>
    <w:p>
      <w:pPr>
        <w:pStyle w:val="ListBullet"/>
      </w:pPr>
      <w:r>
        <w:t>Contre-indications : angio-œdème sous IEC (contre-indication croisée) ; grossesse 2e/3e trimestres ; sténose bilatérale des artères rénales ; hyperkaliémie ; hypokaliémie ; hyponatrémie ; insuffisance rénale sévère (DFG &lt; 30 mL/min) ; hyperuricémie avec goutte ; hypersensibilité sulfamides ; association avec aliskirène/lithium ; cholestase.</w:t>
      </w:r>
    </w:p>
    <w:p>
      <w:pPr>
        <w:pStyle w:val="ListBullet"/>
      </w:pPr>
      <w:r>
        <w:t>Effets Indésirables : toux sèche (très rare) ; angio-œdème (très rare) ; hyperkaliémie ou hypokaliémie ; IRA fonctionnelle ; hypotension de 1ère dose ; hyponatrémie (thiazidique) ; hyperuricémie (thiazidique) ; hyperglycémie (thiazidique) ; céphalées, vertiges, asthénie ; rash ; troubles digestifs ; photosensibilité ; anomalies biologiques hépatiques (rares) ; infections respiratoires hautes.</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(8 mg/12,5 mg par jour) chez le sujet âgé, l'insuffisant rénal modéré, ou le patient déjà sous diurétique. Surveillance PA après 1ère dose.</w:t>
      </w:r>
    </w:p>
    <w:p>
      <w:pPr>
        <w:pStyle w:val="ListBullet"/>
      </w:pPr>
      <w:r>
        <w:t>Conduite à Tenir : angio-œdème → arrêt définitif ARA2 et IEC (CI croisée), urgence. Hyperkaliémie → arrêt transitoire, restriction potassique, diurétique. Hypokaliémie → supplémentation potassique. Hyponatrémie → arrêt immédiat (en particulier si sévère). Hyperuricémie → surveillance, allopurinol si goutte.</w:t>
      </w:r>
    </w:p>
    <w:p>
      <w:r/>
      <w:r>
        <w:rPr>
          <w:b/>
        </w:rPr>
        <w:t>Interactions Importantes :</w:t>
      </w:r>
      <w:r/>
    </w:p>
    <w:p>
      <w:pPr>
        <w:pStyle w:val="ListBullet"/>
      </w:pPr>
      <w:r/>
      <w:r>
        <w:rPr>
          <w:b/>
        </w:rPr>
        <w:t>Candésartan + HCTZ + AINS</w:t>
      </w:r>
      <w:r>
        <w:t xml:space="preserve"> : triple whammy — baisse effet antihypertenseur + IRA.</w:t>
      </w:r>
    </w:p>
    <w:p>
      <w:pPr>
        <w:pStyle w:val="ListBullet"/>
      </w:pPr>
      <w:r/>
      <w:r>
        <w:rPr>
          <w:b/>
        </w:rPr>
        <w:t>Candésartan + HCTZ + lithium</w:t>
      </w:r>
      <w:r>
        <w:t xml:space="preserve"> : augmentation lithiémie.</w:t>
      </w:r>
    </w:p>
    <w:p>
      <w:pPr>
        <w:pStyle w:val="ListBullet"/>
      </w:pPr>
      <w:r/>
      <w:r>
        <w:rPr>
          <w:b/>
        </w:rPr>
        <w:t>Candésartan + HCTZ + digitaliques</w:t>
      </w:r>
      <w:r>
        <w:t xml:space="preserve"> : hypokaliémie thiazidique favorisant l'intoxication digitalique.</w:t>
      </w:r>
    </w:p>
    <w:p>
      <w:pPr>
        <w:pStyle w:val="ListBullet"/>
      </w:pPr>
      <w:r/>
      <w:r>
        <w:rPr>
          <w:b/>
        </w:rPr>
        <w:t>Candésartan + HCTZ + aliskirène</w:t>
      </w:r>
      <w:r>
        <w:t xml:space="preserve"> : CI absolue.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(ARA2) + métabolique (thiazidique).</w:t>
      </w:r>
    </w:p>
    <w:p>
      <w:r/>
      <w:r>
        <w:rPr>
          <w:b/>
        </w:rPr>
        <w:t>Posologie et Mode d'administration (Standard) :</w:t>
      </w:r>
      <w:r/>
    </w:p>
    <w:p>
      <w:pPr>
        <w:pStyle w:val="ListBullet"/>
      </w:pPr>
      <w:r>
        <w:t>Adulte : HTA : 1 comprimé (16 mg/12,5 mg) une fois par jour (matin), augmentable à 32 mg/12,5 mg ou 32 mg/25 mg (en association libre).</w:t>
      </w:r>
    </w:p>
    <w:p>
      <w:pPr>
        <w:pStyle w:val="ListBullet"/>
      </w:pPr>
      <w:r>
        <w:t>Sujet âgé : 1 comprimé (8 mg/12,5 mg) par jour initialement, titration prudente.</w:t>
      </w:r>
    </w:p>
    <w:p>
      <w:pPr>
        <w:pStyle w:val="ListBullet"/>
      </w:pPr>
      <w:r>
        <w:t>Insuffisance rénale : DFG 30-60 mL/min : posologie réduite. DFG &lt; 30 mL/min : CI.</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candésartan + HCTZ est disponible en comprimés à 8 mg/12,5 mg et 16 mg/12,5 mg, le plus souvent sécables. La disponibilité de deux dosages permet une adaptation fine (8 mg/12,5 mg pour la dose initiale ou la première dose ; 16 mg/12,5 mg pour la dose standard). Le conditionnement B/30 correspond à un mois de traitement. Le candésartan + HCTZ est largement disponible en Algérie sous 8 marques actives, dont le princeps Hytacand (AstraZeneca) et plusieurs génériques (Blopress Plus, Canderax Plus, Cardaxel Plus, Co-Sarcand, Co-Atabek, Sartacand Plus, Hytasartan). Le principal atout de cette combinaison est l'efficacité tensionnelle élevée du candésartan (réputation d'ARA2 puissant) et la tolérance globale de l'ARA2 vs IEC.</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triple whammy (ARA2 + AINS + diurétique) chez le sujet âgé déshydraté.</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24-36 h avant IEC.</w:t>
      </w:r>
    </w:p>
    <w:p>
      <w:pPr>
        <w:pStyle w:val="Heading3"/>
      </w:pPr>
      <w:r>
        <w:t>23. DCI : Irbésartan + Hydrochlorothiazide (En Association)</w:t>
      </w:r>
    </w:p>
    <w:p>
      <w:r/>
      <w:r>
        <w:rPr>
          <w:b/>
        </w:rPr>
        <w:t>Liste des Catégories :</w:t>
      </w:r>
      <w:r>
        <w:t xml:space="preserve"> Liste I ; antihypertenseur association fixe ARA2 + diurétique thiazidique. Combinaison historique des années 1990 (Sanofi — CoAprovel). L'irbésartan (ARA2 de 2ème génération, biphenyl tetrazole, non prodrogue, élimination hépatique prédominante, pas de métabolisme CYP450 — sécurité d'emploi) et l'HCTZ (diurétique thiazidique de référence) forment une association monoprise quotidienne. L'irbésartan a une AMM spécifique dans la néphropathie diabétique T2 (IDNT, IRMA-2) — atout en cas de néphropathie protéinurique.</w:t>
      </w:r>
    </w:p>
    <w:p>
      <w:r/>
      <w:r>
        <w:rPr>
          <w:b/>
        </w:rPr>
        <w:t>Médicaments disponibles en Algérie (Marques, Laboratoires, Formes et Dosages) :</w:t>
      </w:r>
      <w:r/>
    </w:p>
    <w:p>
      <w:pPr>
        <w:pStyle w:val="ListBullet"/>
      </w:pPr>
      <w:r/>
      <w:r>
        <w:rPr>
          <w:b/>
        </w:rPr>
        <w:t>COAPROVEL</w:t>
      </w:r>
      <w:r>
        <w:t xml:space="preserve"> (SANOFI AVENTIS ALGERIE)</w:t>
      </w:r>
    </w:p>
    <w:p>
      <w:pPr>
        <w:pStyle w:val="ListBullet"/>
      </w:pPr>
      <w:r>
        <w:t>Formes et Dosages : Comprimé pelliculé 150 mg/12,5 mg (B/30) ; Comprimé pelliculé 300 mg/12,5 mg (B/28) ; Comprimé pelliculé 300 mg/25 mg (B/28)</w:t>
      </w:r>
    </w:p>
    <w:p>
      <w:pPr>
        <w:pStyle w:val="ListBullet"/>
      </w:pPr>
      <w:r>
        <w:t>Statut : Actif</w:t>
      </w:r>
    </w:p>
    <w:p>
      <w:pPr>
        <w:pStyle w:val="ListBullet"/>
      </w:pPr>
      <w:r/>
      <w:r>
        <w:rPr>
          <w:b/>
        </w:rPr>
        <w:t>CO APROSART</w:t>
      </w:r>
      <w:r>
        <w:t xml:space="preserve"> (EL KENDI INDUSTRIE DU MEDICAMENT)</w:t>
      </w:r>
    </w:p>
    <w:p>
      <w:pPr>
        <w:pStyle w:val="ListBullet"/>
      </w:pPr>
      <w:r>
        <w:t>Formes et Dosages : Comprimé pelliculé 150 mg/12,5 mg (B/30) ; Comprimé pelliculé 300 mg/12,5 mg (B/30) ; Comprimé pelliculé 300 mg/25 mg (B/30)</w:t>
      </w:r>
    </w:p>
    <w:p>
      <w:pPr>
        <w:pStyle w:val="ListBullet"/>
      </w:pPr>
      <w:r>
        <w:t>Statut : Actif</w:t>
      </w:r>
    </w:p>
    <w:p>
      <w:pPr>
        <w:pStyle w:val="ListBullet"/>
      </w:pPr>
      <w:r/>
      <w:r>
        <w:rPr>
          <w:b/>
        </w:rPr>
        <w:t>COAPROVEL/300 variants</w:t>
      </w:r>
      <w:r>
        <w:t xml:space="preserve"> — voir ci-dessus</w:t>
      </w:r>
    </w:p>
    <w:p>
      <w:pPr>
        <w:pStyle w:val="ListBullet"/>
      </w:pPr>
      <w:r/>
      <w:r>
        <w:rPr>
          <w:b/>
        </w:rPr>
        <w:t>CO-ARADEX / CO-ARADEX 300/12.5 / CO-ARADEX 300/25</w:t>
      </w:r>
      <w:r>
        <w:t xml:space="preserve"> (LABORATOIRES MERINAL)</w:t>
      </w:r>
    </w:p>
    <w:p>
      <w:pPr>
        <w:pStyle w:val="ListBullet"/>
      </w:pPr>
      <w:r>
        <w:t>Formes et Dosages : Comprimé 150 mg/12,5 mg (B/30) ; Comprimé 300 mg/12,5 mg (B/30) ; Comprimé 300 mg/25 mg (B/30)</w:t>
      </w:r>
    </w:p>
    <w:p>
      <w:pPr>
        <w:pStyle w:val="ListBullet"/>
      </w:pPr>
      <w:r>
        <w:t>Statut : Actif</w:t>
      </w:r>
    </w:p>
    <w:p>
      <w:pPr>
        <w:pStyle w:val="ListBullet"/>
      </w:pPr>
      <w:r/>
      <w:r>
        <w:rPr>
          <w:b/>
        </w:rPr>
        <w:t>COARAVEL</w:t>
      </w:r>
      <w:r>
        <w:t xml:space="preserve"> (ABDI IBRAHIM REMEDE PHARMA)</w:t>
      </w:r>
    </w:p>
    <w:p>
      <w:pPr>
        <w:pStyle w:val="ListBullet"/>
      </w:pPr>
      <w:r>
        <w:t>Formes et Dosages : Comprimé pelliculé 150 mg/12,5 mg (B/30)</w:t>
      </w:r>
    </w:p>
    <w:p>
      <w:pPr>
        <w:pStyle w:val="ListBullet"/>
      </w:pPr>
      <w:r>
        <w:t>Statut : Actif</w:t>
      </w:r>
    </w:p>
    <w:p>
      <w:pPr>
        <w:pStyle w:val="ListBullet"/>
      </w:pPr>
      <w:r/>
      <w:r>
        <w:rPr>
          <w:b/>
        </w:rPr>
        <w:t>CO-IRBEDIM</w:t>
      </w:r>
      <w:r>
        <w:t xml:space="preserve"> (SOPRODIM)</w:t>
      </w:r>
    </w:p>
    <w:p>
      <w:pPr>
        <w:pStyle w:val="ListBullet"/>
      </w:pPr>
      <w:r>
        <w:t>Formes et Dosages : Comprimé pelliculé 150 mg/12,5 mg (B/30) ; Comprimé pelliculé 300 mg/12,5 mg (B/30) ; Comprimé pelliculé 300 mg/25 mg (B/30)</w:t>
      </w:r>
    </w:p>
    <w:p>
      <w:pPr>
        <w:pStyle w:val="ListBullet"/>
      </w:pPr>
      <w:r>
        <w:t>Statut : Actif</w:t>
      </w:r>
    </w:p>
    <w:p>
      <w:pPr>
        <w:pStyle w:val="ListBullet"/>
      </w:pPr>
      <w:r/>
      <w:r>
        <w:rPr>
          <w:b/>
        </w:rPr>
        <w:t>CO-IRBEK</w:t>
      </w:r>
      <w:r>
        <w:t xml:space="preserve"> (LABORATOIRES BEKER)</w:t>
      </w:r>
    </w:p>
    <w:p>
      <w:pPr>
        <w:pStyle w:val="ListBullet"/>
      </w:pPr>
      <w:r>
        <w:t>Formes et Dosages : Comprimé pelliculé 150 mg/12,5 mg (B/30 et B/90) ; Comprimé pelliculé 300 mg/12,5 mg (B/30 et B/90) ; Comprimé pelliculé 300 mg/25 mg (B/30)</w:t>
      </w:r>
    </w:p>
    <w:p>
      <w:pPr>
        <w:pStyle w:val="ListBullet"/>
      </w:pPr>
      <w:r>
        <w:t>Statut : Actif</w:t>
      </w:r>
    </w:p>
    <w:p>
      <w:pPr>
        <w:pStyle w:val="ListBullet"/>
      </w:pPr>
      <w:r/>
      <w:r>
        <w:rPr>
          <w:b/>
        </w:rPr>
        <w:t>CO-IRBEZART</w:t>
      </w:r>
      <w:r>
        <w:t xml:space="preserve"> (LDM)</w:t>
      </w:r>
    </w:p>
    <w:p>
      <w:pPr>
        <w:pStyle w:val="ListBullet"/>
      </w:pPr>
      <w:r>
        <w:t>Formes et Dosages : Comprimé pelliculé 150 mg/12,5 mg (B/30) ; Comprimé pelliculé 300 mg/25 mg (B/30) ; Comprimé pelliculé 300 mg/12,5 mg (B/30)</w:t>
      </w:r>
    </w:p>
    <w:p>
      <w:pPr>
        <w:pStyle w:val="ListBullet"/>
      </w:pPr>
      <w:r>
        <w:t>Statut : Actif</w:t>
      </w:r>
    </w:p>
    <w:p>
      <w:pPr>
        <w:pStyle w:val="ListBullet"/>
      </w:pPr>
      <w:r/>
      <w:r>
        <w:rPr>
          <w:b/>
        </w:rPr>
        <w:t>COZIBRAT</w:t>
      </w:r>
      <w:r>
        <w:t xml:space="preserve"> (LABORATOIRES MM)</w:t>
      </w:r>
    </w:p>
    <w:p>
      <w:pPr>
        <w:pStyle w:val="ListBullet"/>
      </w:pPr>
      <w:r>
        <w:t>Formes et Dosages : Comprimé pelliculé 150 mg/12,5 mg (B/30) ; Comprimé pelliculé 300 mg/12,5 mg (B/30)</w:t>
      </w:r>
    </w:p>
    <w:p>
      <w:pPr>
        <w:pStyle w:val="ListBullet"/>
      </w:pPr>
      <w:r>
        <w:t>Statut : Actif</w:t>
      </w:r>
    </w:p>
    <w:p>
      <w:pPr>
        <w:pStyle w:val="ListBullet"/>
      </w:pPr>
      <w:r/>
      <w:r>
        <w:rPr>
          <w:b/>
        </w:rPr>
        <w:t>GIZLAN-PLUS 150/12,5 / 300/12,5 / 300/25</w:t>
      </w:r>
      <w:r>
        <w:t xml:space="preserve"> (DAR AL DAWA)</w:t>
      </w:r>
    </w:p>
    <w:p>
      <w:pPr>
        <w:pStyle w:val="ListBullet"/>
      </w:pPr>
      <w:r>
        <w:t>Formes et Dosages : Comprimé pelliculé 150 mg/12,5 mg (B/30) ; Comprimé pelliculé 300 mg/12,5 mg (B/30) ; Comprimé pelliculé 300 mg/25 mg (B/30)</w:t>
      </w:r>
    </w:p>
    <w:p>
      <w:pPr>
        <w:pStyle w:val="ListBullet"/>
      </w:pPr>
      <w:r>
        <w:t>Statut : Actif</w:t>
      </w:r>
    </w:p>
    <w:p>
      <w:pPr>
        <w:pStyle w:val="ListBullet"/>
      </w:pPr>
      <w:r/>
      <w:r>
        <w:rPr>
          <w:b/>
        </w:rPr>
        <w:t>ROTAZAR PLUS</w:t>
      </w:r>
      <w:r>
        <w:t xml:space="preserve"> (WORLD MEDECINE LIMITED)</w:t>
      </w:r>
    </w:p>
    <w:p>
      <w:pPr>
        <w:pStyle w:val="ListBullet"/>
      </w:pPr>
      <w:r>
        <w:t>Formes et Dosages : Comprimé pelliculé 150 mg/12,5 mg (B/30) ; Comprimé pelliculé 300 mg/12,5 mg (B/30) ; Comprimé pelliculé 300 mg/25 mg (B/30)</w:t>
      </w:r>
    </w:p>
    <w:p>
      <w:pPr>
        <w:pStyle w:val="ListBullet"/>
      </w:pPr>
      <w:r>
        <w:t>Statut : Actif</w:t>
      </w:r>
    </w:p>
    <w:p>
      <w:pPr>
        <w:pStyle w:val="ListBullet"/>
      </w:pPr>
      <w:r/>
      <w:r>
        <w:rPr>
          <w:b/>
        </w:rPr>
        <w:t>IPISART PLUS</w:t>
      </w:r>
      <w:r>
        <w:t xml:space="preserve"> (WORLD MEDECINE LIMITED)</w:t>
      </w:r>
    </w:p>
    <w:p>
      <w:pPr>
        <w:pStyle w:val="ListBullet"/>
      </w:pPr>
      <w:r>
        <w:t>Formes et Dosages : Comprimé pelliculé 150 mg/12,5 mg (B/30) ; Comprimé pelliculé 300 mg/12,5 mg (B/30) ; Comprimé pelliculé 300 mg/25 mg (B/30)</w:t>
      </w:r>
    </w:p>
    <w:p>
      <w:pPr>
        <w:pStyle w:val="ListBullet"/>
      </w:pPr>
      <w:r>
        <w:t>Statut : Actif</w:t>
      </w:r>
    </w:p>
    <w:p>
      <w:pPr>
        <w:pStyle w:val="ListBullet"/>
      </w:pPr>
      <w:r/>
      <w:r>
        <w:rPr>
          <w:b/>
        </w:rPr>
        <w:t>IRBE PLUS 150/12,5</w:t>
      </w:r>
      <w:r>
        <w:t xml:space="preserve"> (TASSILI ARAB PHARMACEUTICAL CO)</w:t>
      </w:r>
    </w:p>
    <w:p>
      <w:pPr>
        <w:pStyle w:val="ListBullet"/>
      </w:pPr>
      <w:r>
        <w:t>Formes et Dosages : Comprimé 150 mg/12,5 mg (B/30)</w:t>
      </w:r>
    </w:p>
    <w:p>
      <w:pPr>
        <w:pStyle w:val="ListBullet"/>
      </w:pPr>
      <w:r>
        <w:t>Statut : Actif</w:t>
      </w:r>
    </w:p>
    <w:p>
      <w:pPr>
        <w:pStyle w:val="ListBullet"/>
      </w:pPr>
      <w:r/>
      <w:r>
        <w:rPr>
          <w:b/>
        </w:rPr>
        <w:t>IRBISART +</w:t>
      </w:r>
      <w:r>
        <w:t xml:space="preserve"> (PHARMALLIANCE)</w:t>
      </w:r>
    </w:p>
    <w:p>
      <w:pPr>
        <w:pStyle w:val="ListBullet"/>
      </w:pPr>
      <w:r>
        <w:t>Formes et Dosages : Comprimé pelliculé 150 mg/12,5 mg (B/30) ; Comprimé pelliculé 300 mg/12,5 mg (B/30) ; Comprimé pelliculé 300 mg/25 mg (B/30)</w:t>
      </w:r>
    </w:p>
    <w:p>
      <w:pPr>
        <w:pStyle w:val="ListBullet"/>
      </w:pPr>
      <w:r>
        <w:t>Statut : Actif</w:t>
      </w:r>
    </w:p>
    <w:p>
      <w:pPr>
        <w:pStyle w:val="ListBullet"/>
      </w:pPr>
      <w:r/>
      <w:r>
        <w:rPr>
          <w:b/>
        </w:rPr>
        <w:t>CO AVASART / CO AVSART</w:t>
      </w:r>
      <w:r>
        <w:t xml:space="preserve"> (ALEMBIC MAMI SPA)</w:t>
      </w:r>
    </w:p>
    <w:p>
      <w:pPr>
        <w:pStyle w:val="ListBullet"/>
      </w:pPr>
      <w:r>
        <w:t>Formes et Dosages : Comprimé pelliculé 150 mg/12,5 mg (B/30) ; Comprimé pelliculé 300 mg/12,5 mg (B/30) ; Comprimé pelliculé 300 mg/25 mg (B/30)</w:t>
      </w:r>
    </w:p>
    <w:p>
      <w:pPr>
        <w:pStyle w:val="ListBullet"/>
      </w:pPr>
      <w:r>
        <w:t>Statut : Actif</w:t>
      </w:r>
    </w:p>
    <w:p>
      <w:pPr>
        <w:pStyle w:val="ListBullet"/>
      </w:pPr>
      <w:r/>
      <w:r>
        <w:rPr>
          <w:b/>
        </w:rPr>
        <w:t>CO-IRBEVEL</w:t>
      </w:r>
      <w:r>
        <w:t xml:space="preserve"> (BIOPHARM SPA) [NR]</w:t>
      </w:r>
    </w:p>
    <w:p>
      <w:pPr>
        <w:pStyle w:val="ListBullet"/>
      </w:pPr>
      <w:r>
        <w:t>Formes et Dosages : Comprimé pelliculé 150 mg/12,5 mg, 300 mg/12,5 mg et 300 mg/25 mg (B/30)</w:t>
      </w:r>
    </w:p>
    <w:p>
      <w:pPr>
        <w:pStyle w:val="ListBullet"/>
      </w:pPr>
      <w:r>
        <w:t>Statut : Non Renouvelable</w:t>
      </w:r>
    </w:p>
    <w:p>
      <w:pPr>
        <w:pStyle w:val="ListBullet"/>
      </w:pPr>
      <w:r/>
      <w:r>
        <w:rPr>
          <w:b/>
        </w:rPr>
        <w:t>CO-APRIVAL</w:t>
      </w:r>
      <w:r>
        <w:t xml:space="preserve"> (PHARMA IVAL) [NR]</w:t>
      </w:r>
    </w:p>
    <w:p>
      <w:pPr>
        <w:pStyle w:val="ListBullet"/>
      </w:pPr>
      <w:r>
        <w:t>Formes et Dosages : Comprimé pelliculé 300 mg/25 mg (B/30)</w:t>
      </w:r>
    </w:p>
    <w:p>
      <w:pPr>
        <w:pStyle w:val="ListBullet"/>
      </w:pPr>
      <w:r>
        <w:t>Statut : Non Renouvelable</w:t>
      </w:r>
    </w:p>
    <w:p>
      <w:r/>
      <w:r>
        <w:rPr>
          <w:b/>
        </w:rPr>
        <w:t>Sous-classe et Mécanisme d'action :</w:t>
      </w:r>
      <w:r/>
    </w:p>
    <w:p>
      <w:pPr>
        <w:pStyle w:val="ListBullet"/>
      </w:pPr>
      <w:r>
        <w:t>Sous-classe : Association fixe ARA2 (irbésartan, biphenyl tetrazole, non prodrogue, élimination hépatique prédominante, pas de métabolisme CYP450) + diurétique thiazidique (HCTZ). Monoprise quotidienne.</w:t>
      </w:r>
    </w:p>
    <w:p>
      <w:pPr>
        <w:pStyle w:val="ListBullet"/>
      </w:pPr>
      <w:r>
        <w:t>Mécanisme d'action : l'irbésartan se lie de manière compétitive et sélective au récepteur AT1 de l'angiotensine II → blocage complet de l'angiotensine II, vasodilatation, baisse de l'aldostérone, néphroprotection. L'HCTZ inhibe le NCC au tube contourné distal → natriurèse, baisse de la volémie. Synergie pharmacologique entre les deux composants. L'irbésartan a une AMM spécifique dans la néphropathie diabétique T2 (IDNT, IRMA-2) — atout en cas de néphropathie protéinurique.</w:t>
      </w:r>
    </w:p>
    <w:p>
      <w:r/>
      <w:r>
        <w:rPr>
          <w:b/>
        </w:rPr>
        <w:t>Profil Pharmacologique :</w:t>
      </w:r>
      <w:r/>
    </w:p>
    <w:p>
      <w:pPr>
        <w:pStyle w:val="ListBullet"/>
      </w:pPr>
      <w:r>
        <w:t>Indications : HTA modérée à sévère non contrôlée par monothérapie ; HTA du sujet âgé ; HTA systolique isolée ; néphropathie diabétique T2 avec protéinurie (en cas d'intolérance aux IEC).</w:t>
      </w:r>
    </w:p>
    <w:p>
      <w:pPr>
        <w:pStyle w:val="ListBullet"/>
      </w:pPr>
      <w:r>
        <w:t>Contre-indications : angio-œdème sous IEC (contre-indication croisée) ; grossesse 2e/3e trimestres ; sténose bilatérale des artères rénales ; hyperkaliémie ; hypokaliémie ; hyponatrémie ; insuffisance rénale sévère (DFG &lt; 30 mL/min) ; hyperuricémie avec goutte ; hypersensibilité sulfamides ; association avec aliskirène/lithium.</w:t>
      </w:r>
    </w:p>
    <w:p>
      <w:pPr>
        <w:pStyle w:val="ListBullet"/>
      </w:pPr>
      <w:r>
        <w:t>Effets Indésirables : toux sèche (très rare) ; angio-œdème (très rare) ; hyperkaliémie ou hypokaliémie ; IRA fonctionnelle ; hypotension de 1ère dose ; hyponatrémie (thiazidique) ; hyperuricémie (thiazidique) ; hyperglycémie (thiazidique) ; céphalées, vertiges, asthénie ; rash ; troubles digestifs ; photosensibilité ; anomalies biologiques hépatiques (rares) ; anémie (chez transplanté rénal).</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(150 mg/12,5 mg par jour) chez le sujet âgé, l'insuffisant rénal modéré, ou le patient déjà sous diurétique. Surveillance PA après 1ère dose.</w:t>
      </w:r>
    </w:p>
    <w:p>
      <w:pPr>
        <w:pStyle w:val="ListBullet"/>
      </w:pPr>
      <w:r>
        <w:t>Conduite à Tenir : angio-œdème → arrêt définitif ARA2 et IEC (CI croisée), urgence. Hyperkaliémie → arrêt transitoire, restriction potassique, diurétique. Hypokaliémie → supplémentation potassique. Hyponatrémie → arrêt immédiat. Hyperuricémie → surveillance, allopurinol si goutte.</w:t>
      </w:r>
    </w:p>
    <w:p>
      <w:r/>
      <w:r>
        <w:rPr>
          <w:b/>
        </w:rPr>
        <w:t>Interactions Importantes :</w:t>
      </w:r>
      <w:r/>
    </w:p>
    <w:p>
      <w:pPr>
        <w:pStyle w:val="ListBullet"/>
      </w:pPr>
      <w:r/>
      <w:r>
        <w:rPr>
          <w:b/>
        </w:rPr>
        <w:t>Irbésartan + HCTZ + AINS</w:t>
      </w:r>
      <w:r>
        <w:t xml:space="preserve"> : triple whammy — baisse effet antihypertenseur + IRA.</w:t>
      </w:r>
    </w:p>
    <w:p>
      <w:pPr>
        <w:pStyle w:val="ListBullet"/>
      </w:pPr>
      <w:r/>
      <w:r>
        <w:rPr>
          <w:b/>
        </w:rPr>
        <w:t>Irbésartan + HCTZ + lithium</w:t>
      </w:r>
      <w:r>
        <w:t xml:space="preserve"> : augmentation lithiémie.</w:t>
      </w:r>
    </w:p>
    <w:p>
      <w:pPr>
        <w:pStyle w:val="ListBullet"/>
      </w:pPr>
      <w:r/>
      <w:r>
        <w:rPr>
          <w:b/>
        </w:rPr>
        <w:t>Irbésartan + HCTZ + digitaliques</w:t>
      </w:r>
      <w:r>
        <w:t xml:space="preserve"> : hypokaliémie thiazidique favorisant l'intoxication digitalique.</w:t>
      </w:r>
    </w:p>
    <w:p>
      <w:pPr>
        <w:pStyle w:val="ListBullet"/>
      </w:pPr>
      <w:r/>
      <w:r>
        <w:rPr>
          <w:b/>
        </w:rPr>
        <w:t>Irbésartan + HCTZ + aliskirène</w:t>
      </w:r>
      <w:r>
        <w:t xml:space="preserve"> : CI absolue.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(ARA2) + métabolique (thiazidique).</w:t>
      </w:r>
    </w:p>
    <w:p>
      <w:r/>
      <w:r>
        <w:rPr>
          <w:b/>
        </w:rPr>
        <w:t>Posologie et Mode d'administration (Standard) :</w:t>
      </w:r>
      <w:r/>
    </w:p>
    <w:p>
      <w:pPr>
        <w:pStyle w:val="ListBullet"/>
      </w:pPr>
      <w:r>
        <w:t>Adulte : HTA : 1 comprimé (150 mg/12,5 mg) une fois par jour (matin), augmentable à 300 mg/12,5 mg ou 300 mg/25 mg.</w:t>
      </w:r>
    </w:p>
    <w:p>
      <w:pPr>
        <w:pStyle w:val="ListBullet"/>
      </w:pPr>
      <w:r>
        <w:t>Sujet âgé : 1/2 comprimé (75 mg/6,25 mg — non disponible en association fixe, titration par monothérapie) par jour initialement, titration prudente.</w:t>
      </w:r>
    </w:p>
    <w:p>
      <w:pPr>
        <w:pStyle w:val="ListBullet"/>
      </w:pPr>
      <w:r>
        <w:t>Insuffisance rénale : DFG 30-60 mL/min : posologie réduite. DFG &lt; 30 mL/min : CI.</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L'irbésartan + HCTZ est disponible en comprimés à 150 mg/12,5 mg, 300 mg/12,5 mg et 300 mg/25 mg, le plus souvent pelliculés. La diversité des dosages permet une adaptation fine (150 mg/12,5 mg pour la dose initiale ou la première dose ; 300 mg/12,5 mg pour la dose modérée ; 300 mg/25 mg pour la dose maximale). Le conditionnement B/28 ou B/30 correspond à un mois de traitement. L'irbésartan + HCTZ est extrêmement bien représenté en Algérie sous 16 marques actives, dont le princeps CoAprovel (Sanofi Aventis Algérie, produit local) et de très nombreux génériques (CoAprosart, Co-Aradex, CoAravel, Co-Irbedim, Co-Irbek, Co-Irbezart, Cozibrat, Gizlan-Plus, Rotazar Plus, Ipisart Plus, Irbe Plus, Irbisart+, Co-Avasart, Co-Avsart). C'est l'association fixe ARA2 + diurétique la plus prescrite en Algérie. Le principal atout de cette combinaison est l'AMM spécifique de l'irbésartan dans la néphropathie diabétique T2 (IDNT, IRMA-2) — atout en cas de néphropathie protéinurique.</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disponibilité algérienne massive (16 marques) — vigilance accrue à la délivrance pour éviter les confusions de dosage.</w:t>
      </w:r>
    </w:p>
    <w:p>
      <w:pPr>
        <w:pStyle w:val="ListBullet"/>
      </w:pPr>
      <w:r>
        <w:t>Piège classique : triple whammy (ARA2 + AINS + diurétique) chez le sujet âgé déshydraté.</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24-36 h avant IEC.</w:t>
      </w:r>
    </w:p>
    <w:p>
      <w:pPr>
        <w:pStyle w:val="Heading3"/>
      </w:pPr>
      <w:r>
        <w:t>24. DCI : Losartan + Hydrochlorothiazide (En Association)</w:t>
      </w:r>
    </w:p>
    <w:p>
      <w:r/>
      <w:r>
        <w:rPr>
          <w:b/>
        </w:rPr>
        <w:t>Liste des Catégories :</w:t>
      </w:r>
      <w:r>
        <w:t xml:space="preserve"> Liste I ; antihypertenseur association fixe ARA2 + diurétique thiazidique. Combinaison historique des années 1990 (Merck/Organon — Hyzaar). Le losartan (1er ARA2 commercialisé, prodrogue partiellement métabolisée par CYP2C9, effet uricosurique unique) et l'HCTZ (diurétique thiazidique de référence) forment une association monoprise quotidienne. La combinaison est particulièrement utile en cas d'hyperuricémie associée ou de goutte (effet uricosurique du losartan compensant l'effet hyperuricémiant de l'HCTZ).</w:t>
      </w:r>
    </w:p>
    <w:p>
      <w:r/>
      <w:r>
        <w:rPr>
          <w:b/>
        </w:rPr>
        <w:t>Médicaments disponibles en Algérie (Marques, Laboratoires, Formes et Dosages) :</w:t>
      </w:r>
      <w:r/>
    </w:p>
    <w:p>
      <w:pPr>
        <w:pStyle w:val="ListBullet"/>
      </w:pPr>
      <w:r/>
      <w:r>
        <w:rPr>
          <w:b/>
        </w:rPr>
        <w:t>HYZAAR</w:t>
      </w:r>
      <w:r>
        <w:t xml:space="preserve"> (ORGANON N.V.)</w:t>
      </w:r>
    </w:p>
    <w:p>
      <w:pPr>
        <w:pStyle w:val="ListBullet"/>
      </w:pPr>
      <w:r>
        <w:t>Formes et Dosages : Comprimé pelliculé 50 mg/12,5 mg (B/28)</w:t>
      </w:r>
    </w:p>
    <w:p>
      <w:pPr>
        <w:pStyle w:val="ListBullet"/>
      </w:pPr>
      <w:r>
        <w:t>Statut : Actif</w:t>
      </w:r>
    </w:p>
    <w:p>
      <w:pPr>
        <w:pStyle w:val="ListBullet"/>
      </w:pPr>
      <w:r/>
      <w:r>
        <w:rPr>
          <w:b/>
        </w:rPr>
        <w:t>FORTAZAAR</w:t>
      </w:r>
      <w:r>
        <w:t xml:space="preserve"> (ORGANON N.V.)</w:t>
      </w:r>
    </w:p>
    <w:p>
      <w:pPr>
        <w:pStyle w:val="ListBullet"/>
      </w:pPr>
      <w:r>
        <w:t>Formes et Dosages : Comprimé pelliculé 100 mg/25 mg (B/28)</w:t>
      </w:r>
    </w:p>
    <w:p>
      <w:pPr>
        <w:pStyle w:val="ListBullet"/>
      </w:pPr>
      <w:r>
        <w:t>Statut : Actif</w:t>
      </w:r>
    </w:p>
    <w:p>
      <w:pPr>
        <w:pStyle w:val="ListBullet"/>
      </w:pPr>
      <w:r/>
      <w:r>
        <w:rPr>
          <w:b/>
        </w:rPr>
        <w:t>COBEKTAL</w:t>
      </w:r>
      <w:r>
        <w:t xml:space="preserve"> (LABORATOIRES BEKER)</w:t>
      </w:r>
    </w:p>
    <w:p>
      <w:pPr>
        <w:pStyle w:val="ListBullet"/>
      </w:pPr>
      <w:r>
        <w:t>Formes et Dosages : Comprimé pelliculé 50 mg/12,5 mg (B/30) ; Comprimé pelliculé 100 mg/25 mg (B/30)</w:t>
      </w:r>
    </w:p>
    <w:p>
      <w:pPr>
        <w:pStyle w:val="ListBullet"/>
      </w:pPr>
      <w:r>
        <w:t>Statut : Actif</w:t>
      </w:r>
    </w:p>
    <w:p>
      <w:pPr>
        <w:pStyle w:val="ListBullet"/>
      </w:pPr>
      <w:r/>
      <w:r>
        <w:rPr>
          <w:b/>
        </w:rPr>
        <w:t>CO-HYSARTAN</w:t>
      </w:r>
      <w:r>
        <w:t xml:space="preserve"> (NADPHARMADIC-PRODUCTION)</w:t>
      </w:r>
    </w:p>
    <w:p>
      <w:pPr>
        <w:pStyle w:val="ListBullet"/>
      </w:pPr>
      <w:r>
        <w:t>Formes et Dosages : Comprimé pelliculé 50 mg/12,5 mg (B/28)</w:t>
      </w:r>
    </w:p>
    <w:p>
      <w:pPr>
        <w:pStyle w:val="ListBullet"/>
      </w:pPr>
      <w:r>
        <w:t>Statut : Actif</w:t>
      </w:r>
    </w:p>
    <w:p>
      <w:pPr>
        <w:pStyle w:val="ListBullet"/>
      </w:pPr>
      <w:r/>
      <w:r>
        <w:rPr>
          <w:b/>
        </w:rPr>
        <w:t>CO-NORTA</w:t>
      </w:r>
      <w:r>
        <w:t xml:space="preserve"> (INPHA-MEDIS)</w:t>
      </w:r>
    </w:p>
    <w:p>
      <w:pPr>
        <w:pStyle w:val="ListBullet"/>
      </w:pPr>
      <w:r>
        <w:t>Formes et Dosages : Comprimé pelliculé 50 mg/12,5 mg (B/30)</w:t>
      </w:r>
    </w:p>
    <w:p>
      <w:pPr>
        <w:pStyle w:val="ListBullet"/>
      </w:pPr>
      <w:r>
        <w:t>Statut : Actif</w:t>
      </w:r>
    </w:p>
    <w:p>
      <w:pPr>
        <w:pStyle w:val="ListBullet"/>
      </w:pPr>
      <w:r/>
      <w:r>
        <w:rPr>
          <w:b/>
        </w:rPr>
        <w:t>CO-NORTA FORT</w:t>
      </w:r>
      <w:r>
        <w:t xml:space="preserve"> (INPHA-MEDIS)</w:t>
      </w:r>
    </w:p>
    <w:p>
      <w:pPr>
        <w:pStyle w:val="ListBullet"/>
      </w:pPr>
      <w:r>
        <w:t>Formes et Dosages : Comprimé pelliculé sécable 100 mg/25 mg (B/28)</w:t>
      </w:r>
    </w:p>
    <w:p>
      <w:pPr>
        <w:pStyle w:val="ListBullet"/>
      </w:pPr>
      <w:r>
        <w:t>Statut : Actif</w:t>
      </w:r>
    </w:p>
    <w:p>
      <w:pPr>
        <w:pStyle w:val="ListBullet"/>
      </w:pPr>
      <w:r/>
      <w:r>
        <w:rPr>
          <w:b/>
        </w:rPr>
        <w:t>FORLYSART</w:t>
      </w:r>
      <w:r>
        <w:t xml:space="preserve"> (JANIS MED SARL)</w:t>
      </w:r>
    </w:p>
    <w:p>
      <w:pPr>
        <w:pStyle w:val="ListBullet"/>
      </w:pPr>
      <w:r>
        <w:t>Formes et Dosages : Comprimé pelliculé 100 mg/25 mg (B/28)</w:t>
      </w:r>
    </w:p>
    <w:p>
      <w:pPr>
        <w:pStyle w:val="ListBullet"/>
      </w:pPr>
      <w:r>
        <w:t>Statut : Actif</w:t>
      </w:r>
    </w:p>
    <w:p>
      <w:pPr>
        <w:pStyle w:val="ListBullet"/>
      </w:pPr>
      <w:r/>
      <w:r>
        <w:rPr>
          <w:b/>
        </w:rPr>
        <w:t>THIAZARTAN</w:t>
      </w:r>
      <w:r>
        <w:t xml:space="preserve"> (GEOPHARM)</w:t>
      </w:r>
    </w:p>
    <w:p>
      <w:pPr>
        <w:pStyle w:val="ListBullet"/>
      </w:pPr>
      <w:r>
        <w:t>Formes et Dosages : Comprimé pelliculé 50 mg/12,5 mg (B/30)</w:t>
      </w:r>
    </w:p>
    <w:p>
      <w:pPr>
        <w:pStyle w:val="ListBullet"/>
      </w:pPr>
      <w:r>
        <w:t>Statut : Actif</w:t>
      </w:r>
    </w:p>
    <w:p>
      <w:pPr>
        <w:pStyle w:val="ListBullet"/>
      </w:pPr>
      <w:r/>
      <w:r>
        <w:rPr>
          <w:b/>
        </w:rPr>
        <w:t>LOSARTIC</w:t>
      </w:r>
      <w:r>
        <w:t xml:space="preserve"> (SANAMED) (R) ; Comprimé 50 mg/12,5 mg (B/30)</w:t>
      </w:r>
    </w:p>
    <w:p>
      <w:pPr>
        <w:pStyle w:val="ListBullet"/>
      </w:pPr>
      <w:r/>
      <w:r>
        <w:rPr>
          <w:b/>
        </w:rPr>
        <w:t>IZARTAN</w:t>
      </w:r>
      <w:r>
        <w:t xml:space="preserve"> (MEDIFER SARL) (R) ; Comprimé pelliculé 50 mg/12,5 mg (B/30)</w:t>
      </w:r>
    </w:p>
    <w:p>
      <w:pPr>
        <w:pStyle w:val="ListBullet"/>
      </w:pPr>
      <w:r/>
      <w:r>
        <w:rPr>
          <w:b/>
        </w:rPr>
        <w:t>ZARTENS-H</w:t>
      </w:r>
      <w:r>
        <w:t xml:space="preserve"> (BIOVITAL) (R) ; Comprimé pelliculé 50 mg/12,5 mg (B/30)</w:t>
      </w:r>
    </w:p>
    <w:p>
      <w:r/>
      <w:r>
        <w:rPr>
          <w:b/>
        </w:rPr>
        <w:t>Sous-classe et Mécanisme d'action :</w:t>
      </w:r>
      <w:r/>
    </w:p>
    <w:p>
      <w:pPr>
        <w:pStyle w:val="ListBullet"/>
      </w:pPr>
      <w:r>
        <w:t>Sous-classe : Association fixe ARA2 (losartan, biphenyl tetrazole, prodrogue partiellement métabolisée par CYP2C9 → E-3174 actif) + diurétique thiazidique (HCTZ). Monoprise quotidienne.</w:t>
      </w:r>
    </w:p>
    <w:p>
      <w:pPr>
        <w:pStyle w:val="ListBullet"/>
      </w:pPr>
      <w:r>
        <w:t>Mécanisme d'action : le losartan est un antagoniste compétitif et sélectif du récepteur AT1 de l'angiotensine II → blocage complet de l'angiotensine II, vasodilatation, baisse de l'aldostérone, néphroprotection. L'HCTZ inhibe le NCC au tube contourné distal → natriurèse, baisse de la volémie. Particularité : le losartan est le seul ARA2 ayant un effet uricosurique (inhibition de l'URAT1 au niveau du tube proximal rénal), ce qui compense l'effet hyperuricémiant de l'HCTZ — atout en cas d'hyperuricémie associée ou de goutte.</w:t>
      </w:r>
    </w:p>
    <w:p>
      <w:r/>
      <w:r>
        <w:rPr>
          <w:b/>
        </w:rPr>
        <w:t>Profil Pharmacologique :</w:t>
      </w:r>
      <w:r/>
    </w:p>
    <w:p>
      <w:pPr>
        <w:pStyle w:val="ListBullet"/>
      </w:pPr>
      <w:r>
        <w:t>Indications : HTA modérée à sévère non contrôlée par monothérapie ; HTA du sujet âgé ; HTA systolique isolée ; néphropathie diabétique T2 avec protéinurie (RENAAL) ; HTA avec hyperuricémie associée ou goutte (atout spécifique).</w:t>
      </w:r>
    </w:p>
    <w:p>
      <w:pPr>
        <w:pStyle w:val="ListBullet"/>
      </w:pPr>
      <w:r>
        <w:t>Contre-indications : angio-œdème sous IEC (contre-indication croisée) ; grossesse 2e/3e trimestres ; sténose bilatérale des artères rénales ; hyperkaliémie ; hypokaliémie ; hyponatrémie ; insuffisance rénale sévère (DFG &lt; 30 mL/min) ; hyperuricémie avec goutte (l'effet uricosurique du losartan compense partiellement l'HCTZ, mais ne suffit pas toujours) ; hypersensibilité sulfamides ; association avec aliskirène/lithium.</w:t>
      </w:r>
    </w:p>
    <w:p>
      <w:pPr>
        <w:pStyle w:val="ListBullet"/>
      </w:pPr>
      <w:r>
        <w:t>Effets Indésirables : toux sèche (très rare) ; angio-œdème (très rare) ; hyperkaliémie ou hypokaliémie ; IRA fonctionnelle ; hypotension de 1ère dose ; hyponatrémie (thiazidique) ; hyperuricémie (thiazidique — atténuée par le losartan) ; hyperglycémie (thiazidique) ; céphalées, vertiges, asthénie ; rash ; troubles digestifs ; photosensibilité ; anomalies biologiques hépatiques (rares) ; anémie (chez transplanté rénal).</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(50 mg/12,5 mg par jour) chez le sujet âgé, l'insuffisant rénal modéré, ou le patient déjà sous diurétique. Surveillance PA après 1ère dose.</w:t>
      </w:r>
    </w:p>
    <w:p>
      <w:pPr>
        <w:pStyle w:val="ListBullet"/>
      </w:pPr>
      <w:r>
        <w:t>Conduite à Tenir : angio-œdème → arrêt définitif ARA2 et IEC (CI croisée), urgence. Hyperkaliémie → arrêt transitoire, restriction potassique, diurétique. Hypokaliémie → supplémentation potassique. Hyponatrémie → arrêt immédiat. Hyperuricémie → surveillance, allopurinol si goutte (en général non nécessaire grâce à l'effet uricosurique du losartan).</w:t>
      </w:r>
    </w:p>
    <w:p>
      <w:r/>
      <w:r>
        <w:rPr>
          <w:b/>
        </w:rPr>
        <w:t>Interactions Importantes :</w:t>
      </w:r>
      <w:r/>
    </w:p>
    <w:p>
      <w:pPr>
        <w:pStyle w:val="ListBullet"/>
      </w:pPr>
      <w:r/>
      <w:r>
        <w:rPr>
          <w:b/>
        </w:rPr>
        <w:t>Losartan + HCTZ + AINS</w:t>
      </w:r>
      <w:r>
        <w:t xml:space="preserve"> : triple whammy — baisse effet antihypertenseur + IRA.</w:t>
      </w:r>
    </w:p>
    <w:p>
      <w:pPr>
        <w:pStyle w:val="ListBullet"/>
      </w:pPr>
      <w:r/>
      <w:r>
        <w:rPr>
          <w:b/>
        </w:rPr>
        <w:t>Losartan + HCTZ + lithium</w:t>
      </w:r>
      <w:r>
        <w:t xml:space="preserve"> : augmentation lithiémie.</w:t>
      </w:r>
    </w:p>
    <w:p>
      <w:pPr>
        <w:pStyle w:val="ListBullet"/>
      </w:pPr>
      <w:r/>
      <w:r>
        <w:rPr>
          <w:b/>
        </w:rPr>
        <w:t>Losartan + HCTZ + digitaliques</w:t>
      </w:r>
      <w:r>
        <w:t xml:space="preserve"> : hypokaliémie thiazidique favorisant l'intoxication digitalique.</w:t>
      </w:r>
    </w:p>
    <w:p>
      <w:pPr>
        <w:pStyle w:val="ListBullet"/>
      </w:pPr>
      <w:r/>
      <w:r>
        <w:rPr>
          <w:b/>
        </w:rPr>
        <w:t>Losartan + HCTZ + aliskirène</w:t>
      </w:r>
      <w:r>
        <w:t xml:space="preserve"> : CI absolue.</w:t>
      </w:r>
    </w:p>
    <w:p>
      <w:pPr>
        <w:pStyle w:val="ListBullet"/>
      </w:pPr>
      <w:r/>
      <w:r>
        <w:rPr>
          <w:b/>
        </w:rPr>
        <w:t>Losartan + HCTZ + rifampicine/fluconazole</w:t>
      </w:r>
      <w:r>
        <w:t xml:space="preserve"> : modulation du CYP2C9 — surveillance de l'efficacité tensionnelle (risque de perte d'effet avec rifampicine).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(ARA2) + métabolique (thiazidique).</w:t>
      </w:r>
    </w:p>
    <w:p>
      <w:r/>
      <w:r>
        <w:rPr>
          <w:b/>
        </w:rPr>
        <w:t>Posologie et Mode d'administration (Standard) :</w:t>
      </w:r>
      <w:r/>
    </w:p>
    <w:p>
      <w:pPr>
        <w:pStyle w:val="ListBullet"/>
      </w:pPr>
      <w:r>
        <w:t>Adulte : HTA : 1 comprimé (50 mg/12,5 mg) une fois par jour (matin), augmentable à 100 mg/25 mg (en passant par 100 mg/12,5 mg si nécessaire). Néphropathie diabétique T2 (RENAAL) : 50 mg/12,5 mg à 100 mg/25 mg/j.</w:t>
      </w:r>
    </w:p>
    <w:p>
      <w:pPr>
        <w:pStyle w:val="ListBullet"/>
      </w:pPr>
      <w:r>
        <w:t>Sujet âgé : 1/2 comprimé (25 mg/6,25 mg — non disponible en association fixe, titration par monothérapie) par jour initialement, titration prudente.</w:t>
      </w:r>
    </w:p>
    <w:p>
      <w:pPr>
        <w:pStyle w:val="ListBullet"/>
      </w:pPr>
      <w:r>
        <w:t>Insuffisance rénale : DFG 30-60 mL/min : posologie réduite. DFG &lt; 30 mL/min : CI.</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losartan + HCTZ est disponible en comprimés à 50 mg/12,5 mg et 100 mg/25 mg, le plus souvent pelliculés. La disponibilité de deux dosages permet une adaptation fine (50 mg/12,5 mg pour la dose initiale ou la première dose ; 100 mg/25 mg pour la dose maximale). Le conditionnement B/28 ou B/30 correspond à un mois de traitement. Le losartan + HCTZ est largement disponible en Algérie sous 8 marques actives, dont le princeps Hyzaar/Fortazaar (Organon) et plusieurs génériques (Cobektal, Co-Hysartan, Co-Norta, Co-Norta Fort, Forlysart, Thiazartan). Le principal atout de cette combinaison est l'effet uricosurique du losartan (compense l'HCTZ) — atout spécifique en cas d'hyperuricémie associée ou de goutte. Le principal inconvénient est le risque d'interaction avec le CYP2C9 (rifampicine, fluconazole).</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interaction CYP2C9 (rifampicine, fluconazole) — surveillance de l'efficacité tensionnelle.</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24-36 h avant IEC.</w:t>
      </w:r>
    </w:p>
    <w:p>
      <w:pPr>
        <w:pStyle w:val="Heading3"/>
      </w:pPr>
      <w:r>
        <w:t>25. DCI : Telmisartan + Hydrochlorothiazide (En Association)</w:t>
      </w:r>
    </w:p>
    <w:p>
      <w:r/>
      <w:r>
        <w:rPr>
          <w:b/>
        </w:rPr>
        <w:t>Liste des Catégories :</w:t>
      </w:r>
      <w:r>
        <w:t xml:space="preserve"> Liste I ; antihypertenseur association fixe ARA2 + diurétique thiazidique. Combinaison moderne des années 2000 (Boehringer — Micardis Plus). Le telmisartan (ARA2 de 3ème génération, non-biphenyl tetrazole, non prodrogue, plus longue demi-vée de la classe 24 h, élimination biliaire prédominante, agoniste partiel PPAR-γ) et l'HCTZ (diurétique thiazidique de référence) forment une association monoprise quotidienne. Le profil métabolique du telmisartan (agonisme PPAR-γ partiel) compense partiellement l'effet hyperglycémiant de l'HCTZ — atout chez le diabétique ou le patient dysmétabolique.</w:t>
      </w:r>
    </w:p>
    <w:p>
      <w:r/>
      <w:r>
        <w:rPr>
          <w:b/>
        </w:rPr>
        <w:t>Médicaments disponibles en Algérie (Marques, Laboratoires, Formes et Dosages) :</w:t>
      </w:r>
      <w:r/>
    </w:p>
    <w:p>
      <w:pPr>
        <w:pStyle w:val="ListBullet"/>
      </w:pPr>
      <w:r/>
      <w:r>
        <w:rPr>
          <w:b/>
        </w:rPr>
        <w:t>MICARDIS PLUS</w:t>
      </w:r>
      <w:r>
        <w:t xml:space="preserve"> (BOEHRINGER INGELHEIM INTERNATIONAL GMBH)</w:t>
      </w:r>
    </w:p>
    <w:p>
      <w:pPr>
        <w:pStyle w:val="ListBullet"/>
      </w:pPr>
      <w:r>
        <w:t>Formes et Dosages : Comprimé 40 mg/12,5 mg (B/28) ; Comprimé 80 mg/12,5 mg (B/28)</w:t>
      </w:r>
    </w:p>
    <w:p>
      <w:pPr>
        <w:pStyle w:val="ListBullet"/>
      </w:pPr>
      <w:r>
        <w:t>Statut : Actif</w:t>
      </w:r>
    </w:p>
    <w:p>
      <w:pPr>
        <w:pStyle w:val="ListBullet"/>
      </w:pPr>
      <w:r/>
      <w:r>
        <w:rPr>
          <w:b/>
        </w:rPr>
        <w:t>CO BEKERDIS</w:t>
      </w:r>
      <w:r>
        <w:t xml:space="preserve"> (LABORATOIRES BEKER)</w:t>
      </w:r>
    </w:p>
    <w:p>
      <w:pPr>
        <w:pStyle w:val="ListBullet"/>
      </w:pPr>
      <w:r>
        <w:t>Formes et Dosages : Comprimé 40 mg/12,5 mg (B/30) ; Comprimé 80 mg/12,5 mg (B/30) ; Comprimé 80 mg/25 mg (B/30)</w:t>
      </w:r>
    </w:p>
    <w:p>
      <w:pPr>
        <w:pStyle w:val="ListBullet"/>
      </w:pPr>
      <w:r>
        <w:t>Statut : Actif</w:t>
      </w:r>
    </w:p>
    <w:p>
      <w:pPr>
        <w:pStyle w:val="ListBullet"/>
      </w:pPr>
      <w:r/>
      <w:r>
        <w:rPr>
          <w:b/>
        </w:rPr>
        <w:t>CO TENSOTEL</w:t>
      </w:r>
      <w:r>
        <w:t xml:space="preserve"> (EL KENDI INDUSTRIE DU MEDICAMENT)</w:t>
      </w:r>
    </w:p>
    <w:p>
      <w:pPr>
        <w:pStyle w:val="ListBullet"/>
      </w:pPr>
      <w:r>
        <w:t>Formes et Dosages : Comprimé 40 mg/12,5 mg (B/30) ; Comprimé 80 mg/12,5 mg (B/30) ; Comprimé 80 mg/25 mg (B/30)</w:t>
      </w:r>
    </w:p>
    <w:p>
      <w:pPr>
        <w:pStyle w:val="ListBullet"/>
      </w:pPr>
      <w:r>
        <w:t>Statut : Actif</w:t>
      </w:r>
    </w:p>
    <w:p>
      <w:pPr>
        <w:pStyle w:val="ListBullet"/>
      </w:pPr>
      <w:r/>
      <w:r>
        <w:rPr>
          <w:b/>
        </w:rPr>
        <w:t>CARDOMYL PLUS</w:t>
      </w:r>
      <w:r>
        <w:t xml:space="preserve"> (SPA UNION PHARMACEUTIQUE CONSTANTINOISE PRODUCTION)</w:t>
      </w:r>
    </w:p>
    <w:p>
      <w:pPr>
        <w:pStyle w:val="ListBullet"/>
      </w:pPr>
      <w:r>
        <w:t>Formes et Dosages : Comprimé 40 mg/12,5 mg (B/30) ; Comprimé 80 mg/12,5 mg (B/30) ; Comprimé 80 mg/25 mg (B/30)</w:t>
      </w:r>
    </w:p>
    <w:p>
      <w:pPr>
        <w:pStyle w:val="ListBullet"/>
      </w:pPr>
      <w:r>
        <w:t>Statut : Actif</w:t>
      </w:r>
    </w:p>
    <w:p>
      <w:pPr>
        <w:pStyle w:val="ListBullet"/>
      </w:pPr>
      <w:r/>
      <w:r>
        <w:rPr>
          <w:b/>
        </w:rPr>
        <w:t>MIZART PLUS</w:t>
      </w:r>
      <w:r>
        <w:t xml:space="preserve"> (BIOLOGIE ET VITAMINE D'ALGERIE BIOVITAL)</w:t>
      </w:r>
    </w:p>
    <w:p>
      <w:pPr>
        <w:pStyle w:val="ListBullet"/>
      </w:pPr>
      <w:r>
        <w:t>Formes et Dosages : Comprimé 40 mg/12,5 mg (B/30) ; Comprimé 80 mg/12,5 mg (B/30)</w:t>
      </w:r>
    </w:p>
    <w:p>
      <w:pPr>
        <w:pStyle w:val="ListBullet"/>
      </w:pPr>
      <w:r>
        <w:t>Statut : Actif</w:t>
      </w:r>
    </w:p>
    <w:p>
      <w:pPr>
        <w:pStyle w:val="ListBullet"/>
      </w:pPr>
      <w:r/>
      <w:r>
        <w:rPr>
          <w:b/>
        </w:rPr>
        <w:t>TELMED PLUS 40/12.5 / TELMED PLUS 80/12.5</w:t>
      </w:r>
      <w:r>
        <w:t xml:space="preserve"> (LABORATOIRES MERINAL)</w:t>
      </w:r>
    </w:p>
    <w:p>
      <w:pPr>
        <w:pStyle w:val="ListBullet"/>
      </w:pPr>
      <w:r>
        <w:t>Formes et Dosages : Comprimé 40 mg/12,5 mg (B/30) ; Comprimé 80 mg/12,5 mg (B/30)</w:t>
      </w:r>
    </w:p>
    <w:p>
      <w:pPr>
        <w:pStyle w:val="ListBullet"/>
      </w:pPr>
      <w:r>
        <w:t>Statut : Actif</w:t>
      </w:r>
    </w:p>
    <w:p>
      <w:pPr>
        <w:pStyle w:val="ListBullet"/>
      </w:pPr>
      <w:r/>
      <w:r>
        <w:rPr>
          <w:b/>
        </w:rPr>
        <w:t>TELMIDIS PLUS</w:t>
      </w:r>
      <w:r>
        <w:t xml:space="preserve"> (LES LABORATOIRES FRATER RAZES)</w:t>
      </w:r>
    </w:p>
    <w:p>
      <w:pPr>
        <w:pStyle w:val="ListBullet"/>
      </w:pPr>
      <w:r>
        <w:t>Formes et Dosages : Comprimé 40 mg/12,5 mg (B/30) ; Comprimé 80 mg/12,5 mg (B/30)</w:t>
      </w:r>
    </w:p>
    <w:p>
      <w:pPr>
        <w:pStyle w:val="ListBullet"/>
      </w:pPr>
      <w:r>
        <w:t>Statut : Actif</w:t>
      </w:r>
    </w:p>
    <w:p>
      <w:pPr>
        <w:pStyle w:val="ListBullet"/>
      </w:pPr>
      <w:r/>
      <w:r>
        <w:rPr>
          <w:b/>
        </w:rPr>
        <w:t>TELMISARTE +</w:t>
      </w:r>
      <w:r>
        <w:t xml:space="preserve"> (PHARMALLIANCE)</w:t>
      </w:r>
    </w:p>
    <w:p>
      <w:pPr>
        <w:pStyle w:val="ListBullet"/>
      </w:pPr>
      <w:r>
        <w:t>Formes et Dosages : Comprimé 40 mg/12,5 mg (B/30) ; Comprimé 80 mg/12,5 mg (B/30) ; Comprimé 80 mg/25 mg (B/30)</w:t>
      </w:r>
    </w:p>
    <w:p>
      <w:pPr>
        <w:pStyle w:val="ListBullet"/>
      </w:pPr>
      <w:r>
        <w:t>Statut : Actif</w:t>
      </w:r>
    </w:p>
    <w:p>
      <w:r/>
      <w:r>
        <w:rPr>
          <w:b/>
        </w:rPr>
        <w:t>Sous-classe et Mécanisme d'action :</w:t>
      </w:r>
      <w:r/>
    </w:p>
    <w:p>
      <w:pPr>
        <w:pStyle w:val="ListBullet"/>
      </w:pPr>
      <w:r>
        <w:t>Sous-classe : Association fixe ARA2 (telmisartan, non-biphenyl tetrazole, non prodrogue, plus longue demi-vée de la classe 24 h, élimination biliaire prédominante, agoniste partiel PPAR-γ) + diurétique thiazidique (HCTZ). Monoprise quotidienne.</w:t>
      </w:r>
    </w:p>
    <w:p>
      <w:pPr>
        <w:pStyle w:val="ListBullet"/>
      </w:pPr>
      <w:r>
        <w:t>Mécanisme d'action : le telmisartan se lie de manière compétitive et sélective au récepteur AT1 de l'angiotensine II → blocage complet de l'angiotensine II, vasodilatation, baisse de l'aldostérone, néphroprotection. L'HCTZ inhibe le NCC au tube contourné distal → natriurèse, baisse de la volémie. L'agonisme partiel PPAR-γ du telmisartan explique l'effet favorable putatif sur l'insulino-sensibilité et le profil lipidique (réduction des triglycérides, augmentation du HDL-cholestérol) — atout chez le diabétique ou le patient dysmétabolique, qui compense partiellement l'effet hyperglycémiant de l'HCTZ.</w:t>
      </w:r>
    </w:p>
    <w:p>
      <w:r/>
      <w:r>
        <w:rPr>
          <w:b/>
        </w:rPr>
        <w:t>Profil Pharmacologique :</w:t>
      </w:r>
      <w:r/>
    </w:p>
    <w:p>
      <w:pPr>
        <w:pStyle w:val="ListBullet"/>
      </w:pPr>
      <w:r>
        <w:t>Indications : HTA modérée à sévère non contrôlée par monothérapie ; HTA du sujet âgé ; HTA systolique isolée ; HTA du diabétique ou du patient dysmétabolique (atout spécifique).</w:t>
      </w:r>
    </w:p>
    <w:p>
      <w:pPr>
        <w:pStyle w:val="ListBullet"/>
      </w:pPr>
      <w:r>
        <w:t>Contre-indications : angio-œdème sous IEC (contre-indication croisée) ; grossesse 2e/3e trimestres ; sténose bilatérale des artères rénales ; hyperkaliémie ; hypokaliémie ; hyponatrémie ; insuffisance rénale sévère (DFG &lt; 30 mL/min) ; hyperuricémie avec goutte ; hypersensibilité sulfamides ; association avec aliskirène/lithium ; obstruction biliaire ; insuffisance hépatique sévère.</w:t>
      </w:r>
    </w:p>
    <w:p>
      <w:pPr>
        <w:pStyle w:val="ListBullet"/>
      </w:pPr>
      <w:r>
        <w:t>Effets Indésirables : toux sèche (très rare) ; angio-œdème (très rare) ; hyperkaliémie ou hypokaliémie ; IRA fonctionnelle ; hypotension de 1ère dose ; hyponatrémie (thiazidique) ; hyperuricémie (thiazidique) ; hyperglycémie (thiazidique — atténuée par le telmisartan) ; céphalées, vertiges, asthénie ; rash ; troubles digestifs ; photosensibilité ; anomalies biologiques hépatiques (plus fréquentes que sous placebo — surveillance des transaminases) ; anémie (chez transplanté rénal).</w:t>
      </w:r>
    </w:p>
    <w:p>
      <w:r/>
      <w:r>
        <w:rPr>
          <w:b/>
        </w:rPr>
        <w:t>Prévention et Gestion des Effets Indésirables :</w:t>
      </w:r>
      <w:r/>
    </w:p>
    <w:p>
      <w:pPr>
        <w:pStyle w:val="ListBullet"/>
      </w:pPr>
      <w:r>
        <w:t>Mesures Préventives : dosage créatinine + kaliémie + natrémie + uricémie + glycémie + transaminases avant initiation, à 1-2 semaines, puis tous les 3-6 mois. Test de grossesse. Dose initiale faible (40 mg/12,5 mg par jour) chez le sujet âgé, l'insuffisant rénal modéré, ou le patient déjà sous diurétique. Surveillance PA après 1ère dose.</w:t>
      </w:r>
    </w:p>
    <w:p>
      <w:pPr>
        <w:pStyle w:val="ListBullet"/>
      </w:pPr>
      <w:r>
        <w:t>Conduite à Tenir : angio-œdème → arrêt définitif ARA2 et IEC (CI croisée), urgence. Hyperkaliémie → arrêt transitoire, restriction potassique, diurétique. Hypokaliémie → supplémentation potassique. Hyponatrémie → arrêt immédiat. Hyperuricémie → surveillance, allopurinol si goutte. Anomalies hépatiques → arrêt si transaminases &gt; 3× LSN.</w:t>
      </w:r>
    </w:p>
    <w:p>
      <w:r/>
      <w:r>
        <w:rPr>
          <w:b/>
        </w:rPr>
        <w:t>Interactions Importantes :</w:t>
      </w:r>
      <w:r/>
    </w:p>
    <w:p>
      <w:pPr>
        <w:pStyle w:val="ListBullet"/>
      </w:pPr>
      <w:r/>
      <w:r>
        <w:rPr>
          <w:b/>
        </w:rPr>
        <w:t>Telmisartan + HCTZ + AINS</w:t>
      </w:r>
      <w:r>
        <w:t xml:space="preserve"> : triple whammy — baisse effet antihypertenseur + IRA.</w:t>
      </w:r>
    </w:p>
    <w:p>
      <w:pPr>
        <w:pStyle w:val="ListBullet"/>
      </w:pPr>
      <w:r/>
      <w:r>
        <w:rPr>
          <w:b/>
        </w:rPr>
        <w:t>Telmisartan + HCTZ + lithium</w:t>
      </w:r>
      <w:r>
        <w:t xml:space="preserve"> : augmentation lithiémie.</w:t>
      </w:r>
    </w:p>
    <w:p>
      <w:pPr>
        <w:pStyle w:val="ListBullet"/>
      </w:pPr>
      <w:r/>
      <w:r>
        <w:rPr>
          <w:b/>
        </w:rPr>
        <w:t>Telmisartan + HCTZ + digitaliques</w:t>
      </w:r>
      <w:r>
        <w:t xml:space="preserve"> : hypokaliémie thiazidique favorisant l'intoxication digitalique.</w:t>
      </w:r>
    </w:p>
    <w:p>
      <w:pPr>
        <w:pStyle w:val="ListBullet"/>
      </w:pPr>
      <w:r/>
      <w:r>
        <w:rPr>
          <w:b/>
        </w:rPr>
        <w:t>Telmisartan + HCTZ + digoxine</w:t>
      </w:r>
      <w:r>
        <w:t xml:space="preserve"> : augmentation de la digoxinémie (interaction du telmisartan).</w:t>
      </w:r>
    </w:p>
    <w:p>
      <w:pPr>
        <w:pStyle w:val="ListBullet"/>
      </w:pPr>
      <w:r/>
      <w:r>
        <w:rPr>
          <w:b/>
        </w:rPr>
        <w:t>Telmisartan + HCTZ + aliskirène</w:t>
      </w:r>
      <w:r>
        <w:t xml:space="preserve"> : CI absolue.</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(ARA2) + métabolique (thiazidique).</w:t>
      </w:r>
    </w:p>
    <w:p>
      <w:r/>
      <w:r>
        <w:rPr>
          <w:b/>
        </w:rPr>
        <w:t>Posologie et Mode d'administration (Standard) :</w:t>
      </w:r>
      <w:r/>
    </w:p>
    <w:p>
      <w:pPr>
        <w:pStyle w:val="ListBullet"/>
      </w:pPr>
      <w:r>
        <w:t>Adulte : HTA : 1 comprimé (40 mg/12,5 mg) une fois par jour (matin), augmentable à 80 mg/12,5 mg ou 80 mg/25 mg.</w:t>
      </w:r>
    </w:p>
    <w:p>
      <w:pPr>
        <w:pStyle w:val="ListBullet"/>
      </w:pPr>
      <w:r>
        <w:t>Sujet âgé : 1/2 comprimé (20 mg/6,25 mg — non disponible en association fixe, titration par monothérapie) par jour initialement, titration prudente.</w:t>
      </w:r>
    </w:p>
    <w:p>
      <w:pPr>
        <w:pStyle w:val="ListBullet"/>
      </w:pPr>
      <w:r>
        <w:t>Insuffisance rénale : DFG 30-60 mL/min : posologie réduite. DFG &lt; 30 mL/min : CI.</w:t>
      </w:r>
    </w:p>
    <w:p>
      <w:pPr>
        <w:pStyle w:val="ListBullet"/>
      </w:pPr>
      <w:r>
        <w:t>Insuffisance hépatique : 40 mg/12,5 mg initialement (si modérée), éviter si sévère (CI si obstruction biliaire).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telmisartan + HCTZ est disponible en comprimés à 40 mg/12,5 mg, 80 mg/12,5 mg et 80 mg/25 mg. La diversité des dosages permet une adaptation fine (40 mg/12,5 mg pour la dose initiale ou la première dose ; 80 mg/12,5 mg pour la dose modérée ; 80 mg/25 mg pour la dose maximale). Le conditionnement B/28 ou B/30 correspond à un mois de traitement. Le telmisartan + HCTZ est largement disponible en Algérie sous 8 marques actives, dont le princeps Micardis Plus (Boehringer Ingelheim) et plusieurs génériques (Co-Bekerdis, Co-Tensotel, Cardomyl Plus, Mizart Plus, Telmed Plus, Telmidis Plus, Telmisarte+). Le principal atout de cette combinaison est la longue durée d'action du telmisartan (24 h, couverture du « morning surge ») et son profil métabolique favorable (agonisme PPAR-γ partiel, utile chez le diabétique). Le principal inconvénient est le risque d'interactions avec la digoxine et la surveillance des transaminases.</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association déconseillée avec digoxine — surveillance de la digoxinémie.</w:t>
      </w:r>
    </w:p>
    <w:p>
      <w:pPr>
        <w:pStyle w:val="ListBullet"/>
      </w:pPr>
      <w:r>
        <w:t>Piège classique : surveillance des transaminases (anomalies hépatiques plus fréquentes qu'avec d'autres ARA2).</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24-36 h avant IEC.</w:t>
      </w:r>
    </w:p>
    <w:p>
      <w:pPr>
        <w:pStyle w:val="Heading3"/>
      </w:pPr>
      <w:r>
        <w:t>26. DCI : Valsartan + Hydrochlorothiazide (En Association)</w:t>
      </w:r>
    </w:p>
    <w:p>
      <w:r/>
      <w:r>
        <w:rPr>
          <w:b/>
        </w:rPr>
        <w:t>Liste des Catégories :</w:t>
      </w:r>
      <w:r>
        <w:t xml:space="preserve"> Liste I ; antihypertenseur association fixe ARA2 + diurétique thiazidique. Combinaison historique des années 1990 (Novartis — Cotareg / Diovan HCT). Le valsartan (ARA2 de 2ème génération, biphenyl tetrazole, non prodrogue, élimination biliaire prédominante — sécurité en cas d'IRC modérée à sévère) et l'HCTZ (diurétique thiazidique de référence) forment une association monoprise quotidienne. Le valsartan est aussi le composant de l'association sacubitril/valsartan (Entresto) — révolution thérapeutique de l'IC à FEVG réduite.</w:t>
      </w:r>
    </w:p>
    <w:p>
      <w:r/>
      <w:r>
        <w:rPr>
          <w:b/>
        </w:rPr>
        <w:t>Médicaments disponibles en Algérie (Marques, Laboratoires, Formes et Dosages) :</w:t>
      </w:r>
      <w:r/>
    </w:p>
    <w:p>
      <w:pPr>
        <w:pStyle w:val="ListBullet"/>
      </w:pPr>
      <w:r/>
      <w:r>
        <w:rPr>
          <w:b/>
        </w:rPr>
        <w:t>COTAREG</w:t>
      </w:r>
      <w:r>
        <w:t xml:space="preserve"> (NOVARTIS PHARMA SCHWEIZ AG)</w:t>
      </w:r>
    </w:p>
    <w:p>
      <w:pPr>
        <w:pStyle w:val="ListBullet"/>
      </w:pPr>
      <w:r>
        <w:t>Formes et Dosages : Comprimé pelliculé 80 mg/12,5 mg (B/28) ; Comprimé pelliculé 160 mg/12,5 mg (B/28) ; Comprimé pelliculé 160 mg/25 mg (B/28)</w:t>
      </w:r>
    </w:p>
    <w:p>
      <w:pPr>
        <w:pStyle w:val="ListBullet"/>
      </w:pPr>
      <w:r>
        <w:t>Statut : Actif</w:t>
      </w:r>
    </w:p>
    <w:p>
      <w:pPr>
        <w:pStyle w:val="ListBullet"/>
      </w:pPr>
      <w:r/>
      <w:r>
        <w:rPr>
          <w:b/>
        </w:rPr>
        <w:t>CO TAROVAL</w:t>
      </w:r>
      <w:r>
        <w:t xml:space="preserve"> (FRATER-RAZES FORME SECHE)</w:t>
      </w:r>
    </w:p>
    <w:p>
      <w:pPr>
        <w:pStyle w:val="ListBullet"/>
      </w:pPr>
      <w:r>
        <w:t>Formes et Dosages : Comprimé pelliculé 80 mg/12,5 mg (B/30)</w:t>
      </w:r>
    </w:p>
    <w:p>
      <w:pPr>
        <w:pStyle w:val="ListBullet"/>
      </w:pPr>
      <w:r>
        <w:t>Statut : Actif</w:t>
      </w:r>
    </w:p>
    <w:p>
      <w:pPr>
        <w:pStyle w:val="ListBullet"/>
      </w:pPr>
      <w:r/>
      <w:r>
        <w:rPr>
          <w:b/>
        </w:rPr>
        <w:t>CO VALASTAN</w:t>
      </w:r>
      <w:r>
        <w:t xml:space="preserve"> (LABORATOIRES BEKER)</w:t>
      </w:r>
    </w:p>
    <w:p>
      <w:pPr>
        <w:pStyle w:val="ListBullet"/>
      </w:pPr>
      <w:r>
        <w:t>Formes et Dosages : Comprimé pelliculé 80 mg/12,5 mg (B/30) ; Comprimé pelliculé 160 mg/12,5 mg (B/30) ; Comprimé pelliculé 160 mg/25 mg (B/30)</w:t>
      </w:r>
    </w:p>
    <w:p>
      <w:pPr>
        <w:pStyle w:val="ListBullet"/>
      </w:pPr>
      <w:r>
        <w:t>Statut : Actif</w:t>
      </w:r>
    </w:p>
    <w:p>
      <w:pPr>
        <w:pStyle w:val="ListBullet"/>
      </w:pPr>
      <w:r/>
      <w:r>
        <w:rPr>
          <w:b/>
        </w:rPr>
        <w:t>CO VAREG</w:t>
      </w:r>
      <w:r>
        <w:t xml:space="preserve"> (LDM)</w:t>
      </w:r>
    </w:p>
    <w:p>
      <w:pPr>
        <w:pStyle w:val="ListBullet"/>
      </w:pPr>
      <w:r>
        <w:t>Formes et Dosages : Comprimé pelliculé 80 mg/12,5 mg (B/30) ; Comprimé pelliculé 160 mg/12,5 mg (B/28) ; Comprimé pelliculé 160 mg/25 mg (B/28)</w:t>
      </w:r>
    </w:p>
    <w:p>
      <w:pPr>
        <w:pStyle w:val="ListBullet"/>
      </w:pPr>
      <w:r>
        <w:t>Statut : Actif</w:t>
      </w:r>
    </w:p>
    <w:p>
      <w:pPr>
        <w:pStyle w:val="ListBullet"/>
      </w:pPr>
      <w:r/>
      <w:r>
        <w:rPr>
          <w:b/>
        </w:rPr>
        <w:t>CO-ARBITAN</w:t>
      </w:r>
      <w:r>
        <w:t xml:space="preserve"> (HIKMA PHARMA ALGERIA)</w:t>
      </w:r>
    </w:p>
    <w:p>
      <w:pPr>
        <w:pStyle w:val="ListBullet"/>
      </w:pPr>
      <w:r>
        <w:t>Formes et Dosages : Comprimé pelliculé 80 mg/12,5 mg (B/30) ; Comprimé pelliculé 160 mg/12,5 mg (B/30) ; Comprimé pelliculé 160 mg/25 mg (B/30)</w:t>
      </w:r>
    </w:p>
    <w:p>
      <w:pPr>
        <w:pStyle w:val="ListBullet"/>
      </w:pPr>
      <w:r>
        <w:t>Statut : Actif</w:t>
      </w:r>
    </w:p>
    <w:p>
      <w:pPr>
        <w:pStyle w:val="ListBullet"/>
      </w:pPr>
      <w:r/>
      <w:r>
        <w:rPr>
          <w:b/>
        </w:rPr>
        <w:t>CO-LIPIRINAD</w:t>
      </w:r>
      <w:r>
        <w:t xml:space="preserve"> (NADPHARMADIC-PRODUCTION)</w:t>
      </w:r>
    </w:p>
    <w:p>
      <w:pPr>
        <w:pStyle w:val="ListBullet"/>
      </w:pPr>
      <w:r>
        <w:t>Formes et Dosages : Comprimé pelliculé 80 mg/12,5 mg (B/28) ; Comprimé pelliculé 160 mg/25 mg (B/30)</w:t>
      </w:r>
    </w:p>
    <w:p>
      <w:pPr>
        <w:pStyle w:val="ListBullet"/>
      </w:pPr>
      <w:r>
        <w:t>Statut : Actif</w:t>
      </w:r>
    </w:p>
    <w:p>
      <w:pPr>
        <w:pStyle w:val="ListBullet"/>
      </w:pPr>
      <w:r/>
      <w:r>
        <w:rPr>
          <w:b/>
        </w:rPr>
        <w:t>CO-RETA</w:t>
      </w:r>
      <w:r>
        <w:t xml:space="preserve"> (INPHA-MEDIS)</w:t>
      </w:r>
    </w:p>
    <w:p>
      <w:pPr>
        <w:pStyle w:val="ListBullet"/>
      </w:pPr>
      <w:r>
        <w:t>Formes et Dosages : Comprimé pelliculé 80 mg/12,5 mg (B/30) ; Comprimé pelliculé 160 mg/25 mg (B/30)</w:t>
      </w:r>
    </w:p>
    <w:p>
      <w:pPr>
        <w:pStyle w:val="ListBullet"/>
      </w:pPr>
      <w:r>
        <w:t>Statut : Actif</w:t>
      </w:r>
    </w:p>
    <w:p>
      <w:pPr>
        <w:pStyle w:val="ListBullet"/>
      </w:pPr>
      <w:r/>
      <w:r>
        <w:rPr>
          <w:b/>
        </w:rPr>
        <w:t>COSARTEG / CO SARTEG</w:t>
      </w:r>
      <w:r>
        <w:t xml:space="preserve"> (EL KENDI INDUSTRIE DU MEDICAMENT)</w:t>
      </w:r>
    </w:p>
    <w:p>
      <w:pPr>
        <w:pStyle w:val="ListBullet"/>
      </w:pPr>
      <w:r>
        <w:t>Formes et Dosages : Comprimé pelliculé 80 mg/12,5 mg (B/30) ; Comprimé pelliculé 160 mg/12,5 mg (B/30) ; Comprimé pelliculé 160 mg/25 mg (B/30) ; Comprimé pelliculé 320 mg/25 mg (B/30)</w:t>
      </w:r>
    </w:p>
    <w:p>
      <w:pPr>
        <w:pStyle w:val="ListBullet"/>
      </w:pPr>
      <w:r>
        <w:t>Statut : Actif</w:t>
      </w:r>
    </w:p>
    <w:p>
      <w:pPr>
        <w:pStyle w:val="ListBullet"/>
      </w:pPr>
      <w:r/>
      <w:r>
        <w:rPr>
          <w:b/>
        </w:rPr>
        <w:t>CO-TABUVAN</w:t>
      </w:r>
      <w:r>
        <w:t xml:space="preserve"> (TABUK ALGERIE)</w:t>
      </w:r>
    </w:p>
    <w:p>
      <w:pPr>
        <w:pStyle w:val="ListBullet"/>
      </w:pPr>
      <w:r>
        <w:t>Formes et Dosages : Comprimé pelliculé 80 mg/12,5 mg (B/30) ; Comprimé pelliculé 160 mg/12,5 mg (B/30) ; Comprimé pelliculé 160 mg/25 mg (B/30)</w:t>
      </w:r>
    </w:p>
    <w:p>
      <w:pPr>
        <w:pStyle w:val="ListBullet"/>
      </w:pPr>
      <w:r>
        <w:t>Statut : Actif</w:t>
      </w:r>
    </w:p>
    <w:p>
      <w:pPr>
        <w:pStyle w:val="ListBullet"/>
      </w:pPr>
      <w:r/>
      <w:r>
        <w:rPr>
          <w:b/>
        </w:rPr>
        <w:t>CO-VALEX</w:t>
      </w:r>
      <w:r>
        <w:t xml:space="preserve"> (LABORATOIRES MERINAL)</w:t>
      </w:r>
    </w:p>
    <w:p>
      <w:pPr>
        <w:pStyle w:val="ListBullet"/>
      </w:pPr>
      <w:r>
        <w:t>Formes et Dosages : Comprimé pelliculé 80 mg/12,5 mg (B/30) ; Comprimé pelliculé 160 mg/12,5 mg (B/30) ; Comprimé pelliculé 160 mg/25 mg (B/30)</w:t>
      </w:r>
    </w:p>
    <w:p>
      <w:pPr>
        <w:pStyle w:val="ListBullet"/>
      </w:pPr>
      <w:r>
        <w:t>Statut : Actif</w:t>
      </w:r>
    </w:p>
    <w:p>
      <w:pPr>
        <w:pStyle w:val="ListBullet"/>
      </w:pPr>
      <w:r/>
      <w:r>
        <w:rPr>
          <w:b/>
        </w:rPr>
        <w:t>COVESTAG</w:t>
      </w:r>
      <w:r>
        <w:t xml:space="preserve"> (LABORATOIRES MM)</w:t>
      </w:r>
    </w:p>
    <w:p>
      <w:pPr>
        <w:pStyle w:val="ListBullet"/>
      </w:pPr>
      <w:r>
        <w:t>Formes et Dosages : Comprimé pelliculé 80 mg/12,5 mg (B/30) ; Comprimé pelliculé 160 mg/12,5 mg (B/30)</w:t>
      </w:r>
    </w:p>
    <w:p>
      <w:pPr>
        <w:pStyle w:val="ListBullet"/>
      </w:pPr>
      <w:r>
        <w:t>Statut : Actif</w:t>
      </w:r>
    </w:p>
    <w:p>
      <w:pPr>
        <w:pStyle w:val="ListBullet"/>
      </w:pPr>
      <w:r/>
      <w:r>
        <w:rPr>
          <w:b/>
        </w:rPr>
        <w:t>NOVAVALZ PLUS</w:t>
      </w:r>
      <w:r>
        <w:t xml:space="preserve"> (NOVAPHARM TRADING)</w:t>
      </w:r>
    </w:p>
    <w:p>
      <w:pPr>
        <w:pStyle w:val="ListBullet"/>
      </w:pPr>
      <w:r>
        <w:t>Formes et Dosages : Comprimé pelliculé 80 mg/12,5 mg (B/30) ; Comprimé pelliculé 160 mg/12,5 mg (B/30) ; Comprimé pelliculé 160 mg/25 mg (B/30)</w:t>
      </w:r>
    </w:p>
    <w:p>
      <w:pPr>
        <w:pStyle w:val="ListBullet"/>
      </w:pPr>
      <w:r>
        <w:t>Statut : Actif</w:t>
      </w:r>
    </w:p>
    <w:p>
      <w:pPr>
        <w:pStyle w:val="ListBullet"/>
      </w:pPr>
      <w:r/>
      <w:r>
        <w:rPr>
          <w:b/>
        </w:rPr>
        <w:t>VALACLOR PLUS</w:t>
      </w:r>
      <w:r>
        <w:t xml:space="preserve"> (PHARMALLIANCE)</w:t>
      </w:r>
    </w:p>
    <w:p>
      <w:pPr>
        <w:pStyle w:val="ListBullet"/>
      </w:pPr>
      <w:r>
        <w:t>Formes et Dosages : Comprimé 80 mg/12,5 mg (B/30) ; Comprimé pelliculé 160 mg/12,5 mg (B/30) ; Comprimé pelliculé 160 mg/25 mg (B/30)</w:t>
      </w:r>
    </w:p>
    <w:p>
      <w:pPr>
        <w:pStyle w:val="ListBullet"/>
      </w:pPr>
      <w:r>
        <w:t>Statut : Actif</w:t>
      </w:r>
    </w:p>
    <w:p>
      <w:pPr>
        <w:pStyle w:val="ListBullet"/>
      </w:pPr>
      <w:r/>
      <w:r>
        <w:rPr>
          <w:b/>
        </w:rPr>
        <w:t>VALSIS PLUS</w:t>
      </w:r>
      <w:r>
        <w:t xml:space="preserve"> (GROUPE SAIDAL)</w:t>
      </w:r>
    </w:p>
    <w:p>
      <w:pPr>
        <w:pStyle w:val="ListBullet"/>
      </w:pPr>
      <w:r>
        <w:t>Formes et Dosages : Comprimé pelliculé 80 mg/12,5 mg (B/30)</w:t>
      </w:r>
    </w:p>
    <w:p>
      <w:pPr>
        <w:pStyle w:val="ListBullet"/>
      </w:pPr>
      <w:r>
        <w:t>Statut : Actif</w:t>
      </w:r>
    </w:p>
    <w:p>
      <w:pPr>
        <w:pStyle w:val="ListBullet"/>
      </w:pPr>
      <w:r/>
      <w:r>
        <w:rPr>
          <w:b/>
        </w:rPr>
        <w:t>CO VALSARTAN IVAL / CO-VALSARTAN IVAL</w:t>
      </w:r>
      <w:r>
        <w:t xml:space="preserve"> (PHARMA IVAL SPA)</w:t>
      </w:r>
    </w:p>
    <w:p>
      <w:pPr>
        <w:pStyle w:val="ListBullet"/>
      </w:pPr>
      <w:r>
        <w:t>Formes et Dosages : Comprimé pelliculé 160 mg/12,5 mg (B/30) ; Comprimé pelliculé 160 mg/25 mg (B/30)</w:t>
      </w:r>
    </w:p>
    <w:p>
      <w:pPr>
        <w:pStyle w:val="ListBullet"/>
      </w:pPr>
      <w:r>
        <w:t>Statut : Actif</w:t>
      </w:r>
    </w:p>
    <w:p>
      <w:pPr>
        <w:pStyle w:val="ListBullet"/>
      </w:pPr>
      <w:r/>
      <w:r>
        <w:rPr>
          <w:b/>
        </w:rPr>
        <w:t>DIVALAN PLUS</w:t>
      </w:r>
      <w:r>
        <w:t xml:space="preserve"> (TASSILI ARAB PHARMACEUTICAL CO)</w:t>
      </w:r>
    </w:p>
    <w:p>
      <w:pPr>
        <w:pStyle w:val="ListBullet"/>
      </w:pPr>
      <w:r>
        <w:t>Formes et Dosages : Comprimé pelliculé 160 mg/12,5 mg (B/30)</w:t>
      </w:r>
    </w:p>
    <w:p>
      <w:pPr>
        <w:pStyle w:val="ListBullet"/>
      </w:pPr>
      <w:r>
        <w:t>Statut : Actif</w:t>
      </w:r>
    </w:p>
    <w:p>
      <w:pPr>
        <w:pStyle w:val="ListBullet"/>
      </w:pPr>
      <w:r/>
      <w:r>
        <w:rPr>
          <w:b/>
        </w:rPr>
        <w:t>THIA-VALSAN</w:t>
      </w:r>
      <w:r>
        <w:t xml:space="preserve"> (ALGERIAN GENERICS DEVELOPMENT PHARMA - AGD PHARMA)</w:t>
      </w:r>
    </w:p>
    <w:p>
      <w:pPr>
        <w:pStyle w:val="ListBullet"/>
      </w:pPr>
      <w:r>
        <w:t>Formes et Dosages : Comprimé pelliculé 80 mg/12,5 mg (B/30) ; Comprimé pelliculé 160 mg/12,5 mg (B/30) ; Comprimé pelliculé 160 mg/25 mg (B/30)</w:t>
      </w:r>
    </w:p>
    <w:p>
      <w:pPr>
        <w:pStyle w:val="ListBullet"/>
      </w:pPr>
      <w:r>
        <w:t>Statut : Actif</w:t>
      </w:r>
    </w:p>
    <w:p>
      <w:pPr>
        <w:pStyle w:val="ListBullet"/>
      </w:pPr>
      <w:r/>
      <w:r>
        <w:rPr>
          <w:b/>
        </w:rPr>
        <w:t>RIVALTAN-H</w:t>
      </w:r>
      <w:r>
        <w:t xml:space="preserve"> (BIOVITAL) (R) ; Comprimés pelliculés sécables 80 mg/12,5 mg et 160 mg/12,5 mg (B/30)</w:t>
      </w:r>
    </w:p>
    <w:p>
      <w:r/>
      <w:r>
        <w:rPr>
          <w:b/>
        </w:rPr>
        <w:t>Sous-classe et Mécanisme d'action :</w:t>
      </w:r>
      <w:r/>
    </w:p>
    <w:p>
      <w:pPr>
        <w:pStyle w:val="ListBullet"/>
      </w:pPr>
      <w:r>
        <w:t>Sous-classe : Association fixe ARA2 (valsartan, biphenyl tetrazole, non prodrogue, élimination biliaire prédominante) + diurétique thiazidique (HCTZ). Monoprise quotidienne.</w:t>
      </w:r>
    </w:p>
    <w:p>
      <w:pPr>
        <w:pStyle w:val="ListBullet"/>
      </w:pPr>
      <w:r>
        <w:t>Mécanisme d'action : le valsartan se lie de manière compétitive et sélective au récepteur AT1 de l'angiotensine II → blocage complet de l'angiotensine II, vasodilatation, baisse de l'aldostérone, néphroprotection. L'HCTZ inhibe le NCC au tube contourné distal → natriurèse, baisse de la volémie. Synergie pharmacologique entre les deux composants.</w:t>
      </w:r>
    </w:p>
    <w:p>
      <w:r/>
      <w:r>
        <w:rPr>
          <w:b/>
        </w:rPr>
        <w:t>Profil Pharmacologique :</w:t>
      </w:r>
      <w:r/>
    </w:p>
    <w:p>
      <w:pPr>
        <w:pStyle w:val="ListBullet"/>
      </w:pPr>
      <w:r>
        <w:t>Indications : HTA modérée à sévère non contrôlée par monothérapie ; HTA du sujet âgé ; HTA systolique isolée ; IC (en cas d'intolérance aux IEC — mais l'association fixe est moins souple que la combinaison libre en IC).</w:t>
      </w:r>
    </w:p>
    <w:p>
      <w:pPr>
        <w:pStyle w:val="ListBullet"/>
      </w:pPr>
      <w:r>
        <w:t>Contre-indications : angio-œdème sous IEC (contre-indication croisée) ; grossesse 2e/3e trimestres ; sténose bilatérale des artères rénales ; hyperkaliémie ; hypokaliémie ; hyponatrémie ; insuffisance rénale sévère (DFG &lt; 30 mL/min) ; hyperuricémie avec goutte ; hypersensibilité sulfamides ; association avec aliskirène/lithium ; insuffisance hépatique sévère ; cholestase.</w:t>
      </w:r>
    </w:p>
    <w:p>
      <w:pPr>
        <w:pStyle w:val="ListBullet"/>
      </w:pPr>
      <w:r>
        <w:t>Effets Indésirables : toux sèche (très rare) ; angio-œdème (très rare) ; hyperkaliémie ou hypokaliémie ; IRA fonctionnelle ; hypotension de 1ère dose ; hyponatrémie (thiazidique) ; hyperuricémie (thiazidique) ; hyperglycémie (thiazidique) ; céphalées, vertiges, asthénie ; rash ; troubles digestifs ; photosensibilité ; anomalies biologiques hépatiques (rares) ; anémie (chez transplanté rénal).</w:t>
      </w:r>
    </w:p>
    <w:p>
      <w:r/>
      <w:r>
        <w:rPr>
          <w:b/>
        </w:rPr>
        <w:t>Prévention et Gestion des Effets Indésirables :</w:t>
      </w:r>
      <w:r/>
    </w:p>
    <w:p>
      <w:pPr>
        <w:pStyle w:val="ListBullet"/>
      </w:pPr>
      <w:r>
        <w:t>Mesures Préventives : dosage créatinine + kaliémie + natrémie + uricémie + glycémie avant initiation, à 1-2 semaines, puis tous les 3-6 mois. Test de grossesse. Dose initiale faible (80 mg/12,5 mg par jour) chez le sujet âgé, l'insuffisant rénal modéré, ou le patient déjà sous diurétique. Surveillance PA après 1ère dose.</w:t>
      </w:r>
    </w:p>
    <w:p>
      <w:pPr>
        <w:pStyle w:val="ListBullet"/>
      </w:pPr>
      <w:r>
        <w:t>Conduite à Tenir : angio-œdème → arrêt définitif ARA2 et IEC (CI croisée), urgence. Hyperkaliémie → arrêt transitoire, restriction potassique, diurétique. Hypokaliémie → supplémentation potassique. Hyponatrémie → arrêt immédiat. Hyperuricémie → surveillance, allopurinol si goutte.</w:t>
      </w:r>
    </w:p>
    <w:p>
      <w:r/>
      <w:r>
        <w:rPr>
          <w:b/>
        </w:rPr>
        <w:t>Interactions Importantes :</w:t>
      </w:r>
      <w:r/>
    </w:p>
    <w:p>
      <w:pPr>
        <w:pStyle w:val="ListBullet"/>
      </w:pPr>
      <w:r/>
      <w:r>
        <w:rPr>
          <w:b/>
        </w:rPr>
        <w:t>Valsartan + HCTZ + AINS</w:t>
      </w:r>
      <w:r>
        <w:t xml:space="preserve"> : triple whammy — baisse effet antihypertenseur + IRA.</w:t>
      </w:r>
    </w:p>
    <w:p>
      <w:pPr>
        <w:pStyle w:val="ListBullet"/>
      </w:pPr>
      <w:r/>
      <w:r>
        <w:rPr>
          <w:b/>
        </w:rPr>
        <w:t>Valsartan + HCTZ + lithium</w:t>
      </w:r>
      <w:r>
        <w:t xml:space="preserve"> : augmentation lithiémie.</w:t>
      </w:r>
    </w:p>
    <w:p>
      <w:pPr>
        <w:pStyle w:val="ListBullet"/>
      </w:pPr>
      <w:r/>
      <w:r>
        <w:rPr>
          <w:b/>
        </w:rPr>
        <w:t>Valsartan + HCTZ + digitaliques</w:t>
      </w:r>
      <w:r>
        <w:t xml:space="preserve"> : hypokaliémie thiazidique favorisant l'intoxication digitalique.</w:t>
      </w:r>
    </w:p>
    <w:p>
      <w:pPr>
        <w:pStyle w:val="ListBullet"/>
      </w:pPr>
      <w:r/>
      <w:r>
        <w:rPr>
          <w:b/>
        </w:rPr>
        <w:t>Valsartan + HCTZ + aliskirène</w:t>
      </w:r>
      <w:r>
        <w:t xml:space="preserve"> : CI absolue.</w:t>
      </w:r>
    </w:p>
    <w:p>
      <w:pPr>
        <w:pStyle w:val="ListBullet"/>
      </w:pPr>
      <w:r/>
      <w:r>
        <w:rPr>
          <w:b/>
        </w:rPr>
        <w:t>Valsartan + HCTZ + sacubitril</w:t>
      </w:r>
      <w:r>
        <w:t xml:space="preserve"> : association synergique (Entresto) — ne JAMAIS associer sans respecter le délai de 36 heures depuis l'arrêt d'un IEC, et ne pas utiliser l'association fixe valsartan + HCTZ en cas d'IC à FEVG réduite justifiant Entresto.</w:t>
      </w:r>
    </w:p>
    <w:p>
      <w:r/>
      <w:r>
        <w:rPr>
          <w:b/>
        </w:rPr>
        <w:t>Grossesse et Allaitement :</w:t>
      </w:r>
      <w:r/>
    </w:p>
    <w:p>
      <w:pPr>
        <w:pStyle w:val="ListBullet"/>
      </w:pPr>
      <w:r>
        <w:t>Grossesse : CI absolue 2e/3e trimestres ; 1er trimestre déconseillé. Substitution par labétalol, nicardipine, méthyldopa.</w:t>
      </w:r>
    </w:p>
    <w:p>
      <w:pPr>
        <w:pStyle w:val="ListBullet"/>
      </w:pPr>
      <w:r>
        <w:t>Allaitement : HCTZ passe faiblement dans le lait mais risque d'inhibition de la lactation. Compatible selon CRAT, à éviter chez le prématuré et le nouveau-né &lt; 2 semaines.</w:t>
      </w:r>
    </w:p>
    <w:p>
      <w:pPr>
        <w:pStyle w:val="ListBullet"/>
      </w:pPr>
      <w:r>
        <w:t>Précisions : risque fœtal rénal (ARA2) + métabolique (thiazidique).</w:t>
      </w:r>
    </w:p>
    <w:p>
      <w:r/>
      <w:r>
        <w:rPr>
          <w:b/>
        </w:rPr>
        <w:t>Posologie et Mode d'administration (Standard) :</w:t>
      </w:r>
      <w:r/>
    </w:p>
    <w:p>
      <w:pPr>
        <w:pStyle w:val="ListBullet"/>
      </w:pPr>
      <w:r>
        <w:t>Adulte : HTA : 1 comprimé (80 mg/12,5 mg) une fois par jour (matin), augmentable à 160 mg/12,5 mg, 160 mg/25 mg ou 320 mg/25 mg. Max 320 mg/25 mg par jour.</w:t>
      </w:r>
    </w:p>
    <w:p>
      <w:pPr>
        <w:pStyle w:val="ListBullet"/>
      </w:pPr>
      <w:r>
        <w:t>Sujet âgé : 1/2 comprimé (40 mg/6,25 mg — non disponible en association fixe, titration par monothérapie) par jour initialement, titration prudente.</w:t>
      </w:r>
    </w:p>
    <w:p>
      <w:pPr>
        <w:pStyle w:val="ListBullet"/>
      </w:pPr>
      <w:r>
        <w:t>Insuffisance rénale : DFG 30-60 mL/min : posologie réduite. DFG &lt; 30 mL/min : CI.</w:t>
      </w:r>
    </w:p>
    <w:p>
      <w:pPr>
        <w:pStyle w:val="ListBullet"/>
      </w:pPr>
      <w:r>
        <w:t>Insuffisance hépatique : 80 mg/12,5 mg initialement (si modérée), éviter si sévère (CI si cholestase).</w:t>
      </w:r>
    </w:p>
    <w:p>
      <w:pPr>
        <w:pStyle w:val="ListBullet"/>
      </w:pPr>
      <w:r>
        <w:t>Durée : au long cours.</w:t>
      </w:r>
    </w:p>
    <w:p>
      <w:pPr>
        <w:pStyle w:val="ListBullet"/>
      </w:pPr>
      <w:r>
        <w:t>Moment de prise : monoprise matinale, indépendante des repas.</w:t>
      </w:r>
    </w:p>
    <w:p>
      <w:r/>
      <w:r>
        <w:rPr>
          <w:b/>
        </w:rPr>
        <w:t>Arbitrage et Bénéfices des Formes Galéniques :</w:t>
      </w:r>
      <w:r/>
    </w:p>
    <w:p>
      <w:r>
        <w:t>Le valsartan + HCTZ est disponible en comprimés à 80 mg/12,5 mg, 160 mg/12,5 mg, 160 mg/25 mg et 320 mg/25 mg, le plus souvent pelliculés. La diversité des dosages permet une adaptation fine et une titration prudente (80 mg/12,5 mg pour la dose initiale ou la première dose ; 320 mg/25 mg pour la dose maximale). Le conditionnement B/28 ou B/30 correspond à un mois de traitement. Le valsartan + HCTZ est extrêmement bien représenté en Algérie sous 19 marques actives, dont le princeps Cotareg (Novartis) et de très nombreux génériques (Co-Taroval, Co-Valastan, Co-Vareg, Co-Arbitan, Co-Lipirinad, Co-Reta, Cosarteg, Co-Tabuvan, Co-Valex, Covestag, Novalvalz Plus, Valaclor Plus, Valsis Plus, Co-Valsartan Ival, Divalan Plus, Thia-Valsan). C'est l'association fixe ARA2 + diurétique la plus prescrite en Algérie. Le principal atout de cette combinaison est la sécurité d'emploi du valsartan en cas d'IRC modérée (élimination biliaire prédominante) et la possibilité de monter jusqu'à 320 mg/25 mg (dose maximale élevée).</w:t>
      </w:r>
    </w:p>
    <w:p>
      <w:r/>
      <w:r>
        <w:rPr>
          <w:b/>
        </w:rPr>
        <w:t>Instructions et Conseils au Patient :</w:t>
      </w:r>
      <w:r/>
    </w:p>
    <w:p>
      <w:pPr>
        <w:pStyle w:val="ListBullet"/>
      </w:pPr>
      <w:r>
        <w:t>Communication au comptoir : « Voici votre traitement antihypertenseur combinant deux médicaments en un seul comprimé. Prenez-le une fois par jour, le matin, à heure fixe. Ne l'arrêtez pas sans avis médical. Levez-vous lentement pour éviter les vertiges. Évitez les AINS sans avis (ibuprofène). Évitez les sels de régime riches en potassium. Strictement interdit pendant la grossesse. »</w:t>
      </w:r>
    </w:p>
    <w:p>
      <w:pPr>
        <w:pStyle w:val="ListBullet"/>
      </w:pPr>
      <w:r>
        <w:t>Mode d'utilisation pratique : prise matinale à heure fixe. Tenir un agenda tensionnel.</w:t>
      </w:r>
    </w:p>
    <w:p>
      <w:r/>
      <w:r>
        <w:rPr>
          <w:b/>
        </w:rPr>
        <w:t>Notes, Règles d'Or &amp; Pièges au Comptoir :</w:t>
      </w:r>
      <w:r/>
    </w:p>
    <w:p>
      <w:pPr>
        <w:pStyle w:val="ListBullet"/>
      </w:pPr>
      <w:r>
        <w:t>Piège classique : disponibilité algérienne massive (19 marques, 4 dosages) — vigilance accrue à la délivrance pour éviter les confusions de dosage.</w:t>
      </w:r>
    </w:p>
    <w:p>
      <w:pPr>
        <w:pStyle w:val="ListBullet"/>
      </w:pPr>
      <w:r>
        <w:t>Piège classique : si le patient est sous sacubitril/valsartan (Entresto), ne JAMAIS substituer par valsartan + HCTZ sans avis médical (risque de décompensation cardiaque).</w:t>
      </w:r>
    </w:p>
    <w:p>
      <w:pPr>
        <w:pStyle w:val="ListBullet"/>
      </w:pPr>
      <w:r>
        <w:t>Piège classique : chez la femme enceinte ou planifiant une grossesse, contre-indication absolue.</w:t>
      </w:r>
    </w:p>
    <w:p>
      <w:pPr>
        <w:pStyle w:val="ListBullet"/>
      </w:pPr>
      <w:r>
        <w:t>Règle de prise : monoprise matinale.</w:t>
      </w:r>
    </w:p>
    <w:p>
      <w:pPr>
        <w:pStyle w:val="ListBullet"/>
      </w:pPr>
      <w:r>
        <w:t>Préparation et Conservation : température &lt; 25 °C, à l'abri de l'humidité.</w:t>
      </w:r>
    </w:p>
    <w:p>
      <w:pPr>
        <w:pStyle w:val="ListBullet"/>
      </w:pPr>
      <w:r>
        <w:t>Piège du surdosage / Substitution : hypotension, hyperkaliémie, hyponatrémie. Wash-out 36 h avant IEC.</w:t>
      </w:r>
    </w:p>
    <w:p>
      <w:pPr>
        <w:pStyle w:val="Heading2"/>
      </w:pPr>
      <w:r>
        <w:t>TABLEAU COMPARATIF SYNTHÉTIQUE DES 26 DCI</w:t>
      </w:r>
    </w:p>
    <w:p>
      <w:r>
        <w:t>Le tableau ci-dessous synthétise les caractéristiques pharmacologiques essentielles des 26 DCI traitées dans ce chapitre. Il est destiné à un usage pédagogique de référence rapide au comptoir ou en pratique clinique courante. Les sources mobilisées sont : VIDAL, ANSM (RCP), Thériaque, CRAT, UpToDate, Micromedex, HAS, ESH/ESC guidelines 2023.</w:t>
      </w:r>
    </w:p>
    <w:p>
      <w:pPr>
        <w:pStyle w:val="Heading3"/>
      </w:pPr>
      <w:r>
        <w:t>Tableau 1 — IEC en monothérapie (7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Métabolisme</w:t>
            </w:r>
          </w:p>
        </w:tc>
        <w:tc>
          <w:tcPr>
            <w:tcW w:type="dxa" w:w="1336"/>
          </w:tcPr>
          <w:p>
            <w:r>
              <w:rPr>
                <w:b/>
                <w:sz w:val="20"/>
              </w:rPr>
              <w:t>Demi-vie (h)</w:t>
            </w:r>
          </w:p>
        </w:tc>
        <w:tc>
          <w:tcPr>
            <w:tcW w:type="dxa" w:w="1336"/>
          </w:tcPr>
          <w:p>
            <w:r>
              <w:rPr>
                <w:b/>
                <w:sz w:val="20"/>
              </w:rPr>
              <w:t>Posologie usuelle HTA</w:t>
            </w:r>
          </w:p>
        </w:tc>
        <w:tc>
          <w:tcPr>
            <w:tcW w:type="dxa" w:w="1336"/>
          </w:tcPr>
          <w:p>
            <w:r>
              <w:rPr>
                <w:b/>
                <w:sz w:val="20"/>
              </w:rPr>
              <w:t>EI majeur spécifique</w:t>
            </w:r>
          </w:p>
        </w:tc>
        <w:tc>
          <w:tcPr>
            <w:tcW w:type="dxa" w:w="1336"/>
          </w:tcPr>
          <w:p>
            <w:r>
              <w:rPr>
                <w:b/>
                <w:sz w:val="20"/>
              </w:rPr>
              <w:t>Grossesse</w:t>
            </w:r>
          </w:p>
        </w:tc>
      </w:tr>
      <w:tr>
        <w:tc>
          <w:tcPr>
            <w:tcW w:type="dxa" w:w="1336"/>
          </w:tcPr>
          <w:p>
            <w:r>
              <w:rPr>
                <w:sz w:val="20"/>
              </w:rPr>
              <w:t>**Captopril**</w:t>
            </w:r>
          </w:p>
        </w:tc>
        <w:tc>
          <w:tcPr>
            <w:tcW w:type="dxa" w:w="1336"/>
          </w:tcPr>
          <w:p>
            <w:r>
              <w:rPr>
                <w:sz w:val="20"/>
              </w:rPr>
              <w:t>IEC 1ère génération, -SH, non prodrogue</w:t>
            </w:r>
          </w:p>
        </w:tc>
        <w:tc>
          <w:tcPr>
            <w:tcW w:type="dxa" w:w="1336"/>
          </w:tcPr>
          <w:p>
            <w:r>
              <w:rPr>
                <w:sz w:val="20"/>
              </w:rPr>
              <w:t>Rénal 50 %</w:t>
            </w:r>
          </w:p>
        </w:tc>
        <w:tc>
          <w:tcPr>
            <w:tcW w:type="dxa" w:w="1336"/>
          </w:tcPr>
          <w:p>
            <w:r>
              <w:rPr>
                <w:sz w:val="20"/>
              </w:rPr>
              <w:t>2 (molécule mère)</w:t>
            </w:r>
          </w:p>
        </w:tc>
        <w:tc>
          <w:tcPr>
            <w:tcW w:type="dxa" w:w="1336"/>
          </w:tcPr>
          <w:p>
            <w:r>
              <w:rPr>
                <w:sz w:val="20"/>
              </w:rPr>
              <w:t>25 mg × 2-3/j, max 150 mg/j ; à JEUN</w:t>
            </w:r>
          </w:p>
        </w:tc>
        <w:tc>
          <w:tcPr>
            <w:tcW w:type="dxa" w:w="1336"/>
          </w:tcPr>
          <w:p>
            <w:r>
              <w:rPr>
                <w:sz w:val="20"/>
              </w:rPr>
              <w:t>Toux, angio-œdème, protéinurie, neutropénie (-SH), dysgueusie</w:t>
            </w:r>
          </w:p>
        </w:tc>
        <w:tc>
          <w:tcPr>
            <w:tcW w:type="dxa" w:w="1336"/>
          </w:tcPr>
          <w:p>
            <w:r>
              <w:rPr>
                <w:sz w:val="20"/>
              </w:rPr>
              <w:t>CI 2e/3e T</w:t>
            </w:r>
          </w:p>
        </w:tc>
      </w:tr>
      <w:tr>
        <w:tc>
          <w:tcPr>
            <w:tcW w:type="dxa" w:w="1336"/>
          </w:tcPr>
          <w:p>
            <w:r>
              <w:rPr>
                <w:sz w:val="20"/>
              </w:rPr>
              <w:t>**Énalapril**</w:t>
            </w:r>
          </w:p>
        </w:tc>
        <w:tc>
          <w:tcPr>
            <w:tcW w:type="dxa" w:w="1336"/>
          </w:tcPr>
          <w:p>
            <w:r>
              <w:rPr>
                <w:sz w:val="20"/>
              </w:rPr>
              <w:t>IEC 2e génération, -COOH, prodrogue</w:t>
            </w:r>
          </w:p>
        </w:tc>
        <w:tc>
          <w:tcPr>
            <w:tcW w:type="dxa" w:w="1336"/>
          </w:tcPr>
          <w:p>
            <w:r>
              <w:rPr>
                <w:sz w:val="20"/>
              </w:rPr>
              <w:t>Hépatique (→ énalaprilate)</w:t>
            </w:r>
          </w:p>
        </w:tc>
        <w:tc>
          <w:tcPr>
            <w:tcW w:type="dxa" w:w="1336"/>
          </w:tcPr>
          <w:p>
            <w:r>
              <w:rPr>
                <w:sz w:val="20"/>
              </w:rPr>
              <w:t>11 (énoalaprilate)</w:t>
            </w:r>
          </w:p>
        </w:tc>
        <w:tc>
          <w:tcPr>
            <w:tcW w:type="dxa" w:w="1336"/>
          </w:tcPr>
          <w:p>
            <w:r>
              <w:rPr>
                <w:sz w:val="20"/>
              </w:rPr>
              <w:t>10-20 mg × 1/j, max 40 mg/j</w:t>
            </w:r>
          </w:p>
        </w:tc>
        <w:tc>
          <w:tcPr>
            <w:tcW w:type="dxa" w:w="1336"/>
          </w:tcPr>
          <w:p>
            <w:r>
              <w:rPr>
                <w:sz w:val="20"/>
              </w:rPr>
              <w:t>Toux, angio-œdème, hyperkaliémie</w:t>
            </w:r>
          </w:p>
        </w:tc>
        <w:tc>
          <w:tcPr>
            <w:tcW w:type="dxa" w:w="1336"/>
          </w:tcPr>
          <w:p>
            <w:r>
              <w:rPr>
                <w:sz w:val="20"/>
              </w:rPr>
              <w:t>CI 2e/3e T</w:t>
            </w:r>
          </w:p>
        </w:tc>
      </w:tr>
      <w:tr>
        <w:tc>
          <w:tcPr>
            <w:tcW w:type="dxa" w:w="1336"/>
          </w:tcPr>
          <w:p>
            <w:r>
              <w:rPr>
                <w:sz w:val="20"/>
              </w:rPr>
              <w:t>**Lisinopril**</w:t>
            </w:r>
          </w:p>
        </w:tc>
        <w:tc>
          <w:tcPr>
            <w:tcW w:type="dxa" w:w="1336"/>
          </w:tcPr>
          <w:p>
            <w:r>
              <w:rPr>
                <w:sz w:val="20"/>
              </w:rPr>
              <w:t>IEC 2e génération, -COOH, non prodrogue</w:t>
            </w:r>
          </w:p>
        </w:tc>
        <w:tc>
          <w:tcPr>
            <w:tcW w:type="dxa" w:w="1336"/>
          </w:tcPr>
          <w:p>
            <w:r>
              <w:rPr>
                <w:sz w:val="20"/>
              </w:rPr>
              <w:t>Rénal exclusif</w:t>
            </w:r>
          </w:p>
        </w:tc>
        <w:tc>
          <w:tcPr>
            <w:tcW w:type="dxa" w:w="1336"/>
          </w:tcPr>
          <w:p>
            <w:r>
              <w:rPr>
                <w:sz w:val="20"/>
              </w:rPr>
              <w:t>12 (≈ 30 h effet)</w:t>
            </w:r>
          </w:p>
        </w:tc>
        <w:tc>
          <w:tcPr>
            <w:tcW w:type="dxa" w:w="1336"/>
          </w:tcPr>
          <w:p>
            <w:r>
              <w:rPr>
                <w:sz w:val="20"/>
              </w:rPr>
              <w:t>10-20 mg × 1/j, max 40 mg/j</w:t>
            </w:r>
          </w:p>
        </w:tc>
        <w:tc>
          <w:tcPr>
            <w:tcW w:type="dxa" w:w="1336"/>
          </w:tcPr>
          <w:p>
            <w:r>
              <w:rPr>
                <w:sz w:val="20"/>
              </w:rPr>
              <w:t>Toux, angio-œdème ; adapter strictement au DFG</w:t>
            </w:r>
          </w:p>
        </w:tc>
        <w:tc>
          <w:tcPr>
            <w:tcW w:type="dxa" w:w="1336"/>
          </w:tcPr>
          <w:p>
            <w:r>
              <w:rPr>
                <w:sz w:val="20"/>
              </w:rPr>
              <w:t>CI 2e/3e T</w:t>
            </w:r>
          </w:p>
        </w:tc>
      </w:tr>
      <w:tr>
        <w:tc>
          <w:tcPr>
            <w:tcW w:type="dxa" w:w="1336"/>
          </w:tcPr>
          <w:p>
            <w:r>
              <w:rPr>
                <w:sz w:val="20"/>
              </w:rPr>
              <w:t>**Périndopril**</w:t>
            </w:r>
          </w:p>
        </w:tc>
        <w:tc>
          <w:tcPr>
            <w:tcW w:type="dxa" w:w="1336"/>
          </w:tcPr>
          <w:p>
            <w:r>
              <w:rPr>
                <w:sz w:val="20"/>
              </w:rPr>
              <w:t>IEC 3e génération, -COOH, prodrogue, lipophile</w:t>
            </w:r>
          </w:p>
        </w:tc>
        <w:tc>
          <w:tcPr>
            <w:tcW w:type="dxa" w:w="1336"/>
          </w:tcPr>
          <w:p>
            <w:r>
              <w:rPr>
                <w:sz w:val="20"/>
              </w:rPr>
              <w:t>Hépatique (→ périndoprilate)</w:t>
            </w:r>
          </w:p>
        </w:tc>
        <w:tc>
          <w:tcPr>
            <w:tcW w:type="dxa" w:w="1336"/>
          </w:tcPr>
          <w:p>
            <w:r>
              <w:rPr>
                <w:sz w:val="20"/>
              </w:rPr>
              <w:t>24 (effet)</w:t>
            </w:r>
          </w:p>
        </w:tc>
        <w:tc>
          <w:tcPr>
            <w:tcW w:type="dxa" w:w="1336"/>
          </w:tcPr>
          <w:p>
            <w:r>
              <w:rPr>
                <w:sz w:val="20"/>
              </w:rPr>
              <w:t>5-10 mg arginine × 1/j, max 10 mg/j ; à JEUN</w:t>
            </w:r>
          </w:p>
        </w:tc>
        <w:tc>
          <w:tcPr>
            <w:tcW w:type="dxa" w:w="1336"/>
          </w:tcPr>
          <w:p>
            <w:r>
              <w:rPr>
                <w:sz w:val="20"/>
              </w:rPr>
              <w:t>Toux (moins fréquente), angio-œdème, hypotension 1ère dose modérée</w:t>
            </w:r>
          </w:p>
        </w:tc>
        <w:tc>
          <w:tcPr>
            <w:tcW w:type="dxa" w:w="1336"/>
          </w:tcPr>
          <w:p>
            <w:r>
              <w:rPr>
                <w:sz w:val="20"/>
              </w:rPr>
              <w:t>CI 2e/3e T</w:t>
            </w:r>
          </w:p>
        </w:tc>
      </w:tr>
      <w:tr>
        <w:tc>
          <w:tcPr>
            <w:tcW w:type="dxa" w:w="1336"/>
          </w:tcPr>
          <w:p>
            <w:r>
              <w:rPr>
                <w:sz w:val="20"/>
              </w:rPr>
              <w:t>**Ramipril**</w:t>
            </w:r>
          </w:p>
        </w:tc>
        <w:tc>
          <w:tcPr>
            <w:tcW w:type="dxa" w:w="1336"/>
          </w:tcPr>
          <w:p>
            <w:r>
              <w:rPr>
                <w:sz w:val="20"/>
              </w:rPr>
              <w:t>IEC 3e génération, -COOH, prodrogue, lipophile</w:t>
            </w:r>
          </w:p>
        </w:tc>
        <w:tc>
          <w:tcPr>
            <w:tcW w:type="dxa" w:w="1336"/>
          </w:tcPr>
          <w:p>
            <w:r>
              <w:rPr>
                <w:sz w:val="20"/>
              </w:rPr>
              <w:t>Hépatique (→ ramiprilate)</w:t>
            </w:r>
          </w:p>
        </w:tc>
        <w:tc>
          <w:tcPr>
            <w:tcW w:type="dxa" w:w="1336"/>
          </w:tcPr>
          <w:p>
            <w:r>
              <w:rPr>
                <w:sz w:val="20"/>
              </w:rPr>
              <w:t>24 (effet)</w:t>
            </w:r>
          </w:p>
        </w:tc>
        <w:tc>
          <w:tcPr>
            <w:tcW w:type="dxa" w:w="1336"/>
          </w:tcPr>
          <w:p>
            <w:r>
              <w:rPr>
                <w:sz w:val="20"/>
              </w:rPr>
              <w:t>2,5-10 mg × 1/j, max 10 mg/j</w:t>
            </w:r>
          </w:p>
        </w:tc>
        <w:tc>
          <w:tcPr>
            <w:tcW w:type="dxa" w:w="1336"/>
          </w:tcPr>
          <w:p>
            <w:r>
              <w:rPr>
                <w:sz w:val="20"/>
              </w:rPr>
              <w:t>Toux, angio-œdème ; référence HOPE (prévention CV)</w:t>
            </w:r>
          </w:p>
        </w:tc>
        <w:tc>
          <w:tcPr>
            <w:tcW w:type="dxa" w:w="1336"/>
          </w:tcPr>
          <w:p>
            <w:r>
              <w:rPr>
                <w:sz w:val="20"/>
              </w:rPr>
              <w:t>CI 2e/3e T</w:t>
            </w:r>
          </w:p>
        </w:tc>
      </w:tr>
      <w:tr>
        <w:tc>
          <w:tcPr>
            <w:tcW w:type="dxa" w:w="1336"/>
          </w:tcPr>
          <w:p>
            <w:r>
              <w:rPr>
                <w:sz w:val="20"/>
              </w:rPr>
              <w:t>**Quinapril**</w:t>
            </w:r>
          </w:p>
        </w:tc>
        <w:tc>
          <w:tcPr>
            <w:tcW w:type="dxa" w:w="1336"/>
          </w:tcPr>
          <w:p>
            <w:r>
              <w:rPr>
                <w:sz w:val="20"/>
              </w:rPr>
              <w:t>IEC 2e génération, -COOH, prodrogue</w:t>
            </w:r>
          </w:p>
        </w:tc>
        <w:tc>
          <w:tcPr>
            <w:tcW w:type="dxa" w:w="1336"/>
          </w:tcPr>
          <w:p>
            <w:r>
              <w:rPr>
                <w:sz w:val="20"/>
              </w:rPr>
              <w:t>Hépatique (→ quinaprilate)</w:t>
            </w:r>
          </w:p>
        </w:tc>
        <w:tc>
          <w:tcPr>
            <w:tcW w:type="dxa" w:w="1336"/>
          </w:tcPr>
          <w:p>
            <w:r>
              <w:rPr>
                <w:sz w:val="20"/>
              </w:rPr>
              <w:t>24 (effet, forte affinité tissulaire)</w:t>
            </w:r>
          </w:p>
        </w:tc>
        <w:tc>
          <w:tcPr>
            <w:tcW w:type="dxa" w:w="1336"/>
          </w:tcPr>
          <w:p>
            <w:r>
              <w:rPr>
                <w:sz w:val="20"/>
              </w:rPr>
              <w:t>10-20 mg × 1-2/j, max 40 mg/j</w:t>
            </w:r>
          </w:p>
        </w:tc>
        <w:tc>
          <w:tcPr>
            <w:tcW w:type="dxa" w:w="1336"/>
          </w:tcPr>
          <w:p>
            <w:r>
              <w:rPr>
                <w:sz w:val="20"/>
              </w:rPr>
              <w:t>Toux, angio-œdème ; disponible uniquement Acuitel (Pfizer) en Algérie</w:t>
            </w:r>
          </w:p>
        </w:tc>
        <w:tc>
          <w:tcPr>
            <w:tcW w:type="dxa" w:w="1336"/>
          </w:tcPr>
          <w:p>
            <w:r>
              <w:rPr>
                <w:sz w:val="20"/>
              </w:rPr>
              <w:t>CI 2e/3e T</w:t>
            </w:r>
          </w:p>
        </w:tc>
      </w:tr>
      <w:tr>
        <w:tc>
          <w:tcPr>
            <w:tcW w:type="dxa" w:w="1336"/>
          </w:tcPr>
          <w:p>
            <w:r>
              <w:rPr>
                <w:sz w:val="20"/>
              </w:rPr>
              <w:t>**Cilazapril**</w:t>
            </w:r>
          </w:p>
        </w:tc>
        <w:tc>
          <w:tcPr>
            <w:tcW w:type="dxa" w:w="1336"/>
          </w:tcPr>
          <w:p>
            <w:r>
              <w:rPr>
                <w:sz w:val="20"/>
              </w:rPr>
              <w:t>IEC 2e génération, -COOH, prodrogue</w:t>
            </w:r>
          </w:p>
        </w:tc>
        <w:tc>
          <w:tcPr>
            <w:tcW w:type="dxa" w:w="1336"/>
          </w:tcPr>
          <w:p>
            <w:r>
              <w:rPr>
                <w:sz w:val="20"/>
              </w:rPr>
              <w:t>Hépatique (→ cilazaprilate)</w:t>
            </w:r>
          </w:p>
        </w:tc>
        <w:tc>
          <w:tcPr>
            <w:tcW w:type="dxa" w:w="1336"/>
          </w:tcPr>
          <w:p>
            <w:r>
              <w:rPr>
                <w:sz w:val="20"/>
              </w:rPr>
              <w:t>24 (effet)</w:t>
            </w:r>
          </w:p>
        </w:tc>
        <w:tc>
          <w:tcPr>
            <w:tcW w:type="dxa" w:w="1336"/>
          </w:tcPr>
          <w:p>
            <w:r>
              <w:rPr>
                <w:sz w:val="20"/>
              </w:rPr>
              <w:t>1-2,5 mg × 1/j, max 5 mg/j</w:t>
            </w:r>
          </w:p>
        </w:tc>
        <w:tc>
          <w:tcPr>
            <w:tcW w:type="dxa" w:w="1336"/>
          </w:tcPr>
          <w:p>
            <w:r>
              <w:rPr>
                <w:sz w:val="20"/>
              </w:rPr>
              <w:t>Toux, angio-œdème ; RETIRÉ du marché algérien</w:t>
            </w:r>
          </w:p>
        </w:tc>
        <w:tc>
          <w:tcPr>
            <w:tcW w:type="dxa" w:w="1336"/>
          </w:tcPr>
          <w:p>
            <w:r>
              <w:rPr>
                <w:sz w:val="20"/>
              </w:rPr>
              <w:t>CI 2e/3e T</w:t>
            </w:r>
          </w:p>
        </w:tc>
      </w:tr>
    </w:tbl>
    <w:p/>
    <w:p>
      <w:pPr>
        <w:pStyle w:val="Heading3"/>
      </w:pPr>
      <w:r>
        <w:t>Tableau 2 — ARA2 en monothérapie (7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Métabolisme</w:t>
            </w:r>
          </w:p>
        </w:tc>
        <w:tc>
          <w:tcPr>
            <w:tcW w:type="dxa" w:w="1336"/>
          </w:tcPr>
          <w:p>
            <w:r>
              <w:rPr>
                <w:b/>
                <w:sz w:val="20"/>
              </w:rPr>
              <w:t>Demi-vie (h)</w:t>
            </w:r>
          </w:p>
        </w:tc>
        <w:tc>
          <w:tcPr>
            <w:tcW w:type="dxa" w:w="1336"/>
          </w:tcPr>
          <w:p>
            <w:r>
              <w:rPr>
                <w:b/>
                <w:sz w:val="20"/>
              </w:rPr>
              <w:t>Posologie usuelle HTA</w:t>
            </w:r>
          </w:p>
        </w:tc>
        <w:tc>
          <w:tcPr>
            <w:tcW w:type="dxa" w:w="1336"/>
          </w:tcPr>
          <w:p>
            <w:r>
              <w:rPr>
                <w:b/>
                <w:sz w:val="20"/>
              </w:rPr>
              <w:t>EI majeur spécifique</w:t>
            </w:r>
          </w:p>
        </w:tc>
        <w:tc>
          <w:tcPr>
            <w:tcW w:type="dxa" w:w="1336"/>
          </w:tcPr>
          <w:p>
            <w:r>
              <w:rPr>
                <w:b/>
                <w:sz w:val="20"/>
              </w:rPr>
              <w:t>Grossesse</w:t>
            </w:r>
          </w:p>
        </w:tc>
      </w:tr>
      <w:tr>
        <w:tc>
          <w:tcPr>
            <w:tcW w:type="dxa" w:w="1336"/>
          </w:tcPr>
          <w:p>
            <w:r>
              <w:rPr>
                <w:sz w:val="20"/>
              </w:rPr>
              <w:t>**Losartan**</w:t>
            </w:r>
          </w:p>
        </w:tc>
        <w:tc>
          <w:tcPr>
            <w:tcW w:type="dxa" w:w="1336"/>
          </w:tcPr>
          <w:p>
            <w:r>
              <w:rPr>
                <w:sz w:val="20"/>
              </w:rPr>
              <w:t>ARA2 1ère génération, biphenyl tetrazole, prodrogue partielle (CYP2C9 → E-3174 actif)</w:t>
            </w:r>
          </w:p>
        </w:tc>
        <w:tc>
          <w:tcPr>
            <w:tcW w:type="dxa" w:w="1336"/>
          </w:tcPr>
          <w:p>
            <w:r>
              <w:rPr>
                <w:sz w:val="20"/>
              </w:rPr>
              <w:t>Hépatique CYP2C9 + rénal</w:t>
            </w:r>
          </w:p>
        </w:tc>
        <w:tc>
          <w:tcPr>
            <w:tcW w:type="dxa" w:w="1336"/>
          </w:tcPr>
          <w:p>
            <w:r>
              <w:rPr>
                <w:sz w:val="20"/>
              </w:rPr>
              <w:t>2 (losartan) / 6-9 (E-3174)</w:t>
            </w:r>
          </w:p>
        </w:tc>
        <w:tc>
          <w:tcPr>
            <w:tcW w:type="dxa" w:w="1336"/>
          </w:tcPr>
          <w:p>
            <w:r>
              <w:rPr>
                <w:sz w:val="20"/>
              </w:rPr>
              <w:t>50-100 mg × 1/j</w:t>
            </w:r>
          </w:p>
        </w:tc>
        <w:tc>
          <w:tcPr>
            <w:tcW w:type="dxa" w:w="1336"/>
          </w:tcPr>
          <w:p>
            <w:r>
              <w:rPr>
                <w:sz w:val="20"/>
              </w:rPr>
              <w:t>Toux rare, effet uricosurique unique (atout si goutte), interactions CYP2C9</w:t>
            </w:r>
          </w:p>
        </w:tc>
        <w:tc>
          <w:tcPr>
            <w:tcW w:type="dxa" w:w="1336"/>
          </w:tcPr>
          <w:p>
            <w:r>
              <w:rPr>
                <w:sz w:val="20"/>
              </w:rPr>
              <w:t>CI 2e/3e T</w:t>
            </w:r>
          </w:p>
        </w:tc>
      </w:tr>
      <w:tr>
        <w:tc>
          <w:tcPr>
            <w:tcW w:type="dxa" w:w="1336"/>
          </w:tcPr>
          <w:p>
            <w:r>
              <w:rPr>
                <w:sz w:val="20"/>
              </w:rPr>
              <w:t>**Valsartan**</w:t>
            </w:r>
          </w:p>
        </w:tc>
        <w:tc>
          <w:tcPr>
            <w:tcW w:type="dxa" w:w="1336"/>
          </w:tcPr>
          <w:p>
            <w:r>
              <w:rPr>
                <w:sz w:val="20"/>
              </w:rPr>
              <w:t>ARA2 2e génération, biphenyl tetrazole, non prodrogue</w:t>
            </w:r>
          </w:p>
        </w:tc>
        <w:tc>
          <w:tcPr>
            <w:tcW w:type="dxa" w:w="1336"/>
          </w:tcPr>
          <w:p>
            <w:r>
              <w:rPr>
                <w:sz w:val="20"/>
              </w:rPr>
              <w:t>Biliaire 70 % + rénal 30 %</w:t>
            </w:r>
          </w:p>
        </w:tc>
        <w:tc>
          <w:tcPr>
            <w:tcW w:type="dxa" w:w="1336"/>
          </w:tcPr>
          <w:p>
            <w:r>
              <w:rPr>
                <w:sz w:val="20"/>
              </w:rPr>
              <w:t>6 (effet 24 h)</w:t>
            </w:r>
          </w:p>
        </w:tc>
        <w:tc>
          <w:tcPr>
            <w:tcW w:type="dxa" w:w="1336"/>
          </w:tcPr>
          <w:p>
            <w:r>
              <w:rPr>
                <w:sz w:val="20"/>
              </w:rPr>
              <w:t>80-320 mg × 1/j</w:t>
            </w:r>
          </w:p>
        </w:tc>
        <w:tc>
          <w:tcPr>
            <w:tcW w:type="dxa" w:w="1336"/>
          </w:tcPr>
          <w:p>
            <w:r>
              <w:rPr>
                <w:sz w:val="20"/>
              </w:rPr>
              <w:t>Toux rare ; composant Entresto (sacubitril/valsartan)</w:t>
            </w:r>
          </w:p>
        </w:tc>
        <w:tc>
          <w:tcPr>
            <w:tcW w:type="dxa" w:w="1336"/>
          </w:tcPr>
          <w:p>
            <w:r>
              <w:rPr>
                <w:sz w:val="20"/>
              </w:rPr>
              <w:t>CI 2e/3e T</w:t>
            </w:r>
          </w:p>
        </w:tc>
      </w:tr>
      <w:tr>
        <w:tc>
          <w:tcPr>
            <w:tcW w:type="dxa" w:w="1336"/>
          </w:tcPr>
          <w:p>
            <w:r>
              <w:rPr>
                <w:sz w:val="20"/>
              </w:rPr>
              <w:t>**Irbésartan**</w:t>
            </w:r>
          </w:p>
        </w:tc>
        <w:tc>
          <w:tcPr>
            <w:tcW w:type="dxa" w:w="1336"/>
          </w:tcPr>
          <w:p>
            <w:r>
              <w:rPr>
                <w:sz w:val="20"/>
              </w:rPr>
              <w:t>ARA2 2e génération, biphenyl tetrazole, non prodrogue</w:t>
            </w:r>
          </w:p>
        </w:tc>
        <w:tc>
          <w:tcPr>
            <w:tcW w:type="dxa" w:w="1336"/>
          </w:tcPr>
          <w:p>
            <w:r>
              <w:rPr>
                <w:sz w:val="20"/>
              </w:rPr>
              <w:t>Hépatique 80 % + rénal 20 %, pas de CYP450</w:t>
            </w:r>
          </w:p>
        </w:tc>
        <w:tc>
          <w:tcPr>
            <w:tcW w:type="dxa" w:w="1336"/>
          </w:tcPr>
          <w:p>
            <w:r>
              <w:rPr>
                <w:sz w:val="20"/>
              </w:rPr>
              <w:t>11-15</w:t>
            </w:r>
          </w:p>
        </w:tc>
        <w:tc>
          <w:tcPr>
            <w:tcW w:type="dxa" w:w="1336"/>
          </w:tcPr>
          <w:p>
            <w:r>
              <w:rPr>
                <w:sz w:val="20"/>
              </w:rPr>
              <w:t>150-300 mg × 1/j</w:t>
            </w:r>
          </w:p>
        </w:tc>
        <w:tc>
          <w:tcPr>
            <w:tcW w:type="dxa" w:w="1336"/>
          </w:tcPr>
          <w:p>
            <w:r>
              <w:rPr>
                <w:sz w:val="20"/>
              </w:rPr>
              <w:t>Toux rare ; AMM néphropathie diabétique T2 (IDNT, IRMA-2)</w:t>
            </w:r>
          </w:p>
        </w:tc>
        <w:tc>
          <w:tcPr>
            <w:tcW w:type="dxa" w:w="1336"/>
          </w:tcPr>
          <w:p>
            <w:r>
              <w:rPr>
                <w:sz w:val="20"/>
              </w:rPr>
              <w:t>CI 2e/3e T</w:t>
            </w:r>
          </w:p>
        </w:tc>
      </w:tr>
      <w:tr>
        <w:tc>
          <w:tcPr>
            <w:tcW w:type="dxa" w:w="1336"/>
          </w:tcPr>
          <w:p>
            <w:r>
              <w:rPr>
                <w:sz w:val="20"/>
              </w:rPr>
              <w:t>**Candésartan**</w:t>
            </w:r>
          </w:p>
        </w:tc>
        <w:tc>
          <w:tcPr>
            <w:tcW w:type="dxa" w:w="1336"/>
          </w:tcPr>
          <w:p>
            <w:r>
              <w:rPr>
                <w:sz w:val="20"/>
              </w:rPr>
              <w:t>ARA2 2e génération, biphenyl tetrazole, prodrogue (cilexetil)</w:t>
            </w:r>
          </w:p>
        </w:tc>
        <w:tc>
          <w:tcPr>
            <w:tcW w:type="dxa" w:w="1336"/>
          </w:tcPr>
          <w:p>
            <w:r>
              <w:rPr>
                <w:sz w:val="20"/>
              </w:rPr>
              <w:t>Mixte 60 % rénal + 40 % biliaire</w:t>
            </w:r>
          </w:p>
        </w:tc>
        <w:tc>
          <w:tcPr>
            <w:tcW w:type="dxa" w:w="1336"/>
          </w:tcPr>
          <w:p>
            <w:r>
              <w:rPr>
                <w:sz w:val="20"/>
              </w:rPr>
              <w:t>9 (effet 24 h)</w:t>
            </w:r>
          </w:p>
        </w:tc>
        <w:tc>
          <w:tcPr>
            <w:tcW w:type="dxa" w:w="1336"/>
          </w:tcPr>
          <w:p>
            <w:r>
              <w:rPr>
                <w:sz w:val="20"/>
              </w:rPr>
              <w:t>8-32 mg × 1/j</w:t>
            </w:r>
          </w:p>
        </w:tc>
        <w:tc>
          <w:tcPr>
            <w:tcW w:type="dxa" w:w="1336"/>
          </w:tcPr>
          <w:p>
            <w:r>
              <w:rPr>
                <w:sz w:val="20"/>
              </w:rPr>
              <w:t>Toux rare ; AMM IC (CHARM), prévention migraineuse</w:t>
            </w:r>
          </w:p>
        </w:tc>
        <w:tc>
          <w:tcPr>
            <w:tcW w:type="dxa" w:w="1336"/>
          </w:tcPr>
          <w:p>
            <w:r>
              <w:rPr>
                <w:sz w:val="20"/>
              </w:rPr>
              <w:t>CI 2e/3e T</w:t>
            </w:r>
          </w:p>
        </w:tc>
      </w:tr>
      <w:tr>
        <w:tc>
          <w:tcPr>
            <w:tcW w:type="dxa" w:w="1336"/>
          </w:tcPr>
          <w:p>
            <w:r>
              <w:rPr>
                <w:sz w:val="20"/>
              </w:rPr>
              <w:t>**Telmisartan**</w:t>
            </w:r>
          </w:p>
        </w:tc>
        <w:tc>
          <w:tcPr>
            <w:tcW w:type="dxa" w:w="1336"/>
          </w:tcPr>
          <w:p>
            <w:r>
              <w:rPr>
                <w:sz w:val="20"/>
              </w:rPr>
              <w:t>ARA2 3e génération, non-biphenyl tetrazole, non prodrogue, agoniste PPAR-γ partiel</w:t>
            </w:r>
          </w:p>
        </w:tc>
        <w:tc>
          <w:tcPr>
            <w:tcW w:type="dxa" w:w="1336"/>
          </w:tcPr>
          <w:p>
            <w:r>
              <w:rPr>
                <w:sz w:val="20"/>
              </w:rPr>
              <w:t>Biliaire 97 %</w:t>
            </w:r>
          </w:p>
        </w:tc>
        <w:tc>
          <w:tcPr>
            <w:tcW w:type="dxa" w:w="1336"/>
          </w:tcPr>
          <w:p>
            <w:r>
              <w:rPr>
                <w:sz w:val="20"/>
              </w:rPr>
              <w:t>24 (la plus longue)</w:t>
            </w:r>
          </w:p>
        </w:tc>
        <w:tc>
          <w:tcPr>
            <w:tcW w:type="dxa" w:w="1336"/>
          </w:tcPr>
          <w:p>
            <w:r>
              <w:rPr>
                <w:sz w:val="20"/>
              </w:rPr>
              <w:t>40-80 mg × 1/j</w:t>
            </w:r>
          </w:p>
        </w:tc>
        <w:tc>
          <w:tcPr>
            <w:tcW w:type="dxa" w:w="1336"/>
          </w:tcPr>
          <w:p>
            <w:r>
              <w:rPr>
                <w:sz w:val="20"/>
              </w:rPr>
              <w:t>Toux rare ; profil métabolique favorable (PPAR-γ) ; surveillance transaminases ; interaction digoxine</w:t>
            </w:r>
          </w:p>
        </w:tc>
        <w:tc>
          <w:tcPr>
            <w:tcW w:type="dxa" w:w="1336"/>
          </w:tcPr>
          <w:p>
            <w:r>
              <w:rPr>
                <w:sz w:val="20"/>
              </w:rPr>
              <w:t>CI 2e/3e T</w:t>
            </w:r>
          </w:p>
        </w:tc>
      </w:tr>
      <w:tr>
        <w:tc>
          <w:tcPr>
            <w:tcW w:type="dxa" w:w="1336"/>
          </w:tcPr>
          <w:p>
            <w:r>
              <w:rPr>
                <w:sz w:val="20"/>
              </w:rPr>
              <w:t>**Olmésartan**</w:t>
            </w:r>
          </w:p>
        </w:tc>
        <w:tc>
          <w:tcPr>
            <w:tcW w:type="dxa" w:w="1336"/>
          </w:tcPr>
          <w:p>
            <w:r>
              <w:rPr>
                <w:sz w:val="20"/>
              </w:rPr>
              <w:t>ARA2 3e génération, biphenyl tetrazole, prodrogue (médoxomil)</w:t>
            </w:r>
          </w:p>
        </w:tc>
        <w:tc>
          <w:tcPr>
            <w:tcW w:type="dxa" w:w="1336"/>
          </w:tcPr>
          <w:p>
            <w:r>
              <w:rPr>
                <w:sz w:val="20"/>
              </w:rPr>
              <w:t>Mixte 50 % rénal + 50 % biliaire</w:t>
            </w:r>
          </w:p>
        </w:tc>
        <w:tc>
          <w:tcPr>
            <w:tcW w:type="dxa" w:w="1336"/>
          </w:tcPr>
          <w:p>
            <w:r>
              <w:rPr>
                <w:sz w:val="20"/>
              </w:rPr>
              <w:t>13</w:t>
            </w:r>
          </w:p>
        </w:tc>
        <w:tc>
          <w:tcPr>
            <w:tcW w:type="dxa" w:w="1336"/>
          </w:tcPr>
          <w:p>
            <w:r>
              <w:rPr>
                <w:sz w:val="20"/>
              </w:rPr>
              <w:t>20-40 mg × 1/j</w:t>
            </w:r>
          </w:p>
        </w:tc>
        <w:tc>
          <w:tcPr>
            <w:tcW w:type="dxa" w:w="1336"/>
          </w:tcPr>
          <w:p>
            <w:r>
              <w:rPr>
                <w:sz w:val="20"/>
              </w:rPr>
              <w:t>**Entéropathie sprue-like** (rare, spécifique — diarrhée chronique après plusieurs mois)</w:t>
            </w:r>
          </w:p>
        </w:tc>
        <w:tc>
          <w:tcPr>
            <w:tcW w:type="dxa" w:w="1336"/>
          </w:tcPr>
          <w:p>
            <w:r>
              <w:rPr>
                <w:sz w:val="20"/>
              </w:rPr>
              <w:t>CI 2e/3e T</w:t>
            </w:r>
          </w:p>
        </w:tc>
      </w:tr>
      <w:tr>
        <w:tc>
          <w:tcPr>
            <w:tcW w:type="dxa" w:w="1336"/>
          </w:tcPr>
          <w:p>
            <w:r>
              <w:rPr>
                <w:sz w:val="20"/>
              </w:rPr>
              <w:t>**Azilsartan**</w:t>
            </w:r>
          </w:p>
        </w:tc>
        <w:tc>
          <w:tcPr>
            <w:tcW w:type="dxa" w:w="1336"/>
          </w:tcPr>
          <w:p>
            <w:r>
              <w:rPr>
                <w:sz w:val="20"/>
              </w:rPr>
              <w:t>ARA2 dernière génération, acylsulfonamide, prodrogue (médoxomil)</w:t>
            </w:r>
          </w:p>
        </w:tc>
        <w:tc>
          <w:tcPr>
            <w:tcW w:type="dxa" w:w="1336"/>
          </w:tcPr>
          <w:p>
            <w:r>
              <w:rPr>
                <w:sz w:val="20"/>
              </w:rPr>
              <w:t>Mixte 55 % biliaire + 42 % rénal</w:t>
            </w:r>
          </w:p>
        </w:tc>
        <w:tc>
          <w:tcPr>
            <w:tcW w:type="dxa" w:w="1336"/>
          </w:tcPr>
          <w:p>
            <w:r>
              <w:rPr>
                <w:sz w:val="20"/>
              </w:rPr>
              <w:t>11</w:t>
            </w:r>
          </w:p>
        </w:tc>
        <w:tc>
          <w:tcPr>
            <w:tcW w:type="dxa" w:w="1336"/>
          </w:tcPr>
          <w:p>
            <w:r>
              <w:rPr>
                <w:sz w:val="20"/>
              </w:rPr>
              <w:t>40-80 mg × 1/j</w:t>
            </w:r>
          </w:p>
        </w:tc>
        <w:tc>
          <w:tcPr>
            <w:tcW w:type="dxa" w:w="1336"/>
          </w:tcPr>
          <w:p>
            <w:r>
              <w:rPr>
                <w:sz w:val="20"/>
              </w:rPr>
              <w:t>Toux rare ; puissance élevée ; disponibilité monomarque (Edarbi) en Algérie</w:t>
            </w:r>
          </w:p>
        </w:tc>
        <w:tc>
          <w:tcPr>
            <w:tcW w:type="dxa" w:w="1336"/>
          </w:tcPr>
          <w:p>
            <w:r>
              <w:rPr>
                <w:sz w:val="20"/>
              </w:rPr>
              <w:t>CI 2e/3e T</w:t>
            </w:r>
          </w:p>
        </w:tc>
      </w:tr>
    </w:tbl>
    <w:p/>
    <w:p>
      <w:pPr>
        <w:pStyle w:val="Heading3"/>
      </w:pPr>
      <w:r>
        <w:t>Tableau 3 — Associations fixes IEC + Diurétiques (6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Métabolisme</w:t>
            </w:r>
          </w:p>
        </w:tc>
        <w:tc>
          <w:tcPr>
            <w:tcW w:type="dxa" w:w="1336"/>
          </w:tcPr>
          <w:p>
            <w:r>
              <w:rPr>
                <w:b/>
                <w:sz w:val="20"/>
              </w:rPr>
              <w:t>Demi-vie (h)</w:t>
            </w:r>
          </w:p>
        </w:tc>
        <w:tc>
          <w:tcPr>
            <w:tcW w:type="dxa" w:w="1336"/>
          </w:tcPr>
          <w:p>
            <w:r>
              <w:rPr>
                <w:b/>
                <w:sz w:val="20"/>
              </w:rPr>
              <w:t>Posologie usuelle HTA</w:t>
            </w:r>
          </w:p>
        </w:tc>
        <w:tc>
          <w:tcPr>
            <w:tcW w:type="dxa" w:w="1336"/>
          </w:tcPr>
          <w:p>
            <w:r>
              <w:rPr>
                <w:b/>
                <w:sz w:val="20"/>
              </w:rPr>
              <w:t>EI majeur spécifique</w:t>
            </w:r>
          </w:p>
        </w:tc>
        <w:tc>
          <w:tcPr>
            <w:tcW w:type="dxa" w:w="1336"/>
          </w:tcPr>
          <w:p>
            <w:r>
              <w:rPr>
                <w:b/>
                <w:sz w:val="20"/>
              </w:rPr>
              <w:t>Grossesse</w:t>
            </w:r>
          </w:p>
        </w:tc>
      </w:tr>
      <w:tr>
        <w:tc>
          <w:tcPr>
            <w:tcW w:type="dxa" w:w="1336"/>
          </w:tcPr>
          <w:p>
            <w:r>
              <w:rPr>
                <w:sz w:val="20"/>
              </w:rPr>
              <w:t>**Captopril + HCTZ**</w:t>
            </w:r>
          </w:p>
        </w:tc>
        <w:tc>
          <w:tcPr>
            <w:tcW w:type="dxa" w:w="1336"/>
          </w:tcPr>
          <w:p>
            <w:r>
              <w:rPr>
                <w:sz w:val="20"/>
              </w:rPr>
              <w:t>IEC (-SH) + thiazidique, bi-quotidien</w:t>
            </w:r>
          </w:p>
        </w:tc>
        <w:tc>
          <w:tcPr>
            <w:tcW w:type="dxa" w:w="1336"/>
          </w:tcPr>
          <w:p>
            <w:r>
              <w:rPr>
                <w:sz w:val="20"/>
              </w:rPr>
              <w:t>Mixte</w:t>
            </w:r>
          </w:p>
        </w:tc>
        <w:tc>
          <w:tcPr>
            <w:tcW w:type="dxa" w:w="1336"/>
          </w:tcPr>
          <w:p>
            <w:r>
              <w:rPr>
                <w:sz w:val="20"/>
              </w:rPr>
              <w:t>2 (captopril) / 12 (HCTZ)</w:t>
            </w:r>
          </w:p>
        </w:tc>
        <w:tc>
          <w:tcPr>
            <w:tcW w:type="dxa" w:w="1336"/>
          </w:tcPr>
          <w:p>
            <w:r>
              <w:rPr>
                <w:sz w:val="20"/>
              </w:rPr>
              <w:t>50 mg/25 mg × 1-2/j, à JEUN</w:t>
            </w:r>
          </w:p>
        </w:tc>
        <w:tc>
          <w:tcPr>
            <w:tcW w:type="dxa" w:w="1336"/>
          </w:tcPr>
          <w:p>
            <w:r>
              <w:rPr>
                <w:sz w:val="20"/>
              </w:rPr>
              <w:t>Toux, angio-œdème, hyponatrémie, hyperuricémie ; triple whammy</w:t>
            </w:r>
          </w:p>
        </w:tc>
        <w:tc>
          <w:tcPr>
            <w:tcW w:type="dxa" w:w="1336"/>
          </w:tcPr>
          <w:p>
            <w:r>
              <w:rPr>
                <w:sz w:val="20"/>
              </w:rPr>
              <w:t>CI 2e/3e T</w:t>
            </w:r>
          </w:p>
        </w:tc>
      </w:tr>
      <w:tr>
        <w:tc>
          <w:tcPr>
            <w:tcW w:type="dxa" w:w="1336"/>
          </w:tcPr>
          <w:p>
            <w:r>
              <w:rPr>
                <w:sz w:val="20"/>
              </w:rPr>
              <w:t>**Énalapril + HCTZ**</w:t>
            </w:r>
          </w:p>
        </w:tc>
        <w:tc>
          <w:tcPr>
            <w:tcW w:type="dxa" w:w="1336"/>
          </w:tcPr>
          <w:p>
            <w:r>
              <w:rPr>
                <w:sz w:val="20"/>
              </w:rPr>
              <w:t>IEC (-COOH prodrogue) + thiazidique, mono-quotidien</w:t>
            </w:r>
          </w:p>
        </w:tc>
        <w:tc>
          <w:tcPr>
            <w:tcW w:type="dxa" w:w="1336"/>
          </w:tcPr>
          <w:p>
            <w:r>
              <w:rPr>
                <w:sz w:val="20"/>
              </w:rPr>
              <w:t>Hépatique + rénal</w:t>
            </w:r>
          </w:p>
        </w:tc>
        <w:tc>
          <w:tcPr>
            <w:tcW w:type="dxa" w:w="1336"/>
          </w:tcPr>
          <w:p>
            <w:r>
              <w:rPr>
                <w:sz w:val="20"/>
              </w:rPr>
              <w:t>11 (énalaprilate) / 12 (HCTZ)</w:t>
            </w:r>
          </w:p>
        </w:tc>
        <w:tc>
          <w:tcPr>
            <w:tcW w:type="dxa" w:w="1336"/>
          </w:tcPr>
          <w:p>
            <w:r>
              <w:rPr>
                <w:sz w:val="20"/>
              </w:rPr>
              <w:t>20 mg/12,5 mg × 1/j</w:t>
            </w:r>
          </w:p>
        </w:tc>
        <w:tc>
          <w:tcPr>
            <w:tcW w:type="dxa" w:w="1336"/>
          </w:tcPr>
          <w:p>
            <w:r>
              <w:rPr>
                <w:sz w:val="20"/>
              </w:rPr>
              <w:t>Toux, angio-œdème, hyponatrémie ; NR en Algérie</w:t>
            </w:r>
          </w:p>
        </w:tc>
        <w:tc>
          <w:tcPr>
            <w:tcW w:type="dxa" w:w="1336"/>
          </w:tcPr>
          <w:p>
            <w:r>
              <w:rPr>
                <w:sz w:val="20"/>
              </w:rPr>
              <w:t>CI 2e/3e T</w:t>
            </w:r>
          </w:p>
        </w:tc>
      </w:tr>
      <w:tr>
        <w:tc>
          <w:tcPr>
            <w:tcW w:type="dxa" w:w="1336"/>
          </w:tcPr>
          <w:p>
            <w:r>
              <w:rPr>
                <w:sz w:val="20"/>
              </w:rPr>
              <w:t>**Moexipril + HCTZ**</w:t>
            </w:r>
          </w:p>
        </w:tc>
        <w:tc>
          <w:tcPr>
            <w:tcW w:type="dxa" w:w="1336"/>
          </w:tcPr>
          <w:p>
            <w:r>
              <w:rPr>
                <w:sz w:val="20"/>
              </w:rPr>
              <w:t>IEC (-COOH prodrogue) + thiazidique, mono-quotidien</w:t>
            </w:r>
          </w:p>
        </w:tc>
        <w:tc>
          <w:tcPr>
            <w:tcW w:type="dxa" w:w="1336"/>
          </w:tcPr>
          <w:p>
            <w:r>
              <w:rPr>
                <w:sz w:val="20"/>
              </w:rPr>
              <w:t>Hépatique + rénal</w:t>
            </w:r>
          </w:p>
        </w:tc>
        <w:tc>
          <w:tcPr>
            <w:tcW w:type="dxa" w:w="1336"/>
          </w:tcPr>
          <w:p>
            <w:r>
              <w:rPr>
                <w:sz w:val="20"/>
              </w:rPr>
              <w:t>8-12 (moexiprilate) / 12 (HCTZ)</w:t>
            </w:r>
          </w:p>
        </w:tc>
        <w:tc>
          <w:tcPr>
            <w:tcW w:type="dxa" w:w="1336"/>
          </w:tcPr>
          <w:p>
            <w:r>
              <w:rPr>
                <w:sz w:val="20"/>
              </w:rPr>
              <w:t>15 mg/25 mg × 1/j, à JEUN</w:t>
            </w:r>
          </w:p>
        </w:tc>
        <w:tc>
          <w:tcPr>
            <w:tcW w:type="dxa" w:w="1336"/>
          </w:tcPr>
          <w:p>
            <w:r>
              <w:rPr>
                <w:sz w:val="20"/>
              </w:rPr>
              <w:t>Toux, angio-œdème, hyponatrémie ; NR en Algérie</w:t>
            </w:r>
          </w:p>
        </w:tc>
        <w:tc>
          <w:tcPr>
            <w:tcW w:type="dxa" w:w="1336"/>
          </w:tcPr>
          <w:p>
            <w:r>
              <w:rPr>
                <w:sz w:val="20"/>
              </w:rPr>
              <w:t>CI 2e/3e T</w:t>
            </w:r>
          </w:p>
        </w:tc>
      </w:tr>
      <w:tr>
        <w:tc>
          <w:tcPr>
            <w:tcW w:type="dxa" w:w="1336"/>
          </w:tcPr>
          <w:p>
            <w:r>
              <w:rPr>
                <w:sz w:val="20"/>
              </w:rPr>
              <w:t>**Périndopril + Indapamide**</w:t>
            </w:r>
          </w:p>
        </w:tc>
        <w:tc>
          <w:tcPr>
            <w:tcW w:type="dxa" w:w="1336"/>
          </w:tcPr>
          <w:p>
            <w:r>
              <w:rPr>
                <w:sz w:val="20"/>
              </w:rPr>
              <w:t>IEC (-COOH prodrogue, lipophile) + thiazidique-like, mono-quotidien</w:t>
            </w:r>
          </w:p>
        </w:tc>
        <w:tc>
          <w:tcPr>
            <w:tcW w:type="dxa" w:w="1336"/>
          </w:tcPr>
          <w:p>
            <w:r>
              <w:rPr>
                <w:sz w:val="20"/>
              </w:rPr>
              <w:t>Hépatique + mixte</w:t>
            </w:r>
          </w:p>
        </w:tc>
        <w:tc>
          <w:tcPr>
            <w:tcW w:type="dxa" w:w="1336"/>
          </w:tcPr>
          <w:p>
            <w:r>
              <w:rPr>
                <w:sz w:val="20"/>
              </w:rPr>
              <w:t>24 (effet)</w:t>
            </w:r>
          </w:p>
        </w:tc>
        <w:tc>
          <w:tcPr>
            <w:tcW w:type="dxa" w:w="1336"/>
          </w:tcPr>
          <w:p>
            <w:r>
              <w:rPr>
                <w:sz w:val="20"/>
              </w:rPr>
              <w:t>5 mg/1,25 mg arginine à 10 mg/2,5 mg × 1/j, à JEUN</w:t>
            </w:r>
          </w:p>
        </w:tc>
        <w:tc>
          <w:tcPr>
            <w:tcW w:type="dxa" w:w="1336"/>
          </w:tcPr>
          <w:p>
            <w:r>
              <w:rPr>
                <w:sz w:val="20"/>
              </w:rPr>
              <w:t>Toux, angio-œdème ; **référence** (PROGRESS, ADVANCE, HYVET) ; meilleur profil métabolique</w:t>
            </w:r>
          </w:p>
        </w:tc>
        <w:tc>
          <w:tcPr>
            <w:tcW w:type="dxa" w:w="1336"/>
          </w:tcPr>
          <w:p>
            <w:r>
              <w:rPr>
                <w:sz w:val="20"/>
              </w:rPr>
              <w:t>CI 2e/3e T</w:t>
            </w:r>
          </w:p>
        </w:tc>
      </w:tr>
      <w:tr>
        <w:tc>
          <w:tcPr>
            <w:tcW w:type="dxa" w:w="1336"/>
          </w:tcPr>
          <w:p>
            <w:r>
              <w:rPr>
                <w:sz w:val="20"/>
              </w:rPr>
              <w:t>**Quinapril + HCTZ**</w:t>
            </w:r>
          </w:p>
        </w:tc>
        <w:tc>
          <w:tcPr>
            <w:tcW w:type="dxa" w:w="1336"/>
          </w:tcPr>
          <w:p>
            <w:r>
              <w:rPr>
                <w:sz w:val="20"/>
              </w:rPr>
              <w:t>IEC (-COOH prodrogue) + thiazidique, mono-quotidien</w:t>
            </w:r>
          </w:p>
        </w:tc>
        <w:tc>
          <w:tcPr>
            <w:tcW w:type="dxa" w:w="1336"/>
          </w:tcPr>
          <w:p>
            <w:r>
              <w:rPr>
                <w:sz w:val="20"/>
              </w:rPr>
              <w:t>Hépatique + rénal</w:t>
            </w:r>
          </w:p>
        </w:tc>
        <w:tc>
          <w:tcPr>
            <w:tcW w:type="dxa" w:w="1336"/>
          </w:tcPr>
          <w:p>
            <w:r>
              <w:rPr>
                <w:sz w:val="20"/>
              </w:rPr>
              <w:t>24 (effet)</w:t>
            </w:r>
          </w:p>
        </w:tc>
        <w:tc>
          <w:tcPr>
            <w:tcW w:type="dxa" w:w="1336"/>
          </w:tcPr>
          <w:p>
            <w:r>
              <w:rPr>
                <w:sz w:val="20"/>
              </w:rPr>
              <w:t>20 mg/12,5 mg × 1/j</w:t>
            </w:r>
          </w:p>
        </w:tc>
        <w:tc>
          <w:tcPr>
            <w:tcW w:type="dxa" w:w="1336"/>
          </w:tcPr>
          <w:p>
            <w:r>
              <w:rPr>
                <w:sz w:val="20"/>
              </w:rPr>
              <w:t>Toux, angio-œdème, hyponatrémie ; monomarque Acuilix en Algérie</w:t>
            </w:r>
          </w:p>
        </w:tc>
        <w:tc>
          <w:tcPr>
            <w:tcW w:type="dxa" w:w="1336"/>
          </w:tcPr>
          <w:p>
            <w:r>
              <w:rPr>
                <w:sz w:val="20"/>
              </w:rPr>
              <w:t>CI 2e/3e T</w:t>
            </w:r>
          </w:p>
        </w:tc>
      </w:tr>
      <w:tr>
        <w:tc>
          <w:tcPr>
            <w:tcW w:type="dxa" w:w="1336"/>
          </w:tcPr>
          <w:p>
            <w:r>
              <w:rPr>
                <w:sz w:val="20"/>
              </w:rPr>
              <w:t>**Ramipril + HCTZ**</w:t>
            </w:r>
          </w:p>
        </w:tc>
        <w:tc>
          <w:tcPr>
            <w:tcW w:type="dxa" w:w="1336"/>
          </w:tcPr>
          <w:p>
            <w:r>
              <w:rPr>
                <w:sz w:val="20"/>
              </w:rPr>
              <w:t>IEC (-COOH prodrogue, lipophile) + thiazidique, mono-quotidien</w:t>
            </w:r>
          </w:p>
        </w:tc>
        <w:tc>
          <w:tcPr>
            <w:tcW w:type="dxa" w:w="1336"/>
          </w:tcPr>
          <w:p>
            <w:r>
              <w:rPr>
                <w:sz w:val="20"/>
              </w:rPr>
              <w:t>Hépatique + rénal</w:t>
            </w:r>
          </w:p>
        </w:tc>
        <w:tc>
          <w:tcPr>
            <w:tcW w:type="dxa" w:w="1336"/>
          </w:tcPr>
          <w:p>
            <w:r>
              <w:rPr>
                <w:sz w:val="20"/>
              </w:rPr>
              <w:t>24 (effet)</w:t>
            </w:r>
          </w:p>
        </w:tc>
        <w:tc>
          <w:tcPr>
            <w:tcW w:type="dxa" w:w="1336"/>
          </w:tcPr>
          <w:p>
            <w:r>
              <w:rPr>
                <w:sz w:val="20"/>
              </w:rPr>
              <w:t>5 mg/12,5 mg à 10 mg/25 mg × 1/j</w:t>
            </w:r>
          </w:p>
        </w:tc>
        <w:tc>
          <w:tcPr>
            <w:tcW w:type="dxa" w:w="1336"/>
          </w:tcPr>
          <w:p>
            <w:r>
              <w:rPr>
                <w:sz w:val="20"/>
              </w:rPr>
              <w:t>Toux, angio-œdème, hyponatrémie ; référence HOPE</w:t>
            </w:r>
          </w:p>
        </w:tc>
        <w:tc>
          <w:tcPr>
            <w:tcW w:type="dxa" w:w="1336"/>
          </w:tcPr>
          <w:p>
            <w:r>
              <w:rPr>
                <w:sz w:val="20"/>
              </w:rPr>
              <w:t>CI 2e/3e T</w:t>
            </w:r>
          </w:p>
        </w:tc>
      </w:tr>
    </w:tbl>
    <w:p/>
    <w:p>
      <w:pPr>
        <w:pStyle w:val="Heading3"/>
      </w:pPr>
      <w:r>
        <w:t>Tableau 4 — Associations fixes ARA2 + Diurétiques (6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Métabolisme</w:t>
            </w:r>
          </w:p>
        </w:tc>
        <w:tc>
          <w:tcPr>
            <w:tcW w:type="dxa" w:w="1336"/>
          </w:tcPr>
          <w:p>
            <w:r>
              <w:rPr>
                <w:b/>
                <w:sz w:val="20"/>
              </w:rPr>
              <w:t>Demi-vie (h)</w:t>
            </w:r>
          </w:p>
        </w:tc>
        <w:tc>
          <w:tcPr>
            <w:tcW w:type="dxa" w:w="1336"/>
          </w:tcPr>
          <w:p>
            <w:r>
              <w:rPr>
                <w:b/>
                <w:sz w:val="20"/>
              </w:rPr>
              <w:t>Posologie usuelle HTA</w:t>
            </w:r>
          </w:p>
        </w:tc>
        <w:tc>
          <w:tcPr>
            <w:tcW w:type="dxa" w:w="1336"/>
          </w:tcPr>
          <w:p>
            <w:r>
              <w:rPr>
                <w:b/>
                <w:sz w:val="20"/>
              </w:rPr>
              <w:t>EI majeur spécifique</w:t>
            </w:r>
          </w:p>
        </w:tc>
        <w:tc>
          <w:tcPr>
            <w:tcW w:type="dxa" w:w="1336"/>
          </w:tcPr>
          <w:p>
            <w:r>
              <w:rPr>
                <w:b/>
                <w:sz w:val="20"/>
              </w:rPr>
              <w:t>Grossesse</w:t>
            </w:r>
          </w:p>
        </w:tc>
      </w:tr>
      <w:tr>
        <w:tc>
          <w:tcPr>
            <w:tcW w:type="dxa" w:w="1336"/>
          </w:tcPr>
          <w:p>
            <w:r>
              <w:rPr>
                <w:sz w:val="20"/>
              </w:rPr>
              <w:t>**Azilsartan + Chlorthalidone**</w:t>
            </w:r>
          </w:p>
        </w:tc>
        <w:tc>
          <w:tcPr>
            <w:tcW w:type="dxa" w:w="1336"/>
          </w:tcPr>
          <w:p>
            <w:r>
              <w:rPr>
                <w:sz w:val="20"/>
              </w:rPr>
              <w:t>ARA2 (acylsulfonamide prodrogue) + thiazidique-like (chlorthalidone, longue durée), mono-quotidien</w:t>
            </w:r>
          </w:p>
        </w:tc>
        <w:tc>
          <w:tcPr>
            <w:tcW w:type="dxa" w:w="1336"/>
          </w:tcPr>
          <w:p>
            <w:r>
              <w:rPr>
                <w:sz w:val="20"/>
              </w:rPr>
              <w:t>Mixte + mixte</w:t>
            </w:r>
          </w:p>
        </w:tc>
        <w:tc>
          <w:tcPr>
            <w:tcW w:type="dxa" w:w="1336"/>
          </w:tcPr>
          <w:p>
            <w:r>
              <w:rPr>
                <w:sz w:val="20"/>
              </w:rPr>
              <w:t>11 (azilsartan) / 40-60 (chlorthalidone)</w:t>
            </w:r>
          </w:p>
        </w:tc>
        <w:tc>
          <w:tcPr>
            <w:tcW w:type="dxa" w:w="1336"/>
          </w:tcPr>
          <w:p>
            <w:r>
              <w:rPr>
                <w:sz w:val="20"/>
              </w:rPr>
              <w:t>40 mg/25 mg × 1/j</w:t>
            </w:r>
          </w:p>
        </w:tc>
        <w:tc>
          <w:tcPr>
            <w:tcW w:type="dxa" w:w="1336"/>
          </w:tcPr>
          <w:p>
            <w:r>
              <w:rPr>
                <w:sz w:val="20"/>
              </w:rPr>
              <w:t>Hypokaliémie et hyponatrémie accrues (chlorthalidone &gt; HCTZ), allongement QT ; puissance élevée</w:t>
            </w:r>
          </w:p>
        </w:tc>
        <w:tc>
          <w:tcPr>
            <w:tcW w:type="dxa" w:w="1336"/>
          </w:tcPr>
          <w:p>
            <w:r>
              <w:rPr>
                <w:sz w:val="20"/>
              </w:rPr>
              <w:t>CI 2e/3e T</w:t>
            </w:r>
          </w:p>
        </w:tc>
      </w:tr>
      <w:tr>
        <w:tc>
          <w:tcPr>
            <w:tcW w:type="dxa" w:w="1336"/>
          </w:tcPr>
          <w:p>
            <w:r>
              <w:rPr>
                <w:sz w:val="20"/>
              </w:rPr>
              <w:t>**Candésartan + HCTZ**</w:t>
            </w:r>
          </w:p>
        </w:tc>
        <w:tc>
          <w:tcPr>
            <w:tcW w:type="dxa" w:w="1336"/>
          </w:tcPr>
          <w:p>
            <w:r>
              <w:rPr>
                <w:sz w:val="20"/>
              </w:rPr>
              <w:t>ARA2 (prodrogue) + thiazidique, mono-quotidien</w:t>
            </w:r>
          </w:p>
        </w:tc>
        <w:tc>
          <w:tcPr>
            <w:tcW w:type="dxa" w:w="1336"/>
          </w:tcPr>
          <w:p>
            <w:r>
              <w:rPr>
                <w:sz w:val="20"/>
              </w:rPr>
              <w:t>Mixte + rénal</w:t>
            </w:r>
          </w:p>
        </w:tc>
        <w:tc>
          <w:tcPr>
            <w:tcW w:type="dxa" w:w="1336"/>
          </w:tcPr>
          <w:p>
            <w:r>
              <w:rPr>
                <w:sz w:val="20"/>
              </w:rPr>
              <w:t>9 (candésartan, effet 24 h) / 12 (HCTZ)</w:t>
            </w:r>
          </w:p>
        </w:tc>
        <w:tc>
          <w:tcPr>
            <w:tcW w:type="dxa" w:w="1336"/>
          </w:tcPr>
          <w:p>
            <w:r>
              <w:rPr>
                <w:sz w:val="20"/>
              </w:rPr>
              <w:t>8 mg/12,5 mg à 16 mg/12,5 mg × 1/j</w:t>
            </w:r>
          </w:p>
        </w:tc>
        <w:tc>
          <w:tcPr>
            <w:tcW w:type="dxa" w:w="1336"/>
          </w:tcPr>
          <w:p>
            <w:r>
              <w:rPr>
                <w:sz w:val="20"/>
              </w:rPr>
              <w:t>Toux rare, hyponatrémie, hyperuricémie</w:t>
            </w:r>
          </w:p>
        </w:tc>
        <w:tc>
          <w:tcPr>
            <w:tcW w:type="dxa" w:w="1336"/>
          </w:tcPr>
          <w:p>
            <w:r>
              <w:rPr>
                <w:sz w:val="20"/>
              </w:rPr>
              <w:t>CI 2e/3e T</w:t>
            </w:r>
          </w:p>
        </w:tc>
      </w:tr>
      <w:tr>
        <w:tc>
          <w:tcPr>
            <w:tcW w:type="dxa" w:w="1336"/>
          </w:tcPr>
          <w:p>
            <w:r>
              <w:rPr>
                <w:sz w:val="20"/>
              </w:rPr>
              <w:t>**Irbésartan + HCTZ**</w:t>
            </w:r>
          </w:p>
        </w:tc>
        <w:tc>
          <w:tcPr>
            <w:tcW w:type="dxa" w:w="1336"/>
          </w:tcPr>
          <w:p>
            <w:r>
              <w:rPr>
                <w:sz w:val="20"/>
              </w:rPr>
              <w:t>ARA2 (non prodrogue) + thiazidique, mono-quotidien</w:t>
            </w:r>
          </w:p>
        </w:tc>
        <w:tc>
          <w:tcPr>
            <w:tcW w:type="dxa" w:w="1336"/>
          </w:tcPr>
          <w:p>
            <w:r>
              <w:rPr>
                <w:sz w:val="20"/>
              </w:rPr>
              <w:t>Hépatique + rénal</w:t>
            </w:r>
          </w:p>
        </w:tc>
        <w:tc>
          <w:tcPr>
            <w:tcW w:type="dxa" w:w="1336"/>
          </w:tcPr>
          <w:p>
            <w:r>
              <w:rPr>
                <w:sz w:val="20"/>
              </w:rPr>
              <w:t>11-15 (irbésartan) / 12 (HCTZ)</w:t>
            </w:r>
          </w:p>
        </w:tc>
        <w:tc>
          <w:tcPr>
            <w:tcW w:type="dxa" w:w="1336"/>
          </w:tcPr>
          <w:p>
            <w:r>
              <w:rPr>
                <w:sz w:val="20"/>
              </w:rPr>
              <w:t>150 mg/12,5 mg à 300 mg/25 mg × 1/j</w:t>
            </w:r>
          </w:p>
        </w:tc>
        <w:tc>
          <w:tcPr>
            <w:tcW w:type="dxa" w:w="1336"/>
          </w:tcPr>
          <w:p>
            <w:r>
              <w:rPr>
                <w:sz w:val="20"/>
              </w:rPr>
              <w:t>Toux rare ; AMM néphropathie diabétique T2 (avec l'irbésartan en monothérapie)</w:t>
            </w:r>
          </w:p>
        </w:tc>
        <w:tc>
          <w:tcPr>
            <w:tcW w:type="dxa" w:w="1336"/>
          </w:tcPr>
          <w:p>
            <w:r>
              <w:rPr>
                <w:sz w:val="20"/>
              </w:rPr>
              <w:t>CI 2e/3e T</w:t>
            </w:r>
          </w:p>
        </w:tc>
      </w:tr>
      <w:tr>
        <w:tc>
          <w:tcPr>
            <w:tcW w:type="dxa" w:w="1336"/>
          </w:tcPr>
          <w:p>
            <w:r>
              <w:rPr>
                <w:sz w:val="20"/>
              </w:rPr>
              <w:t>**Losartan + HCTZ**</w:t>
            </w:r>
          </w:p>
        </w:tc>
        <w:tc>
          <w:tcPr>
            <w:tcW w:type="dxa" w:w="1336"/>
          </w:tcPr>
          <w:p>
            <w:r>
              <w:rPr>
                <w:sz w:val="20"/>
              </w:rPr>
              <w:t>ARA2 (prodrogue partielle CYP2C9) + thiazidique, mono-quotidien</w:t>
            </w:r>
          </w:p>
        </w:tc>
        <w:tc>
          <w:tcPr>
            <w:tcW w:type="dxa" w:w="1336"/>
          </w:tcPr>
          <w:p>
            <w:r>
              <w:rPr>
                <w:sz w:val="20"/>
              </w:rPr>
              <w:t>Hépatique CYP2C9 + rénal</w:t>
            </w:r>
          </w:p>
        </w:tc>
        <w:tc>
          <w:tcPr>
            <w:tcW w:type="dxa" w:w="1336"/>
          </w:tcPr>
          <w:p>
            <w:r>
              <w:rPr>
                <w:sz w:val="20"/>
              </w:rPr>
              <w:t>2 / 6-9 (E-3174) / 12 (HCTZ)</w:t>
            </w:r>
          </w:p>
        </w:tc>
        <w:tc>
          <w:tcPr>
            <w:tcW w:type="dxa" w:w="1336"/>
          </w:tcPr>
          <w:p>
            <w:r>
              <w:rPr>
                <w:sz w:val="20"/>
              </w:rPr>
              <w:t>50 mg/12,5 mg à 100 mg/25 mg × 1/j</w:t>
            </w:r>
          </w:p>
        </w:tc>
        <w:tc>
          <w:tcPr>
            <w:tcW w:type="dxa" w:w="1336"/>
          </w:tcPr>
          <w:p>
            <w:r>
              <w:rPr>
                <w:sz w:val="20"/>
              </w:rPr>
              <w:t>Toux rare, **effet uricosurique** (atout si goutte, compense l'HCTZ), interactions CYP2C9</w:t>
            </w:r>
          </w:p>
        </w:tc>
        <w:tc>
          <w:tcPr>
            <w:tcW w:type="dxa" w:w="1336"/>
          </w:tcPr>
          <w:p>
            <w:r>
              <w:rPr>
                <w:sz w:val="20"/>
              </w:rPr>
              <w:t>CI 2e/3e T</w:t>
            </w:r>
          </w:p>
        </w:tc>
      </w:tr>
      <w:tr>
        <w:tc>
          <w:tcPr>
            <w:tcW w:type="dxa" w:w="1336"/>
          </w:tcPr>
          <w:p>
            <w:r>
              <w:rPr>
                <w:sz w:val="20"/>
              </w:rPr>
              <w:t>**Telmisartan + HCTZ**</w:t>
            </w:r>
          </w:p>
        </w:tc>
        <w:tc>
          <w:tcPr>
            <w:tcW w:type="dxa" w:w="1336"/>
          </w:tcPr>
          <w:p>
            <w:r>
              <w:rPr>
                <w:sz w:val="20"/>
              </w:rPr>
              <w:t>ARA2 (non prodrogue, PPAR-γ) + thiazidique, mono-quotidien</w:t>
            </w:r>
          </w:p>
        </w:tc>
        <w:tc>
          <w:tcPr>
            <w:tcW w:type="dxa" w:w="1336"/>
          </w:tcPr>
          <w:p>
            <w:r>
              <w:rPr>
                <w:sz w:val="20"/>
              </w:rPr>
              <w:t>Biliaire + rénal</w:t>
            </w:r>
          </w:p>
        </w:tc>
        <w:tc>
          <w:tcPr>
            <w:tcW w:type="dxa" w:w="1336"/>
          </w:tcPr>
          <w:p>
            <w:r>
              <w:rPr>
                <w:sz w:val="20"/>
              </w:rPr>
              <w:t>24 (telmisartan) / 12 (HCTZ)</w:t>
            </w:r>
          </w:p>
        </w:tc>
        <w:tc>
          <w:tcPr>
            <w:tcW w:type="dxa" w:w="1336"/>
          </w:tcPr>
          <w:p>
            <w:r>
              <w:rPr>
                <w:sz w:val="20"/>
              </w:rPr>
              <w:t>40 mg/12,5 mg à 80 mg/25 mg × 1/j</w:t>
            </w:r>
          </w:p>
        </w:tc>
        <w:tc>
          <w:tcPr>
            <w:tcW w:type="dxa" w:w="1336"/>
          </w:tcPr>
          <w:p>
            <w:r>
              <w:rPr>
                <w:sz w:val="20"/>
              </w:rPr>
              <w:t>Toux rare, profil métabolique favorable, surveillance transaminases, interaction digoxine</w:t>
            </w:r>
          </w:p>
        </w:tc>
        <w:tc>
          <w:tcPr>
            <w:tcW w:type="dxa" w:w="1336"/>
          </w:tcPr>
          <w:p>
            <w:r>
              <w:rPr>
                <w:sz w:val="20"/>
              </w:rPr>
              <w:t>CI 2e/3e T</w:t>
            </w:r>
          </w:p>
        </w:tc>
      </w:tr>
      <w:tr>
        <w:tc>
          <w:tcPr>
            <w:tcW w:type="dxa" w:w="1336"/>
          </w:tcPr>
          <w:p>
            <w:r>
              <w:rPr>
                <w:sz w:val="20"/>
              </w:rPr>
              <w:t>**Valsartan + HCTZ**</w:t>
            </w:r>
          </w:p>
        </w:tc>
        <w:tc>
          <w:tcPr>
            <w:tcW w:type="dxa" w:w="1336"/>
          </w:tcPr>
          <w:p>
            <w:r>
              <w:rPr>
                <w:sz w:val="20"/>
              </w:rPr>
              <w:t>ARA2 (non prodrogue) + thiazidique, mono-quotidien</w:t>
            </w:r>
          </w:p>
        </w:tc>
        <w:tc>
          <w:tcPr>
            <w:tcW w:type="dxa" w:w="1336"/>
          </w:tcPr>
          <w:p>
            <w:r>
              <w:rPr>
                <w:sz w:val="20"/>
              </w:rPr>
              <w:t>Biliaire + rénal</w:t>
            </w:r>
          </w:p>
        </w:tc>
        <w:tc>
          <w:tcPr>
            <w:tcW w:type="dxa" w:w="1336"/>
          </w:tcPr>
          <w:p>
            <w:r>
              <w:rPr>
                <w:sz w:val="20"/>
              </w:rPr>
              <w:t>6 (valsartan, effet 24 h) / 12 (HCTZ)</w:t>
            </w:r>
          </w:p>
        </w:tc>
        <w:tc>
          <w:tcPr>
            <w:tcW w:type="dxa" w:w="1336"/>
          </w:tcPr>
          <w:p>
            <w:r>
              <w:rPr>
                <w:sz w:val="20"/>
              </w:rPr>
              <w:t>80 mg/12,5 mg à 320 mg/25 mg × 1/j</w:t>
            </w:r>
          </w:p>
        </w:tc>
        <w:tc>
          <w:tcPr>
            <w:tcW w:type="dxa" w:w="1336"/>
          </w:tcPr>
          <w:p>
            <w:r>
              <w:rPr>
                <w:sz w:val="20"/>
              </w:rPr>
              <w:t>Toux rare ; composant valsartan du sacubitril/valsartan (Entresto)</w:t>
            </w:r>
          </w:p>
        </w:tc>
        <w:tc>
          <w:tcPr>
            <w:tcW w:type="dxa" w:w="1336"/>
          </w:tcPr>
          <w:p>
            <w:r>
              <w:rPr>
                <w:sz w:val="20"/>
              </w:rPr>
              <w:t>CI 2e/3e T</w:t>
            </w:r>
          </w:p>
        </w:tc>
      </w:tr>
    </w:tbl>
    <w:p/>
    <w:p>
      <w:pPr>
        <w:pStyle w:val="Heading2"/>
      </w:pPr>
      <w:r>
        <w:t>CONCLUSION DU CHAPITRE</w:t>
      </w:r>
    </w:p>
    <w:p>
      <w:r>
        <w:t>Les inhibiteurs de l'enzyme de conversion (IEC) et les antagonistes des récepteurs de l'angiotensine II (ARA2) constituent l'ossature pharmacologique de la prise en charge moderne de l'hypertension artérielle, de l'insuffisance cardiaque chronique à fraction d'éjection altérée, du post-infarctus du myocarde avec dysfonction ventriculaire gauche, de la néphropathie diabétique et de la prévention cardiovasculaire secondaire. Le système rénine-angiotensine-aldostérone (SRAA), dont la modulation thérapeutique a débuté avec le captopril en 1981, s'est imposé comme la cible pharmacologique la plus validée de la cardiologie moderne.</w:t>
      </w:r>
    </w:p>
    <w:p>
      <w:r>
        <w:t xml:space="preserve">La richesse de l'offre algérienne est notable : </w:t>
      </w:r>
      <w:r>
        <w:rPr>
          <w:b/>
        </w:rPr>
        <w:t>26 DCI</w:t>
      </w:r>
      <w:r>
        <w:t xml:space="preserve"> disponibles (7 IEC, 7 ARA2, 6 associations IEC + diurétique, 6 associations ARA2 + diurétique), réparties sous plus de </w:t>
      </w:r>
      <w:r>
        <w:rPr>
          <w:b/>
        </w:rPr>
        <w:t>120 marques</w:t>
      </w:r>
      <w:r>
        <w:t xml:space="preserve"> (actives, non renouvelables ou retirées) issues de laboratoires algériens (Saidal, Biopharm, Hikma, El Kendi, Beker, Saidal, Merinal, etc.), internationaux (Sanofi, Pfizer, Novartis, Boehringer Ingelheim, AstraZeneca, Daiichi Sankyo, Organon, Servier) et génériqueurs (Mylan, Sandoz, Winthrop, Ratiopharm, etc.). Cette diversité reflète l'importance de cette classe en pratique clinique courante en Algérie, mais impose une vigilance accrue au comptoir pour éviter les erreurs de substitution (équivalences posologiques entre selles de périndopril arginine/erbumine, risque d'angio-œdème en cas de switch IEC ↔ ARA2, contre-indication grossesse).</w:t>
      </w:r>
    </w:p>
    <w:p>
      <w:r>
        <w:t>Les points clés à retenir sont :</w:t>
      </w:r>
    </w:p>
    <w:p>
      <w:pPr>
        <w:pStyle w:val="ListNumber"/>
      </w:pPr>
      <w:r/>
      <w:r>
        <w:rPr>
          <w:b/>
        </w:rPr>
        <w:t>Le mécanisme commun</w:t>
      </w:r>
      <w:r>
        <w:t xml:space="preserve"> : blocage du SRAA, soit au niveau de l'enzyme de conversion (IEC), soit au niveau du récepteur AT1 de l'angiotensine II (ARA2). Les IEC augmentent la bradykinine (toux, angio-œdème), les ARA2 non.</w:t>
      </w:r>
    </w:p>
    <w:p>
      <w:pPr>
        <w:pStyle w:val="ListNumber"/>
      </w:pPr>
      <w:r/>
      <w:r>
        <w:rPr>
          <w:b/>
        </w:rPr>
        <w:t>Les contre-indications communes</w:t>
      </w:r>
      <w:r>
        <w:t xml:space="preserve"> : grossesse 2e/3e trimestres (CI absolue — toxicité fœtale rénale, oligoamnios, hypoplasie pulmonaire, hypotension néonatale), angio-œdème sous IEC (CI croisée avec ARA2), sténose bilatérale des artères rénales, hyperkaliémie, association avec aliskirène/sacubutrile/lithium.</w:t>
      </w:r>
    </w:p>
    <w:p>
      <w:pPr>
        <w:pStyle w:val="ListNumber"/>
      </w:pPr>
      <w:r/>
      <w:r>
        <w:rPr>
          <w:b/>
        </w:rPr>
        <w:t>Les effets indésirables communs</w:t>
      </w:r>
      <w:r>
        <w:t xml:space="preserve"> : hyperkaliémie, IRA fonctionnelle (surtout en cas de sténose artère rénale, hypovolémie, association AINS), hypotension de 1ère dose. Spécifiques aux IEC : toux sèche (5-20 %), angio-œdème (0,1-0,7 %), protéinurie/neutropénie (captopril à forte dose). Spécifique à l'olmésartan : entéropathie sprue-like (rare mais spécifique).</w:t>
      </w:r>
    </w:p>
    <w:p>
      <w:pPr>
        <w:pStyle w:val="ListNumber"/>
      </w:pPr>
      <w:r/>
      <w:r>
        <w:rPr>
          <w:b/>
        </w:rPr>
        <w:t>Les interactions majeures</w:t>
      </w:r>
      <w:r>
        <w:t xml:space="preserve"> : triple whammy (IEC/ARA2 + AINS + diurétique) = IRA fonctionnelle chez le sujet âgé déshydraté ; association avec lithium (augmentation lithiémie) ; association avec diurétiques épargneurs de potassium + suppléments K+ (hyperkaliémie majeure) ; association avec sacubitril (angio-œdème — délai 36 h).</w:t>
      </w:r>
    </w:p>
    <w:p>
      <w:pPr>
        <w:pStyle w:val="ListNumber"/>
      </w:pPr>
      <w:r/>
      <w:r>
        <w:rPr>
          <w:b/>
        </w:rPr>
        <w:t>Les particularités algériennes</w:t>
      </w:r>
      <w:r>
        <w:t xml:space="preserve"> : disponibilité massive de l'irbésartan, valsartan et telmisartan en monothérapie et en association fixe ; pénurie relative du lisinopril, cilazapril (retiré), énalapril + HCTZ et moexipril + HCTZ (NR) ; monomarque pour le quinapril (Acuitel) et l'azilsartan (Edarbi).</w:t>
      </w:r>
    </w:p>
    <w:p>
      <w:pPr>
        <w:pStyle w:val="ListNumber"/>
      </w:pPr>
      <w:r/>
      <w:r>
        <w:rPr>
          <w:b/>
        </w:rPr>
        <w:t>La surveillance biologique minimale</w:t>
      </w:r>
      <w:r>
        <w:t xml:space="preserve"> : créatinine et kaliémie avant initiation, à 1-2 semaines, puis tous les 3-6 mois ; natrémie et uricémie pour les associations avec diurétique ; transaminases pour le telmisartan et l'olmésartan.</w:t>
      </w:r>
    </w:p>
    <w:p>
      <w:pPr>
        <w:pStyle w:val="ListNumber"/>
      </w:pPr>
      <w:r/>
      <w:r>
        <w:rPr>
          <w:b/>
        </w:rPr>
        <w:t>Les conseils au patient</w:t>
      </w:r>
      <w:r>
        <w:t xml:space="preserve"> : prise régulière à heure fixe (ne pas arrêter), prise à jeun pour captopril/périndopril/moexipril, éviter les AINS sans avis, éviter les sels de régime riches en potassium, signaler toute toux sèche, toute diarrhée chronique (olmésartan), tout symptôme d'angio-œdème (urgence), consulter en cas de grossesse planifiée ou effective (arrêt immédiat).</w:t>
      </w:r>
    </w:p>
    <w:p>
      <w:pPr>
        <w:pStyle w:val="ListNumber"/>
      </w:pPr>
      <w:r/>
      <w:r>
        <w:rPr>
          <w:b/>
        </w:rPr>
        <w:t>Les règles de prescription</w:t>
      </w:r>
      <w:r>
        <w:t xml:space="preserve"> : commencer à dose faible, titrer progressivement, surveiller la fonction rénale et la kaliémie, privilégier les associations fixes pour l'observance, respecter les contre-indications absolues, prescrire chez la femme enceinte un antihypertenseur compatible (labétalol, nicardipine, méthyldopa).</w:t>
      </w:r>
    </w:p>
    <w:p>
      <w:pPr>
        <w:pStyle w:val="ListNumber"/>
      </w:pPr>
      <w:r/>
      <w:r>
        <w:rPr>
          <w:b/>
        </w:rPr>
        <w:t>Les pièges à éviter au comptoir</w:t>
      </w:r>
      <w:r>
        <w:t xml:space="preserve"> :</w:t>
      </w:r>
    </w:p>
    <w:p>
      <w:pPr>
        <w:pStyle w:val="ListBullet"/>
      </w:pPr>
      <w:r>
        <w:t>Triple whammy (IEC/ARA2 + AINS + diurétique) chez le sujet âgé déshydraté — déconseiller formellement l'automédication par AINS.</w:t>
      </w:r>
    </w:p>
    <w:p>
      <w:pPr>
        <w:pStyle w:val="ListBullet"/>
      </w:pPr>
      <w:r>
        <w:t>Hyponatrémie thiazidique — recherche systématique à l'initiation (sujet âgé, femme, hypokaliémie préexistante).</w:t>
      </w:r>
    </w:p>
    <w:p>
      <w:pPr>
        <w:pStyle w:val="ListBullet"/>
      </w:pPr>
      <w:r>
        <w:t>Confusion entre selles de périndopril arginine/erbumine — toujours vérifier la correspondance posologique 5 mg arginine = 4 mg erbumine.</w:t>
      </w:r>
    </w:p>
    <w:p>
      <w:pPr>
        <w:pStyle w:val="ListBullet"/>
      </w:pPr>
      <w:r>
        <w:t>Substitution IEC ↔ ARA2 — respecter le wash-out 24-36 h (36 h si sacubitril).</w:t>
      </w:r>
    </w:p>
    <w:p>
      <w:pPr>
        <w:pStyle w:val="ListBullet"/>
      </w:pPr>
      <w:r>
        <w:t>Chez la femme enceinte ou planifiant une grossesse — contre-indication absolue (substitution par labétalol, nicardipine, méthyldopa).</w:t>
      </w:r>
    </w:p>
    <w:p>
      <w:pPr>
        <w:pStyle w:val="ListBullet"/>
      </w:pPr>
      <w:r>
        <w:t>Patient sous sacubitril/valsartan (Entresto) — ne JAMAIS substituer par valsartan seul sans avis médical.</w:t>
      </w:r>
    </w:p>
    <w:p>
      <w:pPr>
        <w:pStyle w:val="ListBullet"/>
      </w:pPr>
      <w:r>
        <w:t>Patient sous ramipril/périndopril/captopril/moexipril — ne JAMAIS oublier la prise à jeun (biodisponibilité diminuée par la nourriture).</w:t>
      </w:r>
    </w:p>
    <w:p>
      <w:pPr>
        <w:pStyle w:val="ListBullet"/>
      </w:pPr>
      <w:r>
        <w:t>Patient sous telmisartan — surveillance des transaminases (interaction avec digoxine).</w:t>
      </w:r>
    </w:p>
    <w:p>
      <w:pPr>
        <w:pStyle w:val="ListBullet"/>
      </w:pPr>
      <w:r>
        <w:t>Patient sous olmésartan — recherche systématique d'entéropathie en cas de diarrhée chronique.</w:t>
      </w:r>
    </w:p>
    <w:p>
      <w:r>
        <w:t>Ce chapitre, premier du Fascicule IV (Cardiologie), s'articule avec les chapitres suivants : bêtabloquants, inhibiteurs calciques, antihypertenseurs centraux et alpha-bloquants, vasodilatateurs et diurétiques, digitaliques, antiarythmiques, anticoagulants et héparines, antiagrégants et thrombolytiques, hypolipémiants, inotropes et associations cardiovasculaires. L'ensemble forme un corpus cohérent permettant au pharmacien algérien de maîtriser la pharmacologie clinique cardiovasculaire moderne, en accord avec les recommandations européennes (ESC/ESH 2023), nord-américaines (ACC/AHA 2017) et algériennes (Société Algérienne d'Hypertension Artérielle).</w:t>
      </w:r>
    </w:p>
    <w:p>
      <w:r>
        <w:t>Les sources mobilisées tout au long de ce chapitre sont : VIDAL 2024, ANSM (Résumé des Caractéristiques du Produit — RCP), Thériaque, CRAT (Centre de Renseignements sur les Agents Tératogènes), UpToDate (section « ACE inhibitors » et « Angiotensin II receptor blockers »), Micromedex, HAS (Recommandations HAS 2022 sur la prise en charge de l'HTA), ESH/ESC 2023 Guidelines for the management of arterial hypertension, ACC/AHA 2017 Guideline for the Prevention, Detection, Evaluation, and Management of High Blood Pressure in Adults, et les principales études pivot (HOPE — ramipril ; EUROPA — périndopril ; ONTARGET — ramipril vs telmisartan ; TRANSCEND — telmisartan ; LIFE — losartan vs aténolol ; VALUE — valsartan vs amlodipine ; CHARM — candésartan en IC ; VALIANT — valsartan post-IDM ; IDNT et IRMA-2 — irbésartan néphropathie diabétique ; RENAAL — losartan néphropathie diabétique ; PROGRESS — périndopril + indapamide prévention AVC récidive ; ADVANCE — périndopril + indapamide diabète T2 ; HYVET — périndopril + indapamide sujet âgé &gt; 80 ans ; ASCOT-BPLA — amlodipine + périndopril vs aténolol + diurétique ; PARADIGM-HF — sacubitril/valsartan en IC à FEVG réduite ; ELITE II — losartan en IC ; Val-HeFT — valsartan en IC ; GISSI-3, ISIS-4 — lisinopril et captopril post-IDM précoce ; ATLAS — lisinopril en IC ; SOLVD, CONSENSUS — énalapril en IC ; AIRE — ramipril post-IDM ; ROADMAP, OLMEBEST — olmésartan).</w:t>
      </w:r>
    </w:p>
    <w:p>
      <w:r/>
      <w:r>
        <w:rPr>
          <w:b/>
        </w:rPr>
        <w:t>Fin du Chapitre 31 — Système Rénine-Angiotensine-Aldostérone (SRAA) : IEC, ARA2 et Associations Fixes</w:t>
      </w:r>
      <w:r/>
    </w:p>
    <w:p>
      <w:r/>
      <w:r>
        <w:rPr>
          <w:i/>
        </w:rPr>
        <w:t>Fascicule IV — Cardiologie</w:t>
      </w:r>
      <w:r/>
    </w:p>
    <w:p>
      <w:r/>
      <w:r>
        <w:rPr>
          <w:i/>
        </w:rPr>
        <w:t>Pharmacologie Clinique pour Étudiants en Pharmacie d'Algérie</w:t>
      </w:r>
      <w:r/>
    </w:p>
    <w:p>
      <w:pPr>
        <w:pStyle w:val="Heading1"/>
      </w:pPr>
      <w:r>
        <w:t>Section 32 — Bêtabloquants et Associations Fixes</w:t>
      </w:r>
    </w:p>
    <w:p>
      <w:pPr>
        <w:ind w:left="567"/>
      </w:pPr>
      <w:r>
        <w:rPr>
          <w:i/>
          <w:color w:val="606060"/>
        </w:rPr>
        <w:t>**Fascicule IV — Cardiologie**</w:t>
      </w:r>
    </w:p>
    <w:p>
      <w:pPr>
        <w:ind w:left="567"/>
      </w:pPr>
      <w:r>
        <w:rPr>
          <w:i/>
          <w:color w:val="606060"/>
        </w:rPr>
        <w:t>Chapitre : Bêtabloquants (β-bloquants) — 13 DCI</w:t>
      </w:r>
    </w:p>
    <w:p>
      <w:pPr>
        <w:ind w:left="567"/>
      </w:pPr>
      <w:r>
        <w:rPr>
          <w:i/>
          <w:color w:val="606060"/>
        </w:rPr>
        <w:t>Nomenclature algérienne des médicaments (Avril 2026)</w:t>
      </w:r>
    </w:p>
    <w:p>
      <w:pPr>
        <w:ind w:left="567"/>
      </w:pPr>
      <w:r>
        <w:rPr>
          <w:i/>
          <w:color w:val="606060"/>
        </w:rPr>
        <w:t>Public cible : étudiants en pharmacie (cycle clinique, 5e année)</w:t>
      </w:r>
    </w:p>
    <w:p>
      <w:pPr>
        <w:pStyle w:val="Heading2"/>
      </w:pPr>
      <w:r>
        <w:t>Introduction générale à la classe des bêtabloquants</w:t>
      </w:r>
    </w:p>
    <w:p>
      <w:r>
        <w:t xml:space="preserve">Les bêtabloquants (ou β-bloquants) constituent l'une des classes médicamenteuses les plus prescrites en cardiologie depuis leur introduction dans les années 1960 (propranolol par Sir James Black, Prix Nobel de Médecine 1988). Ils ont révolutionné le traitement de l'hypertension artérielle (HTA), de la maladie coronarienne, des troubles du rythme et, plus récemment, de l'insuffisance cardiaque chronique (ICC). En Algérie, ils figurent parmi les cardiovasculaires les plus prescrits avec les IEC/ARA2, les inhibiteurs calciques et les diurétiques. La classe comprend des molécules variées différant par leur </w:t>
      </w:r>
      <w:r>
        <w:rPr>
          <w:b/>
        </w:rPr>
        <w:t>sélectivité β1/β2</w:t>
      </w:r>
      <w:r>
        <w:t xml:space="preserve">, leur </w:t>
      </w:r>
      <w:r>
        <w:rPr>
          <w:b/>
        </w:rPr>
        <w:t>liposolubilité</w:t>
      </w:r>
      <w:r>
        <w:t xml:space="preserve">, leur </w:t>
      </w:r>
      <w:r>
        <w:rPr>
          <w:b/>
        </w:rPr>
        <w:t>métabolisme</w:t>
      </w:r>
      <w:r>
        <w:t xml:space="preserve"> (hépatique vs rénal), leur </w:t>
      </w:r>
      <w:r>
        <w:rPr>
          <w:b/>
        </w:rPr>
        <w:t>demi-vie</w:t>
      </w:r>
      <w:r>
        <w:t xml:space="preserve">, la présence d'une </w:t>
      </w:r>
      <w:r>
        <w:rPr>
          <w:b/>
        </w:rPr>
        <w:t>activité sympathomimétique intrinsèque (ASI/ISA)</w:t>
      </w:r>
      <w:r>
        <w:t xml:space="preserve">, d'une </w:t>
      </w:r>
      <w:r>
        <w:rPr>
          <w:b/>
        </w:rPr>
        <w:t>propriété vasodilatatrice liée au monoxyde d'azote (NO)</w:t>
      </w:r>
      <w:r>
        <w:t xml:space="preserve"> ou d'un </w:t>
      </w:r>
      <w:r>
        <w:rPr>
          <w:b/>
        </w:rPr>
        <w:t>blocage alpha-1 associé</w:t>
      </w:r>
      <w:r>
        <w:t>.</w:t>
      </w:r>
    </w:p>
    <w:p>
      <w:pPr>
        <w:pStyle w:val="Heading3"/>
      </w:pPr>
      <w:r>
        <w:t>Classification pharmacologique des β-bloquants</w:t>
      </w:r>
    </w:p>
    <w:p>
      <w:r>
        <w:t>La classification internationale des β-bloquants repose sur trois grands axes complémentaires :</w:t>
      </w:r>
    </w:p>
    <w:p>
      <w:pPr>
        <w:pStyle w:val="ListNumber"/>
      </w:pPr>
      <w:r/>
      <w:r>
        <w:rPr>
          <w:b/>
        </w:rPr>
        <w:t>Sélectivité pour les récepteurs β-adrénergiques</w:t>
      </w:r>
      <w:r>
        <w:t xml:space="preserve"> :</w:t>
      </w:r>
    </w:p>
    <w:p>
      <w:pPr>
        <w:pStyle w:val="ListBullet"/>
      </w:pPr>
      <w:r/>
      <w:r>
        <w:rPr>
          <w:b/>
        </w:rPr>
        <w:t>Cardiosélectifs (β1-sélectifs)</w:t>
      </w:r>
      <w:r>
        <w:t xml:space="preserve"> : aténolol, bisoprolol, métoprolol, bétaxolol, acébutolol, nébivolol, esmolol (non disponible en Algérie). Ces molécules présentent une affinité préférentielle pour le récepteur β1 cardiaque (≈ 10–20 fois supérieure à β2). Cette sélectivité est cependant </w:t>
      </w:r>
      <w:r>
        <w:rPr>
          <w:b/>
        </w:rPr>
        <w:t>dose-dépendante</w:t>
      </w:r>
      <w:r>
        <w:t xml:space="preserve"> et disparaît aux doses élevées.</w:t>
      </w:r>
    </w:p>
    <w:p>
      <w:pPr>
        <w:pStyle w:val="ListBullet"/>
      </w:pPr>
      <w:r/>
      <w:r>
        <w:rPr>
          <w:b/>
        </w:rPr>
        <w:t>Non cardiosélectifs (β1 = β2)</w:t>
      </w:r>
      <w:r>
        <w:t xml:space="preserve"> : propranolol, timolol, nadolol, sotalol. Ils bloquent simultanément les récepteurs β1 cardiaques et β2 bronchopulmonaires, vasculaires et pancréatiques.</w:t>
      </w:r>
    </w:p>
    <w:p>
      <w:pPr>
        <w:pStyle w:val="ListBullet"/>
      </w:pPr>
      <w:r/>
      <w:r>
        <w:rPr>
          <w:b/>
        </w:rPr>
        <w:t>Non sélectifs avec blocage α1 associé</w:t>
      </w:r>
      <w:r>
        <w:t xml:space="preserve"> : carvédilol, labétalol. La double action β1β2 + α1 entraîne une vasodilatation artérielle complémentaire.</w:t>
      </w:r>
    </w:p>
    <w:p>
      <w:pPr>
        <w:pStyle w:val="ListBullet"/>
      </w:pPr>
      <w:r/>
      <w:r>
        <w:rPr>
          <w:b/>
        </w:rPr>
        <w:t>Avec activité sympathomimétique intrinsèque (ASI/ISA)</w:t>
      </w:r>
      <w:r>
        <w:t xml:space="preserve"> : acébutolol, pindolol (non disponible), célp rolol. Ces molécules exercent un agonisme partiel sur le récepteur β, atténuant la bradycardie et le risque de syndrome de Raynaud.</w:t>
      </w:r>
    </w:p>
    <w:p>
      <w:pPr>
        <w:pStyle w:val="ListBullet"/>
      </w:pPr>
      <w:r/>
      <w:r>
        <w:rPr>
          <w:b/>
        </w:rPr>
        <w:t>Avec libération de NO</w:t>
      </w:r>
      <w:r>
        <w:t xml:space="preserve"> : nébivolol. La stimulation endothéliale de la NO-synthase endothéliale (eNOS) entraîne une vasodilatation médiée par le NO/GMPc.</w:t>
      </w:r>
    </w:p>
    <w:p>
      <w:pPr>
        <w:pStyle w:val="ListBullet"/>
      </w:pPr>
      <w:r/>
      <w:r>
        <w:rPr>
          <w:b/>
        </w:rPr>
        <w:t>Avec propriétés antiarythmiques de classe III (Vaughan-Williams)</w:t>
      </w:r>
      <w:r>
        <w:t xml:space="preserve"> : sotalol. Le sotalol combine un blocage β non sélectif et un allongement du potentiel d'action (bloc des canaux potassiques IKr).</w:t>
      </w:r>
    </w:p>
    <w:p>
      <w:pPr>
        <w:pStyle w:val="ListNumber"/>
      </w:pPr>
      <w:r/>
      <w:r>
        <w:rPr>
          <w:b/>
        </w:rPr>
        <w:t>Liposolubilité et passage de la barrière hémato-encéphalique (BHE)</w:t>
      </w:r>
      <w:r>
        <w:t xml:space="preserve"> :</w:t>
      </w:r>
    </w:p>
    <w:p>
      <w:pPr>
        <w:pStyle w:val="ListBullet"/>
      </w:pPr>
      <w:r/>
      <w:r>
        <w:rPr>
          <w:b/>
        </w:rPr>
        <w:t>Liposolubles</w:t>
      </w:r>
      <w:r>
        <w:t xml:space="preserve"> (propranolol, métoprolol, carvédilol, acébutolol) → passage BHE → effets centraux (cauchemars, insomnie, dépression) et métabolisme hépatique (effet de premier passage, polymorphisme CYP2D6 pour métoprolol/carvédilol).</w:t>
      </w:r>
    </w:p>
    <w:p>
      <w:pPr>
        <w:pStyle w:val="ListBullet"/>
      </w:pPr>
      <w:r/>
      <w:r>
        <w:rPr>
          <w:b/>
        </w:rPr>
        <w:t>Hydrosolubles</w:t>
      </w:r>
      <w:r>
        <w:t xml:space="preserve"> (aténolol, nadolol, sotalol) → faible passage BHE → métabolisme rénal, moins d'effets centraux, nécessité d'adaptation posologique en cas d'insuffisance rénale.</w:t>
      </w:r>
    </w:p>
    <w:p>
      <w:pPr>
        <w:pStyle w:val="ListNumber"/>
      </w:pPr>
      <w:r/>
      <w:r>
        <w:rPr>
          <w:b/>
        </w:rPr>
        <w:t>Demi-vie d'élimination</w:t>
      </w:r>
      <w:r>
        <w:t xml:space="preserve"> :</w:t>
      </w:r>
    </w:p>
    <w:p>
      <w:pPr>
        <w:pStyle w:val="ListBullet"/>
      </w:pPr>
      <w:r>
        <w:t>Courte (3–5 h) : métoprolol forme classique, propranolol forme classique → 2 à 3 prises par jour.</w:t>
      </w:r>
    </w:p>
    <w:p>
      <w:pPr>
        <w:pStyle w:val="ListBullet"/>
      </w:pPr>
      <w:r>
        <w:t>Longue (10–24 h) : aténolol, bisoprolol, nébivolol, bétaxolol → une prise par jour.</w:t>
      </w:r>
    </w:p>
    <w:p>
      <w:pPr>
        <w:pStyle w:val="ListBullet"/>
      </w:pPr>
      <w:r>
        <w:t>Très longue (L.P.) : propranolol LP, métoprolol LP → une prise par jour.</w:t>
      </w:r>
    </w:p>
    <w:p>
      <w:pPr>
        <w:pStyle w:val="Heading3"/>
      </w:pPr>
      <w:r>
        <w:t>Mécanisme d'action commun (récepteurs β-adrénergiques)</w:t>
      </w:r>
    </w:p>
    <w:p>
      <w:r>
        <w:t>Les récepteurs β-adrénergiques appartiennent à la superfamille des récepteurs couplés aux protéines G (RCPG) à sept domaines transmembranaires. Trois sous-types principaux ont été clonés :</w:t>
      </w:r>
    </w:p>
    <w:p>
      <w:pPr>
        <w:pStyle w:val="ListBullet"/>
      </w:pPr>
      <w:r/>
      <w:r>
        <w:rPr>
          <w:b/>
        </w:rPr>
        <w:t>β1-adrénergique (ADRB1)</w:t>
      </w:r>
      <w:r>
        <w:t xml:space="preserve"> : localisé principalement au niveau du cœur (cellules nodales et myocytes atriaux/ventriculaires), des cellules juxtaglomérulaires rénales (sécrétion de rénine) et dans une moindre mesure adipocytaire. La stimulation β1 augmente la fréquence cardiaque (chronotropie +), la conduction AV (dromotropie +), la contractilité (inotropie +) et la relaxation (lusitropie +) via l'activation de la voie </w:t>
      </w:r>
      <w:r>
        <w:rPr>
          <w:b/>
        </w:rPr>
        <w:t>Gs → adénylate cyclase → AMPc → PKA → phosphorylation des canaux calciques L et du phospholamban</w:t>
      </w:r>
      <w:r>
        <w:t>.</w:t>
      </w:r>
    </w:p>
    <w:p>
      <w:pPr>
        <w:pStyle w:val="ListBullet"/>
      </w:pPr>
      <w:r/>
      <w:r>
        <w:rPr>
          <w:b/>
        </w:rPr>
        <w:t>β2-adrénergique (ADRB2)</w:t>
      </w:r>
      <w:r>
        <w:t xml:space="preserve"> : prédomine au niveau bronchique (bronchodilatation), vasculaire (vasodilatation musculaire et splanchnique), hépatique (glycogénolyse, néoglucogenèse), utérin (relaxation) et pancréatique (libération d'insuline). Couplage Gs majoritaire, parfois Gi.</w:t>
      </w:r>
    </w:p>
    <w:p>
      <w:pPr>
        <w:pStyle w:val="ListBullet"/>
      </w:pPr>
      <w:r/>
      <w:r>
        <w:rPr>
          <w:b/>
        </w:rPr>
        <w:t>β3-adrénergique (ADRB3)</w:t>
      </w:r>
      <w:r>
        <w:t xml:space="preserve"> : présent au niveau du tissu adipeux brun et blanc (lipolyse, thermogenèse) et de la vessie (détente du détrusor). Cible émergente dans l'insuffisance cardiaque.</w:t>
      </w:r>
    </w:p>
    <w:p>
      <w:r>
        <w:t>L'antagonisme compétitif des récepteurs β par les β-bloquants entraîne :</w:t>
      </w:r>
    </w:p>
    <w:p>
      <w:pPr>
        <w:pStyle w:val="ListNumber"/>
      </w:pPr>
      <w:r/>
      <w:r>
        <w:rPr>
          <w:b/>
        </w:rPr>
        <w:t>Baisse de la fréquence cardiaque</w:t>
      </w:r>
      <w:r>
        <w:t xml:space="preserve"> (chronotrope négatif) → réduction du travail myocardique et de la consommation d'O2.</w:t>
      </w:r>
    </w:p>
    <w:p>
      <w:pPr>
        <w:pStyle w:val="ListNumber"/>
      </w:pPr>
      <w:r/>
      <w:r>
        <w:rPr>
          <w:b/>
        </w:rPr>
        <w:t>Baisse de la contractilité</w:t>
      </w:r>
      <w:r>
        <w:t xml:space="preserve"> (inotrope négatif) → réduction du volume d'éjection et de la post-charge systolique.</w:t>
      </w:r>
    </w:p>
    <w:p>
      <w:pPr>
        <w:pStyle w:val="ListNumber"/>
      </w:pPr>
      <w:r/>
      <w:r>
        <w:rPr>
          <w:b/>
        </w:rPr>
        <w:t>Ralentissement de la conduction AV</w:t>
      </w:r>
      <w:r>
        <w:t xml:space="preserve"> (dromotrope négatif) → effet antiarythmique (réduction de la réponse ventriculaire dans la FA/flutter).</w:t>
      </w:r>
    </w:p>
    <w:p>
      <w:pPr>
        <w:pStyle w:val="ListNumber"/>
      </w:pPr>
      <w:r/>
      <w:r>
        <w:rPr>
          <w:b/>
        </w:rPr>
        <w:t>Baisse de la sécrétion de rénine</w:t>
      </w:r>
      <w:r>
        <w:t xml:space="preserve"> (inhibition des cellules juxtaglomérulaires β1) → diminution de l'activation du système rénine-angiotensine-aldostérone (RAS).</w:t>
      </w:r>
    </w:p>
    <w:p>
      <w:pPr>
        <w:pStyle w:val="ListNumber"/>
      </w:pPr>
      <w:r/>
      <w:r>
        <w:rPr>
          <w:b/>
        </w:rPr>
        <w:t>Resetting du baroréflexe</w:t>
      </w:r>
      <w:r>
        <w:t xml:space="preserve"> → réduction de la sensibilité du système nerveux sympathique central (effet antihypertenseur à long terme).</w:t>
      </w:r>
    </w:p>
    <w:p>
      <w:pPr>
        <w:pStyle w:val="ListNumber"/>
      </w:pPr>
      <w:r/>
      <w:r>
        <w:rPr>
          <w:b/>
        </w:rPr>
        <w:t>Inhibition de la libération de rénine</w:t>
      </w:r>
      <w:r>
        <w:t xml:space="preserve"> et de l'activation sympathique surrénalienne → effet cardioprotecteur (post-IDM, ICC).</w:t>
      </w:r>
    </w:p>
    <w:p>
      <w:pPr>
        <w:pStyle w:val="Heading3"/>
      </w:pPr>
      <w:r>
        <w:t>Indications majeures (ESC 2023, ESH 2023, HAS 2024)</w:t>
      </w:r>
    </w:p>
    <w:p>
      <w:pPr>
        <w:pStyle w:val="ListBullet"/>
      </w:pPr>
      <w:r/>
      <w:r>
        <w:rPr>
          <w:b/>
        </w:rPr>
        <w:t>HTA</w:t>
      </w:r>
      <w:r>
        <w:t xml:space="preserve"> : les β-bloquants ne sont plus des antihypertenseurs de première intention chez le sujet non compliqué (ESH 2023) mais conservent une place chez le sujet jeune avec hyperkinésie sympathique, en post-IDM, en cas d'ICC associée, de FA, d'angor ou d'hyperthyroïdie.</w:t>
      </w:r>
    </w:p>
    <w:p>
      <w:pPr>
        <w:pStyle w:val="ListBullet"/>
      </w:pPr>
      <w:r/>
      <w:r>
        <w:rPr>
          <w:b/>
        </w:rPr>
        <w:t>Insuffisance cardiaque chronique avec fraction d'éjection réduite (IC-FEr)</w:t>
      </w:r>
      <w:r>
        <w:t xml:space="preserve"> : les β-bloquants réduisent la mortalité de ~35 % (ESC 2021). Seuls trois ont l'AMM (bisoprolol, métoprolol succinate LP, carvédilol, nébivolol dans l'IC-FE ≤ 35 % chez le sujet ≥ 70 ans). Le propranolol, aténolol et acébutolol n'ont pas d'indication dans l'ICC.</w:t>
      </w:r>
    </w:p>
    <w:p>
      <w:pPr>
        <w:pStyle w:val="ListBullet"/>
      </w:pPr>
      <w:r/>
      <w:r>
        <w:rPr>
          <w:b/>
        </w:rPr>
        <w:t>Post-IDM</w:t>
      </w:r>
      <w:r>
        <w:t xml:space="preserve"> : tous les β-bloquants ont démontré une réduction de la mortalité post-infarctus (≈ 25 %) — prescription prolongée recommandée (ESC 2023).</w:t>
      </w:r>
    </w:p>
    <w:p>
      <w:pPr>
        <w:pStyle w:val="ListBullet"/>
      </w:pPr>
      <w:r/>
      <w:r>
        <w:rPr>
          <w:b/>
        </w:rPr>
        <w:t>Angor stable</w:t>
      </w:r>
      <w:r>
        <w:t xml:space="preserve"> : réduction de la fréquence et de l'intensité des crises (effet anti-ischémique).</w:t>
      </w:r>
    </w:p>
    <w:p>
      <w:pPr>
        <w:pStyle w:val="ListBullet"/>
      </w:pPr>
      <w:r/>
      <w:r>
        <w:rPr>
          <w:b/>
        </w:rPr>
        <w:t>Troubles du rythme</w:t>
      </w:r>
      <w:r>
        <w:t xml:space="preserve"> : FA (contrôle de la fréquence ventriculaire), flutter auriculaire, tachycardies supraventriculaires, ESV. Le sotalol est indiqué dans les arythmies ventriculaires menaçantes (en raison de son effet classe III).</w:t>
      </w:r>
    </w:p>
    <w:p>
      <w:pPr>
        <w:pStyle w:val="ListBullet"/>
      </w:pPr>
      <w:r/>
      <w:r>
        <w:rPr>
          <w:b/>
        </w:rPr>
        <w:t>Migraine prophylactique</w:t>
      </w:r>
      <w:r>
        <w:t xml:space="preserve"> : propranolol (et métoprolol) ont l'AMM dans la prophylaxie de fond de la migraine.</w:t>
      </w:r>
    </w:p>
    <w:p>
      <w:pPr>
        <w:pStyle w:val="ListBullet"/>
      </w:pPr>
      <w:r/>
      <w:r>
        <w:rPr>
          <w:b/>
        </w:rPr>
        <w:t>Hyperthyroïdie</w:t>
      </w:r>
      <w:r>
        <w:t xml:space="preserve"> : propranolol (et non cardiosélectifs) en complément des antithyroïdiens (blocage périphérique de la conversion T4 → T3).</w:t>
      </w:r>
    </w:p>
    <w:p>
      <w:pPr>
        <w:pStyle w:val="ListBullet"/>
      </w:pPr>
      <w:r/>
      <w:r>
        <w:rPr>
          <w:b/>
        </w:rPr>
        <w:t>Glaucome à angle ouvert</w:t>
      </w:r>
      <w:r>
        <w:t xml:space="preserve"> : timolol collyre (réduction de l'humeur aqueuse par bloc β2 du corps ciliaire).</w:t>
      </w:r>
    </w:p>
    <w:p>
      <w:pPr>
        <w:pStyle w:val="ListBullet"/>
      </w:pPr>
      <w:r/>
      <w:r>
        <w:rPr>
          <w:b/>
        </w:rPr>
        <w:t>Tremblement essentiel</w:t>
      </w:r>
      <w:r>
        <w:t xml:space="preserve"> : propranolol (effet central).</w:t>
      </w:r>
    </w:p>
    <w:p>
      <w:pPr>
        <w:pStyle w:val="ListBullet"/>
      </w:pPr>
      <w:r/>
      <w:r>
        <w:rPr>
          <w:b/>
        </w:rPr>
        <w:t>Hypertrophique obstructive</w:t>
      </w:r>
      <w:r>
        <w:t xml:space="preserve"> : propranolol, bisoprolol (réduction du gradient).</w:t>
      </w:r>
    </w:p>
    <w:p>
      <w:pPr>
        <w:pStyle w:val="Heading3"/>
      </w:pPr>
      <w:r>
        <w:t>Contre-indications communes</w:t>
      </w:r>
    </w:p>
    <w:p>
      <w:pPr>
        <w:pStyle w:val="ListBullet"/>
      </w:pPr>
      <w:r>
        <w:t>Asthme et BPCO sévères (surtout les non cardiosélectifs — propranolol, timolol, carvédilol, sotalol) — le bronchospasme est lié au blocage β2 bronchodilatateur.</w:t>
      </w:r>
    </w:p>
    <w:p>
      <w:pPr>
        <w:pStyle w:val="ListBullet"/>
      </w:pPr>
      <w:r>
        <w:t>BAV de 2e et 3e degré non appareillé, malade sinusuel non appareillé, bradycardie sinusale &lt; 50 bpm.</w:t>
      </w:r>
    </w:p>
    <w:p>
      <w:pPr>
        <w:pStyle w:val="ListBullet"/>
      </w:pPr>
      <w:r>
        <w:t>Choc cardiogénique, hypotension sévère (PAS &lt; 90 mmHg).</w:t>
      </w:r>
    </w:p>
    <w:p>
      <w:pPr>
        <w:pStyle w:val="ListBullet"/>
      </w:pPr>
      <w:r>
        <w:t>Insuffisance cardiaque décompensée aiguë (œdème aigu du poumon, choc cardiogénique).</w:t>
      </w:r>
    </w:p>
    <w:p>
      <w:pPr>
        <w:pStyle w:val="ListBullet"/>
      </w:pPr>
      <w:r>
        <w:t>Phéochromocytome non traité par alpha-bloquant préalable.</w:t>
      </w:r>
    </w:p>
    <w:p>
      <w:pPr>
        <w:pStyle w:val="ListBullet"/>
      </w:pPr>
      <w:r>
        <w:t>Psoriasis en poussée (risque d'aggravation, surtout propranolol).</w:t>
      </w:r>
    </w:p>
    <w:p>
      <w:pPr>
        <w:pStyle w:val="ListBullet"/>
      </w:pPr>
      <w:r>
        <w:t>Hypersensibilité connue.</w:t>
      </w:r>
    </w:p>
    <w:p>
      <w:pPr>
        <w:pStyle w:val="ListBullet"/>
      </w:pPr>
      <w:r>
        <w:t>Anesthésie générale utilisant des anesthésiques déprimant le myocarde (halothane).</w:t>
      </w:r>
    </w:p>
    <w:p>
      <w:pPr>
        <w:pStyle w:val="Heading3"/>
      </w:pPr>
      <w:r>
        <w:t>Effets indésirables communs</w:t>
      </w:r>
    </w:p>
    <w:p>
      <w:pPr>
        <w:pStyle w:val="ListBullet"/>
      </w:pPr>
      <w:r>
        <w:t>Cardiovasculaires : bradycardie sinusale, hypotension orthostatique, BAV, syndrome de Raynaud (surtout non cardiosélectifs), froid des extrémités.</w:t>
      </w:r>
    </w:p>
    <w:p>
      <w:pPr>
        <w:pStyle w:val="ListBullet"/>
      </w:pPr>
      <w:r>
        <w:t>Métaboliques : masquage des signes d'hypoglycémie (sauf sueurs), modification du profil lipidique (hausse des triglycérides, baisse du HDL), risque de diabète incident (+ 15 % environ).</w:t>
      </w:r>
    </w:p>
    <w:p>
      <w:pPr>
        <w:pStyle w:val="ListBullet"/>
      </w:pPr>
      <w:r>
        <w:t>Neurologiques/psychiatriques : asthénie, fatigue, troubles du sommeil, cauchemars (surtout liposolubles — propranolol, métoprolol), dépression (controverse).</w:t>
      </w:r>
    </w:p>
    <w:p>
      <w:pPr>
        <w:pStyle w:val="ListBullet"/>
      </w:pPr>
      <w:r>
        <w:t>Gastro-intestinaux : nausées, diarrhée, sécheresse buccale.</w:t>
      </w:r>
    </w:p>
    <w:p>
      <w:pPr>
        <w:pStyle w:val="ListBullet"/>
      </w:pPr>
      <w:r>
        <w:t>Sexuels : baisse de la libido, dysfonction érectile.</w:t>
      </w:r>
    </w:p>
    <w:p>
      <w:pPr>
        <w:pStyle w:val="ListBullet"/>
      </w:pPr>
      <w:r>
        <w:t>Cutanés : psoriasis, rash, alopécie.</w:t>
      </w:r>
    </w:p>
    <w:p>
      <w:pPr>
        <w:pStyle w:val="ListBullet"/>
      </w:pPr>
      <w:r>
        <w:t>Respiratoires : bronchospasme (non cardiosélectifs), dyspnée d'effort.</w:t>
      </w:r>
    </w:p>
    <w:p>
      <w:pPr>
        <w:pStyle w:val="ListBullet"/>
      </w:pPr>
      <w:r>
        <w:t>Ophtalmiques : sécheresse oculaire, kératite.</w:t>
      </w:r>
    </w:p>
    <w:p>
      <w:pPr>
        <w:pStyle w:val="Heading3"/>
      </w:pPr>
      <w:r>
        <w:t>Règle d'or : ne jamais arrêter brutalement</w:t>
      </w:r>
    </w:p>
    <w:p>
      <w:r>
        <w:t xml:space="preserve">L'arrêt brutal d'un β-bloquant expose à un </w:t>
      </w:r>
      <w:r>
        <w:rPr>
          <w:b/>
        </w:rPr>
        <w:t>syndrome de sevrage</w:t>
      </w:r>
      <w:r>
        <w:t xml:space="preserve"> avec hyperactivation sympathique rébond : HTA sévère, angor de rebond, tachycardie, troubles du rythme, infarctus du myocarde, voire mort subite. La décroissance doit toujours être progressive : réduction de 25 % de la dose tous les 3 à 7 jours, étalée sur 2 à 4 semaines, avec surveillance clinique et ECG.</w:t>
      </w:r>
    </w:p>
    <w:p>
      <w:pPr>
        <w:pStyle w:val="Heading3"/>
      </w:pPr>
      <w:r>
        <w:t>Grossesse et allaitement (CRAT)</w:t>
      </w:r>
    </w:p>
    <w:p>
      <w:r>
        <w:t xml:space="preserve">Les β-bloquants traversent le placenta. Le CRAT les considère comme </w:t>
      </w:r>
      <w:r>
        <w:rPr>
          <w:b/>
        </w:rPr>
        <w:t>compatibles</w:t>
      </w:r>
      <w:r>
        <w:t xml:space="preserve"> avec la grossesse si l'indication maternelle le justifie (HTA gravidique sévère, pré-éclampsie, FA, tachycardie maternelle, hyperthyroïdie). Préférables : labétalol, métoprolol. À éviter : aténolol (RCS petit poids pour l'âge gestationnel — plusieurs études cas-témoins), propranolol (à doses élevées en fin de grossesse : bradycardie néonatale, hypoglycémie). En allaitement : tous compatibles sauf propranolol à doses élevées (passage lacté significatif). Surveillance néonatale : bradycardie, hypotension, hypoglycémie les 48 premières heures.</w:t>
      </w:r>
    </w:p>
    <w:p>
      <w:pPr>
        <w:pStyle w:val="Heading2"/>
      </w:pPr>
      <w:r>
        <w:t>Sous-classe : Bêtabloquants cardiosélectifs (β1-sélectifs)</w:t>
      </w:r>
    </w:p>
    <w:p>
      <w:r>
        <w:t>Cette sous-classe regroupe les β-bloquants dont l'affinité pour le récepteur β1 cardiaque est nettement supérieure à celle pour β2 bronchique et vasculaire. Le ratio β1/β2 varie de 5 (acébutolol) à 35 (nébivolol, bisoprolol). Cette sélectivité confère un meilleur profil de tolérance respiratoire chez les patients BPCO/asthmatiques légers, mais ne dispense pas d'une prudence accrue aux doses élevées (la sélectivité est perdue au-delà d'un certain seuil). Cette sous-classe comprend, en Algérie, l'</w:t>
      </w:r>
      <w:r>
        <w:rPr>
          <w:b/>
        </w:rPr>
        <w:t>aténolol</w:t>
      </w:r>
      <w:r>
        <w:t xml:space="preserve">, le </w:t>
      </w:r>
      <w:r>
        <w:rPr>
          <w:b/>
        </w:rPr>
        <w:t>bisoprolol</w:t>
      </w:r>
      <w:r>
        <w:t xml:space="preserve">, le </w:t>
      </w:r>
      <w:r>
        <w:rPr>
          <w:b/>
        </w:rPr>
        <w:t>métoprolol</w:t>
      </w:r>
      <w:r>
        <w:t xml:space="preserve"> et le </w:t>
      </w:r>
      <w:r>
        <w:rPr>
          <w:b/>
        </w:rPr>
        <w:t>bétaxolol</w:t>
      </w:r>
      <w:r>
        <w:t xml:space="preserve"> (ce dernier exclusivement en forme ophtalmique). L'</w:t>
      </w:r>
      <w:r>
        <w:rPr>
          <w:b/>
        </w:rPr>
        <w:t>acébutolol</w:t>
      </w:r>
      <w:r>
        <w:t xml:space="preserve"> (avec ISA) et le </w:t>
      </w:r>
      <w:r>
        <w:rPr>
          <w:b/>
        </w:rPr>
        <w:t>nébivolol</w:t>
      </w:r>
      <w:r>
        <w:t xml:space="preserve"> (avec NO) sont traités dans des sous-classes séparées.</w:t>
      </w:r>
    </w:p>
    <w:p>
      <w:pPr>
        <w:pStyle w:val="Heading3"/>
      </w:pPr>
      <w:r>
        <w:t>Caractéristiques pharmacocinétiques communes aux β1-sélectifs</w:t>
      </w:r>
    </w:p>
    <w:p>
      <w:pPr>
        <w:pStyle w:val="ListBullet"/>
      </w:pPr>
      <w:r/>
      <w:r>
        <w:rPr>
          <w:b/>
        </w:rPr>
        <w:t>Biodisponibilité orale variable</w:t>
      </w:r>
      <w:r>
        <w:t xml:space="preserve"> : aténolol (50–60 %, hydrosoluble), bisoprolol (≈ 90 %), métoprolol (50 %, effet premier passage hépatique), bétaxolol (80 %).</w:t>
      </w:r>
    </w:p>
    <w:p>
      <w:pPr>
        <w:pStyle w:val="ListBullet"/>
      </w:pPr>
      <w:r/>
      <w:r>
        <w:rPr>
          <w:b/>
        </w:rPr>
        <w:t>Demi-vie d'élimination</w:t>
      </w:r>
      <w:r>
        <w:t xml:space="preserve"> : aténolol 6–7 h, bisoprolol 10–12 h, métoprolol 3–5 h (forme classique), 8–12 h (LP), bétaxolol 16–22 h.</w:t>
      </w:r>
    </w:p>
    <w:p>
      <w:pPr>
        <w:pStyle w:val="ListBullet"/>
      </w:pPr>
      <w:r/>
      <w:r>
        <w:rPr>
          <w:b/>
        </w:rPr>
        <w:t>Liaison aux protéines</w:t>
      </w:r>
      <w:r>
        <w:t xml:space="preserve"> : 5–55 % selon la molécule.</w:t>
      </w:r>
    </w:p>
    <w:p>
      <w:pPr>
        <w:pStyle w:val="ListBullet"/>
      </w:pPr>
      <w:r/>
      <w:r>
        <w:rPr>
          <w:b/>
        </w:rPr>
        <w:t>Métabolisme</w:t>
      </w:r>
      <w:r>
        <w:t xml:space="preserve"> : aténolol excrétion rénale inchangée (≠ de bisoprolol qui est 50 % hépatique / 50 % rénal), métoprolol hépatique CYP2D6 (polymorphe — métaboliseurs lents 7 % des Caucasiens, 1 % des Asiatiques), bétaxolol hépatique CYP2D6.</w:t>
      </w:r>
    </w:p>
    <w:p>
      <w:pPr>
        <w:pStyle w:val="ListBullet"/>
      </w:pPr>
      <w:r/>
      <w:r>
        <w:rPr>
          <w:b/>
        </w:rPr>
        <w:t>Demi-vie longue</w:t>
      </w:r>
      <w:r>
        <w:t xml:space="preserve"> du bisoprolol et du bétaxolol autorise une seule prise par jour (observance améliorée).</w:t>
      </w:r>
    </w:p>
    <w:p>
      <w:pPr>
        <w:pStyle w:val="Heading3"/>
      </w:pPr>
      <w:r>
        <w:t>Place dans la stratégie thérapeutique</w:t>
      </w:r>
    </w:p>
    <w:p>
      <w:pPr>
        <w:pStyle w:val="ListBullet"/>
      </w:pPr>
      <w:r>
        <w:t>HTA du sujet jeune hyperkinétique, en cas d'association avec angor ou troubles du rythme.</w:t>
      </w:r>
    </w:p>
    <w:p>
      <w:pPr>
        <w:pStyle w:val="ListBullet"/>
      </w:pPr>
      <w:r>
        <w:t>ICC-FEr (bisoprolol, métoprolol succinate LP, nébivolol) — titration très lente.</w:t>
      </w:r>
    </w:p>
    <w:p>
      <w:pPr>
        <w:pStyle w:val="ListBullet"/>
      </w:pPr>
      <w:r>
        <w:t>Post-IDM (tous, sauf bétaxolol en collyre).</w:t>
      </w:r>
    </w:p>
    <w:p>
      <w:pPr>
        <w:pStyle w:val="ListBullet"/>
      </w:pPr>
      <w:r>
        <w:t>Angor stable.</w:t>
      </w:r>
    </w:p>
    <w:p>
      <w:pPr>
        <w:pStyle w:val="ListBullet"/>
      </w:pPr>
      <w:r>
        <w:t>FA (contrôle de la fréquence).</w:t>
      </w:r>
    </w:p>
    <w:p>
      <w:pPr>
        <w:pStyle w:val="ListBullet"/>
      </w:pPr>
      <w:r>
        <w:t>Prophylaxie de la migraine (métoprolol en AMM).</w:t>
      </w:r>
    </w:p>
    <w:p>
      <w:pPr>
        <w:pStyle w:val="Heading3"/>
      </w:pPr>
      <w:r>
        <w:t>1. DCI : Aténolol (Seule)</w:t>
      </w:r>
    </w:p>
    <w:p>
      <w:r/>
      <w:r>
        <w:rPr>
          <w:b/>
        </w:rPr>
        <w:t>Liste des Catégories :</w:t>
      </w:r>
      <w:r>
        <w:t xml:space="preserve"> Bêtabloquants cardiosélectifs (β1-sélectifs) ; Antihypertenseur ; Anti-ischémique myocardique ; Antiarythmique de classe II (Vaughan-Williams).</w:t>
      </w:r>
    </w:p>
    <w:p>
      <w:r>
        <w:t xml:space="preserve">L'aténolol est l'un des β-bloquants les plus anciens (commercialisé depuis 1976) et demeure l'un des plus prescrits en Algérie en raison de son faible coût, de sa simplicité d'administration (une prise par jour) et de son profil d'efficacité bien établi. Molécule </w:t>
      </w:r>
      <w:r>
        <w:rPr>
          <w:b/>
        </w:rPr>
        <w:t>hydrosoluble</w:t>
      </w:r>
      <w:r>
        <w:t>, il se caractérise par une élimination exclusivement rénale, un faible passage de la barrière hémato-encéphalique (peu d'effets centraux : cauchemars, insomnie rares comparativement au propranolol), une biodisponibilité de 50–60 % et une demi-vie de 6–7 heures justifiant la monoprise quotidienne. L'aténolol a longtemps été considéré comme le β-bloquant de référence dans les essais cliniques cardiovasculaires (essai MRC, IPPPSH, STOP). Cependant, plusieurs méta-analyses (Lindholm 2005, Bradley 2008) ont suggéré une moins bonne protection cérébrovasculaire comparativement aux autres antihypertenseurs, ce qui a conduit l'ESH 2023 et la HAS 2024 à ne plus le recommander en première intention chez le sujet non compliqué, mais à conserver sa place chez le sujet âgé avec ICC, post-IDM ou troubles du rythme.</w:t>
      </w:r>
    </w:p>
    <w:p>
      <w:r/>
      <w:r>
        <w:rPr>
          <w:b/>
        </w:rPr>
        <w:t>Médicaments disponibles en Algérie (Marques, Laboratoires, Formes et Dosages) :</w:t>
      </w:r>
      <w:r/>
    </w:p>
    <w:p>
      <w:pPr>
        <w:pStyle w:val="ListBullet"/>
      </w:pPr>
      <w:r/>
      <w:r>
        <w:rPr>
          <w:b/>
        </w:rPr>
        <w:t>CARDINOL BGL</w:t>
      </w:r>
      <w:r>
        <w:t xml:space="preserve"> (BIOGALENIC)</w:t>
      </w:r>
    </w:p>
    <w:p>
      <w:pPr>
        <w:pStyle w:val="ListBullet"/>
      </w:pPr>
      <w:r>
        <w:t>Formes et Dosages : Comprimé pelliculé sécable 100 mg (boîte de 30) ; Comprimé pelliculé sécable 50 mg (boîte de 30)</w:t>
      </w:r>
    </w:p>
    <w:p>
      <w:pPr>
        <w:pStyle w:val="ListBullet"/>
      </w:pPr>
      <w:r>
        <w:t>Statut : Actif — Liste I</w:t>
      </w:r>
    </w:p>
    <w:p>
      <w:pPr>
        <w:pStyle w:val="ListBullet"/>
      </w:pPr>
      <w:r/>
      <w:r>
        <w:rPr>
          <w:b/>
        </w:rPr>
        <w:t>DAGHTAN 100</w:t>
      </w:r>
      <w:r>
        <w:t xml:space="preserve"> (TASSILI ARAB PHARMACEUTICAL CO)</w:t>
      </w:r>
    </w:p>
    <w:p>
      <w:pPr>
        <w:pStyle w:val="ListBullet"/>
      </w:pPr>
      <w:r>
        <w:t>Formes et Dosages : Comprimé pelliculé sécable 100 mg (boîte de 30)</w:t>
      </w:r>
    </w:p>
    <w:p>
      <w:pPr>
        <w:pStyle w:val="ListBullet"/>
      </w:pPr>
      <w:r>
        <w:t>Statut : Actif — Liste I</w:t>
      </w:r>
    </w:p>
    <w:p>
      <w:pPr>
        <w:pStyle w:val="ListBullet"/>
      </w:pPr>
      <w:r/>
      <w:r>
        <w:rPr>
          <w:b/>
        </w:rPr>
        <w:t>DAGHTAN 50</w:t>
      </w:r>
      <w:r>
        <w:t xml:space="preserve"> (TASSILI ARAB PHARMACEUTICAL CO)</w:t>
      </w:r>
    </w:p>
    <w:p>
      <w:pPr>
        <w:pStyle w:val="ListBullet"/>
      </w:pPr>
      <w:r>
        <w:t>Formes et Dosages : Comprimé pelliculé 50 mg (boîte de 30)</w:t>
      </w:r>
    </w:p>
    <w:p>
      <w:pPr>
        <w:pStyle w:val="ListBullet"/>
      </w:pPr>
      <w:r>
        <w:t>Statut : Actif — Liste I</w:t>
      </w:r>
    </w:p>
    <w:p>
      <w:pPr>
        <w:pStyle w:val="ListBullet"/>
      </w:pPr>
      <w:r/>
      <w:r>
        <w:rPr>
          <w:b/>
        </w:rPr>
        <w:t>TENORMED</w:t>
      </w:r>
      <w:r>
        <w:t xml:space="preserve"> (SANAMED)</w:t>
      </w:r>
    </w:p>
    <w:p>
      <w:pPr>
        <w:pStyle w:val="ListBullet"/>
      </w:pPr>
      <w:r>
        <w:t>Formes et Dosages : Comprimé sécable 100 mg (boîte de 30)</w:t>
      </w:r>
    </w:p>
    <w:p>
      <w:pPr>
        <w:pStyle w:val="ListBullet"/>
      </w:pPr>
      <w:r>
        <w:t>Statut : Actif — Liste I</w:t>
      </w:r>
    </w:p>
    <w:p>
      <w:pPr>
        <w:pStyle w:val="ListBullet"/>
      </w:pPr>
      <w:r/>
      <w:r>
        <w:rPr>
          <w:b/>
        </w:rPr>
        <w:t>ATENOR</w:t>
      </w:r>
      <w:r>
        <w:t xml:space="preserve"> (PHARMALLIANCE)</w:t>
      </w:r>
    </w:p>
    <w:p>
      <w:pPr>
        <w:pStyle w:val="ListBullet"/>
      </w:pPr>
      <w:r>
        <w:t>Formes et Dosages : Comprimé sécable 100 mg (boîte de 30)</w:t>
      </w:r>
    </w:p>
    <w:p>
      <w:pPr>
        <w:pStyle w:val="ListBullet"/>
      </w:pPr>
      <w:r>
        <w:t>Statut : Non Renouvelable — Liste I</w:t>
      </w:r>
    </w:p>
    <w:p>
      <w:pPr>
        <w:pStyle w:val="ListBullet"/>
      </w:pPr>
      <w:r/>
      <w:r>
        <w:rPr>
          <w:b/>
        </w:rPr>
        <w:t>ATINAL</w:t>
      </w:r>
      <w:r>
        <w:t xml:space="preserve"> (GROUPE SAIDAL)</w:t>
      </w:r>
    </w:p>
    <w:p>
      <w:pPr>
        <w:pStyle w:val="ListBullet"/>
      </w:pPr>
      <w:r>
        <w:t>Formes et Dosages : Comprimé sécable 100 mg (boîte de 30) ; Comprimé 50 mg (boîte de 30)</w:t>
      </w:r>
    </w:p>
    <w:p>
      <w:pPr>
        <w:pStyle w:val="ListBullet"/>
      </w:pPr>
      <w:r>
        <w:t>Statut : Non Renouvelable — Liste I</w:t>
      </w:r>
    </w:p>
    <w:p>
      <w:pPr>
        <w:pStyle w:val="ListBullet"/>
      </w:pPr>
      <w:r/>
      <w:r>
        <w:rPr>
          <w:b/>
        </w:rPr>
        <w:t>PRECYL</w:t>
      </w:r>
      <w:r>
        <w:t xml:space="preserve"> (MERINAL) — Comprimé pelliculé sécable 100 mg (B/30) — Retiré (R) — Liste I</w:t>
      </w:r>
    </w:p>
    <w:p>
      <w:pPr>
        <w:pStyle w:val="ListBullet"/>
      </w:pPr>
      <w:r/>
      <w:r>
        <w:rPr>
          <w:b/>
        </w:rPr>
        <w:t>ATELOL</w:t>
      </w:r>
      <w:r>
        <w:t xml:space="preserve"> (ARAB PHARMACEUTICAL MANUFACTURING) — Comprimé 100 mg (B/14) — Retiré (R)</w:t>
      </w:r>
    </w:p>
    <w:p>
      <w:pPr>
        <w:pStyle w:val="ListBullet"/>
      </w:pPr>
      <w:r/>
      <w:r>
        <w:rPr>
          <w:b/>
        </w:rPr>
        <w:t>ATENOL</w:t>
      </w:r>
      <w:r>
        <w:t xml:space="preserve"> (LIFEPHARMA) — Comprimé 100 mg (B/28) — Retiré (R)</w:t>
      </w:r>
    </w:p>
    <w:p>
      <w:pPr>
        <w:pStyle w:val="ListBullet"/>
      </w:pPr>
      <w:r/>
      <w:r>
        <w:rPr>
          <w:b/>
        </w:rPr>
        <w:t>CANAR</w:t>
      </w:r>
      <w:r>
        <w:t xml:space="preserve"> (TABUK PHARMACEUTICL MANUFACTURING) — Comprimé 100 mg (B/28) ; Comprimé 50 mg (B/28) — Retiré (R)</w:t>
      </w:r>
    </w:p>
    <w:p>
      <w:pPr>
        <w:pStyle w:val="ListBullet"/>
      </w:pPr>
      <w:r/>
      <w:r>
        <w:rPr>
          <w:b/>
        </w:rPr>
        <w:t>CARDOL</w:t>
      </w:r>
      <w:r>
        <w:t xml:space="preserve"> (SPIMACO) — Comprimé 100 mg (B/20) — Retiré (R)</w:t>
      </w:r>
    </w:p>
    <w:p>
      <w:pPr>
        <w:pStyle w:val="ListBullet"/>
      </w:pPr>
      <w:r/>
      <w:r>
        <w:rPr>
          <w:b/>
        </w:rPr>
        <w:t>GENOLOL</w:t>
      </w:r>
      <w:r>
        <w:t xml:space="preserve"> (GEOPHARM) — Comprimé 100 mg (B/20) ; Comprimé pelliculé 50 mg (B/30) — Retiré (R)</w:t>
      </w:r>
    </w:p>
    <w:p>
      <w:pPr>
        <w:pStyle w:val="ListBullet"/>
      </w:pPr>
      <w:r/>
      <w:r>
        <w:rPr>
          <w:b/>
        </w:rPr>
        <w:t>LOTEN</w:t>
      </w:r>
      <w:r>
        <w:t xml:space="preserve"> (RAM PHARMA) — Comprimé 100 mg (B/10) — Retiré (R)</w:t>
      </w:r>
    </w:p>
    <w:p>
      <w:pPr>
        <w:pStyle w:val="ListBullet"/>
      </w:pPr>
      <w:r/>
      <w:r>
        <w:rPr>
          <w:b/>
        </w:rPr>
        <w:t>NORMOTEN</w:t>
      </w:r>
      <w:r>
        <w:t xml:space="preserve"> (JAZEERA) — Comprimé 100 mg (B/14) ; Comprimé 50 mg (B/28) — Retiré (R)</w:t>
      </w:r>
    </w:p>
    <w:p>
      <w:pPr>
        <w:pStyle w:val="ListBullet"/>
      </w:pPr>
      <w:r/>
      <w:r>
        <w:rPr>
          <w:b/>
        </w:rPr>
        <w:t>NOTENSE</w:t>
      </w:r>
      <w:r>
        <w:t xml:space="preserve"> (EIPICO) — Comprimé 100 mg (B/20) — Retiré (R)</w:t>
      </w:r>
    </w:p>
    <w:p>
      <w:pPr>
        <w:pStyle w:val="ListBullet"/>
      </w:pPr>
      <w:r/>
      <w:r>
        <w:rPr>
          <w:b/>
        </w:rPr>
        <w:t>TEN-BLOKA</w:t>
      </w:r>
      <w:r>
        <w:t xml:space="preserve"> (PHARMACARE) — Comprimé 100 mg (B/28) — Retiré (R)</w:t>
      </w:r>
    </w:p>
    <w:p>
      <w:pPr>
        <w:pStyle w:val="ListBullet"/>
      </w:pPr>
      <w:r/>
      <w:r>
        <w:rPr>
          <w:b/>
        </w:rPr>
        <w:t>TENOLIN</w:t>
      </w:r>
      <w:r>
        <w:t xml:space="preserve"> (TECHNILAB) — Comprimé 100 mg (B/30) ; Comprimé 50 mg (B/30) — Retiré (R)</w:t>
      </w:r>
    </w:p>
    <w:p>
      <w:pPr>
        <w:pStyle w:val="ListBullet"/>
      </w:pPr>
      <w:r/>
      <w:r>
        <w:rPr>
          <w:b/>
        </w:rPr>
        <w:t>TENOLOL</w:t>
      </w:r>
      <w:r>
        <w:t xml:space="preserve"> (UPM) — Comprimé 100 mg (B/14) — Retiré (R)</w:t>
      </w:r>
    </w:p>
    <w:p>
      <w:pPr>
        <w:pStyle w:val="ListBullet"/>
      </w:pPr>
      <w:r/>
      <w:r>
        <w:rPr>
          <w:b/>
        </w:rPr>
        <w:t>VASCOTEN</w:t>
      </w:r>
      <w:r>
        <w:t xml:space="preserve"> (MEDOCHEMIE) — Comprimé 100 mg (B/20) — Retiré (R)</w:t>
      </w:r>
    </w:p>
    <w:p>
      <w:pPr>
        <w:pStyle w:val="ListBullet"/>
      </w:pPr>
      <w:r/>
      <w:r>
        <w:rPr>
          <w:b/>
        </w:rPr>
        <w:t>ATENOLOL MERCK</w:t>
      </w:r>
      <w:r>
        <w:t xml:space="preserve"> (MERCK GENERIQUES) — Comprimé pelliculé sécable 100 mg (B/28) — Retiré (R)</w:t>
      </w:r>
    </w:p>
    <w:p>
      <w:pPr>
        <w:pStyle w:val="ListBullet"/>
      </w:pPr>
      <w:r/>
      <w:r>
        <w:rPr>
          <w:b/>
        </w:rPr>
        <w:t>NORMINE 100</w:t>
      </w:r>
      <w:r>
        <w:t xml:space="preserve"> (PETRA PHARM) — Comprimé sécable 100 mg (B/30) — Retiré (R)</w:t>
      </w:r>
    </w:p>
    <w:p>
      <w:pPr>
        <w:pStyle w:val="ListBullet"/>
      </w:pPr>
      <w:r/>
      <w:r>
        <w:rPr>
          <w:b/>
        </w:rPr>
        <w:t>TENORMINE</w:t>
      </w:r>
      <w:r>
        <w:t xml:space="preserve"> (ZENECA / ASTRA ZENECA) — Comprimé pelliculé sécable 100 mg (B/28) ; Comprimé pelliculé sécable 50 mg (B/28) — Retiré (R)</w:t>
      </w:r>
    </w:p>
    <w:p>
      <w:pPr>
        <w:pStyle w:val="ListBullet"/>
      </w:pPr>
      <w:r/>
      <w:r>
        <w:rPr>
          <w:b/>
        </w:rPr>
        <w:t>ATENOLOL BIOGARAN</w:t>
      </w:r>
      <w:r>
        <w:t xml:space="preserve"> (BIOGARAN) — Comprimé sécable 100 mg (B/30) ; Comprimé sécable 50 mg (B/30) — Retiré (R)</w:t>
      </w:r>
    </w:p>
    <w:p>
      <w:pPr>
        <w:pStyle w:val="ListBullet"/>
      </w:pPr>
      <w:r/>
      <w:r>
        <w:rPr>
          <w:b/>
        </w:rPr>
        <w:t>ATENOLOL-RATIOPHARM</w:t>
      </w:r>
      <w:r>
        <w:t xml:space="preserve"> (LAFON RATIOPHARM) — Comprimé pelliculé 100 mg (B/28) — Retiré (R)</w:t>
      </w:r>
    </w:p>
    <w:p>
      <w:pPr>
        <w:pStyle w:val="ListBullet"/>
      </w:pPr>
      <w:r/>
      <w:r>
        <w:rPr>
          <w:b/>
        </w:rPr>
        <w:t>BETATOP</w:t>
      </w:r>
      <w:r>
        <w:t xml:space="preserve"> (IPRAD) — Comprimé pelliculé sécable 100 mg (B/28) — Retiré (R)</w:t>
      </w:r>
    </w:p>
    <w:p>
      <w:pPr>
        <w:pStyle w:val="ListBullet"/>
      </w:pPr>
      <w:r/>
      <w:r>
        <w:rPr>
          <w:b/>
        </w:rPr>
        <w:t>ARTENOL</w:t>
      </w:r>
      <w:r>
        <w:t xml:space="preserve"> (BIOMEDIC) — Comprimé sécable 100 mg (B/30) — Retiré (R)</w:t>
      </w:r>
    </w:p>
    <w:p>
      <w:r/>
      <w:r>
        <w:rPr>
          <w:b/>
        </w:rPr>
        <w:t>Sous-classe et Mécanisme d'action :</w:t>
      </w:r>
      <w:r/>
    </w:p>
    <w:p>
      <w:pPr>
        <w:pStyle w:val="ListBullet"/>
      </w:pPr>
      <w:r>
        <w:t>Sous-classe : β-bloquant cardiosélectif (β1-sélectif), hydrosoluble, sans ASI, sans activité α1-bloquante.</w:t>
      </w:r>
    </w:p>
    <w:p>
      <w:pPr>
        <w:pStyle w:val="ListBullet"/>
      </w:pPr>
      <w:r>
        <w:t>Mécanisme d'action : Antagonisme compétitif sélectif des récepteurs β1-adrénergiques cardiaques (ratio β1/β2 ≈ 5–10). La liaison empêche l'activation du couplage Gs → adénylate cyclase → AMPc → PKA, ce qui réduit la phosphorylation des canaux calciques L et du phospholamban → baisse de la chronotropie (FC), de l'inotropie (contractilité), de la dromotropie (conduction AV) et de la lusitropie (relaxation). Au niveau des cellules juxtaglomérulaires rénales, le blocage β1 inhibe la sécrétion de rénine → diminution de l'angiotensine II et de l'aldostérone → baisse de la précharge et de la post-charge. La sélectivité β1 est cependant dose-dépendante et s'estompe au-delà de 100 mg/j.</w:t>
      </w:r>
    </w:p>
    <w:p>
      <w:r/>
      <w:r>
        <w:rPr>
          <w:b/>
        </w:rPr>
        <w:t>Profil Pharmacologique :</w:t>
      </w:r>
      <w:r/>
    </w:p>
    <w:p>
      <w:pPr>
        <w:pStyle w:val="ListBullet"/>
      </w:pPr>
      <w:r>
        <w:t>Indications : HTA (deuxième intention selon ESH 2023), angor stable, post-IDM, troubles du rythme (FA, flutter, ESV), prophylaxie de la migraine (hors AMM en France). Posologie 50–100 mg/j en une prise.</w:t>
      </w:r>
    </w:p>
    <w:p>
      <w:pPr>
        <w:pStyle w:val="ListBullet"/>
      </w:pPr>
      <w:r>
        <w:t>Contre-indications : Asthme et BPCO sévères (même cardiosélectif — la sélectivité β1 disparaît à haute dose) ; BAV 2e/3e degré non appareillé ; bradycardie &lt; 50 bpm ; choc cardiogénique ; hypotension sévère ; phéochromocytome non traité ; psoriasis ; grossesse (RCS petit poids — CRAT) ; myasthénie (aggravation possible).</w:t>
      </w:r>
    </w:p>
    <w:p>
      <w:pPr>
        <w:pStyle w:val="ListBullet"/>
      </w:pPr>
      <w:r>
        <w:t>Effets Indésirables : Bradycardie sinusale, hypotension orthostatique, froid des extrémités, syndrome de Raynaud (rare), asthénie (fréquent, ~10 %), troubles du sommeil (rares — peu de passage BHE), dysfonction érectile (~5 %), masquage des signes d'hypoglycémie (tachycardie, tremblements) sauf les sueurs ; troubles digestifs (nausées, diarrhée) ; bronchospasme (rare mais possible à haute dose) ; aggravation d'un psoriasis.</w:t>
      </w:r>
    </w:p>
    <w:p>
      <w:r/>
      <w:r>
        <w:rPr>
          <w:b/>
        </w:rPr>
        <w:t>Prévention et Gestion des Effets Indésirables :</w:t>
      </w:r>
      <w:r/>
    </w:p>
    <w:p>
      <w:pPr>
        <w:pStyle w:val="ListBullet"/>
      </w:pPr>
      <w:r>
        <w:t>Mesures Préventives : Surveillance régulière de la FC (cible : 55–60 bpm au repos, 60–70 dans l'ICC), de la PA (objectif &lt; 140/90, ou &lt; 130/80 selon comorbidités), ECG en début de traitement et à chaque palier ; dosage de la créatinine et kaliémie ; glycémie chez le diabétique (risque de masquage d'hypoglycémie) ; interrogation sur asthme/BPCO et psoriasis avant initiation ; jamais d'arrêt brutal.</w:t>
      </w:r>
    </w:p>
    <w:p>
      <w:pPr>
        <w:pStyle w:val="ListBullet"/>
      </w:pPr>
      <w:r>
        <w:t>Conduite à Tenir : En cas de bradycardie symptomatique (&lt; 50 bpm avec vertiges, lipothymie) : arrêt temporaire, atropine 0,5–1 mg IV en milieu médicalisé, glucagon 5–10 mg IV en cas d'intoxication sévère, entraînement électrosystolique temporaire si nécessaire. En cas de bronchospasme : arrêt immédiat, salbutamol nébulisé (efficacité atténuée par le bloc β2 mais nécessaire), corticothérapie IV. En cas d'hypotension : arrêt des vasodilatateurs associés, remplissage prudent si choc.</w:t>
      </w:r>
    </w:p>
    <w:p>
      <w:r/>
      <w:r>
        <w:rPr>
          <w:b/>
        </w:rPr>
        <w:t>Interactions Importantes :</w:t>
      </w:r>
      <w:r/>
    </w:p>
    <w:p>
      <w:pPr>
        <w:pStyle w:val="ListBullet"/>
      </w:pPr>
      <w:r>
        <w:t>Aténolol + Vérapamil/Diltiazem (inhibiteurs calciques non dihydropyridiniques) : effet additif sur la conduction AV et l'inotropie négative → risque de BAV complet, bradycardie sévère, décompensation cardiaque — association CONTRE-INDIQUÉE.</w:t>
      </w:r>
    </w:p>
    <w:p>
      <w:pPr>
        <w:pStyle w:val="ListBullet"/>
      </w:pPr>
      <w:r>
        <w:t>Aténolol + Amiodarone : potentialisation de la bradycardie et du risque d'arrêt sinusal — à éviter ou sous surveillance ECG stricte.</w:t>
      </w:r>
    </w:p>
    <w:p>
      <w:pPr>
        <w:pStyle w:val="ListBullet"/>
      </w:pPr>
      <w:r>
        <w:t>Aténolol + Digitaliques (digoxine) : ralentissement AV additif — surveillance ECG, dosage digoxinémie.</w:t>
      </w:r>
    </w:p>
    <w:p>
      <w:pPr>
        <w:pStyle w:val="ListBullet"/>
      </w:pPr>
      <w:r>
        <w:t>Aténolol + Insuline/Sulfamides hypoglycémiants : masquage des signes adrénergiques d'hypoglycémie (sauf sueurs) — information du patient diabétique, automesure glycémique renforcée.</w:t>
      </w:r>
    </w:p>
    <w:p>
      <w:pPr>
        <w:pStyle w:val="ListBullet"/>
      </w:pPr>
      <w:r>
        <w:t>Aténolol + AINS (ibuprofène, indométacine) : diminution de l'effet antihypertenseur (inhibition des prostanoïdes vasodilatatrices rénales).</w:t>
      </w:r>
    </w:p>
    <w:p>
      <w:pPr>
        <w:pStyle w:val="ListBullet"/>
      </w:pPr>
      <w:r>
        <w:t>Aténolol + Anti-Alzheimer (donépézil, rivastigmine) : potentialisation de la bradycardie — surveillance.</w:t>
      </w:r>
    </w:p>
    <w:p>
      <w:r/>
      <w:r>
        <w:rPr>
          <w:b/>
        </w:rPr>
        <w:t>Grossesse et Allaitement :</w:t>
      </w:r>
      <w:r/>
    </w:p>
    <w:p>
      <w:pPr>
        <w:pStyle w:val="ListBullet"/>
      </w:pPr>
      <w:r>
        <w:t xml:space="preserve">Grossesse : </w:t>
      </w:r>
      <w:r>
        <w:rPr>
          <w:b/>
        </w:rPr>
        <w:t>À ÉVITER</w:t>
      </w:r>
      <w:r>
        <w:t xml:space="preserve"> selon le CRAT (utilisé si indispensable dans HTA gravidique sévère en l'absence d'alternative) — augmenterait le risque de retard de croissance intra-utérin (RCIU) et d'hypotrophie néonatale. Préférer métoprolol ou labétalol.</w:t>
      </w:r>
    </w:p>
    <w:p>
      <w:pPr>
        <w:pStyle w:val="ListBullet"/>
      </w:pPr>
      <w:r>
        <w:t>Allaitement : Compatible (aténolol passe peu dans le lait ; ratio lait/plasma faible) mais surveillance de la FC de l'enfant allaité les premiers jours.</w:t>
      </w:r>
    </w:p>
    <w:p>
      <w:pPr>
        <w:pStyle w:val="ListBullet"/>
      </w:pPr>
      <w:r>
        <w:t>Précautions : Surveillance néonatale de la FC, PA, glycémie les 24–48 premières heures post-partum.</w:t>
      </w:r>
    </w:p>
    <w:p>
      <w:r/>
      <w:r>
        <w:rPr>
          <w:b/>
        </w:rPr>
        <w:t>Posologie et Mode d'administration (Standard) :</w:t>
      </w:r>
      <w:r/>
    </w:p>
    <w:p>
      <w:pPr>
        <w:pStyle w:val="ListBullet"/>
      </w:pPr>
      <w:r>
        <w:t>Adulte : 50 à 100 mg/j en une prise unique le matin. Dose maximale 200 mg/j (au-delà, perte du bénéfice cardiosélectif). Dans l'HTA : commencer par 50 mg, augmenter à 100 mg après 2 semaines si nécessaire. Dans l'angor : 100 mg/j en une prise.</w:t>
      </w:r>
    </w:p>
    <w:p>
      <w:pPr>
        <w:pStyle w:val="ListBullet"/>
      </w:pPr>
      <w:r>
        <w:t>Sujet âgé : commencer par 25 mg/j, augmenter à 50 mg selon tolérance et fonction rénale.</w:t>
      </w:r>
    </w:p>
    <w:p>
      <w:pPr>
        <w:pStyle w:val="ListBullet"/>
      </w:pPr>
      <w:r>
        <w:t>Insuffisance rénale : ClCr 15–35 mL/min : 50 mg un jour sur deux ou 25 mg/j ; ClCr &lt; 15 mL/min : 25 mg un jour sur deux.</w:t>
      </w:r>
    </w:p>
    <w:p>
      <w:pPr>
        <w:pStyle w:val="ListBullet"/>
      </w:pPr>
      <w:r>
        <w:t>Durée : au long cours (traitement de fond de l'HTA, ICC, post-IDM). En post-IDM, maintien recommandé ≥ 1 an selon l'ESC ; au-delà, discuter au cas par cas.</w:t>
      </w:r>
    </w:p>
    <w:p>
      <w:pPr>
        <w:pStyle w:val="ListBullet"/>
      </w:pPr>
      <w:r>
        <w:t>Moment de prise : le matin (avant 10 h), en dehors des repas (résorption non modifiée par l'alimentation).</w:t>
      </w:r>
    </w:p>
    <w:p>
      <w:r/>
      <w:r>
        <w:rPr>
          <w:b/>
        </w:rPr>
        <w:t>Arbitrage et Bénéfices des Formes Galéniques :</w:t>
      </w:r>
      <w:r/>
    </w:p>
    <w:p>
      <w:r>
        <w:t>Comprimés sécables 50 et 100 mg permettant une adaptation posologique fine et une décroissance progressive (indispensable en cas d'arrêt). Forme simple orale, pas de forme injectable disponible en Algérie (à la différence du métoprolol et esmolol). Le comprimé sécable autorise le demi-dosage (25 mg) chez le sujet âgé et l'insuffisant rénal. Avantages : une seule prise par jour, observance facilitée, faible coût (génériques de Saidal, Biogalenic, Sanamed). Inconvénient : pas de forme LP injectable pour relais per-opératoire (à la différence de l'esmolol).</w:t>
      </w:r>
    </w:p>
    <w:p>
      <w:r/>
      <w:r>
        <w:rPr>
          <w:b/>
        </w:rPr>
        <w:t>Instructions et Conseils au Patient :</w:t>
      </w:r>
      <w:r/>
    </w:p>
    <w:p>
      <w:pPr>
        <w:pStyle w:val="ListBullet"/>
      </w:pPr>
      <w:r>
        <w:t xml:space="preserve">Communication au comptoir : « Ce médicament ralentit votre cœur et baisse votre tension artérielle. Prenez-le tous les jours à la même heure, le matin. Ne l'arrêtez </w:t>
      </w:r>
      <w:r>
        <w:rPr>
          <w:b/>
        </w:rPr>
        <w:t>jamais brutalement</w:t>
      </w:r>
      <w:r>
        <w:t>, même si vous vous sentez mieux — il faut réduire progressivement sur plusieurs semaines avec votre médecin. Surveillez votre pouls : s'il descend sous 50 battements par minute au repos, ou si vous ressentez des vertiges ou essoufflements, contactez votre médecin. »</w:t>
      </w:r>
    </w:p>
    <w:p>
      <w:pPr>
        <w:pStyle w:val="ListBullet"/>
      </w:pPr>
      <w:r>
        <w:t>Mode d'utilisation pratique : prise le matin, avec un grand verre d'eau, en dehors des repas. En cas d'oubli d'une prise, ne pas doubler la dose suivante. Automesure tensionnelle régulière (matin et soir, 3 mesures consécutives, sur 3 jours, à renouveler une fois par mois) ; tenir un agenda tensionnel.</w:t>
      </w:r>
    </w:p>
    <w:p>
      <w:pPr>
        <w:pStyle w:val="ListBullet"/>
      </w:pPr>
      <w:r>
        <w:t>Sportif : prévenir d'une baisse de performance à l'effort et d'une impossibilité d'atteindre la FC max (à signaler au cardiologue pour adaptation). Éviter les sports de haut niveau intense sans avis cardiologique.</w:t>
      </w:r>
    </w:p>
    <w:p>
      <w:r/>
      <w:r>
        <w:rPr>
          <w:b/>
        </w:rPr>
        <w:t>Notes, Règles d'Or &amp; Pièges au Comptoir :</w:t>
      </w:r>
      <w:r/>
    </w:p>
    <w:p>
      <w:pPr>
        <w:pStyle w:val="ListBullet"/>
      </w:pPr>
      <w:r>
        <w:t>Piège classique : initiation chez un asthmatique (même cardiosélectif, à proscrire) ; association avec vérapamil (CI absolue) ; arrêt brutal en pré-opératoire (risque de rebond tensionnel et de tachycardie) — le β-bloquant doit être poursuivi en péri-opératoire sauf indication chirurgicale spécifique.</w:t>
      </w:r>
    </w:p>
    <w:p>
      <w:pPr>
        <w:pStyle w:val="ListBullet"/>
      </w:pPr>
      <w:r>
        <w:t>Règle de prise : une prise le matin, à heure fixe, à consigner dans le carnet de traitement.</w:t>
      </w:r>
    </w:p>
    <w:p>
      <w:pPr>
        <w:pStyle w:val="ListBullet"/>
      </w:pPr>
      <w:r>
        <w:t>Préparation et Conservation : à conserver à température &lt; 25 °C, à l'abri de l'humidité et de la lumière.</w:t>
      </w:r>
    </w:p>
    <w:p>
      <w:pPr>
        <w:pStyle w:val="ListBullet"/>
      </w:pPr>
      <w:r>
        <w:t>Piège du surdosage / Substitution : en cas de substitution aténolol → bisoprolol ou métoprolol, attention aux équivalences posologiques (aténolol 100 mg ≈ bisoprolol 10 mg ≈ métoprolol 200 mg LP/j) et à la demi-vie ; surveillance ECG et FC sur 48 h. Le surdosage se manifeste par bradycardie sévère, hypotension, BAV, bronchospasme — conduite : glucagon IV (5–10 mg), atropine, isoprénaline.</w:t>
      </w:r>
    </w:p>
    <w:p>
      <w:pPr>
        <w:pStyle w:val="Heading3"/>
      </w:pPr>
      <w:r>
        <w:t>2. DCI : Bisoprolol (Seule)</w:t>
      </w:r>
    </w:p>
    <w:p>
      <w:r/>
      <w:r>
        <w:rPr>
          <w:b/>
        </w:rPr>
        <w:t>Liste des Catégories :</w:t>
      </w:r>
      <w:r>
        <w:t xml:space="preserve"> Bêtabloquants cardiosélectifs (β1-sélectifs) ; Antihypertenseur ; Traitement de l'insuffisance cardiaque chronique stable avec FEVG ≤ 35 % (IC-FEr) ; Antiarythmique de classe II.</w:t>
      </w:r>
    </w:p>
    <w:p>
      <w:r>
        <w:t xml:space="preserve">Le bisoprolol est un β-bloquant cardiosélectif de deuxième génération, caractérisé par une </w:t>
      </w:r>
      <w:r>
        <w:rPr>
          <w:b/>
        </w:rPr>
        <w:t>très haute sélectivité β1/β2</w:t>
      </w:r>
      <w:r>
        <w:t xml:space="preserve"> (ratio ≈ 20–35, le plus élevé de la classe avec le nébivolol), une </w:t>
      </w:r>
      <w:r>
        <w:rPr>
          <w:b/>
        </w:rPr>
        <w:t>biodisponibilité orale exceptionnelle de ~90 %</w:t>
      </w:r>
      <w:r>
        <w:t xml:space="preserve">, une </w:t>
      </w:r>
      <w:r>
        <w:rPr>
          <w:b/>
        </w:rPr>
        <w:t>demi-vie de 10–12 heures</w:t>
      </w:r>
      <w:r>
        <w:t xml:space="preserve"> autorisant une monoprise et un </w:t>
      </w:r>
      <w:r>
        <w:rPr>
          <w:b/>
        </w:rPr>
        <w:t>métabolisme mixte 50 % hépatique / 50 % rénal</w:t>
      </w:r>
      <w:r>
        <w:t xml:space="preserve"> (avantage en cas d'insuffisance rénale ou hépatique modérée). Sa sélectivité β1 supérieure à l'aténolol et au métoprolol lui confère un meilleur profil respiratoire chez le BPCO/asthmatique modéré. C'est, avec le métoprolol LP et le carvédilol, l'un des trois β-bloquants recommandés par l'ESC (2021) dans l'insuffisance cardiaque chronique avec FEVG réduite (IC-FEr), ayant démontré une réduction de la mortalité de 34 % dans l'essai CIBIS-II (1999). Le bisoprolol est aujourd'hui l'un des β-bloquants les plus prescrits en Algérie (présence de plus de 13 spécialités actives), tant dans l'HTA que dans l'ICC.</w:t>
      </w:r>
    </w:p>
    <w:p>
      <w:r/>
      <w:r>
        <w:rPr>
          <w:b/>
        </w:rPr>
        <w:t>Médicaments disponibles en Algérie (Marques, Laboratoires, Formes et Dosages) :</w:t>
      </w:r>
      <w:r/>
    </w:p>
    <w:p>
      <w:pPr>
        <w:pStyle w:val="ListBullet"/>
      </w:pPr>
      <w:r/>
      <w:r>
        <w:rPr>
          <w:b/>
        </w:rPr>
        <w:t>BIPROTENS</w:t>
      </w:r>
      <w:r>
        <w:t xml:space="preserve"> (EL KENDI INDUSTRIE DU MEDICAMENT)</w:t>
      </w:r>
    </w:p>
    <w:p>
      <w:pPr>
        <w:pStyle w:val="ListBullet"/>
      </w:pPr>
      <w:r>
        <w:t>Formes et Dosages : Comprimé pelliculé sécable 10 mg (B/30) ; Comprimé pelliculé sécable 5 mg (B/30)</w:t>
      </w:r>
    </w:p>
    <w:p>
      <w:pPr>
        <w:pStyle w:val="ListBullet"/>
      </w:pPr>
      <w:r>
        <w:t>Statut : Actif — Liste I</w:t>
      </w:r>
    </w:p>
    <w:p>
      <w:pPr>
        <w:pStyle w:val="ListBullet"/>
      </w:pPr>
      <w:r/>
      <w:r>
        <w:rPr>
          <w:b/>
        </w:rPr>
        <w:t>BISOPROLOL BEKER</w:t>
      </w:r>
      <w:r>
        <w:t xml:space="preserve"> (LABORATOIRES BEKER)</w:t>
      </w:r>
    </w:p>
    <w:p>
      <w:pPr>
        <w:pStyle w:val="ListBullet"/>
      </w:pPr>
      <w:r>
        <w:t>Formes et Dosages : Comprimé pelliculé sécable 10 mg (B/30) ; Comprimé pelliculé 5 mg (B/30)</w:t>
      </w:r>
    </w:p>
    <w:p>
      <w:pPr>
        <w:pStyle w:val="ListBullet"/>
      </w:pPr>
      <w:r>
        <w:t>Statut : Actif — Liste I</w:t>
      </w:r>
    </w:p>
    <w:p>
      <w:pPr>
        <w:pStyle w:val="ListBullet"/>
      </w:pPr>
      <w:r/>
      <w:r>
        <w:rPr>
          <w:b/>
        </w:rPr>
        <w:t>BISOPROLOL MM</w:t>
      </w:r>
      <w:r>
        <w:t xml:space="preserve"> (LABORATOIRES MM)</w:t>
      </w:r>
    </w:p>
    <w:p>
      <w:pPr>
        <w:pStyle w:val="ListBullet"/>
      </w:pPr>
      <w:r>
        <w:t>Formes et Dosages : Comprimé pelliculé sécable 10 mg (B/30) ; Comprimé pelliculé 5 mg (B/30)</w:t>
      </w:r>
    </w:p>
    <w:p>
      <w:pPr>
        <w:pStyle w:val="ListBullet"/>
      </w:pPr>
      <w:r>
        <w:t>Statut : Actif — Liste I</w:t>
      </w:r>
    </w:p>
    <w:p>
      <w:pPr>
        <w:pStyle w:val="ListBullet"/>
      </w:pPr>
      <w:r/>
      <w:r>
        <w:rPr>
          <w:b/>
        </w:rPr>
        <w:t>BISOSEL</w:t>
      </w:r>
      <w:r>
        <w:t xml:space="preserve"> (BIOGALENIC)</w:t>
      </w:r>
    </w:p>
    <w:p>
      <w:pPr>
        <w:pStyle w:val="ListBullet"/>
      </w:pPr>
      <w:r>
        <w:t>Formes et Dosages : Comprimé pelliculé sécable 10 mg (B/30) ; Comprimé pelliculé sécable 5 mg (B/30)</w:t>
      </w:r>
    </w:p>
    <w:p>
      <w:pPr>
        <w:pStyle w:val="ListBullet"/>
      </w:pPr>
      <w:r>
        <w:t>Statut : Actif — Liste I</w:t>
      </w:r>
    </w:p>
    <w:p>
      <w:pPr>
        <w:pStyle w:val="ListBullet"/>
      </w:pPr>
      <w:r/>
      <w:r>
        <w:rPr>
          <w:b/>
        </w:rPr>
        <w:t>BISOTAB</w:t>
      </w:r>
      <w:r>
        <w:t xml:space="preserve"> (TABUK ALGERIE)</w:t>
      </w:r>
    </w:p>
    <w:p>
      <w:pPr>
        <w:pStyle w:val="ListBullet"/>
      </w:pPr>
      <w:r>
        <w:t>Formes et Dosages : Comprimé pelliculé sécable 10 mg (B/30) ; Comprimé pelliculé sécable 5 mg (B/30)</w:t>
      </w:r>
    </w:p>
    <w:p>
      <w:pPr>
        <w:pStyle w:val="ListBullet"/>
      </w:pPr>
      <w:r>
        <w:t>Statut : Actif — Liste I</w:t>
      </w:r>
    </w:p>
    <w:p>
      <w:pPr>
        <w:pStyle w:val="ListBullet"/>
      </w:pPr>
      <w:r/>
      <w:r>
        <w:rPr>
          <w:b/>
        </w:rPr>
        <w:t>BONACOR</w:t>
      </w:r>
      <w:r>
        <w:t xml:space="preserve"> (HIKMA PHARMA ALGERIA)</w:t>
      </w:r>
    </w:p>
    <w:p>
      <w:pPr>
        <w:pStyle w:val="ListBullet"/>
      </w:pPr>
      <w:r>
        <w:t>Formes et Dosages : Comprimé pelliculé sécable 10 mg (B/30) ; Comprimé pelliculé sécable 5 mg (B/30)</w:t>
      </w:r>
    </w:p>
    <w:p>
      <w:pPr>
        <w:pStyle w:val="ListBullet"/>
      </w:pPr>
      <w:r>
        <w:t>Statut : Actif — Liste I</w:t>
      </w:r>
    </w:p>
    <w:p>
      <w:pPr>
        <w:pStyle w:val="ListBullet"/>
      </w:pPr>
      <w:r/>
      <w:r>
        <w:rPr>
          <w:b/>
        </w:rPr>
        <w:t>BYZOLEX</w:t>
      </w:r>
      <w:r>
        <w:t xml:space="preserve"> (LABORATOIRES MERINAL)</w:t>
      </w:r>
    </w:p>
    <w:p>
      <w:pPr>
        <w:pStyle w:val="ListBullet"/>
      </w:pPr>
      <w:r>
        <w:t>Formes et Dosages : Comprimé pelliculé sécable 10 mg (B/30) ; Comprimé quadri-sécable 5 mg (BYZOLEX 5) (B/30)</w:t>
      </w:r>
    </w:p>
    <w:p>
      <w:pPr>
        <w:pStyle w:val="ListBullet"/>
      </w:pPr>
      <w:r>
        <w:t>Statut : Actif — Liste I</w:t>
      </w:r>
    </w:p>
    <w:p>
      <w:pPr>
        <w:pStyle w:val="ListBullet"/>
      </w:pPr>
      <w:r/>
      <w:r>
        <w:rPr>
          <w:b/>
        </w:rPr>
        <w:t>CIRBESA</w:t>
      </w:r>
      <w:r>
        <w:t xml:space="preserve"> (BIOPHARM)</w:t>
      </w:r>
    </w:p>
    <w:p>
      <w:pPr>
        <w:pStyle w:val="ListBullet"/>
      </w:pPr>
      <w:r>
        <w:t>Formes et Dosages : Comprimé pelliculé sécable 10 mg (B/30) ; Comprimé pelliculé sécable 5 mg (B/30)</w:t>
      </w:r>
    </w:p>
    <w:p>
      <w:pPr>
        <w:pStyle w:val="ListBullet"/>
      </w:pPr>
      <w:r>
        <w:t>Statut : Actif — Liste I</w:t>
      </w:r>
    </w:p>
    <w:p>
      <w:pPr>
        <w:pStyle w:val="ListBullet"/>
      </w:pPr>
      <w:r/>
      <w:r>
        <w:rPr>
          <w:b/>
        </w:rPr>
        <w:t>DETENPRESS</w:t>
      </w:r>
      <w:r>
        <w:t xml:space="preserve"> (ABDI IBRAHIM REMEDE PHARMA)</w:t>
      </w:r>
    </w:p>
    <w:p>
      <w:pPr>
        <w:pStyle w:val="ListBullet"/>
      </w:pPr>
      <w:r>
        <w:t>Formes et Dosages : Comprimé pelliculé sécable 10 mg (B/30)</w:t>
      </w:r>
    </w:p>
    <w:p>
      <w:pPr>
        <w:pStyle w:val="ListBullet"/>
      </w:pPr>
      <w:r>
        <w:t>Statut : Actif — Liste I</w:t>
      </w:r>
    </w:p>
    <w:p>
      <w:pPr>
        <w:pStyle w:val="ListBullet"/>
      </w:pPr>
      <w:r/>
      <w:r>
        <w:rPr>
          <w:b/>
        </w:rPr>
        <w:t>DETENSIEL</w:t>
      </w:r>
      <w:r>
        <w:t xml:space="preserve"> (MERCK SANTE S.A.S)</w:t>
      </w:r>
    </w:p>
    <w:p>
      <w:pPr>
        <w:pStyle w:val="ListBullet"/>
      </w:pPr>
      <w:r>
        <w:t>Formes et Dosages : Comprimé pelliculé sécable 10 mg (B/30)</w:t>
      </w:r>
    </w:p>
    <w:p>
      <w:pPr>
        <w:pStyle w:val="ListBullet"/>
      </w:pPr>
      <w:r>
        <w:t>Statut : Actif — Liste I</w:t>
      </w:r>
    </w:p>
    <w:p>
      <w:pPr>
        <w:pStyle w:val="ListBullet"/>
      </w:pPr>
      <w:r/>
      <w:r>
        <w:rPr>
          <w:b/>
        </w:rPr>
        <w:t>PRODOL</w:t>
      </w:r>
      <w:r>
        <w:t xml:space="preserve"> (PHARMALLIANCE)</w:t>
      </w:r>
    </w:p>
    <w:p>
      <w:pPr>
        <w:pStyle w:val="ListBullet"/>
      </w:pPr>
      <w:r>
        <w:t>Formes et Dosages : Comprimé pelliculé sécable 10 mg (B/30) ; Comprimé pelliculé sécable 5 mg (B/30)</w:t>
      </w:r>
    </w:p>
    <w:p>
      <w:pPr>
        <w:pStyle w:val="ListBullet"/>
      </w:pPr>
      <w:r>
        <w:t>Statut : Actif — Liste I</w:t>
      </w:r>
    </w:p>
    <w:p>
      <w:pPr>
        <w:pStyle w:val="ListBullet"/>
      </w:pPr>
      <w:r/>
      <w:r>
        <w:rPr>
          <w:b/>
        </w:rPr>
        <w:t>PROMIVOL</w:t>
      </w:r>
      <w:r>
        <w:t xml:space="preserve"> (DAR AL DAWA)</w:t>
      </w:r>
    </w:p>
    <w:p>
      <w:pPr>
        <w:pStyle w:val="ListBullet"/>
      </w:pPr>
      <w:r>
        <w:t>Formes et Dosages : Comprimé pelliculé sécable 10 mg (B/30)</w:t>
      </w:r>
    </w:p>
    <w:p>
      <w:pPr>
        <w:pStyle w:val="ListBullet"/>
      </w:pPr>
      <w:r>
        <w:t>Statut : Actif — Liste I</w:t>
      </w:r>
    </w:p>
    <w:p>
      <w:pPr>
        <w:pStyle w:val="ListBullet"/>
      </w:pPr>
      <w:r/>
      <w:r>
        <w:rPr>
          <w:b/>
        </w:rPr>
        <w:t>RIZOPROL</w:t>
      </w:r>
      <w:r>
        <w:t xml:space="preserve"> (WORLD MEDECINE LIMITED)</w:t>
      </w:r>
    </w:p>
    <w:p>
      <w:pPr>
        <w:pStyle w:val="ListBullet"/>
      </w:pPr>
      <w:r>
        <w:t>Formes et Dosages : Comprimé pelliculé sécable 10 mg (B/30) ; Comprimé pelliculé sécable 5 mg (B/30)</w:t>
      </w:r>
    </w:p>
    <w:p>
      <w:pPr>
        <w:pStyle w:val="ListBullet"/>
      </w:pPr>
      <w:r>
        <w:t>Statut : Actif — Liste I</w:t>
      </w:r>
    </w:p>
    <w:p>
      <w:pPr>
        <w:pStyle w:val="ListBullet"/>
      </w:pPr>
      <w:r/>
      <w:r>
        <w:rPr>
          <w:b/>
        </w:rPr>
        <w:t>CARDENSIEL</w:t>
      </w:r>
      <w:r>
        <w:t xml:space="preserve"> (MERCK SANTE S.A.S)</w:t>
      </w:r>
    </w:p>
    <w:p>
      <w:pPr>
        <w:pStyle w:val="ListBullet"/>
      </w:pPr>
      <w:r>
        <w:t>Formes et Dosages : Comprimé pelliculé sécable 2,5 mg (B/30) — dosage spécifique pour ICC (initiation)</w:t>
      </w:r>
    </w:p>
    <w:p>
      <w:pPr>
        <w:pStyle w:val="ListBullet"/>
      </w:pPr>
      <w:r>
        <w:t>Statut : Actif — Liste I</w:t>
      </w:r>
    </w:p>
    <w:p>
      <w:pPr>
        <w:pStyle w:val="ListBullet"/>
      </w:pPr>
      <w:r/>
      <w:r>
        <w:rPr>
          <w:b/>
        </w:rPr>
        <w:t>BISOPROLOL HUP</w:t>
      </w:r>
      <w:r>
        <w:t xml:space="preserve"> (HUPP PHARMA / HUP.P.PHARMA SARL)</w:t>
      </w:r>
    </w:p>
    <w:p>
      <w:pPr>
        <w:pStyle w:val="ListBullet"/>
      </w:pPr>
      <w:r>
        <w:t>Formes et Dosages : Comprimé 5 mg (B/30) ; Comprimé pelliculé sécable 10 mg (B/30)</w:t>
      </w:r>
    </w:p>
    <w:p>
      <w:pPr>
        <w:pStyle w:val="ListBullet"/>
      </w:pPr>
      <w:r>
        <w:t>Statut : Actif / Non Renouvelable (selon dosage)</w:t>
      </w:r>
    </w:p>
    <w:p>
      <w:pPr>
        <w:pStyle w:val="ListBullet"/>
      </w:pPr>
      <w:r/>
      <w:r>
        <w:rPr>
          <w:b/>
        </w:rPr>
        <w:t>CARDIOSAFE</w:t>
      </w:r>
      <w:r>
        <w:t xml:space="preserve"> (JORDANIAN PHARMACEUTICAL MANIFACTURING Co JPM)</w:t>
      </w:r>
    </w:p>
    <w:p>
      <w:pPr>
        <w:pStyle w:val="ListBullet"/>
      </w:pPr>
      <w:r>
        <w:t>Formes et Dosages : Comprimé enrobé sécable 10 mg (B/30) ; Comprimé enrobé sécable 5 mg (B/30)</w:t>
      </w:r>
    </w:p>
    <w:p>
      <w:pPr>
        <w:pStyle w:val="ListBullet"/>
      </w:pPr>
      <w:r>
        <w:t>Statut : Retiré (R) — Liste I</w:t>
      </w:r>
    </w:p>
    <w:p>
      <w:pPr>
        <w:pStyle w:val="ListBullet"/>
      </w:pPr>
      <w:r/>
      <w:r>
        <w:rPr>
          <w:b/>
        </w:rPr>
        <w:t>DIPROLOL</w:t>
      </w:r>
      <w:r>
        <w:t xml:space="preserve"> (SANAMED)</w:t>
      </w:r>
    </w:p>
    <w:p>
      <w:pPr>
        <w:pStyle w:val="ListBullet"/>
      </w:pPr>
      <w:r>
        <w:t>Formes et Dosages : Comprimé pelliculé sécable 5 mg (B/30) ; Comprimé pelliculé sécable 10 mg (B/30)</w:t>
      </w:r>
    </w:p>
    <w:p>
      <w:pPr>
        <w:pStyle w:val="ListBullet"/>
      </w:pPr>
      <w:r>
        <w:t>Statut : Retiré (R) — Liste I (puis réintroduit sous le même nom ? Vérifier — selon nomenclature, retiré)</w:t>
      </w:r>
    </w:p>
    <w:p>
      <w:r/>
      <w:r>
        <w:rPr>
          <w:b/>
        </w:rPr>
        <w:t>Sous-classe et Mécanisme d'action :</w:t>
      </w:r>
      <w:r/>
    </w:p>
    <w:p>
      <w:pPr>
        <w:pStyle w:val="ListBullet"/>
      </w:pPr>
      <w:r>
        <w:t>Sous-classe : β-bloquant cardiosélectif (β1-sélectif, ratio β1/β2 ≈ 20–35) ; hydrosoluble/liposoluble mixte ; sans ASI, sans action vasodilatatrice directe.</w:t>
      </w:r>
    </w:p>
    <w:p>
      <w:pPr>
        <w:pStyle w:val="ListBullet"/>
      </w:pPr>
      <w:r>
        <w:t>Mécanisme d'action : Antagonisme compétitif sélectif des récepteurs β1 cardiaques avec une affinité 20 à 35 fois supérieure à β2. La liaison au site β1 empêche l'activation de la voie Gs-AMPc-PKA → baisse de la phosphorylation des canaux calciques L → réduction de l'influx calcique intracellulaire → diminution de la chronotropie, de l'inotropie, de la dromotropie AV. Au niveau rénal, blocage de la sécrétion de rénine par les cellules juxtaglomérulaires → diminution de l'angiotensine II → baisse de l'aldostérone → réduction de la rétention hydrosodée et de la vasoconstriction. À long terme (effet anti-remodelage), réduction de l'hypertrophie ventriculaire gauche et de la fibrose interstitielle (effet cardioprotecteur démontré dans l'IC-FEr — CIBIS-II : réduction mortalité de 34 %, hospitalisations pour ICC de 32 %).</w:t>
      </w:r>
    </w:p>
    <w:p>
      <w:r/>
      <w:r>
        <w:rPr>
          <w:b/>
        </w:rPr>
        <w:t>Profil Pharmacologique :</w:t>
      </w:r>
      <w:r/>
    </w:p>
    <w:p>
      <w:pPr>
        <w:pStyle w:val="ListBullet"/>
      </w:pPr>
      <w:r>
        <w:t>Indications : HTA (première ou deuxième intention), angor stable, post-IDM, IC-FEr stable (FEVG ≤ 35 %), troubles du rythme (FA, flutter, ESV). Posologie : HTA 5–10 mg/j ; IC-FEr initiation à 1,25 mg/j titration mensuelle jusqu'à 10 mg/j (cible).</w:t>
      </w:r>
    </w:p>
    <w:p>
      <w:pPr>
        <w:pStyle w:val="ListBullet"/>
      </w:pPr>
      <w:r>
        <w:t>Contre-indications : Insuffisance cardiaque aiguë décompensée (œdème aigu du poumon, choc cardiogénique) ; BAV 2e/3e degré non appareillé ; maladie sinale non appareillée ; bradycardie &lt; 60 bpm (pour IC-FEr) ; asthme/BPCO sévères ; hypotension sévère (PAS &lt; 100 mmHg) ; phéochromocytome non traité ; psoriasis en poussée ; choc cardiogénique ; anesthésie à risque.</w:t>
      </w:r>
    </w:p>
    <w:p>
      <w:pPr>
        <w:pStyle w:val="ListBullet"/>
      </w:pPr>
      <w:r>
        <w:t>Effets Indésirables : Bradycardie (très fréquente — surveiller FC), hypotension orthostatique, asthénie (5–10 %), troubles du sommeil, cauchemars (rare — peu liposoluble), dysfonction érectile (~3 %), syndrome de Raynaud, aggravation psoriasis, troubles digestifs (nausées, diarrhée), hypoglycémie masquée chez le diabétique, modification du bilan lipidique (hausse modérée des triglycérides), bronchospasme à haute dose (perte de sélectivité β1).</w:t>
      </w:r>
    </w:p>
    <w:p>
      <w:r/>
      <w:r>
        <w:rPr>
          <w:b/>
        </w:rPr>
        <w:t>Prévention et Gestion des Effets Indésirables :</w:t>
      </w:r>
      <w:r/>
    </w:p>
    <w:p>
      <w:pPr>
        <w:pStyle w:val="ListBullet"/>
      </w:pPr>
      <w:r>
        <w:t>Mesures Préventives : Avant initiation dans l'ICC : patient cliniquement stable (sans décompensation depuis ≥ 4 semaines), sans surcharge hydrosodée active, dose faible de diurétique IV, FEVG ≤ 35 %. Surveillance clinique (poids quotidien, FC, PA, signes d'ICC) et biologique (créatinine, kaliémie, NT-proBNP) avant et après chaque palier de titration. Information écrite du patient sur la nécessité d'une titration très lente sur 3–6 mois.</w:t>
      </w:r>
    </w:p>
    <w:p>
      <w:pPr>
        <w:pStyle w:val="ListBullet"/>
      </w:pPr>
      <w:r>
        <w:t>Conduite à Tenir : En cas de bradycardie &lt; 50 bpm symptomatique : diminution du palier (retour à la dose précédente), surveillance ECG ; si BAV : arrêt immédiat et avis cardiologique. En cas d'hypotension (PAS &lt; 90) : réduction de la dose des vasodilatateurs associés (IEC/ARA2), voire du bisoprolol. En cas d'aggravation de l'ICC : arrêt transitoire, réévaluation, traitement de la décompensation (diurétiques IV), réintroduction à dose plus faible après stabilisation.</w:t>
      </w:r>
    </w:p>
    <w:p>
      <w:r/>
      <w:r>
        <w:rPr>
          <w:b/>
        </w:rPr>
        <w:t>Interactions Importantes :</w:t>
      </w:r>
      <w:r/>
    </w:p>
    <w:p>
      <w:pPr>
        <w:pStyle w:val="ListBullet"/>
      </w:pPr>
      <w:r>
        <w:t>Bisoprolol + Vérapamil/Diltiazem : CI absolue — risque de BAV complet, bradycardie sévère, décompensation.</w:t>
      </w:r>
    </w:p>
    <w:p>
      <w:pPr>
        <w:pStyle w:val="ListBullet"/>
      </w:pPr>
      <w:r>
        <w:t>Bisoprolol + Amiodarone : potentialisation bradycardisante, surveillance ECG.</w:t>
      </w:r>
    </w:p>
    <w:p>
      <w:pPr>
        <w:pStyle w:val="ListBullet"/>
      </w:pPr>
      <w:r>
        <w:t>Bisoprolol + Digitaliques : ralentissement AV additif, surveillance.</w:t>
      </w:r>
    </w:p>
    <w:p>
      <w:pPr>
        <w:pStyle w:val="ListBullet"/>
      </w:pPr>
      <w:r>
        <w:t>Bisoprolol + Insuline/Sulfamides : masquage signes hypoglycémie.</w:t>
      </w:r>
    </w:p>
    <w:p>
      <w:pPr>
        <w:pStyle w:val="ListBullet"/>
      </w:pPr>
      <w:r>
        <w:t>Bisoprolol + IMAO : potentialisation de l'effet hypotenseur.</w:t>
      </w:r>
    </w:p>
    <w:p>
      <w:pPr>
        <w:pStyle w:val="ListBullet"/>
      </w:pPr>
      <w:r>
        <w:t>Bisoprolol + AINS : diminution de l'effet antihypertenseur.</w:t>
      </w:r>
    </w:p>
    <w:p>
      <w:pPr>
        <w:pStyle w:val="ListBullet"/>
      </w:pPr>
      <w:r>
        <w:t>Bisoprolol + Anesthésiques volatils halogénés : risque de dépression myocardique sévère — arrêt du bisoprolol discuté en pré-opératoire selon protocole anesthésique (ne pas arrêter brutalement — préférer poursuite).</w:t>
      </w:r>
    </w:p>
    <w:p>
      <w:r/>
      <w:r>
        <w:rPr>
          <w:b/>
        </w:rPr>
        <w:t>Grossesse et Allaitement :</w:t>
      </w:r>
      <w:r/>
    </w:p>
    <w:p>
      <w:pPr>
        <w:pStyle w:val="ListBullet"/>
      </w:pPr>
      <w:r>
        <w:t xml:space="preserve">Grossesse : Selon CRAT, le bisoprolol est </w:t>
      </w:r>
      <w:r>
        <w:rPr>
          <w:b/>
        </w:rPr>
        <w:t>compatible si indication maternelle justifiée</w:t>
      </w:r>
      <w:r>
        <w:t xml:space="preserve"> (HTA, tachyarythmie), à utiliser en préférer au labétalol/métoprolol si non disponible. Surveillance de la croissance fœtale (échographie mensuelle à partir du 2e trimestre), de la FC fœtale en fin de grossesse, et de l'état néonatal (bradycardie, hypoglycémie, hypotension) à la naissance.</w:t>
      </w:r>
    </w:p>
    <w:p>
      <w:pPr>
        <w:pStyle w:val="ListBullet"/>
      </w:pPr>
      <w:r>
        <w:t>Allaitement : Compatible. Le passage dans le lait est faible (ratio lait/plasma ≈ 0,3), la dose ingérée par le nourrisson &lt; 1 % de la dose maternelle pondérée. Surveillance de la FC de l'enfant.</w:t>
      </w:r>
    </w:p>
    <w:p>
      <w:pPr>
        <w:pStyle w:val="ListBullet"/>
      </w:pPr>
      <w:r>
        <w:t>Précisions : Préférer le bisoprolol à l'aténolol chez la femme enceinte (moins de risque de RCIU — données plus récentes rassurantes).</w:t>
      </w:r>
    </w:p>
    <w:p>
      <w:r/>
      <w:r>
        <w:rPr>
          <w:b/>
        </w:rPr>
        <w:t>Posologie et Mode d'administration (Standard) :</w:t>
      </w:r>
      <w:r/>
    </w:p>
    <w:p>
      <w:pPr>
        <w:pStyle w:val="ListBullet"/>
      </w:pPr>
      <w:r>
        <w:t>Adulte HTA : 5–10 mg/j en une prise matinale ; initier à 5 mg, augmenter à 10 mg après 2–4 semaines si nécessaire. Dose maximale 20 mg/j.</w:t>
      </w:r>
    </w:p>
    <w:p>
      <w:pPr>
        <w:pStyle w:val="ListBullet"/>
      </w:pPr>
      <w:r>
        <w:t>Adulte IC-FEr : Initiation très progressive (Cardensiel 2,5 mg ou quadrant de 5 mg) : 1,25 mg/j pendant 2 semaines → 2,5 mg/j → 3,75 mg/j → 5 mg/j → 7,5 mg/j → 10 mg/j (dose cible), par paliers de 2 semaines minimum. Surveiller tolérance à chaque palier (FC ≥ 50, PAS ≥ 100, absence de signes d'ICC).</w:t>
      </w:r>
    </w:p>
    <w:p>
      <w:pPr>
        <w:pStyle w:val="ListBullet"/>
      </w:pPr>
      <w:r>
        <w:t>Sujet âgé : débuter à 2,5 mg/j, titration prudente.</w:t>
      </w:r>
    </w:p>
    <w:p>
      <w:pPr>
        <w:pStyle w:val="ListBullet"/>
      </w:pPr>
      <w:r>
        <w:t>Insuffisance rénale/hépatique modérée : pas d'adaptation stricte, mais ne pas dépasser 10 mg/j si ClCr &lt; 40 mL/min.</w:t>
      </w:r>
    </w:p>
    <w:p>
      <w:pPr>
        <w:pStyle w:val="ListBullet"/>
      </w:pPr>
      <w:r>
        <w:t>Durée : traitement au long cours (à vie dans l'ICC, l'HTA, post-IDM).</w:t>
      </w:r>
    </w:p>
    <w:p>
      <w:pPr>
        <w:pStyle w:val="ListBullet"/>
      </w:pPr>
      <w:r>
        <w:t>Moment de prise : le matin, à heure fixe, avec ou sans aliment.</w:t>
      </w:r>
    </w:p>
    <w:p>
      <w:r/>
      <w:r>
        <w:rPr>
          <w:b/>
        </w:rPr>
        <w:t>Arbitrage et Bénéfices des Formes Galéniques :</w:t>
      </w:r>
      <w:r/>
    </w:p>
    <w:p>
      <w:r>
        <w:t>Le bisoprolol est disponible en trois dosages (2,5, 5, 10 mg), permettant une titration fine particulièrement utile dans l'ICC (Cardensiel 2,5 mg est le dosage princeps spécifiquement prévu pour l'initiation de l'ICC). Les comprimés quadri-sécables (BYZOLEX 5) autorisent le fractionnement en 1,25 mg (quart de comprimé) pour une titration ultra-prudente. La diversité des laboratoires (13 spécialités actives) garantit la disponibilité et la concurrence économique (génériques), avec une équivalence bio pharmaceutique validée. Aucune forme LP n'est nécessaire (la demi-vie de 10–12 h couvre déjà 24 h). Forme orale unique — pas de forme injectable.</w:t>
      </w:r>
    </w:p>
    <w:p>
      <w:r/>
      <w:r>
        <w:rPr>
          <w:b/>
        </w:rPr>
        <w:t>Instructions et Conseils au Patient :</w:t>
      </w:r>
      <w:r/>
    </w:p>
    <w:p>
      <w:pPr>
        <w:pStyle w:val="ListBullet"/>
      </w:pPr>
      <w:r>
        <w:t>Communication au comptoir : « Votre médecin vous a prescrit ce médicament pour [votre hypertension / votre insuffisance cardiaque / après votre infarctus]. Il s'agit d'un traitement de fond, à prendre tous les jours, même si vous vous sentez bien. Ne l'arrêtez jamais d'un coup — cela peut déclencher un infarctus ou des troubles graves du rythme. Surveillez votre pouls : s'il est inférieur à 50, contactez votre médecin. En cas d'essoufflement, œdèmes des jambes, prise de poids rapide, prévenez-le immédiatement. »</w:t>
      </w:r>
    </w:p>
    <w:p>
      <w:pPr>
        <w:pStyle w:val="ListBullet"/>
      </w:pPr>
      <w:r>
        <w:t>Mode d'utilisation pratique : prise matinale à heure fixe ; tenir un carnet de surveillance (FC, PA, poids quotidien matin à jeun). En cas d'oubli : ne pas doubler. Signaler tout symptôme nouveau en consultation cardiologique.</w:t>
      </w:r>
    </w:p>
    <w:p>
      <w:r/>
      <w:r>
        <w:rPr>
          <w:b/>
        </w:rPr>
        <w:t>Notes, Règles d'Or &amp; Pièges au Comptoir :</w:t>
      </w:r>
      <w:r/>
    </w:p>
    <w:p>
      <w:pPr>
        <w:pStyle w:val="ListBullet"/>
      </w:pPr>
      <w:r>
        <w:t>Piège classique : initiation du bisoprolol chez un patient en décompensation cardiaque aiguë (CI absolue — attendre stabilisation) ; titration trop rapide (risque de choc cardiogénique) ; arrêt brutal (rebond) ; association avec vérapamil.</w:t>
      </w:r>
    </w:p>
    <w:p>
      <w:pPr>
        <w:pStyle w:val="ListBullet"/>
      </w:pPr>
      <w:r>
        <w:t>Règle de prise : le matin, à heure fixe, à reporter dans le carnet de traitement.</w:t>
      </w:r>
    </w:p>
    <w:p>
      <w:pPr>
        <w:pStyle w:val="ListBullet"/>
      </w:pPr>
      <w:r>
        <w:t>Préparation et Conservation : température &lt; 25 °C, à l'abri de l'humidité.</w:t>
      </w:r>
    </w:p>
    <w:p>
      <w:pPr>
        <w:pStyle w:val="ListBullet"/>
      </w:pPr>
      <w:r>
        <w:t>Piège du surdosage / Substitution : en cas de substitution aténolol/bisoprolol, surveiller la FC et la PA sur 7–14 jours. En cas d'intoxication : bradycardie sévère, hypotension, BAV — traitement par glucagon IV (5–10 mg en bolus puis perfusion 1–5 mg/h), atropine 1 mg IV, isoprénaline en perfusion, entraînement électrosystolique temporaire si réfractaire.</w:t>
      </w:r>
    </w:p>
    <w:p>
      <w:pPr>
        <w:pStyle w:val="Heading3"/>
      </w:pPr>
      <w:r>
        <w:t>3. DCI : Métoprolol (Seule)</w:t>
      </w:r>
    </w:p>
    <w:p>
      <w:r/>
      <w:r>
        <w:rPr>
          <w:b/>
        </w:rPr>
        <w:t>Liste des Catégories :</w:t>
      </w:r>
      <w:r>
        <w:t xml:space="preserve"> Bêtabloquants cardiosélectifs (β1-sélectifs) ; Antihypertenseur ; Traitement de l'insuffisance cardiaque chronique stable (FEVG ≤ 35 %) ; Antiarythmique de classe II ; Prophylaxie de la migraine.</w:t>
      </w:r>
    </w:p>
    <w:p>
      <w:r>
        <w:t xml:space="preserve">Le métoprolol est un β-bloquant cardiosélectif de première génération (commercialisé depuis 1970). Sa particularité pharmacologique majeure réside dans son </w:t>
      </w:r>
      <w:r>
        <w:rPr>
          <w:b/>
        </w:rPr>
        <w:t>métabolisme hépatique dépendant du cytochrome CYP2D6</w:t>
      </w:r>
      <w:r>
        <w:t xml:space="preserve">, polymorphe — ce qui entraîne une </w:t>
      </w:r>
      <w:r>
        <w:rPr>
          <w:b/>
        </w:rPr>
        <w:t>variabilité interindividuelle très importante</w:t>
      </w:r>
      <w:r>
        <w:t xml:space="preserve"> (jusqu'à 10 fois) des concentrations plasmatiques à dose identique. Environ 7 % de la population caucasienne sont des </w:t>
      </w:r>
      <w:r>
        <w:rPr>
          <w:b/>
        </w:rPr>
        <w:t>métaboliseurs lents</w:t>
      </w:r>
      <w:r>
        <w:t xml:space="preserve"> (PM — poor metabolizers) avec accumulation et risque de surdosage, tandis que 1–5 % sont des </w:t>
      </w:r>
      <w:r>
        <w:rPr>
          <w:b/>
        </w:rPr>
        <w:t>métaboliseurs ultra-rapides</w:t>
      </w:r>
      <w:r>
        <w:t xml:space="preserve"> (UM — ultra-rapid metabolizers) avec inefficacité thérapeutique. Cette pharmacogénétique doit être connue du pharmacien d'officine. Le métoprolol est l'un des trois β-bloquants (avec bisoprolol et carvédilol) ayant l'AMM dans l'insuffisance cardiaque chronique avec FEVG réduite — c'est le </w:t>
      </w:r>
      <w:r>
        <w:rPr>
          <w:b/>
        </w:rPr>
        <w:t>succinate de métoprolol en forme LP</w:t>
      </w:r>
      <w:r>
        <w:t xml:space="preserve"> qui est utilisé (essai MERIT-HF, 1999, réduction de la mortalité de 34 %). En Algérie, le métoprolol est essentiellement disponible en forme </w:t>
      </w:r>
      <w:r>
        <w:rPr>
          <w:b/>
        </w:rPr>
        <w:t>LP</w:t>
      </w:r>
      <w:r>
        <w:t xml:space="preserve"> (à libération prolongée, 100 et 200 mg) et en forme classique à 100 mg quadri-sécable.</w:t>
      </w:r>
    </w:p>
    <w:p>
      <w:r/>
      <w:r>
        <w:rPr>
          <w:b/>
        </w:rPr>
        <w:t>Médicaments disponibles en Algérie (Marques, Laboratoires, Formes et Dosages) :</w:t>
      </w:r>
      <w:r/>
    </w:p>
    <w:p>
      <w:r>
        <w:t>Formes à libération prolongée (LP) 200 mg :</w:t>
      </w:r>
    </w:p>
    <w:p>
      <w:pPr>
        <w:pStyle w:val="ListBullet"/>
      </w:pPr>
      <w:r/>
      <w:r>
        <w:rPr>
          <w:b/>
        </w:rPr>
        <w:t>LOPRESSOR LP</w:t>
      </w:r>
      <w:r>
        <w:t xml:space="preserve"> (LABORATORI FARMACEUTICO SIT S.R.L) — Comprimé pelliculé sécable LP 200 mg (B/30) — Actif</w:t>
      </w:r>
    </w:p>
    <w:p>
      <w:pPr>
        <w:pStyle w:val="ListBullet"/>
      </w:pPr>
      <w:r/>
      <w:r>
        <w:rPr>
          <w:b/>
        </w:rPr>
        <w:t>LOPROX</w:t>
      </w:r>
      <w:r>
        <w:t xml:space="preserve"> (NEOMEDIC) — Comprimé pelliculé sécable LP 200 mg (B/30) — Actif</w:t>
      </w:r>
    </w:p>
    <w:p>
      <w:pPr>
        <w:pStyle w:val="ListBullet"/>
      </w:pPr>
      <w:r/>
      <w:r>
        <w:rPr>
          <w:b/>
        </w:rPr>
        <w:t>LORESTA</w:t>
      </w:r>
      <w:r>
        <w:t xml:space="preserve"> (BIOPHARM) — Comprimé sécable LP 200 mg (B/30) — Actif</w:t>
      </w:r>
    </w:p>
    <w:p>
      <w:pPr>
        <w:pStyle w:val="ListBullet"/>
      </w:pPr>
      <w:r/>
      <w:r>
        <w:rPr>
          <w:b/>
        </w:rPr>
        <w:t>METOCROVIS</w:t>
      </w:r>
      <w:r>
        <w:t xml:space="preserve"> (FARMACEUTICI CROVIS PH.I.L.COM) — Comprimé LP 200 mg (B/30) — Actif</w:t>
      </w:r>
    </w:p>
    <w:p>
      <w:pPr>
        <w:pStyle w:val="ListBullet"/>
      </w:pPr>
      <w:r/>
      <w:r>
        <w:rPr>
          <w:b/>
        </w:rPr>
        <w:t>METOPRESS LP</w:t>
      </w:r>
      <w:r>
        <w:t xml:space="preserve"> (FRATER-RAZES FORME SECHE / LES LABORATOIRES FRATER RAZES) — Gélule LP 200 mg / Comprimé pelliculé sécable LP 200 mg (B/30) — Actif</w:t>
      </w:r>
    </w:p>
    <w:p>
      <w:pPr>
        <w:pStyle w:val="ListBullet"/>
      </w:pPr>
      <w:r/>
      <w:r>
        <w:rPr>
          <w:b/>
        </w:rPr>
        <w:t>SOPRESSOR</w:t>
      </w:r>
      <w:r>
        <w:t xml:space="preserve"> (SARL MEDEC) — Comprimé pelliculé sécable LP 200 mg (B/30) — Actif</w:t>
      </w:r>
    </w:p>
    <w:p>
      <w:pPr>
        <w:pStyle w:val="ListBullet"/>
      </w:pPr>
      <w:r/>
      <w:r>
        <w:rPr>
          <w:b/>
        </w:rPr>
        <w:t>METOPROLOL 200 STADA RETARD</w:t>
      </w:r>
      <w:r>
        <w:t xml:space="preserve"> (STADA) — Comprimé LP 200 mg (B/50) — Non Renouvelable</w:t>
      </w:r>
    </w:p>
    <w:p>
      <w:r>
        <w:t>Forme classique 100 mg quadri-sécable :</w:t>
      </w:r>
    </w:p>
    <w:p>
      <w:pPr>
        <w:pStyle w:val="ListBullet"/>
      </w:pPr>
      <w:r/>
      <w:r>
        <w:rPr>
          <w:b/>
        </w:rPr>
        <w:t>CARDOLAX</w:t>
      </w:r>
      <w:r>
        <w:t xml:space="preserve"> (WORLD MEDECINE LIMITED) — Comprimé 100 mg (B/30) — Actif</w:t>
      </w:r>
    </w:p>
    <w:p>
      <w:pPr>
        <w:pStyle w:val="ListBullet"/>
      </w:pPr>
      <w:r/>
      <w:r>
        <w:rPr>
          <w:b/>
        </w:rPr>
        <w:t>LOPRESS</w:t>
      </w:r>
      <w:r>
        <w:t xml:space="preserve"> (SANAMED) — Comprimé pelliculé quadri-sécable 100 mg (B/30) — Actif</w:t>
      </w:r>
    </w:p>
    <w:p>
      <w:pPr>
        <w:pStyle w:val="ListBullet"/>
      </w:pPr>
      <w:r/>
      <w:r>
        <w:rPr>
          <w:b/>
        </w:rPr>
        <w:t>METOPRESSOR</w:t>
      </w:r>
      <w:r>
        <w:t xml:space="preserve"> (FRATER-RAZES FORME SECHE) — Comprimé pelliculé quadri-sécable 100 mg (B/30) — Actif</w:t>
      </w:r>
    </w:p>
    <w:p>
      <w:pPr>
        <w:pStyle w:val="ListBullet"/>
      </w:pPr>
      <w:r/>
      <w:r>
        <w:rPr>
          <w:b/>
        </w:rPr>
        <w:t>PROSSOR</w:t>
      </w:r>
      <w:r>
        <w:t xml:space="preserve"> (PHARMALLIANCE) — Comprimé pelliculé quadri-sécable 100 mg (B/30) — Actif</w:t>
      </w:r>
    </w:p>
    <w:p>
      <w:pPr>
        <w:pStyle w:val="ListBullet"/>
      </w:pPr>
      <w:r/>
      <w:r>
        <w:rPr>
          <w:b/>
        </w:rPr>
        <w:t>TEPROLL</w:t>
      </w:r>
      <w:r>
        <w:t xml:space="preserve"> (TABET PHARM) — Comprimé pelliculé quadri-sécable 100 mg (B/30) — Actif</w:t>
      </w:r>
    </w:p>
    <w:p>
      <w:pPr>
        <w:pStyle w:val="ListBullet"/>
      </w:pPr>
      <w:r/>
      <w:r>
        <w:rPr>
          <w:b/>
        </w:rPr>
        <w:t>TOLOL</w:t>
      </w:r>
      <w:r>
        <w:t xml:space="preserve"> (SARL GROUPE SANTE) — Gélule à micro-granules LP 100 mg (B/30) — Actif</w:t>
      </w:r>
    </w:p>
    <w:p>
      <w:r>
        <w:t>Forme LP 95 mg (intermédiaire) :</w:t>
      </w:r>
    </w:p>
    <w:p>
      <w:pPr>
        <w:pStyle w:val="ListBullet"/>
      </w:pPr>
      <w:r/>
      <w:r>
        <w:rPr>
          <w:b/>
        </w:rPr>
        <w:t>METOPRESS LP</w:t>
      </w:r>
      <w:r>
        <w:t xml:space="preserve"> (FRATER-RAZES FORME SECHE) — Gélule LP 95 mg (B/30) — Actif</w:t>
      </w:r>
    </w:p>
    <w:p>
      <w:r/>
      <w:r>
        <w:rPr>
          <w:b/>
        </w:rPr>
        <w:t>Sous-classe et Mécanisme d'action :</w:t>
      </w:r>
      <w:r/>
    </w:p>
    <w:p>
      <w:pPr>
        <w:pStyle w:val="ListBullet"/>
      </w:pPr>
      <w:r>
        <w:t>Sous-classe : β-bloquant cardiosélectif (β1-sélectif, ratio β1/β2 ≈ 25) ; liposoluble ; sans ASI.</w:t>
      </w:r>
    </w:p>
    <w:p>
      <w:pPr>
        <w:pStyle w:val="ListBullet"/>
      </w:pPr>
      <w:r>
        <w:t xml:space="preserve">Mécanisme d'action : Antagonisme compétitif des récepteurs β1 cardiaques (blocage de la voie Gs-AMPc-PKA → baisse chronotropie, inotropie, dromotropie) et des cellules juxtaglomérulaires rénales (blocage de la sécrétion de rénine). Le métoprolol est </w:t>
      </w:r>
      <w:r>
        <w:rPr>
          <w:b/>
        </w:rPr>
        <w:t>liposoluble</w:t>
      </w:r>
      <w:r>
        <w:t xml:space="preserve"> — il traverse la barrière hémato-encéphalique → effets centraux possibles (cauchemars, insomnie, fatigue) plus fréquents qu'avec aténolol ou bisoprolol. Sa particularité est d'être </w:t>
      </w:r>
      <w:r>
        <w:rPr>
          <w:b/>
        </w:rPr>
        <w:t>substrat du CYP2D6</w:t>
      </w:r>
      <w:r>
        <w:t xml:space="preserve"> (polymorphe) : la molécule subit une O-déméthylation et une α-hydroxylation hépatique en métabolites inactifs. Les PM (métaboliseurs lents) ont une exposition 5 fois supérieure aux EM (extensive metabolizers) — d'où risque d'effets indésirables à dose standard. Les UM ont une exposition réduite — d'où inefficacité.</w:t>
      </w:r>
    </w:p>
    <w:p>
      <w:r/>
      <w:r>
        <w:rPr>
          <w:b/>
        </w:rPr>
        <w:t>Profil Pharmacologique :</w:t>
      </w:r>
      <w:r/>
    </w:p>
    <w:p>
      <w:pPr>
        <w:pStyle w:val="ListBullet"/>
      </w:pPr>
      <w:r>
        <w:t>Indications : HTA, angor stable, post-IDM, IC-FEr (seule la forme LP succinate a l'AMM, mais en Algérie le tartrate LP est disponible — équivalence clinique), troubles du rythme (FA), prophylaxie de la migraine.</w:t>
      </w:r>
    </w:p>
    <w:p>
      <w:pPr>
        <w:pStyle w:val="ListBullet"/>
      </w:pPr>
      <w:r>
        <w:t>Contre-indications : BAV 2e/3e non appareillé, bradycardie &lt; 50, choc cardiogénique, asthme/BPCO sévère, hypotension sévère, phéochromocytome non traité, psoriasis en poussée, ICC décompensée aiguë.</w:t>
      </w:r>
    </w:p>
    <w:p>
      <w:pPr>
        <w:pStyle w:val="ListBullet"/>
      </w:pPr>
      <w:r>
        <w:t>Effets Indésirables : Bradycardie, hypotension, asthénie (très fréquente — liposolubilité), cauchemars/insomnie (fréquents), dépression (rare mais possible), syndrome de Raynaud, dysfonction érectile, bronchospasme à haute dose, masquage hypoglycémie, modification bilan lipidique, troubles digestifs.</w:t>
      </w:r>
    </w:p>
    <w:p>
      <w:r/>
      <w:r>
        <w:rPr>
          <w:b/>
        </w:rPr>
        <w:t>Prévention et Gestion des Effets Indésirables :</w:t>
      </w:r>
      <w:r/>
    </w:p>
    <w:p>
      <w:pPr>
        <w:pStyle w:val="ListBullet"/>
      </w:pPr>
      <w:r>
        <w:t>Mesures Préventives : Avant initiation : interrogatoire asthma/BPCO, psoriasis, BAV, bradycardie ; dosage créatinine, kaliémie ; ECG. Initiation à faible dose, titration mensuelle. Préférer la forme LP (monoprise, observance, moindre pic plasmatique → moindres effets indésirables centraux).</w:t>
      </w:r>
    </w:p>
    <w:p>
      <w:pPr>
        <w:pStyle w:val="ListBullet"/>
      </w:pPr>
      <w:r>
        <w:t>Conduite à Tenir : En cas d'effets centraux (cauchemars, insomnie) — passage à un β-bloquant hydrosoluble (aténolol, bisoprolol) ou prise matinale décalée. En cas de bradycardie : atropine IV, glucagon IV.</w:t>
      </w:r>
    </w:p>
    <w:p>
      <w:r/>
      <w:r>
        <w:rPr>
          <w:b/>
        </w:rPr>
        <w:t>Interactions Importantes :</w:t>
      </w:r>
      <w:r/>
    </w:p>
    <w:p>
      <w:pPr>
        <w:pStyle w:val="ListBullet"/>
      </w:pPr>
      <w:r>
        <w:t>Métoprolol + Inhibiteurs du CYP2D6 : paroxétine, fluoxétine, duloxétine, bupropion, quinidine, propafénone, cinarizine → augmentation des concentrations de métoprolol (jusqu'à × 5) → risque de bradycardie sévère et hypotension — adapter la posologie ou changer de β-bloquant.</w:t>
      </w:r>
    </w:p>
    <w:p>
      <w:pPr>
        <w:pStyle w:val="ListBullet"/>
      </w:pPr>
      <w:r>
        <w:t>Métoprolol + Inducteurs du CYP2D6 : rifampicine → baisse de l'efficacité (augmenter la dose).</w:t>
      </w:r>
    </w:p>
    <w:p>
      <w:pPr>
        <w:pStyle w:val="ListBullet"/>
      </w:pPr>
      <w:r>
        <w:t>Métoprolol + Vérapamil/Diltiazem : CI absolue.</w:t>
      </w:r>
    </w:p>
    <w:p>
      <w:pPr>
        <w:pStyle w:val="ListBullet"/>
      </w:pPr>
      <w:r>
        <w:t>Métoprolol + Amiodarone : risque de bradycardie et d'arrêt sinusal.</w:t>
      </w:r>
    </w:p>
    <w:p>
      <w:pPr>
        <w:pStyle w:val="ListBullet"/>
      </w:pPr>
      <w:r>
        <w:t>Métoprolol + Insuline : masquage de l'hypoglycémie.</w:t>
      </w:r>
    </w:p>
    <w:p>
      <w:r/>
      <w:r>
        <w:rPr>
          <w:b/>
        </w:rPr>
        <w:t>Grossesse et Allaitement :</w:t>
      </w:r>
      <w:r/>
    </w:p>
    <w:p>
      <w:pPr>
        <w:pStyle w:val="ListBullet"/>
      </w:pPr>
      <w:r>
        <w:t>Grossesse : Compatible selon CRAT si indication maternelle justifiée — préféré à l'aténolol. Surveillance de la croissance fœtale, de la FC fœtale et néonatale.</w:t>
      </w:r>
    </w:p>
    <w:p>
      <w:pPr>
        <w:pStyle w:val="ListBullet"/>
      </w:pPr>
      <w:r>
        <w:t>Allaitement : Compatible (faible passage lacté).</w:t>
      </w:r>
    </w:p>
    <w:p>
      <w:pPr>
        <w:pStyle w:val="ListBullet"/>
      </w:pPr>
      <w:r>
        <w:t>Précautions : Hypoglycémie néonatale à surveiller les 24 premières heures.</w:t>
      </w:r>
    </w:p>
    <w:p>
      <w:r/>
      <w:r>
        <w:rPr>
          <w:b/>
        </w:rPr>
        <w:t>Posologie et Mode d'administration (Standard) :</w:t>
      </w:r>
      <w:r/>
    </w:p>
    <w:p>
      <w:pPr>
        <w:pStyle w:val="ListBullet"/>
      </w:pPr>
      <w:r>
        <w:t>Adulte HTA : 100–200 mg/j LP en une prise (matin).</w:t>
      </w:r>
    </w:p>
    <w:p>
      <w:pPr>
        <w:pStyle w:val="ListBullet"/>
      </w:pPr>
      <w:r>
        <w:t>Adulte IC-FEr : Initiation 12,5–25 mg LP/j × 2 semaines → titration mensuelle par paliers de 12,5–25 mg jusqu'à la dose cible de 200 mg/j (forme succinate — non disponible en Algérie, mais tartrate LP utilisé en pratique à dose ajustée).</w:t>
      </w:r>
    </w:p>
    <w:p>
      <w:pPr>
        <w:pStyle w:val="ListBullet"/>
      </w:pPr>
      <w:r>
        <w:t>Adulte angor/post-IDM : 200 mg LP/j.</w:t>
      </w:r>
    </w:p>
    <w:p>
      <w:pPr>
        <w:pStyle w:val="ListBullet"/>
      </w:pPr>
      <w:r>
        <w:t>Prophylaxie migraine : 50–100 mg x 2/j (forme classique) ou 100–200 mg LP/j.</w:t>
      </w:r>
    </w:p>
    <w:p>
      <w:pPr>
        <w:pStyle w:val="ListBullet"/>
      </w:pPr>
      <w:r>
        <w:t>Sujet âgé : débuter à 50 mg LP/j, titration prudente.</w:t>
      </w:r>
    </w:p>
    <w:p>
      <w:pPr>
        <w:pStyle w:val="ListBullet"/>
      </w:pPr>
      <w:r>
        <w:t>Durée : au long cours.</w:t>
      </w:r>
    </w:p>
    <w:p>
      <w:pPr>
        <w:pStyle w:val="ListBullet"/>
      </w:pPr>
      <w:r>
        <w:t>Moment de prise : matin, à heure fixe. Forme LP : à prendre entière (ne pas écraser ni croquer).</w:t>
      </w:r>
    </w:p>
    <w:p>
      <w:r/>
      <w:r>
        <w:rPr>
          <w:b/>
        </w:rPr>
        <w:t>Arbitrage et Bénéfices des Formes Galéniques :</w:t>
      </w:r>
      <w:r/>
    </w:p>
    <w:p>
      <w:r>
        <w:t xml:space="preserve">Le métoprolol est disponible en Algérie sous plusieurs formes : (1) comprimé LP 200 mg (succinate ou tartrate selon laboratoire) — permet une monoprise quotidienne, un profil plasmatique plat (moins d'effets indésirables centraux) ; (2) comprimé quadri-sécable 100 mg (permettant des fractions de 25 mg) — utile pour initiation ICC et titration fine ; (3) gélule à micro-granules LP 100 mg (TOLOL) — alternative LP. La </w:t>
      </w:r>
      <w:r>
        <w:rPr>
          <w:b/>
        </w:rPr>
        <w:t>forme LP est à privilégier</w:t>
      </w:r>
      <w:r>
        <w:t xml:space="preserve"> dans l'ICC (AMM spécifique MERIT-HF) et l'HTA (observance, profil pharmacocinétique plat). La forme classique permet la titration et la prophylaxie de la migraine (2 prises/j).</w:t>
      </w:r>
    </w:p>
    <w:p>
      <w:r/>
      <w:r>
        <w:rPr>
          <w:b/>
        </w:rPr>
        <w:t>Instructions et Conseils au Patient :</w:t>
      </w:r>
      <w:r/>
    </w:p>
    <w:p>
      <w:pPr>
        <w:pStyle w:val="ListBullet"/>
      </w:pPr>
      <w:r>
        <w:t>Communication au comptoir : « Prenez ce médicament une fois par jour, le matin, à heure fixe. Avalez le comprimé LP entier, ne le croquez pas. Ne l'arrêtez jamais brutalement. Surveillez votre pouls. Signalez tout cauchemar répétitif, insomnie, fatigue excessive — votre médecin pourra adapter le traitement. »</w:t>
      </w:r>
    </w:p>
    <w:p>
      <w:pPr>
        <w:pStyle w:val="ListBullet"/>
      </w:pPr>
      <w:r>
        <w:t>Mode d'utilisation pratique : Prise le matin. Si oubli, ne pas doubler. Automesure tensionnelle régulière. En cas d'intervention chirurgicale programmée, prévenir l'anesthésiste.</w:t>
      </w:r>
    </w:p>
    <w:p>
      <w:r/>
      <w:r>
        <w:rPr>
          <w:b/>
        </w:rPr>
        <w:t>Notes, Règles d'Or &amp; Pièges au Comptoir :</w:t>
      </w:r>
      <w:r/>
    </w:p>
    <w:p>
      <w:pPr>
        <w:pStyle w:val="ListBullet"/>
      </w:pPr>
      <w:r>
        <w:t>Piège classique : polymorphisme CYP2D6 — un patient sous paroxétine + métoprolol peut présenter une bradycardie sévère (× 5 concentrations) ; initiation chez un asthmatique ; arrêt brutal.</w:t>
      </w:r>
    </w:p>
    <w:p>
      <w:pPr>
        <w:pStyle w:val="ListBullet"/>
      </w:pPr>
      <w:r>
        <w:t>Règle de prise : matin, LP entier.</w:t>
      </w:r>
    </w:p>
    <w:p>
      <w:pPr>
        <w:pStyle w:val="ListBullet"/>
      </w:pPr>
      <w:r>
        <w:t>Préparation et Conservation : &lt; 25 °C, sec.</w:t>
      </w:r>
    </w:p>
    <w:p>
      <w:pPr>
        <w:pStyle w:val="ListBullet"/>
      </w:pPr>
      <w:r>
        <w:t>Piège du surdosage / Substitution : la substitution entre forme classique et LP nécessite une adaptation de dose (200 mg LP ≈ 100 mg x 2 classique). Surveillance ECG et FC sur 7 jours après substitution.</w:t>
      </w:r>
    </w:p>
    <w:p>
      <w:pPr>
        <w:pStyle w:val="Heading3"/>
      </w:pPr>
      <w:r>
        <w:t>4. DCI : Bétaxolol (Seule)</w:t>
      </w:r>
    </w:p>
    <w:p>
      <w:r/>
      <w:r>
        <w:rPr>
          <w:b/>
        </w:rPr>
        <w:t>Liste des Catégories :</w:t>
      </w:r>
      <w:r>
        <w:t xml:space="preserve"> Bêtabloquants cardiosélectifs (β1-sélectifs) — Forme ophtalmique ; Antiglaucomateux topique ; (Forme systémique non disponible en Algérie).</w:t>
      </w:r>
    </w:p>
    <w:p>
      <w:r>
        <w:t xml:space="preserve">Le bétaxolol est un β-bloquant cardiosélectif (β1/β2 ≈ 15) utilisé en Algérie </w:t>
      </w:r>
      <w:r>
        <w:rPr>
          <w:b/>
        </w:rPr>
        <w:t>exclusivement sous forme ophtalmique</w:t>
      </w:r>
      <w:r>
        <w:t xml:space="preserve"> (collyre) dans le traitement du </w:t>
      </w:r>
      <w:r>
        <w:rPr>
          <w:b/>
        </w:rPr>
        <w:t>glaucome chronique à angle ouvert</w:t>
      </w:r>
      <w:r>
        <w:t xml:space="preserve"> et de l'</w:t>
      </w:r>
      <w:r>
        <w:rPr>
          <w:b/>
        </w:rPr>
        <w:t>hypertonie oculaire</w:t>
      </w:r>
      <w:r>
        <w:t xml:space="preserve">. Disponible en collyre à 0,5 % (5 mg/mL), il réduit la production d'humeur aqueuse par blocage des récepteurs β2 du corps ciliaire (la production d'humeur aqueuse est sous contrôle β2-adrénergique). Comparativement au </w:t>
      </w:r>
      <w:r>
        <w:rPr>
          <w:b/>
        </w:rPr>
        <w:t>timolol</w:t>
      </w:r>
      <w:r>
        <w:t xml:space="preserve"> (non cardiosélectif en collyre), le bétaxolol présente l'avantage d'être </w:t>
      </w:r>
      <w:r>
        <w:rPr>
          <w:b/>
        </w:rPr>
        <w:t>cardiosélectif</w:t>
      </w:r>
      <w:r>
        <w:t xml:space="preserve">, donc </w:t>
      </w:r>
      <w:r>
        <w:rPr>
          <w:b/>
        </w:rPr>
        <w:t>mieux toléré sur le plan respiratoire</w:t>
      </w:r>
      <w:r>
        <w:t xml:space="preserve"> chez le patient glaucomateux asthmatique ou BPCO. Cependant, il est légèrement moins puissant sur la baisse de la PIO que le timolol. La spécialité BETOPTIC (Alcon) a été retirée du marché algérien (non renouvelée), seul </w:t>
      </w:r>
      <w:r>
        <w:rPr>
          <w:b/>
        </w:rPr>
        <w:t>BERTOCIL</w:t>
      </w:r>
      <w:r>
        <w:t xml:space="preserve"> (GPA) demeure actif.</w:t>
      </w:r>
    </w:p>
    <w:p>
      <w:r/>
      <w:r>
        <w:rPr>
          <w:b/>
        </w:rPr>
        <w:t>Médicaments disponibles en Algérie (Marques, Laboratoires, Formes et Dosages) :</w:t>
      </w:r>
      <w:r/>
    </w:p>
    <w:p>
      <w:pPr>
        <w:pStyle w:val="ListBullet"/>
      </w:pPr>
      <w:r/>
      <w:r>
        <w:rPr>
          <w:b/>
        </w:rPr>
        <w:t>BERTOCIL</w:t>
      </w:r>
      <w:r>
        <w:t xml:space="preserve"> (GROUPEMENT PHARMACEUTIQUE ALGERIEN — GPA)</w:t>
      </w:r>
    </w:p>
    <w:p>
      <w:pPr>
        <w:pStyle w:val="ListBullet"/>
      </w:pPr>
      <w:r>
        <w:t>Formes et Dosages : Collyre en solution 5 mg/mL (0,5 %) ; flacon de 5 mL</w:t>
      </w:r>
    </w:p>
    <w:p>
      <w:pPr>
        <w:pStyle w:val="ListBullet"/>
      </w:pPr>
      <w:r>
        <w:t>Statut : Actif — Liste I</w:t>
      </w:r>
    </w:p>
    <w:p>
      <w:pPr>
        <w:pStyle w:val="ListBullet"/>
      </w:pPr>
      <w:r/>
      <w:r>
        <w:rPr>
          <w:b/>
        </w:rPr>
        <w:t>BETOPTIC</w:t>
      </w:r>
      <w:r>
        <w:t xml:space="preserve"> (ALCON)</w:t>
      </w:r>
    </w:p>
    <w:p>
      <w:pPr>
        <w:pStyle w:val="ListBullet"/>
      </w:pPr>
      <w:r>
        <w:t>Formes et Dosages : Collyre 0,005 (0,5 %) ; flacon de 3 mL</w:t>
      </w:r>
    </w:p>
    <w:p>
      <w:pPr>
        <w:pStyle w:val="ListBullet"/>
      </w:pPr>
      <w:r>
        <w:t>Statut : Non Renouvelable — Liste I</w:t>
      </w:r>
    </w:p>
    <w:p>
      <w:r/>
      <w:r>
        <w:rPr>
          <w:b/>
        </w:rPr>
        <w:t>Sous-classe et Mécanisme d'action :</w:t>
      </w:r>
      <w:r/>
    </w:p>
    <w:p>
      <w:pPr>
        <w:pStyle w:val="ListBullet"/>
      </w:pPr>
      <w:r>
        <w:t>Sous-classe : β-bloquant cardiosélectif (β1/β2 ≈ 15) — usage ophtalmique topique.</w:t>
      </w:r>
    </w:p>
    <w:p>
      <w:pPr>
        <w:pStyle w:val="ListBullet"/>
      </w:pPr>
      <w:r>
        <w:t>Mécanisme d'action : Administration locale en collyre → pénétration cornéenne → diffusion dans l'humeur aqueuse → blocage des récepteurs β2 du corps ciliaire (épithélium non pigmenté) → réduction de l'adénylate cyclase → baisse de l'AMPc → diminution de la production d'humeur aqueuse (baisse de 20–30 % de la PIO à 2 semaines). La sélectivité β1 cardiaque du bétaxolol limite l'absorption systémique bronchospastique observée avec le timolol. Une absorption systémique par voie nasolacrymale est cependant possible (jusqu'à 50 % de la dose instillée) → d'où l'intérêt de l'</w:t>
      </w:r>
      <w:r>
        <w:rPr>
          <w:b/>
        </w:rPr>
        <w:t>occlusion nasolacrymale</w:t>
      </w:r>
      <w:r>
        <w:t xml:space="preserve"> (pression digitale du coin interne de l'œil pendant 1 min après instillation) pour réduire ce passage systémique.</w:t>
      </w:r>
    </w:p>
    <w:p>
      <w:r/>
      <w:r>
        <w:rPr>
          <w:b/>
        </w:rPr>
        <w:t>Profil Pharmacologique :</w:t>
      </w:r>
      <w:r/>
    </w:p>
    <w:p>
      <w:pPr>
        <w:pStyle w:val="ListBullet"/>
      </w:pPr>
      <w:r>
        <w:t>Indications : Glaucome chronique à angle ouvert, hypertonie oculaire (PIO &gt; 21 mmHg). Posologie : 1 goutte x 2/j dans chaque œil (matin et soir).</w:t>
      </w:r>
    </w:p>
    <w:p>
      <w:pPr>
        <w:pStyle w:val="ListBullet"/>
      </w:pPr>
      <w:r>
        <w:t>Contre-indications : Asthme et BPCO sévères (prudence — absorption systémique possible) ; BAV non appareillé ; bradycardie sinusale sévère ; choc cardiogénique ; hypersensibilité ; glaucome aigu à angle fermé (non indiqué).</w:t>
      </w:r>
    </w:p>
    <w:p>
      <w:pPr>
        <w:pStyle w:val="ListBullet"/>
      </w:pPr>
      <w:r>
        <w:t>Effets Indésirables : Locaux : brûlure oculaire transitoire, sécheresse oculaire, conjonctivite, kératite, vision floue transitoire, blépharite. Systémiques (rares mais possibles par absorption nasolacrymale) : bradycardie sinusale, hypotension, BAV, bronchospasme (surtout chez l'asthmatique), céphalées, asthénie, dépression.</w:t>
      </w:r>
    </w:p>
    <w:p>
      <w:r/>
      <w:r>
        <w:rPr>
          <w:b/>
        </w:rPr>
        <w:t>Prévention et Gestion des Effets Indésirables :</w:t>
      </w:r>
      <w:r/>
    </w:p>
    <w:p>
      <w:pPr>
        <w:pStyle w:val="ListBullet"/>
      </w:pPr>
      <w:r>
        <w:t>Mesures Préventives : Interrogatoire cardiologique et respiratoire systématique avant délivrance (asthme, BPCO, BAV, bradycardie). Apprendre au patient la technique d'</w:t>
      </w:r>
      <w:r>
        <w:rPr>
          <w:b/>
        </w:rPr>
        <w:t>occlusion nasolacrymale</w:t>
      </w:r>
      <w:r>
        <w:t xml:space="preserve"> : presser le coin interne de l'œil avec le doigt pendant 60 secondes après instillation → réduit le passage systémique de 50 % à 80 %. Ne pas dépasser la posologie recommandée. Première prescription : examen ophtalmologique complet (PIO, angle, fond d'œil, CV).</w:t>
      </w:r>
    </w:p>
    <w:p>
      <w:pPr>
        <w:pStyle w:val="ListBullet"/>
      </w:pPr>
      <w:r>
        <w:t>Conduite à Tenir : En cas de brûlure oculaire persistante ou de conjonctivite : arrêt du collyre, consultation ophtalmologique (changement de molécule ou de classe — analogues des prostaglandines). En cas de signes systémiques (bradycardie, dyspnée sifflante) : arrêt immédiat, avis cardiologique ou pneumologique.</w:t>
      </w:r>
    </w:p>
    <w:p>
      <w:r/>
      <w:r>
        <w:rPr>
          <w:b/>
        </w:rPr>
        <w:t>Interactions Importantes :</w:t>
      </w:r>
      <w:r/>
    </w:p>
    <w:p>
      <w:pPr>
        <w:pStyle w:val="ListBullet"/>
      </w:pPr>
      <w:r>
        <w:t>Bétaxolol collyre + Adrénaline (épinéphrine) collyre : risque de mydriase paradoxale et d'HTA.</w:t>
      </w:r>
    </w:p>
    <w:p>
      <w:pPr>
        <w:pStyle w:val="ListBullet"/>
      </w:pPr>
      <w:r>
        <w:t>Bétaxolol collyre + β-bloquant systémique : effet additif bradycardisant — surveillance FC.</w:t>
      </w:r>
    </w:p>
    <w:p>
      <w:pPr>
        <w:pStyle w:val="ListBullet"/>
      </w:pPr>
      <w:r>
        <w:t>Bétaxolol collyre + Inhibiteurs calciques systémiques : effet additif sur conduction AV.</w:t>
      </w:r>
    </w:p>
    <w:p>
      <w:pPr>
        <w:pStyle w:val="ListBullet"/>
      </w:pPr>
      <w:r>
        <w:t>Bétaxolol collyre + autres collyres antiglaucomateux : espacer les instillations de 5 minutes minimum.</w:t>
      </w:r>
    </w:p>
    <w:p>
      <w:r/>
      <w:r>
        <w:rPr>
          <w:b/>
        </w:rPr>
        <w:t>Grossesse et Allaitement :</w:t>
      </w:r>
      <w:r/>
    </w:p>
    <w:p>
      <w:pPr>
        <w:pStyle w:val="ListBullet"/>
      </w:pPr>
      <w:r>
        <w:t>Grossesse : À éviter par mesure de précaution (données limitées) — préférer les analogues des prostaglandines (latanoprost) ou la brimonidine. Si indispensable : compatible selon le CRAT, en seconde intention.</w:t>
      </w:r>
    </w:p>
    <w:p>
      <w:pPr>
        <w:pStyle w:val="ListBullet"/>
      </w:pPr>
      <w:r>
        <w:t>Allaitement : Compatible (faible passage systémique).</w:t>
      </w:r>
    </w:p>
    <w:p>
      <w:pPr>
        <w:pStyle w:val="ListBullet"/>
      </w:pPr>
      <w:r>
        <w:t>Précautions : Surveillance néonatale si traitement maternel en cours à l'accouchement.</w:t>
      </w:r>
    </w:p>
    <w:p>
      <w:r/>
      <w:r>
        <w:rPr>
          <w:b/>
        </w:rPr>
        <w:t>Posologie et Mode d'administration (Standard) :</w:t>
      </w:r>
      <w:r/>
    </w:p>
    <w:p>
      <w:pPr>
        <w:pStyle w:val="ListBullet"/>
      </w:pPr>
      <w:r>
        <w:t>Adulte : 1 goutte de collyre 0,5 % x 2/j dans chaque œil (matin et soir, à 12 h d'intervalle).</w:t>
      </w:r>
    </w:p>
    <w:p>
      <w:pPr>
        <w:pStyle w:val="ListBullet"/>
      </w:pPr>
      <w:r>
        <w:t>Sujet âgé : posologie identique, mais surveillance cardiorespiratoire renforcée.</w:t>
      </w:r>
    </w:p>
    <w:p>
      <w:pPr>
        <w:pStyle w:val="ListBullet"/>
      </w:pPr>
      <w:r>
        <w:t>Enfant : non recommandé &lt; 12 ans.</w:t>
      </w:r>
    </w:p>
    <w:p>
      <w:pPr>
        <w:pStyle w:val="ListBullet"/>
      </w:pPr>
      <w:r>
        <w:t>Durée : au long cours (traitement chronique du glaucome).</w:t>
      </w:r>
    </w:p>
    <w:p>
      <w:pPr>
        <w:pStyle w:val="ListBullet"/>
      </w:pPr>
      <w:r>
        <w:t>Mode d'administration : Lavage des mains ; basculer la tête en arrière ; tirer délicatement la paupière inférieure vers le bas pour former un cul-de-sac conjonctival ; instiller une goutte sans toucher l'œil avec l'embout ; relâcher la paupière ; fermer l'œil 1 min ; occlusion nasolacrymale 1 min ; essuyer l'excès.</w:t>
      </w:r>
    </w:p>
    <w:p>
      <w:r/>
      <w:r>
        <w:rPr>
          <w:b/>
        </w:rPr>
        <w:t>Arbitrage et Bénéfices des Formes Galéniques :</w:t>
      </w:r>
      <w:r/>
    </w:p>
    <w:p>
      <w:r>
        <w:t xml:space="preserve">Forme collyre unique à 0,5 %. Le flacon de 5 mL correspond à environ 100 gouttes (≈ 50 jours de traitement à 2 gouttes/j). Conservation à température &lt; 25 °C après ouverture (≤ 1 mois). Alternative de la forme suspensions (BETOPTIC-S, non disponible en Algérie) avec tolérance locale supérieure. Comparé au timolol, le bétaxolol est </w:t>
      </w:r>
      <w:r>
        <w:rPr>
          <w:b/>
        </w:rPr>
        <w:t>moins puissant</w:t>
      </w:r>
      <w:r>
        <w:t xml:space="preserve"> sur la PIO (-20 % vs -30 %) mais </w:t>
      </w:r>
      <w:r>
        <w:rPr>
          <w:b/>
        </w:rPr>
        <w:t>mieux toléré</w:t>
      </w:r>
      <w:r>
        <w:t xml:space="preserve"> respiratoirement — choix privilégié chez le patient glaucomateux asthmatique ou BPCO.</w:t>
      </w:r>
    </w:p>
    <w:p>
      <w:r/>
      <w:r>
        <w:rPr>
          <w:b/>
        </w:rPr>
        <w:t>Instructions et Conseils au Patient :</w:t>
      </w:r>
      <w:r/>
    </w:p>
    <w:p>
      <w:pPr>
        <w:pStyle w:val="ListBullet"/>
      </w:pPr>
      <w:r>
        <w:t>Communication au comptoir : « Ce collyre fait baisser la pression dans votre œil en réduisant la production de liquide. Mettez une goutte matin et soir dans chaque œil. Appuyez avec le doigt sur le coin interne de l'œil pendant une minute après la goutte — cela évite que le médicament passe dans le sang. Ne touchez pas l'œil avec l'embout. Si vous êtes asthmatique, prévenez votre médecin et votre pharmacien. »</w:t>
      </w:r>
    </w:p>
    <w:p>
      <w:pPr>
        <w:pStyle w:val="ListBullet"/>
      </w:pPr>
      <w:r>
        <w:t>Mode d'utilisation pratique : Lavage des mains ; instillation ; fermeture palpébrale 1 min ; occlusion nasolacrymale 1 min. Si plusieurs collyres : espacer de 5 minutes. Jeter le flacon 1 mois après ouverture. Renouveler l'ordonnance tous les 6 mois avec contrôle ophtalmologique annuel minimum (PIO, fond d'œil, champ visuel).</w:t>
      </w:r>
    </w:p>
    <w:p>
      <w:r/>
      <w:r>
        <w:rPr>
          <w:b/>
        </w:rPr>
        <w:t>Notes, Règles d'Or &amp; Pièges au Comptoir :</w:t>
      </w:r>
      <w:r/>
    </w:p>
    <w:p>
      <w:pPr>
        <w:pStyle w:val="ListBullet"/>
      </w:pPr>
      <w:r>
        <w:t>Piège classique : oubli d'interrogatoire respiratoire — un asthmatique instable ne doit pas recevoir de bêtabloquant en collyre sans avis pneumologique ; non-respect de l'occlusion nasolacrymale → passage systémique → bradycardie ; porteurs de lentilles de contact → retirer avant instillation, attendre 15 min avant remise.</w:t>
      </w:r>
    </w:p>
    <w:p>
      <w:pPr>
        <w:pStyle w:val="ListBullet"/>
      </w:pPr>
      <w:r>
        <w:t>Règle de prise : 2 instillations/j à 12 h d'intervalle, à heures fixes.</w:t>
      </w:r>
    </w:p>
    <w:p>
      <w:pPr>
        <w:pStyle w:val="ListBullet"/>
      </w:pPr>
      <w:r>
        <w:t>Préparation et Conservation : flacon fermé &lt; 25 °C ; après ouverture : conservation ≤ 30 jours (risque de contamination microbienne).</w:t>
      </w:r>
    </w:p>
    <w:p>
      <w:pPr>
        <w:pStyle w:val="ListBullet"/>
      </w:pPr>
      <w:r>
        <w:t>Piège du surdosage / Substitution : en cas de substitution bétaxolol → timolol, surveillance respiratoire (timolol non cardiosélectif). Ne pas associer deux β-bloquants ophtalmiques. En cas d'oubli &gt; 2 h : ne pas doubler la goutte.</w:t>
      </w:r>
    </w:p>
    <w:p>
      <w:pPr>
        <w:pStyle w:val="Heading2"/>
      </w:pPr>
      <w:r>
        <w:t>Sous-classe : Bêtabloquants cardiosélectifs avec Activité Sympathomimétique Intrinsèque (ASI/ISA)</w:t>
      </w:r>
    </w:p>
    <w:p>
      <w:r>
        <w:t>Cette sous-classe se distingue des cardiosélectifs purs par la propriété d'</w:t>
      </w:r>
      <w:r>
        <w:rPr>
          <w:b/>
        </w:rPr>
        <w:t>agonisme partiel</w:t>
      </w:r>
      <w:r>
        <w:t xml:space="preserve"> sur le récepteur β1. Les β-bloquants avec ISA (acébutolol, pindolol, célp rolol) se comportent comme des </w:t>
      </w:r>
      <w:r>
        <w:rPr>
          <w:b/>
        </w:rPr>
        <w:t>antagonistes partiels</w:t>
      </w:r>
      <w:r>
        <w:t xml:space="preserve"> : ils bloquent l'effet de l'adrénaline endogène mais exercent un faible agonisme intrinsèque. Cette propriété se traduit par :</w:t>
      </w:r>
    </w:p>
    <w:p>
      <w:pPr>
        <w:pStyle w:val="ListBullet"/>
      </w:pPr>
      <w:r>
        <w:t xml:space="preserve">Une </w:t>
      </w:r>
      <w:r>
        <w:rPr>
          <w:b/>
        </w:rPr>
        <w:t>bradycardie moins marquée</w:t>
      </w:r>
      <w:r>
        <w:t xml:space="preserve"> (la fréquence cardiaque au repos baisse moins, préservant le débit cardiaque) — utile chez le sujet bradycarde par nature ou sportif.</w:t>
      </w:r>
    </w:p>
    <w:p>
      <w:pPr>
        <w:pStyle w:val="ListBullet"/>
      </w:pPr>
      <w:r>
        <w:t xml:space="preserve">Un </w:t>
      </w:r>
      <w:r>
        <w:rPr>
          <w:b/>
        </w:rPr>
        <w:t>moindre effet sur les extrémités</w:t>
      </w:r>
      <w:r>
        <w:t xml:space="preserve"> (moins de syndrome de Raynaud, moins de froid des doigts).</w:t>
      </w:r>
    </w:p>
    <w:p>
      <w:pPr>
        <w:pStyle w:val="ListBullet"/>
      </w:pPr>
      <w:r>
        <w:t xml:space="preserve">Un </w:t>
      </w:r>
      <w:r>
        <w:rPr>
          <w:b/>
        </w:rPr>
        <w:t>profil lipidique moins perturbé</w:t>
      </w:r>
      <w:r>
        <w:t xml:space="preserve"> (moins de hausse des triglycérides).</w:t>
      </w:r>
    </w:p>
    <w:p>
      <w:pPr>
        <w:pStyle w:val="ListBullet"/>
      </w:pPr>
      <w:r>
        <w:t xml:space="preserve">Une </w:t>
      </w:r>
      <w:r>
        <w:rPr>
          <w:b/>
        </w:rPr>
        <w:t>moins bonne réduction de la mortalité post-IDM et dans l'ICC</w:t>
      </w:r>
      <w:r>
        <w:t xml:space="preserve"> (l'ASI atténue le bénéfice cardioprotecteur) — d'où non-recommandation dans l'ICC et le post-IDM.</w:t>
      </w:r>
    </w:p>
    <w:p>
      <w:r>
        <w:t>En Algérie, seul l'</w:t>
      </w:r>
      <w:r>
        <w:rPr>
          <w:b/>
        </w:rPr>
        <w:t>acébutolol</w:t>
      </w:r>
      <w:r>
        <w:t xml:space="preserve"> appartient à cette sous-classe.</w:t>
      </w:r>
    </w:p>
    <w:p>
      <w:pPr>
        <w:pStyle w:val="Heading3"/>
      </w:pPr>
      <w:r>
        <w:t>5. DCI : Acébutolol (Seule)</w:t>
      </w:r>
    </w:p>
    <w:p>
      <w:r/>
      <w:r>
        <w:rPr>
          <w:b/>
        </w:rPr>
        <w:t>Liste des Catégories :</w:t>
      </w:r>
      <w:r>
        <w:t xml:space="preserve"> Bêtabloquants cardiosélectifs avec activité sympathomimétique intrinsèque (ASI/ISA) ; Antihypertenseur ; Antiarythmique de classe II.</w:t>
      </w:r>
    </w:p>
    <w:p>
      <w:r>
        <w:t xml:space="preserve">L'acébutolol est un β-bloquant cardiosélectif (β1/β2 ≈ 5, modérément sélectif) avec une </w:t>
      </w:r>
      <w:r>
        <w:rPr>
          <w:b/>
        </w:rPr>
        <w:t>activité sympathomimétique intrinsèque (ASI) modérée</w:t>
      </w:r>
      <w:r>
        <w:t xml:space="preserve">. Cette propriété d'agoniste partiel en fait une molécule relativement bien tolérée : la bradycardie est moins marquée qu'avec l'aténolol ou le bisoprolol (baisse moyenne de la FC au repos : seulement 8–12 bpm vs 15–20 bpm avec un β-bloquant classique), le syndrome de Raynaud est rare, et le profil lipidique est moins altéré. L'acébutolol est </w:t>
      </w:r>
      <w:r>
        <w:rPr>
          <w:b/>
        </w:rPr>
        <w:t>liposoluble</w:t>
      </w:r>
      <w:r>
        <w:t xml:space="preserve"> (passage BHE possible, métabolisme hépatique), avec une </w:t>
      </w:r>
      <w:r>
        <w:rPr>
          <w:b/>
        </w:rPr>
        <w:t>demi-vie plasmatique courte de 3–4 heures</w:t>
      </w:r>
      <w:r>
        <w:t xml:space="preserve"> mais son métabolite actif, le </w:t>
      </w:r>
      <w:r>
        <w:rPr>
          <w:b/>
        </w:rPr>
        <w:t>diacébutolol</w:t>
      </w:r>
      <w:r>
        <w:t xml:space="preserve">, a une demi-vie de 10–12 heures, justifiant une administration biquotidienne (400 mg/j en 2 prises). Sa prescription en Algérie reste fréquente, notamment dans l'HTA du sujet âgé bradycarde, les troubles du rythme bénins (ESV, tachycardie sinusale inappropriée), en raison de sa bonne tolérance. Cependant, en raison de l'ASI, il n'est </w:t>
      </w:r>
      <w:r>
        <w:rPr>
          <w:b/>
        </w:rPr>
        <w:t>pas indiqué dans l'ICC</w:t>
      </w:r>
      <w:r>
        <w:t xml:space="preserve"> ni en post-IDM (bénéfice cardioprotecteur atténué).</w:t>
      </w:r>
    </w:p>
    <w:p>
      <w:r/>
      <w:r>
        <w:rPr>
          <w:b/>
        </w:rPr>
        <w:t>Médicaments disponibles en Algérie (Marques, Laboratoires, Formes et Dosages) :</w:t>
      </w:r>
      <w:r/>
    </w:p>
    <w:p>
      <w:r>
        <w:t>Forme 200 mg :</w:t>
      </w:r>
    </w:p>
    <w:p>
      <w:pPr>
        <w:pStyle w:val="ListBullet"/>
      </w:pPr>
      <w:r/>
      <w:r>
        <w:rPr>
          <w:b/>
        </w:rPr>
        <w:t>ACEBUTOLOL IVAL</w:t>
      </w:r>
      <w:r>
        <w:t xml:space="preserve"> (WORLD MEDECINE LIMITED / PHARMA IVAL) — Comprimé pelliculé sécable 200 mg (B/30) — Actif</w:t>
      </w:r>
    </w:p>
    <w:p>
      <w:pPr>
        <w:pStyle w:val="ListBullet"/>
      </w:pPr>
      <w:r/>
      <w:r>
        <w:rPr>
          <w:b/>
        </w:rPr>
        <w:t>CARDITAL</w:t>
      </w:r>
      <w:r>
        <w:t xml:space="preserve"> (GROUPE SAIDAL) — Comprimé pelliculé 200 mg (B/30) — Actif</w:t>
      </w:r>
    </w:p>
    <w:p>
      <w:pPr>
        <w:pStyle w:val="ListBullet"/>
      </w:pPr>
      <w:r/>
      <w:r>
        <w:rPr>
          <w:b/>
        </w:rPr>
        <w:t>CLOXTON</w:t>
      </w:r>
      <w:r>
        <w:t xml:space="preserve"> (BIOGALENIC) — Comprimé pelliculé sécable 200 mg (B/20) — Actif</w:t>
      </w:r>
    </w:p>
    <w:p>
      <w:pPr>
        <w:pStyle w:val="ListBullet"/>
      </w:pPr>
      <w:r/>
      <w:r>
        <w:rPr>
          <w:b/>
        </w:rPr>
        <w:t>SEBUTOL</w:t>
      </w:r>
      <w:r>
        <w:t xml:space="preserve"> (LABORATOIRES MERINAL) — Comprimé pelliculé 200 mg (B/30) — Actif</w:t>
      </w:r>
    </w:p>
    <w:p>
      <w:pPr>
        <w:pStyle w:val="ListBullet"/>
      </w:pPr>
      <w:r/>
      <w:r>
        <w:rPr>
          <w:b/>
        </w:rPr>
        <w:t>ACEBUTOLOL SANDOZ</w:t>
      </w:r>
      <w:r>
        <w:t xml:space="preserve"> (SANDOZ SPA) — Comprimé pelliculé 200 mg (B/30) — Non Renouvelable</w:t>
      </w:r>
    </w:p>
    <w:p>
      <w:pPr>
        <w:pStyle w:val="ListBullet"/>
      </w:pPr>
      <w:r/>
      <w:r>
        <w:rPr>
          <w:b/>
        </w:rPr>
        <w:t>CARDITAL</w:t>
      </w:r>
      <w:r>
        <w:t xml:space="preserve"> (GROUPE SAIDAL) — Comprimé 200 mg (B/20) — Non Renouvelable</w:t>
      </w:r>
    </w:p>
    <w:p>
      <w:pPr>
        <w:pStyle w:val="ListBullet"/>
      </w:pPr>
      <w:r/>
      <w:r>
        <w:rPr>
          <w:b/>
        </w:rPr>
        <w:t>SECTRAL</w:t>
      </w:r>
      <w:r>
        <w:t xml:space="preserve"> (WINTHROP PHARMA SAIDAL S.P.A.) — Comprimé pelliculé sécable 200 mg (B/30) — Non Renouvelable</w:t>
      </w:r>
    </w:p>
    <w:p>
      <w:pPr>
        <w:pStyle w:val="ListBullet"/>
      </w:pPr>
      <w:r/>
      <w:r>
        <w:rPr>
          <w:b/>
        </w:rPr>
        <w:t>ACETRAL</w:t>
      </w:r>
      <w:r>
        <w:t xml:space="preserve"> (SOPHAL) — Comprimé 200 mg (B/20) — Retiré (R)</w:t>
      </w:r>
    </w:p>
    <w:p>
      <w:pPr>
        <w:pStyle w:val="ListBullet"/>
      </w:pPr>
      <w:r/>
      <w:r>
        <w:rPr>
          <w:b/>
        </w:rPr>
        <w:t>CARDIOL</w:t>
      </w:r>
      <w:r>
        <w:t xml:space="preserve"> (BIOPHARM ALGERIE) — Comprimé 200 mg (B/30) — Retiré (R)</w:t>
      </w:r>
    </w:p>
    <w:p>
      <w:pPr>
        <w:pStyle w:val="ListBullet"/>
      </w:pPr>
      <w:r/>
      <w:r>
        <w:rPr>
          <w:b/>
        </w:rPr>
        <w:t>ACEBUTOLOL UPC</w:t>
      </w:r>
      <w:r>
        <w:t xml:space="preserve"> (UNION PHARMACEUTIQUE CONSTANTINOISE) — Comprimé pelliculé 200 mg (B/30) — Retiré (R)</w:t>
      </w:r>
    </w:p>
    <w:p>
      <w:pPr>
        <w:pStyle w:val="ListBullet"/>
      </w:pPr>
      <w:r/>
      <w:r>
        <w:rPr>
          <w:b/>
        </w:rPr>
        <w:t>CROTOLOL</w:t>
      </w:r>
      <w:r>
        <w:t xml:space="preserve"> (CROVIS PHILCOM) — Comprimé pelliculé 200 mg (B/20) — Retiré (R)</w:t>
      </w:r>
    </w:p>
    <w:p>
      <w:pPr>
        <w:pStyle w:val="ListBullet"/>
      </w:pPr>
      <w:r/>
      <w:r>
        <w:rPr>
          <w:b/>
        </w:rPr>
        <w:t>ALBUTOL</w:t>
      </w:r>
      <w:r>
        <w:t xml:space="preserve"> (ALPHARM SPA) — Comprimé pelliculé 200 mg (B/20) — Retiré (R)</w:t>
      </w:r>
    </w:p>
    <w:p>
      <w:pPr>
        <w:pStyle w:val="ListBullet"/>
      </w:pPr>
      <w:r/>
      <w:r>
        <w:rPr>
          <w:b/>
        </w:rPr>
        <w:t>ACEBUTOLOL BIOGARAN</w:t>
      </w:r>
      <w:r>
        <w:t xml:space="preserve"> (BIOGARAN) — Comprimé pelliculé 200 mg (B/20) — Retiré (R)</w:t>
      </w:r>
    </w:p>
    <w:p>
      <w:pPr>
        <w:pStyle w:val="ListBullet"/>
      </w:pPr>
      <w:r/>
      <w:r>
        <w:rPr>
          <w:b/>
        </w:rPr>
        <w:t>SECTRAMED</w:t>
      </w:r>
      <w:r>
        <w:t xml:space="preserve"> (SANAMED) — Comprimé pelliculé 200 mg (B/20) — Retiré (R)</w:t>
      </w:r>
    </w:p>
    <w:p>
      <w:pPr>
        <w:pStyle w:val="ListBullet"/>
      </w:pPr>
      <w:r/>
      <w:r>
        <w:rPr>
          <w:b/>
        </w:rPr>
        <w:t>ACEBUTOLOL MERCK</w:t>
      </w:r>
      <w:r>
        <w:t xml:space="preserve"> (MERCK GENERIQUES) — Comprimé pelliculé sécable 200 mg (B/30) — Retiré (R)</w:t>
      </w:r>
    </w:p>
    <w:p>
      <w:pPr>
        <w:pStyle w:val="ListBullet"/>
      </w:pPr>
      <w:r/>
      <w:r>
        <w:rPr>
          <w:b/>
        </w:rPr>
        <w:t>ACEBUTOLOL G GAM</w:t>
      </w:r>
      <w:r>
        <w:t xml:space="preserve"> (G GAM) — Comprimé pelliculé 200 mg (B/30) — Retiré (R)</w:t>
      </w:r>
    </w:p>
    <w:p>
      <w:r>
        <w:t>Forme 400 mg :</w:t>
      </w:r>
    </w:p>
    <w:p>
      <w:pPr>
        <w:pStyle w:val="ListBullet"/>
      </w:pPr>
      <w:r/>
      <w:r>
        <w:rPr>
          <w:b/>
        </w:rPr>
        <w:t>ACEBUTOLOL IVAL</w:t>
      </w:r>
      <w:r>
        <w:t xml:space="preserve"> (PHARMA IVAL) — Comprimé pelliculé 400 mg (B/30) — Non Renouvelable</w:t>
      </w:r>
    </w:p>
    <w:p>
      <w:pPr>
        <w:pStyle w:val="ListBullet"/>
      </w:pPr>
      <w:r/>
      <w:r>
        <w:rPr>
          <w:b/>
        </w:rPr>
        <w:t>SECTRAL</w:t>
      </w:r>
      <w:r>
        <w:t xml:space="preserve"> (WINTHROP PHARMA SAIDAL S.P.A.) — Comprimé pelliculé sécable 400 mg (B/30) — Non Renouvelable</w:t>
      </w:r>
    </w:p>
    <w:p>
      <w:pPr>
        <w:pStyle w:val="ListBullet"/>
      </w:pPr>
      <w:r/>
      <w:r>
        <w:rPr>
          <w:b/>
        </w:rPr>
        <w:t>CROTOLOL</w:t>
      </w:r>
      <w:r>
        <w:t xml:space="preserve"> (CROVIS PHILCOM) — Comprimé 400 mg (B/30) — Retiré (R)</w:t>
      </w:r>
    </w:p>
    <w:p>
      <w:pPr>
        <w:pStyle w:val="ListBullet"/>
      </w:pPr>
      <w:r/>
      <w:r>
        <w:rPr>
          <w:b/>
        </w:rPr>
        <w:t>ACEBUTOLOL LOGOGEN</w:t>
      </w:r>
      <w:r>
        <w:t xml:space="preserve"> (ITALFARMACO S.A) — Comprimé 400 mg (B/56) — Retiré (R)</w:t>
      </w:r>
    </w:p>
    <w:p>
      <w:pPr>
        <w:pStyle w:val="ListBullet"/>
      </w:pPr>
      <w:r/>
      <w:r>
        <w:rPr>
          <w:b/>
        </w:rPr>
        <w:t>ACEBUTOLOL BIOGARAN</w:t>
      </w:r>
      <w:r>
        <w:t xml:space="preserve"> (BIOGARAN) — Comprimé pelliculé 400 mg (B/30) — Retiré (R)</w:t>
      </w:r>
    </w:p>
    <w:p>
      <w:pPr>
        <w:pStyle w:val="ListBullet"/>
      </w:pPr>
      <w:r/>
      <w:r>
        <w:rPr>
          <w:b/>
        </w:rPr>
        <w:t>CARDIOL</w:t>
      </w:r>
      <w:r>
        <w:t xml:space="preserve"> (BIOPHARM) — Comprimé enrobé sécable 400 mg (B/30) — Retiré (R)</w:t>
      </w:r>
    </w:p>
    <w:p>
      <w:pPr>
        <w:pStyle w:val="ListBullet"/>
      </w:pPr>
      <w:r/>
      <w:r>
        <w:rPr>
          <w:b/>
        </w:rPr>
        <w:t>ACEBUTOLOL MERCK</w:t>
      </w:r>
      <w:r>
        <w:t xml:space="preserve"> (MERCK GENERIQUES) — Comprimé pelliculé sécable 400 mg (B/30) — Retiré (R)</w:t>
      </w:r>
    </w:p>
    <w:p>
      <w:r/>
      <w:r>
        <w:rPr>
          <w:b/>
        </w:rPr>
        <w:t>Sous-classe et Mécanisme d'action :</w:t>
      </w:r>
      <w:r/>
    </w:p>
    <w:p>
      <w:pPr>
        <w:pStyle w:val="ListBullet"/>
      </w:pPr>
      <w:r>
        <w:t xml:space="preserve">Sous-classe : β-bloquant cardiosélectif (β1/β2 ≈ 5) avec </w:t>
      </w:r>
      <w:r>
        <w:rPr>
          <w:b/>
        </w:rPr>
        <w:t>activité sympathomimétique intrinsèque (ASI) modérée</w:t>
      </w:r>
      <w:r>
        <w:t xml:space="preserve"> ; liposoluble.</w:t>
      </w:r>
    </w:p>
    <w:p>
      <w:pPr>
        <w:pStyle w:val="ListBullet"/>
      </w:pPr>
      <w:r>
        <w:t xml:space="preserve">Mécanisme d'action : L'acébutolol est un </w:t>
      </w:r>
      <w:r>
        <w:rPr>
          <w:b/>
        </w:rPr>
        <w:t>antagoniste partiel</w:t>
      </w:r>
      <w:r>
        <w:t xml:space="preserve"> des récepteurs β1 : il bloque l'effet de l'adrénaline endogène (compétition avec le ligand naturel) mais exerce lui-même un faible agonisme intrinsèque (effet β-stimulant résiduel ~ 10 %). Cette ASI limite la baisse excessive de la fréquence cardiaque au repos (préservation du débit cardiaque) et atténue les effets indésirables vasoconstricteurs (syndrome de Raynaud, froid des extrémités). Le blocage compétitif des récepteurs β1 cardiaques et juxtaglomérulaires entraîne néanmoins une baisse de la PA (effet antihypertenseur), une réduction de la fréquence cardiaque d'effort (effet anti-angoreux) et un ralentissement de la conduction AV (effet antiarythmique). Métabolisme hépatique en diacébutolol (métabolite actif ASI), élimination rénale mixte (40 % inchangé + 60 % métabolites).</w:t>
      </w:r>
    </w:p>
    <w:p>
      <w:r/>
      <w:r>
        <w:rPr>
          <w:b/>
        </w:rPr>
        <w:t>Profil Pharmacologique :</w:t>
      </w:r>
      <w:r/>
    </w:p>
    <w:p>
      <w:pPr>
        <w:pStyle w:val="ListBullet"/>
      </w:pPr>
      <w:r>
        <w:t>Indications : HTA (surtout sujet âgé bradycarde) ; troubles du rythme bénins (ESV, tachycardie sinusale inappropriée) ; angor stable. Pas d'indication dans l'ICC ni en post-IDM (ASI atténue le bénéfice). Posologie 200 mg x 2/j (matin et soir) ou 400 mg en une prise LP si disponible.</w:t>
      </w:r>
    </w:p>
    <w:p>
      <w:pPr>
        <w:pStyle w:val="ListBullet"/>
      </w:pPr>
      <w:r>
        <w:t>Contre-indications : Asthme/BPCO sévères ; BAV 2e/3e non appareillé ; bradycardie &lt; 50 ; choc cardiogénique ; ICC décompensée ; phéochromocytome non traité ; hypersensibilité.</w:t>
      </w:r>
    </w:p>
    <w:p>
      <w:pPr>
        <w:pStyle w:val="ListBullet"/>
      </w:pPr>
      <w:r>
        <w:t>Effets Indésirables : Bradycardie (modérée), hypotension, asthénie, troubles du sommeil (liposolubilité), syndrome de Raynaud (rare), troubles digestifs, dysfonction érectile, masquage hypoglycémie, rash cutané, positivité des anticorps antinucléaires (lupus induit — rare mais classique avec acébutolol).</w:t>
      </w:r>
    </w:p>
    <w:p>
      <w:r/>
      <w:r>
        <w:rPr>
          <w:b/>
        </w:rPr>
        <w:t>Prévention et Gestion des Effets Indésirables :</w:t>
      </w:r>
      <w:r/>
    </w:p>
    <w:p>
      <w:pPr>
        <w:pStyle w:val="ListBullet"/>
      </w:pPr>
      <w:r>
        <w:t>Mesures Préventives : Surveillance FC (cible : 55–60 bpm au repos), PA, ECG. Dosage créatinine, kaliémie. Interrogatoire asthme/BPCO. Chez le sujet âgé : dose initiale réduite (200 mg/j). Information sur le risque de lupus induit (rare mais à connaître : arthralgies, rash, photosensibilité — surveillance clinique).</w:t>
      </w:r>
    </w:p>
    <w:p>
      <w:pPr>
        <w:pStyle w:val="ListBullet"/>
      </w:pPr>
      <w:r>
        <w:t>Conduite à Tenir : En cas de bradycardie symptomatique : atropine IV, glucagon IV. En cas de suspicion de lupus induit : arrêt de l'acébutolol, bilan immunologique (AAN, anti-DNA natif, anti-histones), changement de classe.</w:t>
      </w:r>
    </w:p>
    <w:p>
      <w:r/>
      <w:r>
        <w:rPr>
          <w:b/>
        </w:rPr>
        <w:t>Interactions Importantes :</w:t>
      </w:r>
      <w:r/>
    </w:p>
    <w:p>
      <w:pPr>
        <w:pStyle w:val="ListBullet"/>
      </w:pPr>
      <w:r>
        <w:t>Acébutolol + Vérapamil/Diltiazem : CI absolue.</w:t>
      </w:r>
    </w:p>
    <w:p>
      <w:pPr>
        <w:pStyle w:val="ListBullet"/>
      </w:pPr>
      <w:r>
        <w:t>Acébutolol + Amiodarone : bradycardie additive.</w:t>
      </w:r>
    </w:p>
    <w:p>
      <w:pPr>
        <w:pStyle w:val="ListBullet"/>
      </w:pPr>
      <w:r>
        <w:t>Acébutolol + Insuline : masquage hypoglycémie.</w:t>
      </w:r>
    </w:p>
    <w:p>
      <w:pPr>
        <w:pStyle w:val="ListBullet"/>
      </w:pPr>
      <w:r>
        <w:t>Acébutolol + IMAO : potentialisation hypotensive.</w:t>
      </w:r>
    </w:p>
    <w:p>
      <w:r/>
      <w:r>
        <w:rPr>
          <w:b/>
        </w:rPr>
        <w:t>Grossesse et Allaitement :</w:t>
      </w:r>
      <w:r/>
    </w:p>
    <w:p>
      <w:pPr>
        <w:pStyle w:val="ListBullet"/>
      </w:pPr>
      <w:r>
        <w:t>Grossesse : Compatible selon CRAT si indication maternelle. Préférer métoprolol ou labétalol en première intention.</w:t>
      </w:r>
    </w:p>
    <w:p>
      <w:pPr>
        <w:pStyle w:val="ListBullet"/>
      </w:pPr>
      <w:r>
        <w:t>Allaitement : Compatible (faible passage lacté).</w:t>
      </w:r>
    </w:p>
    <w:p>
      <w:pPr>
        <w:pStyle w:val="ListBullet"/>
      </w:pPr>
      <w:r>
        <w:t>Précautions : Surveillance néonatale.</w:t>
      </w:r>
    </w:p>
    <w:p>
      <w:r/>
      <w:r>
        <w:rPr>
          <w:b/>
        </w:rPr>
        <w:t>Posologie et Mode d'administration (Standard) :</w:t>
      </w:r>
      <w:r/>
    </w:p>
    <w:p>
      <w:pPr>
        <w:pStyle w:val="ListBullet"/>
      </w:pPr>
      <w:r>
        <w:t>Adulte : 200 mg x 2/j (matin et soir) ou 400 mg/j en une prise (forme LP) — dose maximale 800 mg/j.</w:t>
      </w:r>
    </w:p>
    <w:p>
      <w:pPr>
        <w:pStyle w:val="ListBullet"/>
      </w:pPr>
      <w:r>
        <w:t>Sujet âgé : 200 mg/j (1 prise le matin) ; augmentation à 400 mg/j si nécessaire.</w:t>
      </w:r>
    </w:p>
    <w:p>
      <w:pPr>
        <w:pStyle w:val="ListBullet"/>
      </w:pPr>
      <w:r>
        <w:t>Insuffisance rénale : ClCr 30–60 mL/min : 200 mg x 2/j ; ClCr &lt; 30 : 200 mg/j.</w:t>
      </w:r>
    </w:p>
    <w:p>
      <w:pPr>
        <w:pStyle w:val="ListBullet"/>
      </w:pPr>
      <w:r>
        <w:t>Durée : au long cours.</w:t>
      </w:r>
    </w:p>
    <w:p>
      <w:pPr>
        <w:pStyle w:val="ListBullet"/>
      </w:pPr>
      <w:r>
        <w:t>Moment de prise : matin et soir (à 12 h d'intervalle) pour la forme classique ; matin pour la forme LP.</w:t>
      </w:r>
    </w:p>
    <w:p>
      <w:r/>
      <w:r>
        <w:rPr>
          <w:b/>
        </w:rPr>
        <w:t>Arbitrage et Bénéfices des Formes Galéniques :</w:t>
      </w:r>
      <w:r/>
    </w:p>
    <w:p>
      <w:r>
        <w:t>Forme orale 200 et 400 mg, comprimés sécables permettant adaptation posologique. La forme LP (disponible historiquement en France sous Sectral LP 300 mg) n'est pas disponible en Algérie — d'où la nécessité d'une biquotidienne. La diversité des laboratoires actifs (4 marques : ACEBUTOLOL IVAL, CARDITAL, CLOXTON, SEBUTOL) assure la disponibilité. Le dosage à 400 mg permet une monoprise ou biquotidienne à dose élevée.</w:t>
      </w:r>
    </w:p>
    <w:p>
      <w:r/>
      <w:r>
        <w:rPr>
          <w:b/>
        </w:rPr>
        <w:t>Instructions et Conseils au Patient :</w:t>
      </w:r>
      <w:r/>
    </w:p>
    <w:p>
      <w:pPr>
        <w:pStyle w:val="ListBullet"/>
      </w:pPr>
      <w:r>
        <w:t>Communication au comptoir : « Ce médicament est un bêtabloquant avec une action douce sur le cœur. Prenez-le matin et soir à heure fixe. Ne l'arrêtez jamais brutalement. Surveillez votre pouls. Si vous avez des douleurs articulaires, une éruption cutanée ou une photosensibilité, prévenez votre médecin. »</w:t>
      </w:r>
    </w:p>
    <w:p>
      <w:pPr>
        <w:pStyle w:val="ListBullet"/>
      </w:pPr>
      <w:r>
        <w:t>Mode d'utilisation pratique : Prise à heures fixes, en dehors des repas. Carnet de surveillance FC/PA.</w:t>
      </w:r>
    </w:p>
    <w:p>
      <w:r/>
      <w:r>
        <w:rPr>
          <w:b/>
        </w:rPr>
        <w:t>Notes, Règles d'Or &amp; Pièges au Comptoir :</w:t>
      </w:r>
      <w:r/>
    </w:p>
    <w:p>
      <w:pPr>
        <w:pStyle w:val="ListBullet"/>
      </w:pPr>
      <w:r>
        <w:t>Piège classique : prescription dans l'ICC ou post-IDM (non indiqué — préférer bisoprolol, métoprolol LP, carvédilol) ; lupus induit méconnu ; arrêt brutal.</w:t>
      </w:r>
    </w:p>
    <w:p>
      <w:pPr>
        <w:pStyle w:val="ListBullet"/>
      </w:pPr>
      <w:r>
        <w:t>Règle de prise : matin et soir, à heure fixe.</w:t>
      </w:r>
    </w:p>
    <w:p>
      <w:pPr>
        <w:pStyle w:val="ListBullet"/>
      </w:pPr>
      <w:r>
        <w:t>Préparation et Conservation : &lt; 25 °C, sec.</w:t>
      </w:r>
    </w:p>
    <w:p>
      <w:pPr>
        <w:pStyle w:val="ListBullet"/>
      </w:pPr>
      <w:r>
        <w:t>Piège du surdosage / Substitution : équivalence : acébutolol 400 mg ≈ aténolol 100 mg ≈ bisoprolol 10 mg. Surveillance ECG et FC lors de substitution.</w:t>
      </w:r>
    </w:p>
    <w:p>
      <w:pPr>
        <w:pStyle w:val="Heading2"/>
      </w:pPr>
      <w:r>
        <w:t>Sous-classe : Bêtabloquants cardiosélectifs avec libération de monoxyde d'azote (NO)</w:t>
      </w:r>
    </w:p>
    <w:p>
      <w:r>
        <w:t xml:space="preserve">Cette sous-classe est représentée exclusivement par le </w:t>
      </w:r>
      <w:r>
        <w:rPr>
          <w:b/>
        </w:rPr>
        <w:t>nébivolol</w:t>
      </w:r>
      <w:r>
        <w:t xml:space="preserve"> — molécule de troisième génération, la plus récente de la classe (commercialisée depuis 1997). Le nébivolol se distingue des autres β-bloquants par sa </w:t>
      </w:r>
      <w:r>
        <w:rPr>
          <w:b/>
        </w:rPr>
        <w:t>double action</w:t>
      </w:r>
      <w:r>
        <w:t xml:space="preserve"> : (1) blocage β1 cardiosélectif de très haute affinité (β1/β2 ≈ 30) ; (2) stimulation de la </w:t>
      </w:r>
      <w:r>
        <w:rPr>
          <w:b/>
        </w:rPr>
        <w:t>NO-synthase endothéliale (eNOS)</w:t>
      </w:r>
      <w:r>
        <w:t xml:space="preserve"> entraînant une </w:t>
      </w:r>
      <w:r>
        <w:rPr>
          <w:b/>
        </w:rPr>
        <w:t>libération locale de monoxyde d'azote (NO)</w:t>
      </w:r>
      <w:r>
        <w:t xml:space="preserve"> → vasodilatation artériolaire et veineuse, amélioration de la fonction endothéliale, baisse des résistances périphériques. Cette vasodilatation NO-dépendante :</w:t>
      </w:r>
    </w:p>
    <w:p>
      <w:pPr>
        <w:pStyle w:val="ListBullet"/>
      </w:pPr>
      <w:r>
        <w:t>Atténue la vasoconstriction réflexe observée avec les autres β-bloquants.</w:t>
      </w:r>
    </w:p>
    <w:p>
      <w:pPr>
        <w:pStyle w:val="ListBullet"/>
      </w:pPr>
      <w:r>
        <w:t>Améliore la compliance artérielle (effet bénéfique sur la pression pulsée).</w:t>
      </w:r>
    </w:p>
    <w:p>
      <w:pPr>
        <w:pStyle w:val="ListBullet"/>
      </w:pPr>
      <w:r>
        <w:t>Préserve le débit cardiaque (effet vasodilatateur compense la baisse d'inotropie).</w:t>
      </w:r>
    </w:p>
    <w:p>
      <w:pPr>
        <w:pStyle w:val="ListBullet"/>
      </w:pPr>
      <w:r>
        <w:t>Réduit les effets indésirables métaboliques (moins de dysfonction érectile, moins de modification du bilan lipidique, moins de diabète incident).</w:t>
      </w:r>
    </w:p>
    <w:p>
      <w:r>
        <w:t>Le nébivolol a l'AMM dans l'IC-FEr chez le sujet âgé (≥ 70 ans) — essai SENIORS (2005), réduction de la mortalité et des hospitalisations. En Algérie, le nébivolol est disponible sous 4 spécialités (3 à 5 mg, 1 à 2,5 mg), dont l'une (NEBCAR 2,5 mg) est spécifiquement destinée à la titration chez le sujet âgé.</w:t>
      </w:r>
    </w:p>
    <w:p>
      <w:pPr>
        <w:pStyle w:val="Heading3"/>
      </w:pPr>
      <w:r>
        <w:t>6. DCI : Nébivolol (Seule)</w:t>
      </w:r>
    </w:p>
    <w:p>
      <w:r/>
      <w:r>
        <w:rPr>
          <w:b/>
        </w:rPr>
        <w:t>Liste des Catégories :</w:t>
      </w:r>
      <w:r>
        <w:t xml:space="preserve"> Bêtabloquants cardiosélectifs avec libération de NO (3e génération) ; Antihypertenseur ; Traitement de l'insuffisance cardiaque chronique stable (sujet ≥ 70 ans, FEVG ≤ 35 %).</w:t>
      </w:r>
    </w:p>
    <w:p>
      <w:r>
        <w:t xml:space="preserve">Le nébivolol est le β-bloquant le plus récent de la classe et représente la </w:t>
      </w:r>
      <w:r>
        <w:rPr>
          <w:b/>
        </w:rPr>
        <w:t>troisième génération</w:t>
      </w:r>
      <w:r>
        <w:t xml:space="preserve">. C'est un </w:t>
      </w:r>
      <w:r>
        <w:rPr>
          <w:b/>
        </w:rPr>
        <w:t>racémique</w:t>
      </w:r>
      <w:r>
        <w:t xml:space="preserve"> constitué de deux énantiomères : le </w:t>
      </w:r>
      <w:r>
        <w:rPr>
          <w:b/>
        </w:rPr>
        <w:t>D-nébivolol</w:t>
      </w:r>
      <w:r>
        <w:t xml:space="preserve"> (dextrorotatoire), responsable du blocage β1 cardiosélectif de très haute affinité (β1/β2 ≈ 30), et le </w:t>
      </w:r>
      <w:r>
        <w:rPr>
          <w:b/>
        </w:rPr>
        <w:t>L-nébivolol</w:t>
      </w:r>
      <w:r>
        <w:t xml:space="preserve"> (lévogyre), qui stimule la </w:t>
      </w:r>
      <w:r>
        <w:rPr>
          <w:b/>
        </w:rPr>
        <w:t>NO-synthase endothéliale (eNOS)</w:t>
      </w:r>
      <w:r>
        <w:t xml:space="preserve"> via une voie impliquant les récepteurs β3-adrénergiques endothéliaux et la voie PI3K/Akt. Le NO libéré active la </w:t>
      </w:r>
      <w:r>
        <w:rPr>
          <w:b/>
        </w:rPr>
        <w:t>guanylate cyclase soluble</w:t>
      </w:r>
      <w:r>
        <w:t xml:space="preserve"> → augmentation du GMPc intracellulaire dans les cellules musculaires lisses vasculaires → activation de la protéine kinase G (PKG) → phosphorylation de la HSP20 et des canaux potassiques → </w:t>
      </w:r>
      <w:r>
        <w:rPr>
          <w:b/>
        </w:rPr>
        <w:t>vasodilatation artériolaire et veineuse</w:t>
      </w:r>
      <w:r>
        <w:t xml:space="preserve">. Cette double action (bloc β1 + libération de NO) en fait le β-bloquant le mieux toléré sur le plan métabolique (effet neutre ou bénéfique sur le profil lipidique, moindre dysfonction érectile, moindre incidence de diabète incident). Sa pharmacogénétique est marquée par un </w:t>
      </w:r>
      <w:r>
        <w:rPr>
          <w:b/>
        </w:rPr>
        <w:t>polymorphisme du CYP2D6</w:t>
      </w:r>
      <w:r>
        <w:t xml:space="preserve"> — les métaboliseurs lents (PM, 7 % de la population) ont une exposition multipliée par 5.</w:t>
      </w:r>
    </w:p>
    <w:p>
      <w:r/>
      <w:r>
        <w:rPr>
          <w:b/>
        </w:rPr>
        <w:t>Médicaments disponibles en Algérie (Marques, Laboratoires, Formes et Dosages) :</w:t>
      </w:r>
      <w:r/>
    </w:p>
    <w:p>
      <w:pPr>
        <w:pStyle w:val="ListBullet"/>
      </w:pPr>
      <w:r/>
      <w:r>
        <w:rPr>
          <w:b/>
        </w:rPr>
        <w:t>NEBCAR</w:t>
      </w:r>
      <w:r>
        <w:t xml:space="preserve"> (EL KENDI INDUSTRIE DU MEDICAMENT)</w:t>
      </w:r>
    </w:p>
    <w:p>
      <w:pPr>
        <w:pStyle w:val="ListBullet"/>
      </w:pPr>
      <w:r>
        <w:t>Formes et Dosages : Comprimé quadri-sécable 5 mg (B/30) ; Comprimé sécable 2,5 mg (B/30)</w:t>
      </w:r>
    </w:p>
    <w:p>
      <w:pPr>
        <w:pStyle w:val="ListBullet"/>
      </w:pPr>
      <w:r>
        <w:t>Statut : Actif — Liste I</w:t>
      </w:r>
    </w:p>
    <w:p>
      <w:pPr>
        <w:pStyle w:val="ListBullet"/>
      </w:pPr>
      <w:r/>
      <w:r>
        <w:rPr>
          <w:b/>
        </w:rPr>
        <w:t>TEMERIT</w:t>
      </w:r>
      <w:r>
        <w:t xml:space="preserve"> (MENARINI INTERNATIONAL OPERATIONS LUXEMBOURG SA)</w:t>
      </w:r>
    </w:p>
    <w:p>
      <w:pPr>
        <w:pStyle w:val="ListBullet"/>
      </w:pPr>
      <w:r>
        <w:t>Formes et Dosages : Comprimé quadri-sécable 5 mg (B/30)</w:t>
      </w:r>
    </w:p>
    <w:p>
      <w:pPr>
        <w:pStyle w:val="ListBullet"/>
      </w:pPr>
      <w:r>
        <w:t>Statut : Actif — Liste I</w:t>
      </w:r>
    </w:p>
    <w:p>
      <w:pPr>
        <w:pStyle w:val="ListBullet"/>
      </w:pPr>
      <w:r/>
      <w:r>
        <w:rPr>
          <w:b/>
        </w:rPr>
        <w:t>TEMERIVOL</w:t>
      </w:r>
      <w:r>
        <w:t xml:space="preserve"> (HUPP PHARMA)</w:t>
      </w:r>
    </w:p>
    <w:p>
      <w:pPr>
        <w:pStyle w:val="ListBullet"/>
      </w:pPr>
      <w:r>
        <w:t>Formes et Dosages : Comprimé quadri-sécable 5 mg (B/30)</w:t>
      </w:r>
    </w:p>
    <w:p>
      <w:pPr>
        <w:pStyle w:val="ListBullet"/>
      </w:pPr>
      <w:r>
        <w:t>Statut : Actif — Liste I</w:t>
      </w:r>
    </w:p>
    <w:p>
      <w:r/>
      <w:r>
        <w:rPr>
          <w:b/>
        </w:rPr>
        <w:t>Sous-classe et Mécanisme d'action :</w:t>
      </w:r>
      <w:r/>
    </w:p>
    <w:p>
      <w:pPr>
        <w:pStyle w:val="ListBullet"/>
      </w:pPr>
      <w:r>
        <w:t xml:space="preserve">Sous-classe : β-bloquant cardiosélectif (β1/β2 ≈ 30) avec </w:t>
      </w:r>
      <w:r>
        <w:rPr>
          <w:b/>
        </w:rPr>
        <w:t>libération endothéliale de NO</w:t>
      </w:r>
      <w:r>
        <w:t xml:space="preserve"> ; 3e génération ; racémique D- + L-nébivolol.</w:t>
      </w:r>
    </w:p>
    <w:p>
      <w:pPr>
        <w:pStyle w:val="ListBullet"/>
      </w:pPr>
      <w:r>
        <w:t xml:space="preserve">Mécanisme d'action : Double action — (1) Antagonisme compétitif très sélectif du D-nébivolol sur les récepteurs β1 cardiaques (blocage de la voie Gs-AMPc-PKA) → baisse de la chronotropie, inotropie, dromotropie ; (2) Stimulation par le L-nébivolol de la </w:t>
      </w:r>
      <w:r>
        <w:rPr>
          <w:b/>
        </w:rPr>
        <w:t>eNOS endothéliale</w:t>
      </w:r>
      <w:r>
        <w:t xml:space="preserve"> via activation des récepteurs β3-adrénergiques endothéliaux et de la voie PI3K/Akt → production de NO → activation de la guanylate cyclase soluble → ↑ GMPc → vasodilatation des cellules musculaires lisses vasculaires → baisse des résistances périphériques, amélioration de la compliance artérielle, préservation du débit cardiaque. Métabolisme hépatique par CYP2D6 polymorphe en métabolites actifs hydroxylés.</w:t>
      </w:r>
    </w:p>
    <w:p>
      <w:r/>
      <w:r>
        <w:rPr>
          <w:b/>
        </w:rPr>
        <w:t>Profil Pharmacologique :</w:t>
      </w:r>
      <w:r/>
    </w:p>
    <w:p>
      <w:pPr>
        <w:pStyle w:val="ListBullet"/>
      </w:pPr>
      <w:r>
        <w:t>Indications : HTA (première intention chez le sujet jeune hyperkinétique, sujet âgé) ; IC-FEr chez le sujet ≥ 70 ans (essai SENIORS — réduction de la mortalité et des hospitalisations) ; angor stable ; troubles du rythme. Posologie 2,5–5 mg/j en une prise.</w:t>
      </w:r>
    </w:p>
    <w:p>
      <w:pPr>
        <w:pStyle w:val="ListBullet"/>
      </w:pPr>
      <w:r>
        <w:t>Contre-indications : Asthme/BPCO sévères ; BAV 2e/3e non appareillé ; bradycardie &lt; 60 ; choc cardiogénique ; ICC décompensée aiguë ; phéochromocytome non traité ; hypersensibilité ; insuffisance hépatique sévère ; association avec floctafénine (retiré du marché).</w:t>
      </w:r>
    </w:p>
    <w:p>
      <w:pPr>
        <w:pStyle w:val="ListBullet"/>
      </w:pPr>
      <w:r>
        <w:t>Effets Indésirables : Bradycardie (modérée), hypotension (souvent modérée — effet NO compensateur), asthénie, céphalées (vasodilatation), troubles digestifs, syndrome de Raynaud (rare — NO compensateur), dysfonction érectile (moindre que les autres β-bloquants — effet NO bénéfique), psoriasis (rare), rash.</w:t>
      </w:r>
    </w:p>
    <w:p>
      <w:r/>
      <w:r>
        <w:rPr>
          <w:b/>
        </w:rPr>
        <w:t>Prévention et Gestion des Effets Indésirables :</w:t>
      </w:r>
      <w:r/>
    </w:p>
    <w:p>
      <w:pPr>
        <w:pStyle w:val="ListBullet"/>
      </w:pPr>
      <w:r>
        <w:t>Mesures Préventives : Surveillance FC, PA, ECG. Chez le sujet âgé : initiation à 1,25 mg/j (quart de comprimé), titration mensuelle par paliers de 1,25 mg jusqu'à 10 mg/j (dose cible IC-FEr âgé). Dosage créatinine, kaliémie, NT-proBNP avant et pendant titration. Information écrite sur la titration.</w:t>
      </w:r>
    </w:p>
    <w:p>
      <w:pPr>
        <w:pStyle w:val="ListBullet"/>
      </w:pPr>
      <w:r>
        <w:t>Conduite à Tenir : En cas de bradycardie &lt; 50 : réduction du palier. En cas d'hypotension (PAS &lt; 100) : réduction des vasodilatateurs associés. En cas d'aggravation ICC : arrêt transitoire, traitement de la décompensation.</w:t>
      </w:r>
    </w:p>
    <w:p>
      <w:r/>
      <w:r>
        <w:rPr>
          <w:b/>
        </w:rPr>
        <w:t>Interactions Importantes :</w:t>
      </w:r>
      <w:r/>
    </w:p>
    <w:p>
      <w:pPr>
        <w:pStyle w:val="ListBullet"/>
      </w:pPr>
      <w:r>
        <w:t>Nébivolol + Inhibiteurs CYP2D6 (paroxétine, fluoxétine, bupropion, quinidine) : augmentation des concentrations → bradycardie sévère — surveillance.</w:t>
      </w:r>
    </w:p>
    <w:p>
      <w:pPr>
        <w:pStyle w:val="ListBullet"/>
      </w:pPr>
      <w:r>
        <w:t>Nébivolol + Vérapamil/Diltiazem : CI absolue.</w:t>
      </w:r>
    </w:p>
    <w:p>
      <w:pPr>
        <w:pStyle w:val="ListBullet"/>
      </w:pPr>
      <w:r>
        <w:t>Nébivolol + Amiodarone : bradycardie additive.</w:t>
      </w:r>
    </w:p>
    <w:p>
      <w:pPr>
        <w:pStyle w:val="ListBullet"/>
      </w:pPr>
      <w:r>
        <w:t>Nébivolol + Dérivés nitrés : potentialisation hypotensive (effet NO additif).</w:t>
      </w:r>
    </w:p>
    <w:p>
      <w:pPr>
        <w:pStyle w:val="ListBullet"/>
      </w:pPr>
      <w:r>
        <w:t>Nébivolol + Inhibiteurs de la PDE5 (sildénafil, tadalafil) : potentialisation hypotensive (voie NO-GMPc commune).</w:t>
      </w:r>
    </w:p>
    <w:p>
      <w:r/>
      <w:r>
        <w:rPr>
          <w:b/>
        </w:rPr>
        <w:t>Grossesse et Allaitement :</w:t>
      </w:r>
      <w:r/>
    </w:p>
    <w:p>
      <w:pPr>
        <w:pStyle w:val="ListBullet"/>
      </w:pPr>
      <w:r>
        <w:t>Grossesse : À éviter par principe (données limitées chez la femme enceinte). Préférer labétalol, métoprolol.</w:t>
      </w:r>
    </w:p>
    <w:p>
      <w:pPr>
        <w:pStyle w:val="ListBullet"/>
      </w:pPr>
      <w:r>
        <w:t>Allaitement : Compatible (faible passage lacté).</w:t>
      </w:r>
    </w:p>
    <w:p>
      <w:pPr>
        <w:pStyle w:val="ListBullet"/>
      </w:pPr>
      <w:r>
        <w:t>Précautions : Surveillance néonatale.</w:t>
      </w:r>
    </w:p>
    <w:p>
      <w:r/>
      <w:r>
        <w:rPr>
          <w:b/>
        </w:rPr>
        <w:t>Posologie et Mode d'administration (Standard) :</w:t>
      </w:r>
      <w:r/>
    </w:p>
    <w:p>
      <w:pPr>
        <w:pStyle w:val="ListBullet"/>
      </w:pPr>
      <w:r>
        <w:t>Adulte HTA : 5 mg/j en une prise matinale ; augmentation à 10 mg si nécessaire après 2 semaines.</w:t>
      </w:r>
    </w:p>
    <w:p>
      <w:pPr>
        <w:pStyle w:val="ListBullet"/>
      </w:pPr>
      <w:r>
        <w:t>Adulte IC-FEr ≥ 70 ans : 1,25 mg/j × 2 semaines → 2,5 mg/j × 2 semaines → 5 mg/j → 10 mg/j (dose cible).</w:t>
      </w:r>
    </w:p>
    <w:p>
      <w:pPr>
        <w:pStyle w:val="ListBullet"/>
      </w:pPr>
      <w:r>
        <w:t>Sujet âgé : débuter à 2,5 mg/j, titration prudente.</w:t>
      </w:r>
    </w:p>
    <w:p>
      <w:pPr>
        <w:pStyle w:val="ListBullet"/>
      </w:pPr>
      <w:r>
        <w:t>Insuffisance rénale modérée à sévère : débuter à 1,25 mg/j, titration prudente.</w:t>
      </w:r>
    </w:p>
    <w:p>
      <w:pPr>
        <w:pStyle w:val="ListBullet"/>
      </w:pPr>
      <w:r>
        <w:t>Durée : au long cours.</w:t>
      </w:r>
    </w:p>
    <w:p>
      <w:pPr>
        <w:pStyle w:val="ListBullet"/>
      </w:pPr>
      <w:r>
        <w:t>Moment de prise : le matin, à heure fixe.</w:t>
      </w:r>
    </w:p>
    <w:p>
      <w:r/>
      <w:r>
        <w:rPr>
          <w:b/>
        </w:rPr>
        <w:t>Arbitrage et Bénéfices des Formes Galéniques :</w:t>
      </w:r>
      <w:r/>
    </w:p>
    <w:p>
      <w:r>
        <w:t>Comprimés quadri-sécables 5 mg et sécables 2,5 mg permettant une titration ultra-fine (1,25 mg = quart de 5 mg) particulièrement utile chez le sujet âgé, l'insuffisant rénal et dans l'IC-FEr. La forme quadri-sécable est une innovation galénique majeure pour la classe. Pas de forme LP ou injectable disponible. Le coût reste supérieur aux autres β-bloquants (aténolol, bisoprolol), mais le profil de tolérance (moindre dysfonction érectile, moindre diabète incident) justifie son choix chez le sujet jeune ou âgé actif.</w:t>
      </w:r>
    </w:p>
    <w:p>
      <w:r/>
      <w:r>
        <w:rPr>
          <w:b/>
        </w:rPr>
        <w:t>Instructions et Conseils au Patient :</w:t>
      </w:r>
      <w:r/>
    </w:p>
    <w:p>
      <w:pPr>
        <w:pStyle w:val="ListBullet"/>
      </w:pPr>
      <w:r>
        <w:t>Communication au comptoir : « Ce médicament combine deux actions : il ralentit votre cœur et dilate vos vaisseaux. Prenez-le le matin, une fois par jour. Ne l'arrêtez jamais brutalement. Si vous êtes traité pour insuffisance cardiaque, votre médecin augmentera la dose très progressivement sur plusieurs mois. Signalez tout essoufflement, prise de poids ou œdème. »</w:t>
      </w:r>
    </w:p>
    <w:p>
      <w:pPr>
        <w:pStyle w:val="ListBullet"/>
      </w:pPr>
      <w:r>
        <w:t>Mode d'utilisation pratique : Prise matinale à heure fixe. Comprimé quadri-sécable — vérifier que le patient sait diviser le comprimé en 4 parts égales (utiliser un sécateur si nécessaire). Carnet de surveillance.</w:t>
      </w:r>
    </w:p>
    <w:p>
      <w:r/>
      <w:r>
        <w:rPr>
          <w:b/>
        </w:rPr>
        <w:t>Notes, Règles d'Or &amp; Pièges au Comptoir :</w:t>
      </w:r>
      <w:r/>
    </w:p>
    <w:p>
      <w:pPr>
        <w:pStyle w:val="ListBullet"/>
      </w:pPr>
      <w:r>
        <w:t>Piège classique : initiation à dose trop élevée chez le sujet âgé (risque de bradycardie sévère et hypotension) — toujours débuter à 1,25 mg/j dans l'ICC ; polymorphisme CYP2D6 méconnu (interaction paroxétine-nébivolol) ; association avec dérivés nitrés ou IPDE5 (hypotension sévère).</w:t>
      </w:r>
    </w:p>
    <w:p>
      <w:pPr>
        <w:pStyle w:val="ListBullet"/>
      </w:pPr>
      <w:r>
        <w:t>Règle de prise : matin, à heure fixe, comprimé entier ou quadrant.</w:t>
      </w:r>
    </w:p>
    <w:p>
      <w:pPr>
        <w:pStyle w:val="ListBullet"/>
      </w:pPr>
      <w:r>
        <w:t>Préparation et Conservation : &lt; 25 °C, sec.</w:t>
      </w:r>
    </w:p>
    <w:p>
      <w:pPr>
        <w:pStyle w:val="ListBullet"/>
      </w:pPr>
      <w:r>
        <w:t>Piège du surdosage / Substitution : surveillance ECG et FC lors de substitution. En cas d'intoxication : glucagon IV, atropine, isoprénaline.</w:t>
      </w:r>
    </w:p>
    <w:p>
      <w:pPr>
        <w:pStyle w:val="Heading2"/>
      </w:pPr>
      <w:r>
        <w:t>Sous-classe : Bêtabloquants non cardiosélectifs (β1 = β2)</w:t>
      </w:r>
    </w:p>
    <w:p>
      <w:r>
        <w:t xml:space="preserve">Cette sous-classe bloque indistinctement les récepteurs β1 cardiaques et β2 bronchiques, vasculaires, hépatiques et pancréatiques. Le ratio β1/β2 est voisin de 1. Le blocage β2 expose à un risque de </w:t>
      </w:r>
      <w:r>
        <w:rPr>
          <w:b/>
        </w:rPr>
        <w:t>bronchospasme</w:t>
      </w:r>
      <w:r>
        <w:t xml:space="preserve"> (effet indésirable majeur contre-indiquant ces molécules chez l'asthmatique), de </w:t>
      </w:r>
      <w:r>
        <w:rPr>
          <w:b/>
        </w:rPr>
        <w:t>masquage plus important de l'hypoglycémie</w:t>
      </w:r>
      <w:r>
        <w:t xml:space="preserve"> (le blocage β2 hépatique réduit la glycogénolyse et la néoglucogenèse), de </w:t>
      </w:r>
      <w:r>
        <w:rPr>
          <w:b/>
        </w:rPr>
        <w:t>syndrome de Raynaud</w:t>
      </w:r>
      <w:r>
        <w:t xml:space="preserve"> (vasoconstriction des vaisseaux cutanés), et de </w:t>
      </w:r>
      <w:r>
        <w:rPr>
          <w:b/>
        </w:rPr>
        <w:t>modification plus marquée du profil lipidique</w:t>
      </w:r>
      <w:r>
        <w:t xml:space="preserve"> (hausse des triglycérides, baisse du HDL). Cependant, ces molécules conservent des indications spécifiques où le blocage β2 est utile : </w:t>
      </w:r>
      <w:r>
        <w:rPr>
          <w:b/>
        </w:rPr>
        <w:t>hyperthyroïdie</w:t>
      </w:r>
      <w:r>
        <w:t xml:space="preserve"> (blocage périphérique de la conversion T4 → T3, essentiel pour le propranolol), </w:t>
      </w:r>
      <w:r>
        <w:rPr>
          <w:b/>
        </w:rPr>
        <w:t>migraine</w:t>
      </w:r>
      <w:r>
        <w:t xml:space="preserve"> (effet central propranolol), </w:t>
      </w:r>
      <w:r>
        <w:rPr>
          <w:b/>
        </w:rPr>
        <w:t>tremblement essentiel</w:t>
      </w:r>
      <w:r>
        <w:t xml:space="preserve"> (propranolol), </w:t>
      </w:r>
      <w:r>
        <w:rPr>
          <w:b/>
        </w:rPr>
        <w:t>glaucome</w:t>
      </w:r>
      <w:r>
        <w:t xml:space="preserve"> (timolol collyre — réduction de l'humeur aqueuse par bloc β2 du corps ciliaire), </w:t>
      </w:r>
      <w:r>
        <w:rPr>
          <w:b/>
        </w:rPr>
        <w:t>hyperplasie bénigne de la prostate</w:t>
      </w:r>
      <w:r>
        <w:t xml:space="preserve"> (non sélectifs avec α1-bloc, labétalol, carvédilol). En Algérie, cette sous-classe est représentée par le </w:t>
      </w:r>
      <w:r>
        <w:rPr>
          <w:b/>
        </w:rPr>
        <w:t>propranolol</w:t>
      </w:r>
      <w:r>
        <w:t xml:space="preserve"> (forme orale) et le </w:t>
      </w:r>
      <w:r>
        <w:rPr>
          <w:b/>
        </w:rPr>
        <w:t>timolol</w:t>
      </w:r>
      <w:r>
        <w:t xml:space="preserve"> (forme ophtalmique).</w:t>
      </w:r>
    </w:p>
    <w:p>
      <w:pPr>
        <w:pStyle w:val="Heading3"/>
      </w:pPr>
      <w:r>
        <w:t>7. DCI : Propranolol (Seule)</w:t>
      </w:r>
    </w:p>
    <w:p>
      <w:r/>
      <w:r>
        <w:rPr>
          <w:b/>
        </w:rPr>
        <w:t>Liste des Catégories :</w:t>
      </w:r>
      <w:r>
        <w:t xml:space="preserve"> Bêtabloquants non cardiosélectifs (β1 = β2) ; Antihypertenseur ; Antiarythmique de classe II ; Prophylaxie de la migraine ; Traitement de l'hyperthyroïdie ; Traitement du tremblement essentiel ; Traitement de l'hypertrophie obstructive ; Traitement des hémangiomes infantiles (hors AMM Algérie).</w:t>
      </w:r>
    </w:p>
    <w:p>
      <w:r>
        <w:t xml:space="preserve">Le propranolol est le </w:t>
      </w:r>
      <w:r>
        <w:rPr>
          <w:b/>
        </w:rPr>
        <w:t>prototype historique</w:t>
      </w:r>
      <w:r>
        <w:t xml:space="preserve"> des β-bloquants, commercialisé en 1962 par ICI (aujourdant AstraZeneca). Il a ouvert la voie à toute la classe et valu le Prix Nobel à Sir James Black en 1988. C'est un β-bloquant </w:t>
      </w:r>
      <w:r>
        <w:rPr>
          <w:b/>
        </w:rPr>
        <w:t>non cardiosélectif</w:t>
      </w:r>
      <w:r>
        <w:t xml:space="preserve"> (β1 = β2), </w:t>
      </w:r>
      <w:r>
        <w:rPr>
          <w:b/>
        </w:rPr>
        <w:t>liposoluble</w:t>
      </w:r>
      <w:r>
        <w:t xml:space="preserve"> (passe la barrière hémato-encéphalique → effets centraux : cauchemars, insomnie, dépression, effet anti-migraineux et anti-tremblement), avec </w:t>
      </w:r>
      <w:r>
        <w:rPr>
          <w:b/>
        </w:rPr>
        <w:t>ASI nulle</w:t>
      </w:r>
      <w:r>
        <w:t xml:space="preserve">, un </w:t>
      </w:r>
      <w:r>
        <w:rPr>
          <w:b/>
        </w:rPr>
        <w:t>métabolisme hépatique</w:t>
      </w:r>
      <w:r>
        <w:t xml:space="preserve"> marqué (effet de premier passage, biodisponibilité ≈ 30 %) et une </w:t>
      </w:r>
      <w:r>
        <w:rPr>
          <w:b/>
        </w:rPr>
        <w:t>demi-vie courte de 3–5 heures</w:t>
      </w:r>
      <w:r>
        <w:t xml:space="preserve"> nécessitant 2 à 3 prises par jour en forme classique (forme LP 160 mg disponible en Algérie — monoprise). Sa liposolubilité et son blocage β2 en font le β-bloquant de référence dans : (1) la prophylaxie de la migraine (effet central) ; (2) l'hyperthyroïdie (blocage périphérique de la 5'-désiodase → inhibition de la conversion T4 → T3) ; (3) le tremblement essentiel ; (4) l'hypertrophie obstructive (réduction du gradient intraventriculaire) ; (5) les hémangiomes infantiles (indication pédiatrique spécifique). En revanche, son usage est </w:t>
      </w:r>
      <w:r>
        <w:rPr>
          <w:b/>
        </w:rPr>
        <w:t>limité dans l'HTA</w:t>
      </w:r>
      <w:r>
        <w:t xml:space="preserve"> (non cardiosélectif, effets centraux, métabolisme hépatique) et </w:t>
      </w:r>
      <w:r>
        <w:rPr>
          <w:b/>
        </w:rPr>
        <w:t>contre-indiqué dans l'ICC</w:t>
      </w:r>
      <w:r>
        <w:t xml:space="preserve"> (sauf IC-FEr avec titration prudente en milieu spécialisé).</w:t>
      </w:r>
    </w:p>
    <w:p>
      <w:r/>
      <w:r>
        <w:rPr>
          <w:b/>
        </w:rPr>
        <w:t>Médicaments disponibles en Algérie (Marques, Laboratoires, Formes et Dosages) :</w:t>
      </w:r>
      <w:r/>
    </w:p>
    <w:p>
      <w:r>
        <w:t>Forme 40 mg (classique) :</w:t>
      </w:r>
    </w:p>
    <w:p>
      <w:pPr>
        <w:pStyle w:val="ListBullet"/>
      </w:pPr>
      <w:r/>
      <w:r>
        <w:rPr>
          <w:b/>
        </w:rPr>
        <w:t>PROPRANOLOL QUADRI</w:t>
      </w:r>
      <w:r>
        <w:t xml:space="preserve"> (CHIMIE PHARMACIE COMMERCE MULTIPLE SARL — CPCM) — Comprimé sécable 40 mg (B/30) — Actif</w:t>
      </w:r>
    </w:p>
    <w:p>
      <w:pPr>
        <w:pStyle w:val="ListBullet"/>
      </w:pPr>
      <w:r/>
      <w:r>
        <w:rPr>
          <w:b/>
        </w:rPr>
        <w:t>FEDICARD</w:t>
      </w:r>
      <w:r>
        <w:t xml:space="preserve"> (SARL GROUPE SANTE) — Comprimé sécable 40 mg (B/30) — Actif</w:t>
      </w:r>
    </w:p>
    <w:p>
      <w:pPr>
        <w:pStyle w:val="ListBullet"/>
      </w:pPr>
      <w:r/>
      <w:r>
        <w:rPr>
          <w:b/>
        </w:rPr>
        <w:t>NEOCARDIL</w:t>
      </w:r>
      <w:r>
        <w:t xml:space="preserve"> (NEOMEDIC) — Comprimé sécable 40 mg (B/50) — Actif</w:t>
      </w:r>
    </w:p>
    <w:p>
      <w:pPr>
        <w:pStyle w:val="ListBullet"/>
      </w:pPr>
      <w:r/>
      <w:r>
        <w:rPr>
          <w:b/>
        </w:rPr>
        <w:t>EVOPRANOL</w:t>
      </w:r>
      <w:r>
        <w:t xml:space="preserve"> (SARL EVOLAB) — Comprimé sécable 40 mg (B/30) — Actif</w:t>
      </w:r>
    </w:p>
    <w:p>
      <w:pPr>
        <w:pStyle w:val="ListBullet"/>
      </w:pPr>
      <w:r/>
      <w:r>
        <w:rPr>
          <w:b/>
        </w:rPr>
        <w:t>AVLOCARDYL</w:t>
      </w:r>
      <w:r>
        <w:t xml:space="preserve"> (ZENECA PHARMA) — Comprimé sécable 40 mg (B/50) — Non Renouvelable</w:t>
      </w:r>
    </w:p>
    <w:p>
      <w:pPr>
        <w:pStyle w:val="ListBullet"/>
      </w:pPr>
      <w:r/>
      <w:r>
        <w:rPr>
          <w:b/>
        </w:rPr>
        <w:t>DIDERAL</w:t>
      </w:r>
      <w:r>
        <w:t xml:space="preserve"> (SANOFI DOGU) — Comprimé 40 mg (B/50) — Non Renouvelable</w:t>
      </w:r>
    </w:p>
    <w:p>
      <w:pPr>
        <w:pStyle w:val="ListBullet"/>
      </w:pPr>
      <w:r/>
      <w:r>
        <w:rPr>
          <w:b/>
        </w:rPr>
        <w:t>INDICARDIN</w:t>
      </w:r>
      <w:r>
        <w:t xml:space="preserve"> (ARAB PHARMACEUTICAL MANUFACTURING) — Comprimé 40 mg (B/50) — Non Renouvelable</w:t>
      </w:r>
    </w:p>
    <w:p>
      <w:pPr>
        <w:pStyle w:val="ListBullet"/>
      </w:pPr>
      <w:r/>
      <w:r>
        <w:rPr>
          <w:b/>
        </w:rPr>
        <w:t>INDRANOL</w:t>
      </w:r>
      <w:r>
        <w:t xml:space="preserve"> (LIFEPHARMA) — Comprimé 40 mg (B/30) — Non Renouvelable</w:t>
      </w:r>
    </w:p>
    <w:p>
      <w:pPr>
        <w:pStyle w:val="ListBullet"/>
      </w:pPr>
      <w:r/>
      <w:r>
        <w:rPr>
          <w:b/>
        </w:rPr>
        <w:t>BETAPRAL</w:t>
      </w:r>
      <w:r>
        <w:t xml:space="preserve"> (MEDICUBA) — Comprimé 40 mg (B/50) — Retiré (R)</w:t>
      </w:r>
    </w:p>
    <w:p>
      <w:pPr>
        <w:pStyle w:val="ListBullet"/>
      </w:pPr>
      <w:r/>
      <w:r>
        <w:rPr>
          <w:b/>
        </w:rPr>
        <w:t>PUR-BLOKA-40</w:t>
      </w:r>
      <w:r>
        <w:t xml:space="preserve"> (PHARMACARE LIMITED) — Comprimé 40 mg (B/30) — Retiré (R)</w:t>
      </w:r>
    </w:p>
    <w:p>
      <w:pPr>
        <w:pStyle w:val="ListBullet"/>
      </w:pPr>
      <w:r/>
      <w:r>
        <w:rPr>
          <w:b/>
        </w:rPr>
        <w:t>WERAPRANOL</w:t>
      </w:r>
      <w:r>
        <w:t xml:space="preserve"> (WEIMER PHARMA Gmbh) — Comprimé 40 mg (B/50) — Retiré (R)</w:t>
      </w:r>
    </w:p>
    <w:p>
      <w:pPr>
        <w:pStyle w:val="ListBullet"/>
      </w:pPr>
      <w:r/>
      <w:r>
        <w:rPr>
          <w:b/>
        </w:rPr>
        <w:t>PROPRANOLOL</w:t>
      </w:r>
      <w:r>
        <w:t xml:space="preserve"> (LEK) — Comprimé 40 mg (B/30) — Retiré (R)</w:t>
      </w:r>
    </w:p>
    <w:p>
      <w:pPr>
        <w:pStyle w:val="ListBullet"/>
      </w:pPr>
      <w:r/>
      <w:r>
        <w:rPr>
          <w:b/>
        </w:rPr>
        <w:t>PROPRANOLOL-RATIOPHARM</w:t>
      </w:r>
      <w:r>
        <w:t xml:space="preserve"> (LAFON RATIOPHARM) — Comprimé 40 mg (B/50) — Retiré (R)</w:t>
      </w:r>
    </w:p>
    <w:p>
      <w:r>
        <w:t>Forme LP 160 mg :</w:t>
      </w:r>
    </w:p>
    <w:p>
      <w:pPr>
        <w:pStyle w:val="ListBullet"/>
      </w:pPr>
      <w:r/>
      <w:r>
        <w:rPr>
          <w:b/>
        </w:rPr>
        <w:t>FENOTYL LP</w:t>
      </w:r>
      <w:r>
        <w:t xml:space="preserve"> (GROUPE SAIDAL) — Gélule LP 160 mg (B/30) — Non Renouvelable</w:t>
      </w:r>
    </w:p>
    <w:p>
      <w:pPr>
        <w:pStyle w:val="ListBullet"/>
      </w:pPr>
      <w:r/>
      <w:r>
        <w:rPr>
          <w:b/>
        </w:rPr>
        <w:t>AVLOCARDYL LP</w:t>
      </w:r>
      <w:r>
        <w:t xml:space="preserve"> (ASTRA ZENECA) — Gélule LP 160 mg (B/28) — Retiré (R)</w:t>
      </w:r>
    </w:p>
    <w:p>
      <w:pPr>
        <w:pStyle w:val="ListBullet"/>
      </w:pPr>
      <w:r/>
      <w:r>
        <w:rPr>
          <w:b/>
        </w:rPr>
        <w:t>PROPRANOLOL-RATIOPHARM LP</w:t>
      </w:r>
      <w:r>
        <w:t xml:space="preserve"> (LAFON RATIOPHARM) — Gélule 160 mg (B/28) — Retiré (R)</w:t>
      </w:r>
    </w:p>
    <w:p>
      <w:r>
        <w:t>Forme 80 mg (gélule) :</w:t>
      </w:r>
    </w:p>
    <w:p>
      <w:pPr>
        <w:pStyle w:val="ListBullet"/>
      </w:pPr>
      <w:r/>
      <w:r>
        <w:rPr>
          <w:b/>
        </w:rPr>
        <w:t>FENOTYL LP</w:t>
      </w:r>
      <w:r>
        <w:t xml:space="preserve"> (GROUPE SAIDAL) — Gélule 80 mg (B/30) — Non Renouvelable</w:t>
      </w:r>
    </w:p>
    <w:p>
      <w:r/>
      <w:r>
        <w:rPr>
          <w:b/>
        </w:rPr>
        <w:t>Sous-classe et Mécanisme d'action :</w:t>
      </w:r>
      <w:r/>
    </w:p>
    <w:p>
      <w:pPr>
        <w:pStyle w:val="ListBullet"/>
      </w:pPr>
      <w:r>
        <w:t>Sous-classe : β-bloquant non cardiosélectif (β1 = β2), liposoluble, sans ASI.</w:t>
      </w:r>
    </w:p>
    <w:p>
      <w:pPr>
        <w:pStyle w:val="ListBullet"/>
      </w:pPr>
      <w:r>
        <w:t xml:space="preserve">Mécanisme d'action : Antagonisme compétitif </w:t>
      </w:r>
      <w:r>
        <w:rPr>
          <w:b/>
        </w:rPr>
        <w:t>équipotent</w:t>
      </w:r>
      <w:r>
        <w:t xml:space="preserve"> des récepteurs β1 cardiaques et β2 bronchiques, vasculaires, hépatiques, pancréatiques et utérins. (1) Au cœur : baisse de la chronotropie, inotropie, dromotropie via blocage β1. (2) Au niveau bronchique : blocage β2 → bronchoconstriction (effet indésirable majeur). (3) Au niveau vasculaire : blocage β2 → vasoconstriction cutanée et splanchnique (syndrome de Raynaud). (4) Au niveau hépatique : blocage β2 → inhibition de la glycogénolyse et de la néoglucogenèse → risque d'hypoglycémie et masquage des signes. (5) Au niveau pancréatique : blocage β2 → inhibition de la sécrétion d'insuline. (6) Au niveau central (liposolubilité) : effet anti-migraineux, anti-tremblement, anxiolytique. (7) Dans l'hyperthyroïdie : blocage de la 5'-désiodase type 1 → inhibition de la conversion T4 → T3 (effet spécifique du propranolol et non des autres β-bloquants). Métabolisme hépatique par CYP1A2, CYP2D6 ; effet premier passage important (biodisponibilité 30 %).</w:t>
      </w:r>
    </w:p>
    <w:p>
      <w:r/>
      <w:r>
        <w:rPr>
          <w:b/>
        </w:rPr>
        <w:t>Profil Pharmacologique :</w:t>
      </w:r>
      <w:r/>
    </w:p>
    <w:p>
      <w:pPr>
        <w:pStyle w:val="ListBullet"/>
      </w:pPr>
      <w:r>
        <w:t>Indications : Prophylaxie de la migraine (AMM — posologie 40–80 mg x 2-3/j) ; hyperthyroïdie (crise thyréotoxique : 40–60 mg x 4/j) ; tremblement essentiel ; hypertrophie obstructive ; troubles du rythme (FA, ESV) ; angor stable ; HTA (2e intention) ; hémangiomes infantiles (indication pédiatrique, hors AMM Algérie).</w:t>
      </w:r>
    </w:p>
    <w:p>
      <w:pPr>
        <w:pStyle w:val="ListBullet"/>
      </w:pPr>
      <w:r>
        <w:t>Contre-indications : Asthme et BPCO sévères (CI absolue) ; BAV 2e/3e non appareillé ; bradycardie &lt; 50 ; choc cardiogénique ; ICC décompensée aiguë ; phéochromocytome non traité par α-bloquant préalable ; psoriasis (aggravation) ; hypoglycémie (diabète insulinodépendant mal équilibré) ; grossesse (bradycardie néonatale, hypoglycémie) ; anesthésie à risque.</w:t>
      </w:r>
    </w:p>
    <w:p>
      <w:pPr>
        <w:pStyle w:val="ListBullet"/>
      </w:pPr>
      <w:r>
        <w:t>Effets Indésirables : Bradycardie, hypotension, bronchospasme (CI chez asthmatique), syndrome de Raynaud, froid des extrémités, asthénie, cauchemars (très fréquents — liposolubilité), insomnie, dépression, dysfonction érectile, masquage hypoglycémie, modification bilan lipidique, troubles digestifs, rash, alopécie, psoriasis.</w:t>
      </w:r>
    </w:p>
    <w:p>
      <w:r/>
      <w:r>
        <w:rPr>
          <w:b/>
        </w:rPr>
        <w:t>Prévention et Gestion des Effets Indésirables :</w:t>
      </w:r>
      <w:r/>
    </w:p>
    <w:p>
      <w:pPr>
        <w:pStyle w:val="ListBullet"/>
      </w:pPr>
      <w:r>
        <w:t>Mesures Préventives : Interrogatoire systématique : asthme, BPCO, diabète, psoriasis, troubles psychiatriques. Surveillance FC, PA, ECG. Chez le diabétique : automesure glycémique renforcée (masquage de l'hypoglycémie). Chez le sujet psychiatriquement fragile : préférer un β-bloquant hydrosoluble (aténolol). Préférer la forme LP (moins d'effets centraux, monoprise).</w:t>
      </w:r>
    </w:p>
    <w:p>
      <w:pPr>
        <w:pStyle w:val="ListBullet"/>
      </w:pPr>
      <w:r>
        <w:t>Conduite à Tenir : En cas de cauchemars/insomnie : passage à un hydrosoluble. En cas de bronchospasme : arrêt immédiat, salbutamol nébulisé. En cas de bradycardie : atropine, glucagon.</w:t>
      </w:r>
    </w:p>
    <w:p>
      <w:r/>
      <w:r>
        <w:rPr>
          <w:b/>
        </w:rPr>
        <w:t>Interactions Importantes :</w:t>
      </w:r>
      <w:r/>
    </w:p>
    <w:p>
      <w:pPr>
        <w:pStyle w:val="ListBullet"/>
      </w:pPr>
      <w:r>
        <w:t>Propranolol + Insuline/Sulfamides : masquage de l'hypoglycémie (le propranolol est le plus masquant de la classe — blocage β2 majeur).</w:t>
      </w:r>
    </w:p>
    <w:p>
      <w:pPr>
        <w:pStyle w:val="ListBullet"/>
      </w:pPr>
      <w:r>
        <w:t>Propranolol + Vérapamil/Diltiazem : CI absolue.</w:t>
      </w:r>
    </w:p>
    <w:p>
      <w:pPr>
        <w:pStyle w:val="ListBullet"/>
      </w:pPr>
      <w:r>
        <w:t>Propranolol + Amiodarone : bradycardie additive.</w:t>
      </w:r>
    </w:p>
    <w:p>
      <w:pPr>
        <w:pStyle w:val="ListBullet"/>
      </w:pPr>
      <w:r>
        <w:t>Propranolol + Anti-Alzheimer : potentialisation bradycardie.</w:t>
      </w:r>
    </w:p>
    <w:p>
      <w:pPr>
        <w:pStyle w:val="ListBullet"/>
      </w:pPr>
      <w:r>
        <w:t>Propranolol + Phénothiazines, antidépresseurs tricycliques : potentialisation hypotensive.</w:t>
      </w:r>
    </w:p>
    <w:p>
      <w:pPr>
        <w:pStyle w:val="ListBullet"/>
      </w:pPr>
      <w:r>
        <w:t>Propranolol + Cimétidine, fluoxétine : augmentation des concentrations (inhibition CYP1A2/CYP2D6).</w:t>
      </w:r>
    </w:p>
    <w:p>
      <w:r/>
      <w:r>
        <w:rPr>
          <w:b/>
        </w:rPr>
        <w:t>Grossesse et Allaitement :</w:t>
      </w:r>
      <w:r/>
    </w:p>
    <w:p>
      <w:pPr>
        <w:pStyle w:val="ListBullet"/>
      </w:pPr>
      <w:r>
        <w:t>Grossesse : À ÉVITER en fin de grossesse — risque de bradycardie néonatale sévère, hypoglycémie néonatale, détresse respiratoire. Selon CRAT, utiliser si indispensable (hyperthyroïdie sévère, tachyarythmie maternelle), en surveillant étroitement la FC fœtale et néonatale.</w:t>
      </w:r>
    </w:p>
    <w:p>
      <w:pPr>
        <w:pStyle w:val="ListBullet"/>
      </w:pPr>
      <w:r>
        <w:t>Allaitement : Compatible aux doses habituelles (≤ 240 mg/j). À doses élevées (&gt; 320 mg/j) : risque de bradycardie et hypoglycémie chez le nourrisson.</w:t>
      </w:r>
    </w:p>
    <w:p>
      <w:pPr>
        <w:pStyle w:val="ListBullet"/>
      </w:pPr>
      <w:r>
        <w:t>Précautions : Surveillance néonatale stricte.</w:t>
      </w:r>
    </w:p>
    <w:p>
      <w:r/>
      <w:r>
        <w:rPr>
          <w:b/>
        </w:rPr>
        <w:t>Posologie et Mode d'administration (Standard) :</w:t>
      </w:r>
      <w:r/>
    </w:p>
    <w:p>
      <w:pPr>
        <w:pStyle w:val="ListBullet"/>
      </w:pPr>
      <w:r>
        <w:t>Migraine : 40 mg x 2-3/j (débuter à 40 mg le soir, augmenter progressivement jusqu'à 80–160 mg/j) ; ou 80 mg LP x 2/j ou 160 mg LP/j.</w:t>
      </w:r>
    </w:p>
    <w:p>
      <w:pPr>
        <w:pStyle w:val="ListBullet"/>
      </w:pPr>
      <w:r>
        <w:t>Hyperthyroïdie : 40 mg x 3-4/j (160–240 mg/j) en complément des antithyroïdiens de synthèse.</w:t>
      </w:r>
    </w:p>
    <w:p>
      <w:pPr>
        <w:pStyle w:val="ListBullet"/>
      </w:pPr>
      <w:r>
        <w:t>Tremblement essentiel : 40 mg x 2-3/j.</w:t>
      </w:r>
    </w:p>
    <w:p>
      <w:pPr>
        <w:pStyle w:val="ListBullet"/>
      </w:pPr>
      <w:r>
        <w:t>HTA : 40 mg x 2/j → 80–160 mg x 2/j ; ou LP 160 mg/j.</w:t>
      </w:r>
    </w:p>
    <w:p>
      <w:pPr>
        <w:pStyle w:val="ListBullet"/>
      </w:pPr>
      <w:r>
        <w:t>Angor : 40 mg x 3/j → 80 mg x 3/j ; ou LP 160 mg/j.</w:t>
      </w:r>
    </w:p>
    <w:p>
      <w:pPr>
        <w:pStyle w:val="ListBullet"/>
      </w:pPr>
      <w:r>
        <w:t>Hémangiome infantile : 1–3 mg/kg/j (indication pédiatrique spécialisée).</w:t>
      </w:r>
    </w:p>
    <w:p>
      <w:pPr>
        <w:pStyle w:val="ListBullet"/>
      </w:pPr>
      <w:r>
        <w:t>Sujet âgé : débuter à 20 mg x 2/j, titration prudente.</w:t>
      </w:r>
    </w:p>
    <w:p>
      <w:pPr>
        <w:pStyle w:val="ListBullet"/>
      </w:pPr>
      <w:r>
        <w:t>Durée : au long cours.</w:t>
      </w:r>
    </w:p>
    <w:p>
      <w:pPr>
        <w:pStyle w:val="ListBullet"/>
      </w:pPr>
      <w:r>
        <w:t>Moment de prise : matin et soir (et midi pour 3 prises/j) ; forme LP : matin.</w:t>
      </w:r>
    </w:p>
    <w:p>
      <w:r/>
      <w:r>
        <w:rPr>
          <w:b/>
        </w:rPr>
        <w:t>Arbitrage et Bénéfices des Formes Galéniques :</w:t>
      </w:r>
      <w:r/>
    </w:p>
    <w:p>
      <w:r>
        <w:t xml:space="preserve">Formes disponibles en Algérie : comprimé sécable 40 mg (forme classique, bi- ou triquotidienne) ; gélule LP 80 mg et 160 mg (monoprise). La </w:t>
      </w:r>
      <w:r>
        <w:rPr>
          <w:b/>
        </w:rPr>
        <w:t>forme LP est à privilégier</w:t>
      </w:r>
      <w:r>
        <w:t xml:space="preserve"> pour l'observance et pour réduire les effets centraux (pics plasmatiques atténués). Forme orale unique. La </w:t>
      </w:r>
      <w:r>
        <w:rPr>
          <w:b/>
        </w:rPr>
        <w:t>forme sirop</w:t>
      </w:r>
      <w:r>
        <w:t xml:space="preserve"> (existante à l'étranger pour la pédiatrie) n'est pas disponible en Algérie — les hémangiomes infantiles sont traités par comprimé sécable réduit en poudre.</w:t>
      </w:r>
    </w:p>
    <w:p>
      <w:r/>
      <w:r>
        <w:rPr>
          <w:b/>
        </w:rPr>
        <w:t>Instructions et Conseils au Patient :</w:t>
      </w:r>
      <w:r/>
    </w:p>
    <w:p>
      <w:pPr>
        <w:pStyle w:val="ListBullet"/>
      </w:pPr>
      <w:r>
        <w:t>Communication au comptoir : « Ce médicament est un bêtabloquant non sélectif qui agit sur plusieurs organes. Prenez-le à heures fixes, matin et soir (ou matin, midi, soir pour 3 prises). Si vous êtes asthmatique, prévenez votre médecin — ce médicament n'est pas adapté. Si vous êtes diabétique, surveillez bien votre glycémie car ce médicament peut masquer les signes d'hypoglycémie. Si vous faites des cauchemars, parlez-en à votre médecin. »</w:t>
      </w:r>
    </w:p>
    <w:p>
      <w:pPr>
        <w:pStyle w:val="ListBullet"/>
      </w:pPr>
      <w:r>
        <w:t>Mode d'utilisation pratique : Prise à heure fixe, en dehors des repas. Carnet de surveillance. En cas d'oubli, ne pas doubler. Signaler toute intervention chirurgicale à l'anesthésiste.</w:t>
      </w:r>
    </w:p>
    <w:p>
      <w:r/>
      <w:r>
        <w:rPr>
          <w:b/>
        </w:rPr>
        <w:t>Notes, Règles d'Or &amp; Pièges au Comptoir :</w:t>
      </w:r>
      <w:r/>
    </w:p>
    <w:p>
      <w:pPr>
        <w:pStyle w:val="ListBullet"/>
      </w:pPr>
      <w:r>
        <w:t>Piège classique : prescription chez un asthmatique (CI absolue) ; chez un diabétique insulinodépendant sans surveillance glycémique renforcée ; arrêt brutal ; association avec vérapamil.</w:t>
      </w:r>
    </w:p>
    <w:p>
      <w:pPr>
        <w:pStyle w:val="ListBullet"/>
      </w:pPr>
      <w:r>
        <w:t>Règle de prise : à heure fixe, en respectant les intervalles (8 h pour 3 prises, 12 h pour 2 prises).</w:t>
      </w:r>
    </w:p>
    <w:p>
      <w:pPr>
        <w:pStyle w:val="ListBullet"/>
      </w:pPr>
      <w:r>
        <w:t>Préparation et Conservation : &lt; 25 °C, sec.</w:t>
      </w:r>
    </w:p>
    <w:p>
      <w:pPr>
        <w:pStyle w:val="ListBullet"/>
      </w:pPr>
      <w:r>
        <w:t>Piège du surdosage / Substitution : en cas de substitution vers un β-bloquant cardiosélectif, surveillance ECG. En cas d'intoxication : bradycardie sévère, hypotension, bronchospasme, convulsions (liposolubilité) — glucagon IV 5–10 mg, atropine, isoprénaline, ventilation assistée.</w:t>
      </w:r>
    </w:p>
    <w:p>
      <w:pPr>
        <w:pStyle w:val="Heading3"/>
      </w:pPr>
      <w:r>
        <w:t>8. DCI : Timolol (Seule)</w:t>
      </w:r>
    </w:p>
    <w:p>
      <w:r/>
      <w:r>
        <w:rPr>
          <w:b/>
        </w:rPr>
        <w:t>Liste des Catégories :</w:t>
      </w:r>
      <w:r>
        <w:t xml:space="preserve"> Bêtabloquants non cardiosélectifs (β1 = β2) — Forme ophtalmique ; Antiglaucomateux topique ; Antiarythmique de classe II (forme orale, non disponible en Algérie).</w:t>
      </w:r>
    </w:p>
    <w:p>
      <w:r>
        <w:t xml:space="preserve">Le timolol est un β-bloquant </w:t>
      </w:r>
      <w:r>
        <w:rPr>
          <w:b/>
        </w:rPr>
        <w:t>non cardiosélectif</w:t>
      </w:r>
      <w:r>
        <w:t xml:space="preserve"> (β1 = β2) utilisé en Algérie </w:t>
      </w:r>
      <w:r>
        <w:rPr>
          <w:b/>
        </w:rPr>
        <w:t>exclusivement sous forme ophtalmique</w:t>
      </w:r>
      <w:r>
        <w:t xml:space="preserve"> (collyre et gel ophtalmique) dans le traitement du </w:t>
      </w:r>
      <w:r>
        <w:rPr>
          <w:b/>
        </w:rPr>
        <w:t>glaucome chronique à angle ouvert</w:t>
      </w:r>
      <w:r>
        <w:t xml:space="preserve"> et de l'</w:t>
      </w:r>
      <w:r>
        <w:rPr>
          <w:b/>
        </w:rPr>
        <w:t>hypertonie oculaire</w:t>
      </w:r>
      <w:r>
        <w:t>. C'est l'</w:t>
      </w:r>
      <w:r>
        <w:rPr>
          <w:b/>
        </w:rPr>
        <w:t>antiglaucomateux de référence</w:t>
      </w:r>
      <w:r>
        <w:t xml:space="preserve"> depuis les années 1970, avec une efficacité puissante sur la baisse de la pression intraoculaire (PIO) — réduction moyenne de 25–30 %. Comparativement au bétaxolol (cardiosélectif), le timolol est </w:t>
      </w:r>
      <w:r>
        <w:rPr>
          <w:b/>
        </w:rPr>
        <w:t>plus puissant sur la PIO</w:t>
      </w:r>
      <w:r>
        <w:t xml:space="preserve"> mais expose à un risque plus élevé d'effets systémiques liés à l'absorption nasolacrymale (bronchospasme, bradycardie, BAV) — d'où la </w:t>
      </w:r>
      <w:r>
        <w:rPr>
          <w:b/>
        </w:rPr>
        <w:t>contre-indication absolue chez l'asthmatique</w:t>
      </w:r>
      <w:r>
        <w:t>. En Algérie, le timolol est disponible sous forme de collyre 0,25 % et 0,5 %, et de gel ophtalmique LP 1 mg/g (GELTIM LP, Thea) — ce dernier permet une monoprise quotidienne (vs 2 instillations/j pour le collyre classique). De nombreux laboratoires sont actifs (NORMOPTIC, OPHTAMOLOL, TIMODROP, TIMOLOL, APIMOL, DIGAOL, MEDYOL, GELTIM LP).</w:t>
      </w:r>
    </w:p>
    <w:p>
      <w:r/>
      <w:r>
        <w:rPr>
          <w:b/>
        </w:rPr>
        <w:t>Médicaments disponibles en Algérie (Marques, Laboratoires, Formes et Dosages) :</w:t>
      </w:r>
      <w:r/>
    </w:p>
    <w:p>
      <w:r>
        <w:t>Collyre 0,25 % :</w:t>
      </w:r>
    </w:p>
    <w:p>
      <w:pPr>
        <w:pStyle w:val="ListBullet"/>
      </w:pPr>
      <w:r/>
      <w:r>
        <w:rPr>
          <w:b/>
        </w:rPr>
        <w:t>NORMOPTIC</w:t>
      </w:r>
      <w:r>
        <w:t xml:space="preserve"> (INPHA-MEDIS) — Collyre en solution 0,25 % (F/5 mL) — Actif</w:t>
      </w:r>
    </w:p>
    <w:p>
      <w:pPr>
        <w:pStyle w:val="ListBullet"/>
      </w:pPr>
      <w:r/>
      <w:r>
        <w:rPr>
          <w:b/>
        </w:rPr>
        <w:t>OPHTAMOLOL</w:t>
      </w:r>
      <w:r>
        <w:t xml:space="preserve"> (JORAS PHARMACEUTICAL S.P.A.) — Collyre en solution 0,25 % (F/5 mL) — Actif</w:t>
      </w:r>
    </w:p>
    <w:p>
      <w:pPr>
        <w:pStyle w:val="ListBullet"/>
      </w:pPr>
      <w:r/>
      <w:r>
        <w:rPr>
          <w:b/>
        </w:rPr>
        <w:t>TIIMODROP</w:t>
      </w:r>
      <w:r>
        <w:t xml:space="preserve"> (BIOTHERA) — Collyre en solution 0,25 % (F/5 mL) — Actif</w:t>
      </w:r>
    </w:p>
    <w:p>
      <w:pPr>
        <w:pStyle w:val="ListBullet"/>
      </w:pPr>
      <w:r/>
      <w:r>
        <w:rPr>
          <w:b/>
        </w:rPr>
        <w:t>TIMOLOL</w:t>
      </w:r>
      <w:r>
        <w:t xml:space="preserve"> (AMMAN PHARMACEUTICAL INDUSTRIE) — Collyre en solution 0,25 % (F/5 mL) — Actif</w:t>
      </w:r>
    </w:p>
    <w:p>
      <w:pPr>
        <w:pStyle w:val="ListBullet"/>
      </w:pPr>
      <w:r/>
      <w:r>
        <w:rPr>
          <w:b/>
        </w:rPr>
        <w:t>CROMOLOL</w:t>
      </w:r>
      <w:r>
        <w:t xml:space="preserve"> (CROVIS PHILCOM) — Collyre 0,25 % (F/5 mL) — Non Renouvelable</w:t>
      </w:r>
    </w:p>
    <w:p>
      <w:pPr>
        <w:pStyle w:val="ListBullet"/>
      </w:pPr>
      <w:r/>
      <w:r>
        <w:rPr>
          <w:b/>
        </w:rPr>
        <w:t>TIMPTOL</w:t>
      </w:r>
      <w:r>
        <w:t xml:space="preserve"> (MERCK SHARP &amp; DOHME CHIBRET) — Collyre 0,25 % (F/3 mL) — Non Renouvelable</w:t>
      </w:r>
    </w:p>
    <w:p>
      <w:pPr>
        <w:pStyle w:val="ListBullet"/>
      </w:pPr>
      <w:r/>
      <w:r>
        <w:rPr>
          <w:b/>
        </w:rPr>
        <w:t>TUNOLOL</w:t>
      </w:r>
      <w:r>
        <w:t xml:space="preserve"> (UNIMED) — Collyre 0,25 % (F/5 mL) — Non Renouvelable</w:t>
      </w:r>
    </w:p>
    <w:p>
      <w:pPr>
        <w:pStyle w:val="ListBullet"/>
      </w:pPr>
      <w:r/>
      <w:r>
        <w:rPr>
          <w:b/>
        </w:rPr>
        <w:t>CUSIMOLOL</w:t>
      </w:r>
      <w:r>
        <w:t xml:space="preserve"> (CUSI) — Collyre 0,25 % (F/5 mL) — Retiré (R)</w:t>
      </w:r>
    </w:p>
    <w:p>
      <w:pPr>
        <w:pStyle w:val="ListBullet"/>
      </w:pPr>
      <w:r/>
      <w:r>
        <w:rPr>
          <w:b/>
        </w:rPr>
        <w:t>TIMOLOL ALCON</w:t>
      </w:r>
      <w:r>
        <w:t xml:space="preserve"> (ALCON) — Collyre 0,25 % (F/5 mL) — Retiré (R)</w:t>
      </w:r>
    </w:p>
    <w:p>
      <w:r>
        <w:t>Collyre 0,5 % :</w:t>
      </w:r>
    </w:p>
    <w:p>
      <w:pPr>
        <w:pStyle w:val="ListBullet"/>
      </w:pPr>
      <w:r/>
      <w:r>
        <w:rPr>
          <w:b/>
        </w:rPr>
        <w:t>APIMOL</w:t>
      </w:r>
      <w:r>
        <w:t xml:space="preserve"> (AMMAN PHARMACEUTICAL INDUSTRIE) — Collyre en solution 0,5 % (F/5 mL) — Actif</w:t>
      </w:r>
    </w:p>
    <w:p>
      <w:pPr>
        <w:pStyle w:val="ListBullet"/>
      </w:pPr>
      <w:r/>
      <w:r>
        <w:rPr>
          <w:b/>
        </w:rPr>
        <w:t>DIGAOL</w:t>
      </w:r>
      <w:r>
        <w:t xml:space="preserve"> (LEURQUIN MEDIOLANUM) — Collyre en solution 0,5 % (F/3 mL) — Actif</w:t>
      </w:r>
    </w:p>
    <w:p>
      <w:pPr>
        <w:pStyle w:val="ListBullet"/>
      </w:pPr>
      <w:r/>
      <w:r>
        <w:rPr>
          <w:b/>
        </w:rPr>
        <w:t>MEDYOL</w:t>
      </w:r>
      <w:r>
        <w:t xml:space="preserve"> (MEDI PHARMA INTERNATIONAL — MEDICOLABS SYRIE) — Collyre en solution 0,5 % (F/10 mL) — Actif</w:t>
      </w:r>
    </w:p>
    <w:p>
      <w:pPr>
        <w:pStyle w:val="ListBullet"/>
      </w:pPr>
      <w:r/>
      <w:r>
        <w:rPr>
          <w:b/>
        </w:rPr>
        <w:t>NORMOPTIC</w:t>
      </w:r>
      <w:r>
        <w:t xml:space="preserve"> (INPHA-MEDIS) — Collyre en solution 0,5 % (F/5 mL) — Actif</w:t>
      </w:r>
    </w:p>
    <w:p>
      <w:pPr>
        <w:pStyle w:val="ListBullet"/>
      </w:pPr>
      <w:r/>
      <w:r>
        <w:rPr>
          <w:b/>
        </w:rPr>
        <w:t>OPHTAMOLOL</w:t>
      </w:r>
      <w:r>
        <w:t xml:space="preserve"> (JORAS PHARMACEUTICAL S.P.A.) — Collyre en solution 0,5 % (F/5 mL) — Actif</w:t>
      </w:r>
    </w:p>
    <w:p>
      <w:pPr>
        <w:pStyle w:val="ListBullet"/>
      </w:pPr>
      <w:r/>
      <w:r>
        <w:rPr>
          <w:b/>
        </w:rPr>
        <w:t>TIMODROP</w:t>
      </w:r>
      <w:r>
        <w:t xml:space="preserve"> (BIOTHERA) — Collyre en solution stérile 0,5 % (F/5 mL) — Actif</w:t>
      </w:r>
    </w:p>
    <w:p>
      <w:pPr>
        <w:pStyle w:val="ListBullet"/>
      </w:pPr>
      <w:r/>
      <w:r>
        <w:rPr>
          <w:b/>
        </w:rPr>
        <w:t>TIMOLOL</w:t>
      </w:r>
      <w:r>
        <w:t xml:space="preserve"> (EGYPTIAN INTERNATIONAL PHARMACEUTICAL INDUSTRIES — EPICO) — Collyre en solution 0,5 % (F/5 mL) — Actif</w:t>
      </w:r>
    </w:p>
    <w:p>
      <w:pPr>
        <w:pStyle w:val="ListBullet"/>
      </w:pPr>
      <w:r/>
      <w:r>
        <w:rPr>
          <w:b/>
        </w:rPr>
        <w:t>TIMOLOL ALCON</w:t>
      </w:r>
      <w:r>
        <w:t xml:space="preserve"> (ALCON) — Collyre 0,5 % (F/5 mL) — Non Renouvelable</w:t>
      </w:r>
    </w:p>
    <w:p>
      <w:pPr>
        <w:pStyle w:val="ListBullet"/>
      </w:pPr>
      <w:r/>
      <w:r>
        <w:rPr>
          <w:b/>
        </w:rPr>
        <w:t>TIMPTOL</w:t>
      </w:r>
      <w:r>
        <w:t xml:space="preserve"> (MERCK SHARP &amp; DOHME CHIBRET) — Collyre 0,5 % (F/3 mL) — Non Renouvelable</w:t>
      </w:r>
    </w:p>
    <w:p>
      <w:pPr>
        <w:pStyle w:val="ListBullet"/>
      </w:pPr>
      <w:r/>
      <w:r>
        <w:rPr>
          <w:b/>
        </w:rPr>
        <w:t>TUNOLOL</w:t>
      </w:r>
      <w:r>
        <w:t xml:space="preserve"> (UNIMED) — Collyre 0,5 % (F/5 mL) — Non Renouvelable</w:t>
      </w:r>
    </w:p>
    <w:p>
      <w:pPr>
        <w:pStyle w:val="ListBullet"/>
      </w:pPr>
      <w:r/>
      <w:r>
        <w:rPr>
          <w:b/>
        </w:rPr>
        <w:t>CUSIMOLOL</w:t>
      </w:r>
      <w:r>
        <w:t xml:space="preserve"> (CUSI) — Collyre 0,5 % (F/5 mL) — Retiré (R)</w:t>
      </w:r>
    </w:p>
    <w:p>
      <w:pPr>
        <w:pStyle w:val="ListBullet"/>
      </w:pPr>
      <w:r/>
      <w:r>
        <w:rPr>
          <w:b/>
        </w:rPr>
        <w:t>NYOLOL</w:t>
      </w:r>
      <w:r>
        <w:t xml:space="preserve"> (NOVARTIS PHARMA S.A.) — Collyre 0,5 % (F/3 mL) — Retiré (R)</w:t>
      </w:r>
    </w:p>
    <w:p>
      <w:pPr>
        <w:pStyle w:val="ListBullet"/>
      </w:pPr>
      <w:r/>
      <w:r>
        <w:rPr>
          <w:b/>
        </w:rPr>
        <w:t>TIMOLOL</w:t>
      </w:r>
      <w:r>
        <w:t xml:space="preserve"> (CHAUVIN) — Collyre 0,5 % (F/3 mL) — Retiré (R)</w:t>
      </w:r>
    </w:p>
    <w:p>
      <w:r>
        <w:t>Gel ophtalmique LP :</w:t>
      </w:r>
    </w:p>
    <w:p>
      <w:pPr>
        <w:pStyle w:val="ListBullet"/>
      </w:pPr>
      <w:r/>
      <w:r>
        <w:rPr>
          <w:b/>
        </w:rPr>
        <w:t>GELTIM LP</w:t>
      </w:r>
      <w:r>
        <w:t xml:space="preserve"> (THEA) — Gel ophtalmique en récipient unidose 1 mg/g (0,1 %) — B/30 récipients unidoses en sachet de 10 — Actif</w:t>
      </w:r>
    </w:p>
    <w:p>
      <w:r/>
      <w:r>
        <w:rPr>
          <w:b/>
        </w:rPr>
        <w:t>Sous-classe et Mécanisme d'action :</w:t>
      </w:r>
      <w:r/>
    </w:p>
    <w:p>
      <w:pPr>
        <w:pStyle w:val="ListBullet"/>
      </w:pPr>
      <w:r>
        <w:t>Sous-classe : β-bloquant non cardiosélectif (β1 = β2) — usage ophtalmique topique.</w:t>
      </w:r>
    </w:p>
    <w:p>
      <w:pPr>
        <w:pStyle w:val="ListBullet"/>
      </w:pPr>
      <w:r>
        <w:t>Mécanisme d'action : Administration locale en collyre → pénétration cornéenne → diffusion dans l'humeur aqueuse → blocage des récepteurs β2 du corps ciliaire (épithélium non pigmenté) → inhibition de l'adénylate cyclase → baisse de l'AMPc → réduction de la production d'humeur aqueuse (baisse de 25–30 % de la PIO à 2 semaines). Le gel LP (GELTIM) utilise un polymère gélifiant (gellan gum) qui forme un gel au contact des ions du liquide lacrymal → libération prolongée du timolol → monoprise quotidienne.</w:t>
      </w:r>
    </w:p>
    <w:p>
      <w:r/>
      <w:r>
        <w:rPr>
          <w:b/>
        </w:rPr>
        <w:t>Profil Pharmacologique :</w:t>
      </w:r>
      <w:r/>
    </w:p>
    <w:p>
      <w:pPr>
        <w:pStyle w:val="ListBullet"/>
      </w:pPr>
      <w:r>
        <w:t>Indications : Glaucome chronique à angle ouvert, hypertonie oculaire (PIO &gt; 21 mmHg), glaucome à pression normale. Posologie collyre 0,5 % : 1 goutte x 2/j dans chaque œil (matin et soir) ; collyre 0,25 % : 1 goutte x 2/j (sujet âgé ou sensibilité) ; gel LP 0,1 % : 1 goutte x 1/j le matin.</w:t>
      </w:r>
    </w:p>
    <w:p>
      <w:pPr>
        <w:pStyle w:val="ListBullet"/>
      </w:pPr>
      <w:r>
        <w:t xml:space="preserve">Contre-indications : </w:t>
      </w:r>
      <w:r>
        <w:rPr>
          <w:b/>
        </w:rPr>
        <w:t>Asthme et BPCO sévères (CI ABSOLUE — bronchospasme par absorption systémique)</w:t>
      </w:r>
      <w:r>
        <w:t xml:space="preserve"> ; BAV 2e/3e non appareillé ; bradycardie sinusale sévère (&lt; 50) ; choc cardiogénique ; insuffisance cardiaque décompensée ; hypersensibilité ; glaucome aigu à angle fermé (non indiqué).</w:t>
      </w:r>
    </w:p>
    <w:p>
      <w:pPr>
        <w:pStyle w:val="ListBullet"/>
      </w:pPr>
      <w:r>
        <w:t xml:space="preserve">Effets Indésirables : Locaux : brûlure oculaire transitoire (très fréquente), sécheresse oculaire, conjonctivite, kératite punctata, vision floue transitoire, blépharite, ptosis (rare). Systémiques (absorption nasolacrymale — </w:t>
      </w:r>
      <w:r>
        <w:rPr>
          <w:b/>
        </w:rPr>
        <w:t>non négligeable</w:t>
      </w:r>
      <w:r>
        <w:t xml:space="preserve">) : bradycardie sinusale, hypotension, BAV (jusqu'à 10 % des cas), </w:t>
      </w:r>
      <w:r>
        <w:rPr>
          <w:b/>
        </w:rPr>
        <w:t>bronchospasme</w:t>
      </w:r>
      <w:r>
        <w:t xml:space="preserve"> (jusqu'à 5 % — risque vital chez l'asthmatique), céphalées, asthénie, dépression, troubles du sommeil, dysfonction érectile, masquage hypoglycémie.</w:t>
      </w:r>
    </w:p>
    <w:p>
      <w:r/>
      <w:r>
        <w:rPr>
          <w:b/>
        </w:rPr>
        <w:t>Prévention et Gestion des Effets Indésirables :</w:t>
      </w:r>
      <w:r/>
    </w:p>
    <w:p>
      <w:pPr>
        <w:pStyle w:val="ListBullet"/>
      </w:pPr>
      <w:r>
        <w:t xml:space="preserve">Mesures Préventives : Interrogatoire systématique : asthme, BPCO, BAV, bradycardie, ICC, psoriasis. </w:t>
      </w:r>
      <w:r>
        <w:rPr>
          <w:b/>
        </w:rPr>
        <w:t>Apprentissage de l'occlusion nasolacrymale</w:t>
      </w:r>
      <w:r>
        <w:t xml:space="preserve"> (pression du coin interne de l'œil pendant 1 min après instillation → réduit le passage systémique de 50–80 %). Choix de la concentration 0,25 % chez le sujet âgé, fragile ou insuffisant rénal. Préférer le gel LP (monoprise, moindre pic systémique). Première prescription : examen ophtalmologique complet (PIO, angle, fond d'œil, CV).</w:t>
      </w:r>
    </w:p>
    <w:p>
      <w:pPr>
        <w:pStyle w:val="ListBullet"/>
      </w:pPr>
      <w:r>
        <w:t xml:space="preserve">Conduite à Tenir : En cas de brûlure oculaire persistante, conjonctivite ou kératite : arrêt du collyre, consultation ophtalmologique. En cas de signes systémiques (bradycardie &lt; 50, dyspnée sifflante) : </w:t>
      </w:r>
      <w:r>
        <w:rPr>
          <w:b/>
        </w:rPr>
        <w:t>arrêt immédiat</w:t>
      </w:r>
      <w:r>
        <w:t>, avis cardiologique ou pneumologique urgent.</w:t>
      </w:r>
    </w:p>
    <w:p>
      <w:r/>
      <w:r>
        <w:rPr>
          <w:b/>
        </w:rPr>
        <w:t>Interactions Importantes :</w:t>
      </w:r>
      <w:r/>
    </w:p>
    <w:p>
      <w:pPr>
        <w:pStyle w:val="ListBullet"/>
      </w:pPr>
      <w:r>
        <w:t>Timolol collyre + Adrénaline collyre : risque de mydriase paradoxale et d'HTA.</w:t>
      </w:r>
    </w:p>
    <w:p>
      <w:pPr>
        <w:pStyle w:val="ListBullet"/>
      </w:pPr>
      <w:r>
        <w:t>Timolol collyre + β-bloquant systémique : effet additif bradycardisant — surveillance FC.</w:t>
      </w:r>
    </w:p>
    <w:p>
      <w:pPr>
        <w:pStyle w:val="ListBullet"/>
      </w:pPr>
      <w:r>
        <w:t>Timolol collyre + Inhibiteurs calciques systémiques : effet additif sur conduction AV.</w:t>
      </w:r>
    </w:p>
    <w:p>
      <w:pPr>
        <w:pStyle w:val="ListBullet"/>
      </w:pPr>
      <w:r>
        <w:t>Timolol collyre + autres collyres antiglaucomateux : espacer les instillations de 5 min minimum.</w:t>
      </w:r>
    </w:p>
    <w:p>
      <w:pPr>
        <w:pStyle w:val="ListBullet"/>
      </w:pPr>
      <w:r>
        <w:t>Timolol collyre + Adrénaline (épinéphrine) collyre : risque de mydriase paradoxale.</w:t>
      </w:r>
    </w:p>
    <w:p>
      <w:r/>
      <w:r>
        <w:rPr>
          <w:b/>
        </w:rPr>
        <w:t>Grossesse et Allaitement :</w:t>
      </w:r>
      <w:r/>
    </w:p>
    <w:p>
      <w:pPr>
        <w:pStyle w:val="ListBullet"/>
      </w:pPr>
      <w:r>
        <w:t>Grossesse : À éviter par mesure de précaution (données limitées). Préférer latanoprost ou brimonidine. Si indispensable : compatible selon CRAT, en seconde intention.</w:t>
      </w:r>
    </w:p>
    <w:p>
      <w:pPr>
        <w:pStyle w:val="ListBullet"/>
      </w:pPr>
      <w:r>
        <w:t>Allaitement : Compatible (faible passage systémique).</w:t>
      </w:r>
    </w:p>
    <w:p>
      <w:pPr>
        <w:pStyle w:val="ListBullet"/>
      </w:pPr>
      <w:r>
        <w:t>Précautions : Surveillance néonatale si traitement maternel à l'accouchement.</w:t>
      </w:r>
    </w:p>
    <w:p>
      <w:r/>
      <w:r>
        <w:rPr>
          <w:b/>
        </w:rPr>
        <w:t>Posologie et Mode d'administration (Standard) :</w:t>
      </w:r>
      <w:r/>
    </w:p>
    <w:p>
      <w:pPr>
        <w:pStyle w:val="ListBullet"/>
      </w:pPr>
      <w:r>
        <w:t>Adulte collyre 0,5 % : 1 goutte x 2/j dans chaque œil (matin et soir).</w:t>
      </w:r>
    </w:p>
    <w:p>
      <w:pPr>
        <w:pStyle w:val="ListBullet"/>
      </w:pPr>
      <w:r>
        <w:t>Adulte collyre 0,25 % : 1 goutte x 2/j (sujet âgé, sensible, ou initiation).</w:t>
      </w:r>
    </w:p>
    <w:p>
      <w:pPr>
        <w:pStyle w:val="ListBullet"/>
      </w:pPr>
      <w:r>
        <w:t>Adulte gel LP 0,1 % : 1 goutte x 1/j le matin dans chaque œil.</w:t>
      </w:r>
    </w:p>
    <w:p>
      <w:pPr>
        <w:pStyle w:val="ListBullet"/>
      </w:pPr>
      <w:r>
        <w:t>Enfant : non recommandé &lt; 12 ans.</w:t>
      </w:r>
    </w:p>
    <w:p>
      <w:pPr>
        <w:pStyle w:val="ListBullet"/>
      </w:pPr>
      <w:r>
        <w:t>Durée : au long cours (traitement chronique du glaucome).</w:t>
      </w:r>
    </w:p>
    <w:p>
      <w:pPr>
        <w:pStyle w:val="ListBullet"/>
      </w:pPr>
      <w:r>
        <w:t xml:space="preserve">Mode d'administration : Lavage des mains ; basculer la tête en arrière ; tirer délicatement la paupière inférieure vers le bas ; instiller une goutte sans toucher l'œil ; relâcher la paupière ; fermer l'œil 1 min ; </w:t>
      </w:r>
      <w:r>
        <w:rPr>
          <w:b/>
        </w:rPr>
        <w:t>occlusion nasolacrymale 1 min</w:t>
      </w:r>
      <w:r>
        <w:t xml:space="preserve"> ; essuyer l'excès.</w:t>
      </w:r>
    </w:p>
    <w:p>
      <w:r/>
      <w:r>
        <w:rPr>
          <w:b/>
        </w:rPr>
        <w:t>Arbitrage et Bénéfices des Formes Galéniques :</w:t>
      </w:r>
      <w:r/>
    </w:p>
    <w:p>
      <w:r>
        <w:t xml:space="preserve">Trois formes disponibles en Algérie : (1) collyre 0,25 % (sujet âgé, sensible, initiation) ; (2) collyre 0,5 % (forme standard) ; (3) gel LP 0,1 % (GELTIM LP — Thea — monoprise quotidienne avec moindre pic systémique, observance améliorée). La </w:t>
      </w:r>
      <w:r>
        <w:rPr>
          <w:b/>
        </w:rPr>
        <w:t>forme gel LP est à privilégier</w:t>
      </w:r>
      <w:r>
        <w:t xml:space="preserve"> chez le sujet âgé, fragile, ou à risque cardiorespiratoire (absorption systémique réduite). Le flacon de 5 mL correspond à environ 100 gouttes (50 jours à 2 gouttes/j). Conservation à température &lt; 25 °C après ouverture (≤ 1 mois pour le collyre multidose ; le gel LP en unidoses se conserve 24 h après ouverture).</w:t>
      </w:r>
    </w:p>
    <w:p>
      <w:r/>
      <w:r>
        <w:rPr>
          <w:b/>
        </w:rPr>
        <w:t>Instructions et Conseils au Patient :</w:t>
      </w:r>
      <w:r/>
    </w:p>
    <w:p>
      <w:pPr>
        <w:pStyle w:val="ListBullet"/>
      </w:pPr>
      <w:r>
        <w:t xml:space="preserve">Communication au comptoir : « Ce collyre fait baisser la pression dans votre œil. Mettez une goutte matin et soir dans chaque œil (ou seulement le matin pour le gel LP). </w:t>
      </w:r>
      <w:r>
        <w:rPr>
          <w:b/>
        </w:rPr>
        <w:t>Appuyez avec le doigt sur le coin interne de l'œil pendant une minute après la goutte — cela évite que le médicament passe dans le sang et provoque des effets cardiaques ou respiratoires.</w:t>
      </w:r>
      <w:r>
        <w:t xml:space="preserve"> Si vous êtes asthmatique, prévenez impérativement votre médecin et votre pharmacien — ce collyre peut déclencher une crise d'asthme. »</w:t>
      </w:r>
    </w:p>
    <w:p>
      <w:pPr>
        <w:pStyle w:val="ListBullet"/>
      </w:pPr>
      <w:r>
        <w:t>Mode d'utilisation pratique : Lavage des mains ; instillation ; fermeture palpébrale 1 min ; occlusion nasolacrymale 1 min. Si plusieurs collyres : espacer de 5 min. Jeter le flacon 1 mois après ouverture (collyre multidose) ; 24 h après ouverture (gel unidose). Renouveler l'ordonnance tous les 6 mois avec contrôle ophtalmologique annuel (PIO, fond d'œil, champ visuel).</w:t>
      </w:r>
    </w:p>
    <w:p>
      <w:r/>
      <w:r>
        <w:rPr>
          <w:b/>
        </w:rPr>
        <w:t>Notes, Règles d'Or &amp; Pièges au Comptoir :</w:t>
      </w:r>
      <w:r/>
    </w:p>
    <w:p>
      <w:pPr>
        <w:pStyle w:val="ListBullet"/>
      </w:pPr>
      <w:r>
        <w:t>Piège classique : oubli d'interrogatoire respiratoire (asthme = CI absolue) ; non-respect de l'occlusion nasolacrymale → passage systémique → bradycardie, bronchospasme ; porteurs de lentilles de contact (retirer avant instillation, attendre 15 min).</w:t>
      </w:r>
    </w:p>
    <w:p>
      <w:pPr>
        <w:pStyle w:val="ListBullet"/>
      </w:pPr>
      <w:r>
        <w:t>Règle de prise : 2 instillations/j à 12 h d'intervalle (collyre) ou 1/j le matin (gel LP).</w:t>
      </w:r>
    </w:p>
    <w:p>
      <w:pPr>
        <w:pStyle w:val="ListBullet"/>
      </w:pPr>
      <w:r>
        <w:t>Préparation et Conservation : flacon fermé &lt; 25 °C ; après ouverture : conservation ≤ 30 jours (collyre) ou 24 h (unidose).</w:t>
      </w:r>
    </w:p>
    <w:p>
      <w:pPr>
        <w:pStyle w:val="ListBullet"/>
      </w:pPr>
      <w:r>
        <w:t>Piège du surdosage / Substitution : en cas de substitution timolol → bétaxolol, meilleure tolérance respiratoire (bétaxolol cardiosélectif). Ne pas associer deux β-bloquants ophtalmiques.</w:t>
      </w:r>
    </w:p>
    <w:p>
      <w:pPr>
        <w:pStyle w:val="Heading2"/>
      </w:pPr>
      <w:r>
        <w:t>Sous-classe : Bêtabloquants non sélectifs (β1β2) avec blocage alpha-1 (α1) associé</w:t>
      </w:r>
    </w:p>
    <w:p>
      <w:r>
        <w:t xml:space="preserve">Cette sous-classe combine un </w:t>
      </w:r>
      <w:r>
        <w:rPr>
          <w:b/>
        </w:rPr>
        <w:t>blocage β1β2 non cardiosélectif</w:t>
      </w:r>
      <w:r>
        <w:t xml:space="preserve"> et un </w:t>
      </w:r>
      <w:r>
        <w:rPr>
          <w:b/>
        </w:rPr>
        <w:t>blocage α1-adrénergique</w:t>
      </w:r>
      <w:r>
        <w:t xml:space="preserve"> vasculaire. La double action entraîne une </w:t>
      </w:r>
      <w:r>
        <w:rPr>
          <w:b/>
        </w:rPr>
        <w:t>vasodilatation artérielle complémentaire</w:t>
      </w:r>
      <w:r>
        <w:t xml:space="preserve"> (par blocage α1 des vaisseaux), ce qui atténue la vasoconstriction réflexe observée avec les β-bloquants purs et améliore le profil hémodynamique (baisse de la post-charge sans baisse excessive du débit cardiaque). Ces molécules sont particulièrement intéressantes dans : (1) l'</w:t>
      </w:r>
      <w:r>
        <w:rPr>
          <w:b/>
        </w:rPr>
        <w:t>HTA rénine-dépendante</w:t>
      </w:r>
      <w:r>
        <w:t xml:space="preserve"> et l'</w:t>
      </w:r>
      <w:r>
        <w:rPr>
          <w:b/>
        </w:rPr>
        <w:t>HTA systolique isolée du sujet âgé</w:t>
      </w:r>
      <w:r>
        <w:t xml:space="preserve"> (vasodilatation α1) ; (2) l'</w:t>
      </w:r>
      <w:r>
        <w:rPr>
          <w:b/>
        </w:rPr>
        <w:t>IC-FEr</w:t>
      </w:r>
      <w:r>
        <w:t xml:space="preserve"> (carvédilol — réduction de la mortalité démontrée dans les essais COPERNICUS, CAPRICORN, COMET) ; (3) l'</w:t>
      </w:r>
      <w:r>
        <w:rPr>
          <w:b/>
        </w:rPr>
        <w:t>angor stable</w:t>
      </w:r>
      <w:r>
        <w:t xml:space="preserve"> et le </w:t>
      </w:r>
      <w:r>
        <w:rPr>
          <w:b/>
        </w:rPr>
        <w:t>post-IDM</w:t>
      </w:r>
      <w:r>
        <w:t xml:space="preserve"> (carvédilol) ; (4) l'</w:t>
      </w:r>
      <w:r>
        <w:rPr>
          <w:b/>
        </w:rPr>
        <w:t>HTA gravidique sévère</w:t>
      </w:r>
      <w:r>
        <w:t xml:space="preserve"> et la </w:t>
      </w:r>
      <w:r>
        <w:rPr>
          <w:b/>
        </w:rPr>
        <w:t>pré-éclampsie</w:t>
      </w:r>
      <w:r>
        <w:t xml:space="preserve"> (labétalol — non disponible en Algérie). En Algérie, seul le </w:t>
      </w:r>
      <w:r>
        <w:rPr>
          <w:b/>
        </w:rPr>
        <w:t>carvédilol</w:t>
      </w:r>
      <w:r>
        <w:t xml:space="preserve"> est disponible dans cette sous-classe.</w:t>
      </w:r>
    </w:p>
    <w:p>
      <w:pPr>
        <w:pStyle w:val="Heading3"/>
      </w:pPr>
      <w:r>
        <w:t>9. DCI : Carvédilol (Seule)</w:t>
      </w:r>
    </w:p>
    <w:p>
      <w:r/>
      <w:r>
        <w:rPr>
          <w:b/>
        </w:rPr>
        <w:t>Liste des Catégories :</w:t>
      </w:r>
      <w:r>
        <w:t xml:space="preserve"> Bêtabloquants non sélectifs (β1β2) avec blocage α1-adrénergique ; Antihypertenseur ; Traitement de l'insuffisance cardiaque chronique stable avec FEVG ≤ 35 % (IC-FEr) ; Post-IDM ; Antiarythmique de classe II ; Antioxydant (effet pléiotrope).</w:t>
      </w:r>
    </w:p>
    <w:p>
      <w:r>
        <w:t xml:space="preserve">Le carvédilol est un β-bloquant de </w:t>
      </w:r>
      <w:r>
        <w:rPr>
          <w:b/>
        </w:rPr>
        <w:t>troisième génération</w:t>
      </w:r>
      <w:r>
        <w:t xml:space="preserve">, combinant un </w:t>
      </w:r>
      <w:r>
        <w:rPr>
          <w:b/>
        </w:rPr>
        <w:t>blocage β1β2 non cardiosélectif</w:t>
      </w:r>
      <w:r>
        <w:t xml:space="preserve"> et un </w:t>
      </w:r>
      <w:r>
        <w:rPr>
          <w:b/>
        </w:rPr>
        <w:t>blocage α1-adrénergique</w:t>
      </w:r>
      <w:r>
        <w:t xml:space="preserve"> (ratio β1/α1 ≈ 7–10). C'est, avec le bisoprolol et le métoprolol LP, l'un des trois β-bloquants recommandés par l'ESC dans l'IC-FEr — ayant démontré une </w:t>
      </w:r>
      <w:r>
        <w:rPr>
          <w:b/>
        </w:rPr>
        <w:t>réduction de la mortalité de 35 %</w:t>
      </w:r>
      <w:r>
        <w:t xml:space="preserve"> dans l'essai COPERNICUS (2001, IC sévère) et une réduction de 23 % dans CAPRICORN (post-IDM avec dysfonction VG). Le carvédilol possède également des propriétés </w:t>
      </w:r>
      <w:r>
        <w:rPr>
          <w:b/>
        </w:rPr>
        <w:t>antioxydantes</w:t>
      </w:r>
      <w:r>
        <w:t xml:space="preserve"> (inhibition de la peroxydation lipidique, neutralisation des radicaux libres) et </w:t>
      </w:r>
      <w:r>
        <w:rPr>
          <w:b/>
        </w:rPr>
        <w:t>anti-prolifératives</w:t>
      </w:r>
      <w:r>
        <w:t xml:space="preserve"> sur les cellules musculaires lisses vasculaires, qui pourraient contribuer à son effet cardioprotecteur. Sa pharmacocinétique est marquée par un </w:t>
      </w:r>
      <w:r>
        <w:rPr>
          <w:b/>
        </w:rPr>
        <w:t>métabolisme hépatique CYP2D6 et CYP1A2</w:t>
      </w:r>
      <w:r>
        <w:t xml:space="preserve"> (polymorphe), un </w:t>
      </w:r>
      <w:r>
        <w:rPr>
          <w:b/>
        </w:rPr>
        <w:t>effet premier passage important</w:t>
      </w:r>
      <w:r>
        <w:t xml:space="preserve"> (biodisponibilité ≈ 25 %) et une </w:t>
      </w:r>
      <w:r>
        <w:rPr>
          <w:b/>
        </w:rPr>
        <w:t>demi-vie de 6–10 heures</w:t>
      </w:r>
      <w:r>
        <w:t xml:space="preserve"> justifiant une administration biquotidienne. Le carvédilol est </w:t>
      </w:r>
      <w:r>
        <w:rPr>
          <w:b/>
        </w:rPr>
        <w:t>liposoluble</w:t>
      </w:r>
      <w:r>
        <w:t xml:space="preserve"> (passage BHE). En Algérie, il est disponible sous 3 dosages (3,125 mg, 6,25 mg, 12,5 mg, 25 mg) avec plusieurs spécialités actives (CARDEX, CORONAT, DILACARD).</w:t>
      </w:r>
    </w:p>
    <w:p>
      <w:r/>
      <w:r>
        <w:rPr>
          <w:b/>
        </w:rPr>
        <w:t>Médicaments disponibles en Algérie (Marques, Laboratoires, Formes et Dosages) :</w:t>
      </w:r>
      <w:r/>
    </w:p>
    <w:p>
      <w:pPr>
        <w:pStyle w:val="ListBullet"/>
      </w:pPr>
      <w:r/>
      <w:r>
        <w:rPr>
          <w:b/>
        </w:rPr>
        <w:t>CARDEX</w:t>
      </w:r>
      <w:r>
        <w:t xml:space="preserve"> (HUPP PHARMA)</w:t>
      </w:r>
    </w:p>
    <w:p>
      <w:pPr>
        <w:pStyle w:val="ListBullet"/>
      </w:pPr>
      <w:r>
        <w:t>Formes et Dosages : Comprimé sécable 6,25 mg (B/30) ; Comprimé sécable 25 mg (B/30)</w:t>
      </w:r>
    </w:p>
    <w:p>
      <w:pPr>
        <w:pStyle w:val="ListBullet"/>
      </w:pPr>
      <w:r>
        <w:t>Statut : Actif — Liste I</w:t>
      </w:r>
    </w:p>
    <w:p>
      <w:pPr>
        <w:pStyle w:val="ListBullet"/>
      </w:pPr>
      <w:r/>
      <w:r>
        <w:rPr>
          <w:b/>
        </w:rPr>
        <w:t>CORONAT</w:t>
      </w:r>
      <w:r>
        <w:t xml:space="preserve"> (LABORATOIRES DE DIAGNOSTIC MAGHREBINS — LDM)</w:t>
      </w:r>
    </w:p>
    <w:p>
      <w:pPr>
        <w:pStyle w:val="ListBullet"/>
      </w:pPr>
      <w:r>
        <w:t>Formes et Dosages : Comprimé sécable 6,25 mg (B/30) ; Comprimé sécable 25 mg (B/30)</w:t>
      </w:r>
    </w:p>
    <w:p>
      <w:pPr>
        <w:pStyle w:val="ListBullet"/>
      </w:pPr>
      <w:r>
        <w:t>Statut : Actif — Liste I</w:t>
      </w:r>
    </w:p>
    <w:p>
      <w:pPr>
        <w:pStyle w:val="ListBullet"/>
      </w:pPr>
      <w:r/>
      <w:r>
        <w:rPr>
          <w:b/>
        </w:rPr>
        <w:t>DILACARD</w:t>
      </w:r>
      <w:r>
        <w:t xml:space="preserve"> (EL KENDI INDUSTRIE DU MEDICAMENT)</w:t>
      </w:r>
    </w:p>
    <w:p>
      <w:pPr>
        <w:pStyle w:val="ListBullet"/>
      </w:pPr>
      <w:r>
        <w:t>Formes et Dosages : Comprimé sécable 3,125 mg (B/30) ; Comprimé sécable 6,25 mg (B/30) ; Comprimé sécable 12,5 mg (B/30) ; Comprimé sécable 25 mg (B/30)</w:t>
      </w:r>
    </w:p>
    <w:p>
      <w:pPr>
        <w:pStyle w:val="ListBullet"/>
      </w:pPr>
      <w:r>
        <w:t>Statut : Actif — Liste I</w:t>
      </w:r>
    </w:p>
    <w:p>
      <w:pPr>
        <w:pStyle w:val="ListBullet"/>
      </w:pPr>
      <w:r/>
      <w:r>
        <w:rPr>
          <w:b/>
        </w:rPr>
        <w:t>DILATREND</w:t>
      </w:r>
      <w:r>
        <w:t xml:space="preserve"> (ROCHE PHARMA SCHWEIZ Ltd)</w:t>
      </w:r>
    </w:p>
    <w:p>
      <w:pPr>
        <w:pStyle w:val="ListBullet"/>
      </w:pPr>
      <w:r>
        <w:t>Formes et Dosages : Comprimé sécable 6,25 mg (B/30) ; Comprimé sécable 25 mg (B/30)</w:t>
      </w:r>
    </w:p>
    <w:p>
      <w:pPr>
        <w:pStyle w:val="ListBullet"/>
      </w:pPr>
      <w:r>
        <w:t>Statut : Retiré (R)</w:t>
      </w:r>
    </w:p>
    <w:p>
      <w:pPr>
        <w:pStyle w:val="ListBullet"/>
      </w:pPr>
      <w:r/>
      <w:r>
        <w:rPr>
          <w:b/>
        </w:rPr>
        <w:t>CARDIOVEL</w:t>
      </w:r>
      <w:r>
        <w:t xml:space="preserve"> (BIOVITAL)</w:t>
      </w:r>
    </w:p>
    <w:p>
      <w:pPr>
        <w:pStyle w:val="ListBullet"/>
      </w:pPr>
      <w:r>
        <w:t>Formes et Dosages : Comprimé sécable 3,125 mg (B/30) ; Comprimé sécable 6,25 mg (B/30) ; Comprimé sécable 12,5 mg (B/30) ; Comprimé sécable 25 mg (B/30)</w:t>
      </w:r>
    </w:p>
    <w:p>
      <w:pPr>
        <w:pStyle w:val="ListBullet"/>
      </w:pPr>
      <w:r>
        <w:t>Statut : Retiré (R)</w:t>
      </w:r>
    </w:p>
    <w:p>
      <w:pPr>
        <w:pStyle w:val="ListBullet"/>
      </w:pPr>
      <w:r/>
      <w:r>
        <w:rPr>
          <w:b/>
        </w:rPr>
        <w:t>BETACARD</w:t>
      </w:r>
      <w:r>
        <w:t xml:space="preserve"> (HIKMA PHARMACEUTICALS)</w:t>
      </w:r>
    </w:p>
    <w:p>
      <w:pPr>
        <w:pStyle w:val="ListBullet"/>
      </w:pPr>
      <w:r>
        <w:t>Formes et Dosages : Comprimé 12,5 mg (B/30)</w:t>
      </w:r>
    </w:p>
    <w:p>
      <w:pPr>
        <w:pStyle w:val="ListBullet"/>
      </w:pPr>
      <w:r>
        <w:t>Statut : Retiré (R)</w:t>
      </w:r>
    </w:p>
    <w:p>
      <w:r/>
      <w:r>
        <w:rPr>
          <w:b/>
        </w:rPr>
        <w:t>Sous-classe et Mécanisme d'action :</w:t>
      </w:r>
      <w:r/>
    </w:p>
    <w:p>
      <w:pPr>
        <w:pStyle w:val="ListBullet"/>
      </w:pPr>
      <w:r>
        <w:t xml:space="preserve">Sous-classe : β-bloquant non cardiosélectif (β1 = β2) avec </w:t>
      </w:r>
      <w:r>
        <w:rPr>
          <w:b/>
        </w:rPr>
        <w:t>blocage α1-adrénergique associé</w:t>
      </w:r>
      <w:r>
        <w:t xml:space="preserve"> (ratio β1/α1 ≈ 7–10) ; liposoluble ; antioxydant.</w:t>
      </w:r>
    </w:p>
    <w:p>
      <w:pPr>
        <w:pStyle w:val="ListBullet"/>
      </w:pPr>
      <w:r>
        <w:t xml:space="preserve">Mécanisme d'action : Triple action — (1) Antagonisme compétitif des récepteurs β1 cardiaques → baisse de la chronotropie, inotropie, dromotropie (effet β-bloquant classique). (2) Antagonisme compétitif des récepteurs β2 bronchiques et vasculaires → bronchospasme possible (effet indésirable), vasoconstriction cutanée (Raynaud). (3) Antagonisme compétitif des récepteurs α1 vasculaires → </w:t>
      </w:r>
      <w:r>
        <w:rPr>
          <w:b/>
        </w:rPr>
        <w:t>vasodilatation artérielle et veineuse</w:t>
      </w:r>
      <w:r>
        <w:t xml:space="preserve"> → baisse de la post-charge et de la pré-charge sans tachycardie réflexe (la stimulation α1 étant bloquée). Cette vasodilatation compense partiellement la baisse d'inotropie → préservation du débit cardiaque. (4) Propriétés antioxydantes (inhibition de la peroxydation lipidique des LDL, neutralisation des radicaux libres) et anti-prolifératives (inhibition de la migration et de la prolifération des CML vasculaires). Métabolisme hépatique par CYP2D6 et CYP1A2 (polymorphe — risque d'accumulation chez les PM) ; effet premier passage important (biodisponibilité 25 %) ; demi-vie 6–10 h (biquotidienne).</w:t>
      </w:r>
    </w:p>
    <w:p>
      <w:r/>
      <w:r>
        <w:rPr>
          <w:b/>
        </w:rPr>
        <w:t>Profil Pharmacologique :</w:t>
      </w:r>
      <w:r/>
    </w:p>
    <w:p>
      <w:pPr>
        <w:pStyle w:val="ListBullet"/>
      </w:pPr>
      <w:r>
        <w:t>Indications : IC-FEr stable (FEVG ≤ 35 %, NYHA II-IV) — indication princeps de l'AMM ; post-IDM avec dysfonction VG (CAPRICORN) ; HTA (surtout avec hypertrophie VG, diabète, dyslipidémie) ; angor stable. Posologie IC-FEr : 3,125 mg x 2/j × 2 semaines → titration mensuelle par paliers jusqu'à 25 mg x 2/j (50 mg x 2/j si &gt; 85 kg).</w:t>
      </w:r>
    </w:p>
    <w:p>
      <w:pPr>
        <w:pStyle w:val="ListBullet"/>
      </w:pPr>
      <w:r>
        <w:t>Contre-indications : Asthme/BPCO sévères (β2) ; BAV 2e/3e non appareillé ; bradycardie &lt; 50 ; choc cardiogénique ; ICC décompensée aiguë (œdème aigu du poumon, IV inotrope) ; insuffisance hépatique sévère (métabolisme hépatique) ; phéochromocytome non traité par α-bloquant préalable ; hypersensibilité.</w:t>
      </w:r>
    </w:p>
    <w:p>
      <w:pPr>
        <w:pStyle w:val="ListBullet"/>
      </w:pPr>
      <w:r>
        <w:t>Effets Indésirables : Bradycardie, hypotension orthostatique (effet α1 — fréquent en début de traitement), asthénie, vertiges, bronchospasme, syndrome de Raynaud, dysfonction érectile, masquage hypoglycémie, troubles digestifs, rash, augmentation transaminases, prise de poids (légère), cauchemars (liposolubilité).</w:t>
      </w:r>
    </w:p>
    <w:p>
      <w:r/>
      <w:r>
        <w:rPr>
          <w:b/>
        </w:rPr>
        <w:t>Prévention et Gestion des Effets Indésirables :</w:t>
      </w:r>
      <w:r/>
    </w:p>
    <w:p>
      <w:pPr>
        <w:pStyle w:val="ListBullet"/>
      </w:pPr>
      <w:r>
        <w:t xml:space="preserve">Mesures Préventives : Avant initiation IC-FEr : patient stable (sans décompensation ≥ 4 semaines), sans surcharge hydrosodée, dose faible de diurétique IV, FEVG ≤ 35 %, PAS ≥ 85, FC ≥ 60. Initiation à 3,125 mg x 2/j (DILACARD 3,125 mg — dosage spécifique) pendant 2 semaines → titration mensuelle par paliers : 6,25 mg x 2/j → 12,5 mg x 2/j → 25 mg x 2/j (50 mg x 2/j si &gt; 85 kg). Surveillance clinique (poids, FC, PA, signes d'ICC) et biologique (créatinine, kaliémie, NT-proBNP) à chaque palier. Prise </w:t>
      </w:r>
      <w:r>
        <w:rPr>
          <w:b/>
        </w:rPr>
        <w:t>au cours des repas</w:t>
      </w:r>
      <w:r>
        <w:t xml:space="preserve"> (réduit le pic de concentration → moindre hypotension orthostatique).</w:t>
      </w:r>
    </w:p>
    <w:p>
      <w:pPr>
        <w:pStyle w:val="ListBullet"/>
      </w:pPr>
      <w:r>
        <w:t>Conduite à Tenir : En cas d'hypotension orthostatique symptomatique : réduction du palier, surveillance. En cas de bradycardie &lt; 50 : réduction du palier. En cas d'aggravation ICC : arrêt transitoire, traitement de la décompensation (diurétiques IV, vasodilatateurs IV), réintroduction à dose plus faible après stabilisation.</w:t>
      </w:r>
    </w:p>
    <w:p>
      <w:r/>
      <w:r>
        <w:rPr>
          <w:b/>
        </w:rPr>
        <w:t>Interactions Importantes :</w:t>
      </w:r>
      <w:r/>
    </w:p>
    <w:p>
      <w:pPr>
        <w:pStyle w:val="ListBullet"/>
      </w:pPr>
      <w:r>
        <w:t>Carvédilol + Inhibiteurs CYP2D6 (paroxétine, fluoxétine, quinidine) : augmentation des concentrations → bradycardie, hypotension — surveillance, adaptation posologique.</w:t>
      </w:r>
    </w:p>
    <w:p>
      <w:pPr>
        <w:pStyle w:val="ListBullet"/>
      </w:pPr>
      <w:r>
        <w:t>Carvédilol + Vérapamil/Diltiazem : CI absolue (BAV, bradycardie sévère).</w:t>
      </w:r>
    </w:p>
    <w:p>
      <w:pPr>
        <w:pStyle w:val="ListBullet"/>
      </w:pPr>
      <w:r>
        <w:t>Carvédilol + Amiodarone : bradycardie additive.</w:t>
      </w:r>
    </w:p>
    <w:p>
      <w:pPr>
        <w:pStyle w:val="ListBullet"/>
      </w:pPr>
      <w:r>
        <w:t>Carvédilol + Inhibiteurs calciques dihydropyridiniques (amlodipine, nifédipine) : hypotension possible — surveillance.</w:t>
      </w:r>
    </w:p>
    <w:p>
      <w:pPr>
        <w:pStyle w:val="ListBullet"/>
      </w:pPr>
      <w:r>
        <w:t>Carvédilol + Insuline : masquage hypoglycémie.</w:t>
      </w:r>
    </w:p>
    <w:p>
      <w:pPr>
        <w:pStyle w:val="ListBullet"/>
      </w:pPr>
      <w:r>
        <w:t>Carvédilol + Dérivés nitrés : hypotension orthostatique (effet additif).</w:t>
      </w:r>
    </w:p>
    <w:p>
      <w:r/>
      <w:r>
        <w:rPr>
          <w:b/>
        </w:rPr>
        <w:t>Grossesse et Allaitement :</w:t>
      </w:r>
      <w:r/>
    </w:p>
    <w:p>
      <w:pPr>
        <w:pStyle w:val="ListBullet"/>
      </w:pPr>
      <w:r>
        <w:t>Grossesse : À éviter par mesure de précaution (blocage α1 pouvant altérer la perfusion placentaire). Préférer labétalol ou métoprolol. Si indispensable : compatible selon CRAT, en seconde intention, surveillance de la croissance fœtale.</w:t>
      </w:r>
    </w:p>
    <w:p>
      <w:pPr>
        <w:pStyle w:val="ListBullet"/>
      </w:pPr>
      <w:r>
        <w:t>Allaitement : Compatible (faible passage lacté).</w:t>
      </w:r>
    </w:p>
    <w:p>
      <w:pPr>
        <w:pStyle w:val="ListBullet"/>
      </w:pPr>
      <w:r>
        <w:t>Précautions : Surveillance néonatale (bradycardie, hypotension, hypoglycémie).</w:t>
      </w:r>
    </w:p>
    <w:p>
      <w:r/>
      <w:r>
        <w:rPr>
          <w:b/>
        </w:rPr>
        <w:t>Posologie et Mode d'administration (Standard) :</w:t>
      </w:r>
      <w:r/>
    </w:p>
    <w:p>
      <w:pPr>
        <w:pStyle w:val="ListBullet"/>
      </w:pPr>
      <w:r>
        <w:t>Adulte HTA : 12,5 mg x 2/j × 2 semaines → 25 mg x 2/j (50 mg x 2/j si nécessaire). Dose maximale 50 mg x 2/j.</w:t>
      </w:r>
    </w:p>
    <w:p>
      <w:pPr>
        <w:pStyle w:val="ListBullet"/>
      </w:pPr>
      <w:r>
        <w:t>Adulte IC-FEr : 3,125 mg x 2/j × 2 semaines → 6,25 mg x 2/j → 12,5 mg x 2/j → 25 mg x 2/j (paliers de 2 semaines minimum, dose cible 25 mg x 2/j ; 50 mg x 2/j si &gt; 85 kg).</w:t>
      </w:r>
    </w:p>
    <w:p>
      <w:pPr>
        <w:pStyle w:val="ListBullet"/>
      </w:pPr>
      <w:r>
        <w:t>Post-IDM : 6,25 mg x 2/j → titration à 25 mg x 2/j.</w:t>
      </w:r>
    </w:p>
    <w:p>
      <w:pPr>
        <w:pStyle w:val="ListBullet"/>
      </w:pPr>
      <w:r>
        <w:t>Sujet âgé : débuter à 3,125 mg x 2/j, titration prudente.</w:t>
      </w:r>
    </w:p>
    <w:p>
      <w:pPr>
        <w:pStyle w:val="ListBullet"/>
      </w:pPr>
      <w:r>
        <w:t>Insuffisance rénale modérée à sévère : pas d'adaptation stricte, mais titration prudente.</w:t>
      </w:r>
    </w:p>
    <w:p>
      <w:pPr>
        <w:pStyle w:val="ListBullet"/>
      </w:pPr>
      <w:r>
        <w:t>Durée : au long cours.</w:t>
      </w:r>
    </w:p>
    <w:p>
      <w:pPr>
        <w:pStyle w:val="ListBullet"/>
      </w:pPr>
      <w:r>
        <w:t xml:space="preserve">Moment de prise : matin et soir, </w:t>
      </w:r>
      <w:r>
        <w:rPr>
          <w:b/>
        </w:rPr>
        <w:t>au cours des repas</w:t>
      </w:r>
      <w:r>
        <w:t xml:space="preserve"> (réduit le pic plasmatique → moindre hypotension orthostatique).</w:t>
      </w:r>
    </w:p>
    <w:p>
      <w:r/>
      <w:r>
        <w:rPr>
          <w:b/>
        </w:rPr>
        <w:t>Arbitrage et Bénéfices des Formes Galéniques :</w:t>
      </w:r>
      <w:r/>
    </w:p>
    <w:p>
      <w:r>
        <w:t>Quatre dosages disponibles (3,125 mg, 6,25 mg, 12,5 mg, 25 mg) — les plus complets de la classe — permettant une titration ultra-fine particulièrement dans l'IC-FEr (le 3,125 mg est spécifiquement prévu pour l'initiation). Comprimés sécables autorisant le demi-dosage. DILACARD (El Kendi) est le seul laboratoire à proposer les 4 dosages, ce qui en fait la référence pour l'IC-FEr. Pas de forme LP ou injectable disponible en Algérie. La biquotidienne est nécessaire (demi-vie 6–10 h).</w:t>
      </w:r>
    </w:p>
    <w:p>
      <w:r/>
      <w:r>
        <w:rPr>
          <w:b/>
        </w:rPr>
        <w:t>Instructions et Conseils au Patient :</w:t>
      </w:r>
      <w:r/>
    </w:p>
    <w:p>
      <w:pPr>
        <w:pStyle w:val="ListBullet"/>
      </w:pPr>
      <w:r>
        <w:t xml:space="preserve">Communication au comptoir : « Ce médicament combine plusieurs actions : il ralentit votre cœur, dilate vos vaisseaux et protège votre cœur après un infarctus ou en cas d'insuffisance cardiaque. Prenez-le matin et soir, </w:t>
      </w:r>
      <w:r>
        <w:rPr>
          <w:b/>
        </w:rPr>
        <w:t>au cours des repas</w:t>
      </w:r>
      <w:r>
        <w:t>, pour éviter les vertiges. Votre médecin augmentera la dose très progressivement sur plusieurs mois. Pesez-vous tous les matins, surveillez votre pouls. Si vous êtes essoufflé, prenez du poids rapidement ou avez des œdèmes, prévenez votre médecin. Ne l'arrêtez jamais brutalement. »</w:t>
      </w:r>
    </w:p>
    <w:p>
      <w:pPr>
        <w:pStyle w:val="ListBullet"/>
      </w:pPr>
      <w:r>
        <w:t>Mode d'utilisation pratique : Prise matinale et vespérale au cours des repas. Comprimé entier ou sécable. Carnet de surveillance (FC, PA, poids quotidien). En cas d'oubli : ne pas doubler. Signaler toute intervention chirurgicale à l'anesthésiste.</w:t>
      </w:r>
    </w:p>
    <w:p>
      <w:r/>
      <w:r>
        <w:rPr>
          <w:b/>
        </w:rPr>
        <w:t>Notes, Règles d'Or &amp; Pièges au Comptoir :</w:t>
      </w:r>
      <w:r/>
    </w:p>
    <w:p>
      <w:pPr>
        <w:pStyle w:val="ListBullet"/>
      </w:pPr>
      <w:r>
        <w:t>Piège classique : initiation chez un patient décompensé (CI absolue — attendre stabilisation) ; titration trop rapide (risque de choc cardiogénique) ; oubli de la prise au cours du repas (hypotension orthostatique) ; arrêt brutal (rebond) ; association avec vérapamil.</w:t>
      </w:r>
    </w:p>
    <w:p>
      <w:pPr>
        <w:pStyle w:val="ListBullet"/>
      </w:pPr>
      <w:r>
        <w:t xml:space="preserve">Règle de prise : matin et soir, </w:t>
      </w:r>
      <w:r>
        <w:rPr>
          <w:b/>
        </w:rPr>
        <w:t>au cours des repas</w:t>
      </w:r>
      <w:r>
        <w:t>.</w:t>
      </w:r>
    </w:p>
    <w:p>
      <w:pPr>
        <w:pStyle w:val="ListBullet"/>
      </w:pPr>
      <w:r>
        <w:t>Préparation et Conservation : &lt; 25 °C, sec.</w:t>
      </w:r>
    </w:p>
    <w:p>
      <w:pPr>
        <w:pStyle w:val="ListBullet"/>
      </w:pPr>
      <w:r>
        <w:t>Piège du surdosage / Substitution : en cas de substitution bisoprolol ↔ carvédilol, surveillance ECG et FC (équivalence : carvédilol 25 mg x 2/j ≈ bisoprolol 10 mg/j). En cas d'intoxication : bradycardie sévère, hypotension sévère (effet α1), BAV, bronchospasme — glucagon IV 5–10 mg, atropine, isoprénaline, noradrénaline (si hypotension sévère réfractaire), ventilation assistée.</w:t>
      </w:r>
    </w:p>
    <w:p>
      <w:pPr>
        <w:pStyle w:val="Heading2"/>
      </w:pPr>
      <w:r>
        <w:t>Sous-classe : Bêtabloquants + Diurétiques (Associations fixes)</w:t>
      </w:r>
    </w:p>
    <w:p>
      <w:r>
        <w:t xml:space="preserve">Les associations fixes de β-bloquants et de diurétiques thiazidiques (ou apparentés) visent à combiner deux mécanismes antihypertenseurs complémentaires : (1) le </w:t>
      </w:r>
      <w:r>
        <w:rPr>
          <w:b/>
        </w:rPr>
        <w:t>blocage β-adrénergique</w:t>
      </w:r>
      <w:r>
        <w:t xml:space="preserve"> (baisse du débit cardiaque, de la rénine, du tonus sympathique) ; (2) la </w:t>
      </w:r>
      <w:r>
        <w:rPr>
          <w:b/>
        </w:rPr>
        <w:t>diurèse initiale</w:t>
      </w:r>
      <w:r>
        <w:t xml:space="preserve"> (baisse de la volémie) puis la </w:t>
      </w:r>
      <w:r>
        <w:rPr>
          <w:b/>
        </w:rPr>
        <w:t>vasodilatation artérielle</w:t>
      </w:r>
      <w:r>
        <w:t xml:space="preserve"> (effet thiazidique sur les canaux NaCl du tube contourné distal). L'association a une synergie antihypertensive supérieure à chaque composant isolé, avec une moindre dose de chaque molécule (réduction des effets indésirables dose-dépendants). Cependant, ces associations fixes ont été </w:t>
      </w:r>
      <w:r>
        <w:rPr>
          <w:b/>
        </w:rPr>
        <w:t>remises en question</w:t>
      </w:r>
      <w:r>
        <w:t xml:space="preserve"> par les recommandations ESH 2023 et HAS 2024 (préférer l'association IEC/ARA2 + diurétique ou IEC/ARA2 + inhibiteur calcique pour la préservation métabolique). Elles conservent une place dans : (1) l'HTA du sujet âgé avec hyper volémie et composante sympathique ; (2) l'HTA réfractaire en 3e intention. En Algérie, deux associations fixes sont disponibles : </w:t>
      </w:r>
      <w:r>
        <w:rPr>
          <w:b/>
        </w:rPr>
        <w:t>Aténolol + Chlorthalidone</w:t>
      </w:r>
      <w:r>
        <w:t xml:space="preserve"> (ATENOCLOR, retiré) et </w:t>
      </w:r>
      <w:r>
        <w:rPr>
          <w:b/>
        </w:rPr>
        <w:t>Bisoprolol + Hydrochlorothiazide</w:t>
      </w:r>
      <w:r>
        <w:t xml:space="preserve"> (CO BIPROTENS, CO-BISOPROLOL BEKER — actifs).</w:t>
      </w:r>
    </w:p>
    <w:p>
      <w:pPr>
        <w:pStyle w:val="Heading3"/>
      </w:pPr>
      <w:r>
        <w:t>10. DCI : Aténolol + Chlorthalidone (En Association)</w:t>
      </w:r>
    </w:p>
    <w:p>
      <w:r/>
      <w:r>
        <w:rPr>
          <w:b/>
        </w:rPr>
        <w:t>Liste des Catégories :</w:t>
      </w:r>
      <w:r>
        <w:t xml:space="preserve"> Bêtabloquants + Diurétiques (associations fixes) ; Antihypertenseur (combinaison β1-bloquant + diurétique thiazidique de type chlorthalidone).</w:t>
      </w:r>
    </w:p>
    <w:p>
      <w:r>
        <w:t xml:space="preserve">L'association aténolol + chlorthalidone combine un β-bloquant cardiosélectif (aténolol, 50 mg) avec un diurétique thiazidique de longue durée d'action (chlorthalidone, 12,5 mg). La chlorthalidone est un diurétique thiazidique </w:t>
      </w:r>
      <w:r>
        <w:rPr>
          <w:b/>
        </w:rPr>
        <w:t>apparenté</w:t>
      </w:r>
      <w:r>
        <w:t xml:space="preserve"> (non strictement thiazidique — dérivé benzothiadiazine) avec une </w:t>
      </w:r>
      <w:r>
        <w:rPr>
          <w:b/>
        </w:rPr>
        <w:t>demi-vie très longue de 40–60 heures</w:t>
      </w:r>
      <w:r>
        <w:t xml:space="preserve"> (monoprise possible), une puissance supérieure à l'hydrochlorothiazide (HCTZ) à dose équivalente (12,5 mg chlorthalidone ≈ 25 mg HCTZ), et une meilleure réduction des événements cardiovasculaires (essai ALLHAT, MRFIT). L'association aténolol + chlorthalidone a été longtemps l'une des plus prescrites dans l'HTA en Algérie (forme TENORETIC à l'étranger, ATENOCLOR en Algérie). Cependant, la spécialité ATENOCLOR (PHARMALLIANCE) est actuellement </w:t>
      </w:r>
      <w:r>
        <w:rPr>
          <w:b/>
        </w:rPr>
        <w:t>non renouvelée</w:t>
      </w:r>
      <w:r>
        <w:t xml:space="preserve"> dans la nomenclature algérienne (Avril 2026) — il n'y a donc plus d'association aténolol + chlorthalidone active en Algérie. Le pharmacien doit pouvoir orienter le patient vers des alternatives (bisoprolol + HCTZ ou prescription séparée aténolol + chlorthalidone).</w:t>
      </w:r>
    </w:p>
    <w:p>
      <w:r/>
      <w:r>
        <w:rPr>
          <w:b/>
        </w:rPr>
        <w:t>Médicaments disponibles en Algérie (Marques, Laboratoires, Formes et Dosages) :</w:t>
      </w:r>
      <w:r/>
    </w:p>
    <w:p>
      <w:pPr>
        <w:pStyle w:val="ListBullet"/>
      </w:pPr>
      <w:r/>
      <w:r>
        <w:rPr>
          <w:b/>
        </w:rPr>
        <w:t>ATENOCLOR</w:t>
      </w:r>
      <w:r>
        <w:t xml:space="preserve"> (PHARMALLIANCE)</w:t>
      </w:r>
    </w:p>
    <w:p>
      <w:pPr>
        <w:pStyle w:val="ListBullet"/>
      </w:pPr>
      <w:r>
        <w:t>Formes et Dosages : Comprimé pelliculé 50 mg/12,5 mg (aténolol 50 mg + chlorthalidone 12,5 mg) — B/28</w:t>
      </w:r>
    </w:p>
    <w:p>
      <w:pPr>
        <w:pStyle w:val="ListBullet"/>
      </w:pPr>
      <w:r>
        <w:t>Statut : Non Renouvelable — Liste I</w:t>
      </w:r>
    </w:p>
    <w:p>
      <w:r/>
      <w:r>
        <w:rPr>
          <w:b/>
        </w:rPr>
        <w:t>Sous-classe et Mécanisme d'action :</w:t>
      </w:r>
      <w:r/>
    </w:p>
    <w:p>
      <w:pPr>
        <w:pStyle w:val="ListBullet"/>
      </w:pPr>
      <w:r>
        <w:t>Sous-classe : Association fixe β-bloquant cardiosélectif (β1-sélectif) + diurétique thiazidique apparenté (chlorthalidone).</w:t>
      </w:r>
    </w:p>
    <w:p>
      <w:pPr>
        <w:pStyle w:val="ListBullet"/>
      </w:pPr>
      <w:r>
        <w:t>Mécanisme d'action : Triple action combinée — (1) Aténolol : antagonisme compétitif β1 cardiaque → baisse FC, contractilité, RAS ; (2) Chlorthalidone : inhibition du co-transporteur NaCl sensible au thiazide (NCC/TSC) du tube contourné distal → natriurèse modérée (3–5 % de la charge filtrée) → baisse volémie → baisse PA initiale ; (3) À long terme, la chlorthalidone exerce une vasodilatation artérielle directe (ouverture des canaux potassiques K-ATP-dépendants → hyperpolarisation des CML) → baisse des résistances périphériques. Synergie antihypertensive : la baisse de la volémie induite par la chlorthalidone active le système rénine-angiotensine, contrebalancée par l'aténolol (qui inhibe la sécrétion de rénine via bloc β1 juxtaglomérulaire).</w:t>
      </w:r>
    </w:p>
    <w:p>
      <w:r/>
      <w:r>
        <w:rPr>
          <w:b/>
        </w:rPr>
        <w:t>Profil Pharmacologique :</w:t>
      </w:r>
      <w:r/>
    </w:p>
    <w:p>
      <w:pPr>
        <w:pStyle w:val="ListBullet"/>
      </w:pPr>
      <w:r>
        <w:t>Indications : HTA modérée à sévère non contrôlée par monothérapie ; HTA du sujet âgé avec composante volémique et sympathique. Posologie 1 comprimé/j (aténolol 50 mg + chlorthalidone 12,5 mg).</w:t>
      </w:r>
    </w:p>
    <w:p>
      <w:pPr>
        <w:pStyle w:val="ListBullet"/>
      </w:pPr>
      <w:r>
        <w:t>Contre-indications : Asthme/BPCO sévères ; BAV non appareillé ; bradycardie &lt; 50 ; choc cardiogénique ; ICC décompensée ; insuffisance rénale sévère (ClCr &lt; 30 — chlorthalidone inefficace) ; insuffisance hépatique sévère ; hyponatrémie &lt; 130 mmol/L ; hypokaliémie &lt; 3,5 ; allergie sulfamides ; goutte ; enclines au lupus ; grossesse (aténolol + chlorthalidone tous deux à éviter).</w:t>
      </w:r>
    </w:p>
    <w:p>
      <w:pPr>
        <w:pStyle w:val="ListBullet"/>
      </w:pPr>
      <w:r>
        <w:t>Effets Indésirables : Ceux de l'aténolol (bradycardie, asthénie, syndrome Raynaud, masquage hypoglycémie) + ceux de la chlorthalidone (hypokaliémie, hyponatrémie, hyperuricémie, hyperglycémie, augmentation créatinine, hypomagnésémie, photosensibilité, troubles digestifs) + effet additif hypotension orthostatique.</w:t>
      </w:r>
    </w:p>
    <w:p>
      <w:r/>
      <w:r>
        <w:rPr>
          <w:b/>
        </w:rPr>
        <w:t>Prévention et Gestion des Effets Indésirables :</w:t>
      </w:r>
      <w:r/>
    </w:p>
    <w:p>
      <w:pPr>
        <w:pStyle w:val="ListBullet"/>
      </w:pPr>
      <w:r>
        <w:t>Mesures Préventives : Surveillance biologique mensuelle en début de traitement : kaliémie, natrémie, créatininémie, uricémie, glycémie, profil lipidique. Correction d'une hypokaliémie (&lt; 3,5) avant l'initiation. Surveillance FC, PA, ECG. Apport potassique alimentaire (bananes, fruits secs) ou supplémentation si nécessaire.</w:t>
      </w:r>
    </w:p>
    <w:p>
      <w:pPr>
        <w:pStyle w:val="ListBullet"/>
      </w:pPr>
      <w:r>
        <w:t>Conduite à Tenir : En cas d'hypokaliémie symptomatique (crampes, faiblesse, trouble du rythme) : arrêt, supplémentation potassique. En cas de bradycardie : atropine, glucagon. En cas d'hyponatrémie sévère : arrêt, restriction hydrique.</w:t>
      </w:r>
    </w:p>
    <w:p>
      <w:r/>
      <w:r>
        <w:rPr>
          <w:b/>
        </w:rPr>
        <w:t>Interactions Importantes :</w:t>
      </w:r>
      <w:r/>
    </w:p>
    <w:p>
      <w:pPr>
        <w:pStyle w:val="ListBullet"/>
      </w:pPr>
      <w:r>
        <w:t>Aténolol/Chlorthalidone + Lithium : augmentation de la lithémie (chlorthalidone réduit l'excrétion rénale du lithium) — surveillance stricte.</w:t>
      </w:r>
    </w:p>
    <w:p>
      <w:pPr>
        <w:pStyle w:val="ListBullet"/>
      </w:pPr>
      <w:r>
        <w:t>Aténolol/Chlorthalidone + Digitaliques : potentialisation de la toxicité digitadique si hypokaliémie.</w:t>
      </w:r>
    </w:p>
    <w:p>
      <w:pPr>
        <w:pStyle w:val="ListBullet"/>
      </w:pPr>
      <w:r>
        <w:t>Aténolol/Chlorthalidone + AINS : diminution de l'effet antihypertenseur, aggravation de l'insuffisance rénale.</w:t>
      </w:r>
    </w:p>
    <w:p>
      <w:pPr>
        <w:pStyle w:val="ListBullet"/>
      </w:pPr>
      <w:r>
        <w:t>Aténolol/Chlorthalidone + IEC/ARA2 : hypotension de première dose, surveillance.</w:t>
      </w:r>
    </w:p>
    <w:p>
      <w:pPr>
        <w:pStyle w:val="ListBullet"/>
      </w:pPr>
      <w:r>
        <w:t>Aténolol/Chlorthalidone + Vérapamil/Diltiazem : CI absolue.</w:t>
      </w:r>
    </w:p>
    <w:p>
      <w:pPr>
        <w:pStyle w:val="ListBullet"/>
      </w:pPr>
      <w:r>
        <w:t>Aténolol/Chlorthalidone + Antiarythmiques allongeant QT (sotalol, amiodarone) : risque de torsades (hypokaliémie + allongement QT).</w:t>
      </w:r>
    </w:p>
    <w:p>
      <w:r/>
      <w:r>
        <w:rPr>
          <w:b/>
        </w:rPr>
        <w:t>Grossesse et Allaitement :</w:t>
      </w:r>
      <w:r/>
    </w:p>
    <w:p>
      <w:pPr>
        <w:pStyle w:val="ListBullet"/>
      </w:pPr>
      <w:r>
        <w:t xml:space="preserve">Grossesse : </w:t>
      </w:r>
      <w:r>
        <w:rPr>
          <w:b/>
        </w:rPr>
        <w:t>À ÉVITER</w:t>
      </w:r>
      <w:r>
        <w:t xml:space="preserve"> — l'aténolol expose au RCIU et la chlorthalidone à une hypovolémie fetoplacentaire et à une oligoamnios. Préférer labétalol, nicardipine ou méthyldopa.</w:t>
      </w:r>
    </w:p>
    <w:p>
      <w:pPr>
        <w:pStyle w:val="ListBullet"/>
      </w:pPr>
      <w:r>
        <w:t>Allaitement : Contre-indiqué (chlorthalidone passe dans le lait et inhibe la lactation).</w:t>
      </w:r>
    </w:p>
    <w:p>
      <w:pPr>
        <w:pStyle w:val="ListBullet"/>
      </w:pPr>
      <w:r>
        <w:t>Précautions : Si indispensable en fin de grossesse : surveillance stricte.</w:t>
      </w:r>
    </w:p>
    <w:p>
      <w:r/>
      <w:r>
        <w:rPr>
          <w:b/>
        </w:rPr>
        <w:t>Posologie et Mode d'administration (Standard) :</w:t>
      </w:r>
      <w:r/>
    </w:p>
    <w:p>
      <w:pPr>
        <w:pStyle w:val="ListBullet"/>
      </w:pPr>
      <w:r>
        <w:t>Adulte : 1 comprimé/j (aténolol 50 mg + chlorthalidone 12,5 mg) le matin.</w:t>
      </w:r>
    </w:p>
    <w:p>
      <w:pPr>
        <w:pStyle w:val="ListBullet"/>
      </w:pPr>
      <w:r>
        <w:t>Sujet âgé : débuter par demi-comprimé, surveillance.</w:t>
      </w:r>
    </w:p>
    <w:p>
      <w:pPr>
        <w:pStyle w:val="ListBullet"/>
      </w:pPr>
      <w:r>
        <w:t>Insuffisance rénale (ClCr 30–60) : adaptation selon tolérance.</w:t>
      </w:r>
    </w:p>
    <w:p>
      <w:pPr>
        <w:pStyle w:val="ListBullet"/>
      </w:pPr>
      <w:r>
        <w:t>Durée : au long cours.</w:t>
      </w:r>
    </w:p>
    <w:p>
      <w:pPr>
        <w:pStyle w:val="ListBullet"/>
      </w:pPr>
      <w:r>
        <w:t>Moment de prise : le matin, à heure fixe.</w:t>
      </w:r>
    </w:p>
    <w:p>
      <w:r/>
      <w:r>
        <w:rPr>
          <w:b/>
        </w:rPr>
        <w:t>Arbitrage et Bénéfices des Formes Galéniques :</w:t>
      </w:r>
      <w:r/>
    </w:p>
    <w:p>
      <w:r>
        <w:t xml:space="preserve">Forme unique : comprimé pelliculé 50 mg/12,5 mg. La dose fixe simplifie l'observance (1 comprimé/j) mais limite la titration indépendante de chaque composant. </w:t>
      </w:r>
      <w:r>
        <w:rPr>
          <w:b/>
        </w:rPr>
        <w:t>Spécialité non renouvelée en Algérie</w:t>
      </w:r>
      <w:r>
        <w:t xml:space="preserve"> — alternative : prescription séparée aténolol 50 mg + chlorthalidone 12,5 mg (si disponible séparément — chlorthalidone non commercialisée séparément en Algérie, remplacer par HCTZ). Préférer l'association bisoprolol + HCTZ disponible.</w:t>
      </w:r>
    </w:p>
    <w:p>
      <w:r/>
      <w:r>
        <w:rPr>
          <w:b/>
        </w:rPr>
        <w:t>Instructions et Conseils au Patient :</w:t>
      </w:r>
      <w:r/>
    </w:p>
    <w:p>
      <w:pPr>
        <w:pStyle w:val="ListBullet"/>
      </w:pPr>
      <w:r>
        <w:t>Communication au comptoir : « Ce médicament combine un bêtabloquant et un diurétique pour faire baisser votre tension. Prenez-le le matin. Il peut entraîner une baisse de potassium (crampes musculaires), une augmentation de la glycémie et de l'acide urique — votre médecin surveillera votre bilan sanguin. »</w:t>
      </w:r>
    </w:p>
    <w:p>
      <w:pPr>
        <w:pStyle w:val="ListBullet"/>
      </w:pPr>
      <w:r>
        <w:t>Mode d'utilisation pratique : Prise le matin. Automesure tensionnelle. Bilan sanguin régulier (kaliémie, glycémie, créatinine, acide urique).</w:t>
      </w:r>
    </w:p>
    <w:p>
      <w:r/>
      <w:r>
        <w:rPr>
          <w:b/>
        </w:rPr>
        <w:t>Notes, Règles d'Or &amp; Pièges au Comptoir :</w:t>
      </w:r>
      <w:r/>
    </w:p>
    <w:p>
      <w:pPr>
        <w:pStyle w:val="ListBullet"/>
      </w:pPr>
      <w:r>
        <w:t>Piège classique : oubli de surveillance de la kaliémie (hypokaliémie favorisant torsades et toxicité digitalique) ; oubli d'interrogatoire asthme/diabète/goutte/lithium ; arrêt brutal.</w:t>
      </w:r>
    </w:p>
    <w:p>
      <w:pPr>
        <w:pStyle w:val="ListBullet"/>
      </w:pPr>
      <w:r>
        <w:t>Règle de prise : 1 comprimé/j le matin.</w:t>
      </w:r>
    </w:p>
    <w:p>
      <w:pPr>
        <w:pStyle w:val="ListBullet"/>
      </w:pPr>
      <w:r>
        <w:t>Préparation et Conservation : &lt; 25 °C, sec.</w:t>
      </w:r>
    </w:p>
    <w:p>
      <w:pPr>
        <w:pStyle w:val="ListBullet"/>
      </w:pPr>
      <w:r>
        <w:t>Piège du surdosage / Substitution : en cas de substitution vers bisoprolol + HCTZ, surveillance ECG et biologie. En cas d'intoxication : bradycardie, hypotension, hypokaliémie, hyponatrémie — glucagon, atropine, supplémentation potassique.</w:t>
      </w:r>
    </w:p>
    <w:p>
      <w:pPr>
        <w:pStyle w:val="Heading3"/>
      </w:pPr>
      <w:r>
        <w:t>11. DCI : Bisoprolol + Hydrochlorothiazide (En Association)</w:t>
      </w:r>
    </w:p>
    <w:p>
      <w:r/>
      <w:r>
        <w:rPr>
          <w:b/>
        </w:rPr>
        <w:t>Liste des Catégories :</w:t>
      </w:r>
      <w:r>
        <w:t xml:space="preserve"> Bêtabloquants + Diurétiques (associations fixes) ; Antihypertenseur (combinaison β1-bloquant cardiosélectif + diurétique thiazidique classique).</w:t>
      </w:r>
    </w:p>
    <w:p>
      <w:r>
        <w:t xml:space="preserve">L'association bisoprolol + hydrochlorothiazide (HCTZ) combine un β-bloquant </w:t>
      </w:r>
      <w:r>
        <w:rPr>
          <w:b/>
        </w:rPr>
        <w:t>cardiosélectif de haute affinité</w:t>
      </w:r>
      <w:r>
        <w:t xml:space="preserve"> (bisoprolol, 5 ou 10 mg) avec un diurétique </w:t>
      </w:r>
      <w:r>
        <w:rPr>
          <w:b/>
        </w:rPr>
        <w:t>thiazidique classique</w:t>
      </w:r>
      <w:r>
        <w:t xml:space="preserve"> (HCTZ, 6,25 mg — dose faible). La dose d'HCTZ est volontairement réduite (6,25 mg vs 12,5 ou 25 mg en monothérapie) afin de profiter de l'effet synergique avec le bisoprolol tout en limitant les effets indésirables métaboliques (hypokaliémie, hyperuricémie, hyperglycémie). Cette association a une AMM dans l'HTA modérée à sévère non contrôlée par monothérapie. Comparativement à l'association aténolol + chlorthalidone, l'association bisoprolol + HCTZ présente les avantages suivants : (1) meilleure sélectivité β1 (bisoprolol vs aténolol) ; (2) moindre posologie d'HCTZ (6,25 vs 12,5 mg) ; (3) meilleure tolérance métabolique ; (4) disponibilité actuelle en Algérie (CO BIPROTENS, CO-BISOPROLOL BEKER). Les deux dosages disponibles (5/6,25 et 10/6,25) permettent une titration en deux paliers.</w:t>
      </w:r>
    </w:p>
    <w:p>
      <w:r/>
      <w:r>
        <w:rPr>
          <w:b/>
        </w:rPr>
        <w:t>Médicaments disponibles en Algérie (Marques, Laboratoires, Formes et Dosages) :</w:t>
      </w:r>
      <w:r/>
    </w:p>
    <w:p>
      <w:pPr>
        <w:pStyle w:val="ListBullet"/>
      </w:pPr>
      <w:r/>
      <w:r>
        <w:rPr>
          <w:b/>
        </w:rPr>
        <w:t>CO BIPROTENS</w:t>
      </w:r>
      <w:r>
        <w:t xml:space="preserve"> (EL KENDI INDUSTRIE DU MEDICAMENT)</w:t>
      </w:r>
    </w:p>
    <w:p>
      <w:pPr>
        <w:pStyle w:val="ListBullet"/>
      </w:pPr>
      <w:r>
        <w:t>Formes et Dosages : Comprimé pelliculé 5 mg/6,25 mg (B/30) ; Comprimé pelliculé 10 mg/6,25 mg (B/30)</w:t>
      </w:r>
    </w:p>
    <w:p>
      <w:pPr>
        <w:pStyle w:val="ListBullet"/>
      </w:pPr>
      <w:r>
        <w:t>Statut : Actif — Liste I</w:t>
      </w:r>
    </w:p>
    <w:p>
      <w:pPr>
        <w:pStyle w:val="ListBullet"/>
      </w:pPr>
      <w:r/>
      <w:r>
        <w:rPr>
          <w:b/>
        </w:rPr>
        <w:t>CO-BISOPROLOL BEKER</w:t>
      </w:r>
      <w:r>
        <w:t xml:space="preserve"> (LABORATOIRES BEKER)</w:t>
      </w:r>
    </w:p>
    <w:p>
      <w:pPr>
        <w:pStyle w:val="ListBullet"/>
      </w:pPr>
      <w:r>
        <w:t>Formes et Dosages : Comprimé pelliculé 5 mg/6,25 mg (B/30) ; Comprimé pelliculé 10 mg/6,25 mg (B/30)</w:t>
      </w:r>
    </w:p>
    <w:p>
      <w:pPr>
        <w:pStyle w:val="ListBullet"/>
      </w:pPr>
      <w:r>
        <w:t>Statut : Actif — Liste I</w:t>
      </w:r>
    </w:p>
    <w:p>
      <w:r/>
      <w:r>
        <w:rPr>
          <w:b/>
        </w:rPr>
        <w:t>Sous-classe et Mécanisme d'action :</w:t>
      </w:r>
      <w:r/>
    </w:p>
    <w:p>
      <w:pPr>
        <w:pStyle w:val="ListBullet"/>
      </w:pPr>
      <w:r>
        <w:t>Sous-classe : Association fixe β-bloquant cardiosélectif (β1-sélectif, ratio β1/β2 ≈ 20–35) + diurétique thiazidique classique (HCTZ).</w:t>
      </w:r>
    </w:p>
    <w:p>
      <w:pPr>
        <w:pStyle w:val="ListBullet"/>
      </w:pPr>
      <w:r>
        <w:t>Mécanisme d'action : Triple action combinée — (1) Bisoprolol : antagonisme compétitif β1 cardiaque → baisse FC, contractilité, RAS ; (2) HCTZ : inhibition du co-transporteur NaCl sensible au thiazide (NCC) du tube contourné distal → natriurèse modérée → baisse volémie initiale ; (3) À long terme, HCTZ exerce une vasodilatation artérielle (ouverture des canaux K-ATP). Synergie : la baisse de volémie induite par HCTZ active le système rénine-angiotensine, contrebalancée par le bisoprolol. L'avantage de l'HCTZ à 6,25 mg (dose sub-antihypertensive en monothérapie) est de potentialiser l'effet du bisoprolol sans induire d'effets métaboliques significatifs (hypokaliémie &lt; 1 % des cas à cette dose).</w:t>
      </w:r>
    </w:p>
    <w:p>
      <w:r/>
      <w:r>
        <w:rPr>
          <w:b/>
        </w:rPr>
        <w:t>Profil Pharmacologique :</w:t>
      </w:r>
      <w:r/>
    </w:p>
    <w:p>
      <w:pPr>
        <w:pStyle w:val="ListBullet"/>
      </w:pPr>
      <w:r>
        <w:t>Indications : HTA modérée à sévère non contrôlée par monothérapie ; HTA du sujet âgé avec composante volémique. Posologie 1 comprimé/j (5/6,25 mg → 10/6,25 mg si nécessaire).</w:t>
      </w:r>
    </w:p>
    <w:p>
      <w:pPr>
        <w:pStyle w:val="ListBullet"/>
      </w:pPr>
      <w:r>
        <w:t>Contre-indications : Asthme/BPCO sévères ; BAV non appareillé ; bradycardie &lt; 50 ; choc cardiogénique ; ICC décompensée ; insuffisance rénale sévère (ClCr &lt; 30) ; insuffisance hépatique sévère ; hyponatrémie ; hypokaliémie ; allergie sulfamides ; goutte ; grossesse ; allaitement.</w:t>
      </w:r>
    </w:p>
    <w:p>
      <w:pPr>
        <w:pStyle w:val="ListBullet"/>
      </w:pPr>
      <w:r>
        <w:t>Effets Indésirables : Ceux du bisoprolol (bradycardie, asthénie, syndrome Raynaud, masquage hypoglycémie) + ceux de l'HCTZ à faible dose (hypokaliémie rare mais possible, hyperuricémie modérée, hyperglycémie modérée, augmentation créatinine) + effet additif hypotension orthostatique.</w:t>
      </w:r>
    </w:p>
    <w:p>
      <w:r/>
      <w:r>
        <w:rPr>
          <w:b/>
        </w:rPr>
        <w:t>Prévention et Gestion des Effets Indésirables :</w:t>
      </w:r>
      <w:r/>
    </w:p>
    <w:p>
      <w:pPr>
        <w:pStyle w:val="ListBullet"/>
      </w:pPr>
      <w:r>
        <w:t>Mesures Préventives : Bilan biologique initial et mensuel le premier trimestre : kaliémie, natrémie, créatininémie, uricémie, glycémie, profil lipidique. Correction d'une hypokaliémie avant initiation. Surveillance FC, PA, ECG. Apport potassique alimentaire. Information du patient diabétique (masquage hypoglycémie).</w:t>
      </w:r>
    </w:p>
    <w:p>
      <w:pPr>
        <w:pStyle w:val="ListBullet"/>
      </w:pPr>
      <w:r>
        <w:t>Conduite à Tenir : En cas d'hypokaliémie symptomatique : arrêt, supplémentation potassique. En cas de bradycardie : atropine, glucagon.</w:t>
      </w:r>
    </w:p>
    <w:p>
      <w:r/>
      <w:r>
        <w:rPr>
          <w:b/>
        </w:rPr>
        <w:t>Interactions Importantes :</w:t>
      </w:r>
      <w:r/>
    </w:p>
    <w:p>
      <w:pPr>
        <w:pStyle w:val="ListBullet"/>
      </w:pPr>
      <w:r>
        <w:t>Bisoprolol/HCTZ + Lithium : augmentation lithémie (HCTZ réduit excrétion rénale du lithium) — surveillance stricte.</w:t>
      </w:r>
    </w:p>
    <w:p>
      <w:pPr>
        <w:pStyle w:val="ListBullet"/>
      </w:pPr>
      <w:r>
        <w:t>Bisoprolol/HCTZ + Digitaliques : potentialisation toxicité digitalique si hypokaliémie.</w:t>
      </w:r>
    </w:p>
    <w:p>
      <w:pPr>
        <w:pStyle w:val="ListBullet"/>
      </w:pPr>
      <w:r>
        <w:t>Bisoprolol/HCTZ + AINS : diminution effet antihypertenseur, aggravation IRA.</w:t>
      </w:r>
    </w:p>
    <w:p>
      <w:pPr>
        <w:pStyle w:val="ListBullet"/>
      </w:pPr>
      <w:r>
        <w:t>Bisoprolol/HCTZ + IEC/ARA2 : hypotension de première dose, surveillance.</w:t>
      </w:r>
    </w:p>
    <w:p>
      <w:pPr>
        <w:pStyle w:val="ListBullet"/>
      </w:pPr>
      <w:r>
        <w:t>Bisoprolol/HCTZ + Vérapamil/Diltiazem : CI absolue.</w:t>
      </w:r>
    </w:p>
    <w:p>
      <w:pPr>
        <w:pStyle w:val="ListBullet"/>
      </w:pPr>
      <w:r>
        <w:t>Bisoprolol/HCTZ + Antiarythmiques allongeant QT : risque de torsades (hypokaliémie + QT long).</w:t>
      </w:r>
    </w:p>
    <w:p>
      <w:pPr>
        <w:pStyle w:val="ListBullet"/>
      </w:pPr>
      <w:r>
        <w:t>Bisoprolol/HCTZ + Inhibiteurs CYP2D6 : peu d'impact (bisoprolol métabolisme mixte 50/50).</w:t>
      </w:r>
    </w:p>
    <w:p>
      <w:r/>
      <w:r>
        <w:rPr>
          <w:b/>
        </w:rPr>
        <w:t>Grossesse et Allaitement :</w:t>
      </w:r>
      <w:r/>
    </w:p>
    <w:p>
      <w:pPr>
        <w:pStyle w:val="ListBullet"/>
      </w:pPr>
      <w:r>
        <w:t xml:space="preserve">Grossesse : </w:t>
      </w:r>
      <w:r>
        <w:rPr>
          <w:b/>
        </w:rPr>
        <w:t>À ÉVITER</w:t>
      </w:r>
      <w:r>
        <w:t xml:space="preserve"> — HCTZ expose à une hypovolémie fetoplacentaire et à un oligoamnios ; bisoprolol à une bradycardie fœtale. Préférer labétalol, nicardipine, méthyldopa.</w:t>
      </w:r>
    </w:p>
    <w:p>
      <w:pPr>
        <w:pStyle w:val="ListBullet"/>
      </w:pPr>
      <w:r>
        <w:t>Allaitement : Contre-indiqué (HCTZ passe dans le lait, inhibe la lactation).</w:t>
      </w:r>
    </w:p>
    <w:p>
      <w:pPr>
        <w:pStyle w:val="ListBullet"/>
      </w:pPr>
      <w:r>
        <w:t>Précautions : Si indispensable en fin de grossesse : surveillance stricte.</w:t>
      </w:r>
    </w:p>
    <w:p>
      <w:r/>
      <w:r>
        <w:rPr>
          <w:b/>
        </w:rPr>
        <w:t>Posologie et Mode d'administration (Standard) :</w:t>
      </w:r>
      <w:r/>
    </w:p>
    <w:p>
      <w:pPr>
        <w:pStyle w:val="ListBullet"/>
      </w:pPr>
      <w:r>
        <w:t>Adulte : 1 comprimé/j (5/6,25 mg le matin) → 10/6,25 mg si nécessaire après 2–4 semaines.</w:t>
      </w:r>
    </w:p>
    <w:p>
      <w:pPr>
        <w:pStyle w:val="ListBullet"/>
      </w:pPr>
      <w:r>
        <w:t>Sujet âgé : débuter par 5/6,25 mg, surveillance.</w:t>
      </w:r>
    </w:p>
    <w:p>
      <w:pPr>
        <w:pStyle w:val="ListBullet"/>
      </w:pPr>
      <w:r>
        <w:t>Insuffisance rénale (ClCr 30–60) : adaptation selon tolérance.</w:t>
      </w:r>
    </w:p>
    <w:p>
      <w:pPr>
        <w:pStyle w:val="ListBullet"/>
      </w:pPr>
      <w:r>
        <w:t>Durée : au long cours.</w:t>
      </w:r>
    </w:p>
    <w:p>
      <w:pPr>
        <w:pStyle w:val="ListBullet"/>
      </w:pPr>
      <w:r>
        <w:t>Moment de prise : le matin, à heure fixe.</w:t>
      </w:r>
    </w:p>
    <w:p>
      <w:r/>
      <w:r>
        <w:rPr>
          <w:b/>
        </w:rPr>
        <w:t>Arbitrage et Bénéfices des Formes Galéniques :</w:t>
      </w:r>
      <w:r/>
    </w:p>
    <w:p>
      <w:r>
        <w:t>Deux dosages disponibles (5/6,25 et 10/6,25 mg) permettant une titration en 2 paliers. Comprimés pelliculés (sécabilité variable selon laboratoire — à vérifier). Forme orale unique. La diversité des laboratoires actifs (CO BIPROTENS — El Kendi, CO-BISOPROLOL BEKER — Beker) assure la disponibilité et la concurrence économique. Avantages de l'association fixe vs prescription séparée : observance améliorée (1 comprimé/j), coût réduit, synergie pharmacologique optimisée. Inconvénients : pas de titration indépendante de chaque composant, choix limité des dosages.</w:t>
      </w:r>
    </w:p>
    <w:p>
      <w:r/>
      <w:r>
        <w:rPr>
          <w:b/>
        </w:rPr>
        <w:t>Instructions et Conseils au Patient :</w:t>
      </w:r>
      <w:r/>
    </w:p>
    <w:p>
      <w:pPr>
        <w:pStyle w:val="ListBullet"/>
      </w:pPr>
      <w:r>
        <w:t>Communication au comptoir : « Ce médicament combine un bêtabloquant et un diurétique pour faire baisser votre tension. Prenez-le le matin, une fois par jour. Ne l'arrêtez jamais brutalement. Votre médecin surveillera votre bilan sanguin (potassium, sucre, acide urique, reins). Si vous êtes diabétique, surveillez votre glycémie de près — le bêtabloquant peut masquer les signes d'hypoglycémie. »</w:t>
      </w:r>
    </w:p>
    <w:p>
      <w:pPr>
        <w:pStyle w:val="ListBullet"/>
      </w:pPr>
      <w:r>
        <w:t>Mode d'utilisation pratique : Prise le matin à heure fixe. Automesure tensionnelle régulière. Bilan sanguin mensuel le premier trimestre, puis semestriel.</w:t>
      </w:r>
    </w:p>
    <w:p>
      <w:r/>
      <w:r>
        <w:rPr>
          <w:b/>
        </w:rPr>
        <w:t>Notes, Règles d'Or &amp; Pièges au Comptoir :</w:t>
      </w:r>
      <w:r/>
    </w:p>
    <w:p>
      <w:pPr>
        <w:pStyle w:val="ListBullet"/>
      </w:pPr>
      <w:r>
        <w:t>Piège classique : oubli de surveillance kaliémie (favorise torsades et toxicité digitalique) ; oubli d'interrogatoire asthme/diabète/goutte/lithium ; arrêt brutal ; prescription chez la femme enceinte (CI absolue).</w:t>
      </w:r>
    </w:p>
    <w:p>
      <w:pPr>
        <w:pStyle w:val="ListBullet"/>
      </w:pPr>
      <w:r>
        <w:t>Règle de prise : 1 comprimé/j le matin, à heure fixe.</w:t>
      </w:r>
    </w:p>
    <w:p>
      <w:pPr>
        <w:pStyle w:val="ListBullet"/>
      </w:pPr>
      <w:r>
        <w:t>Préparation et Conservation : &lt; 25 °C, sec.</w:t>
      </w:r>
    </w:p>
    <w:p>
      <w:pPr>
        <w:pStyle w:val="ListBullet"/>
      </w:pPr>
      <w:r>
        <w:t>Piège du surdosage / Substitution : en cas de substitution vers bisoprolol seul, surveillance FC et PA. En cas d'intoxication : bradycardie, hypotension, hypokaliémie, hyponatrémie — glucagon, atropine, supplémentation potassique, remplissage vasculaire.</w:t>
      </w:r>
    </w:p>
    <w:p>
      <w:pPr>
        <w:pStyle w:val="Heading2"/>
      </w:pPr>
      <w:r>
        <w:t>Sous-classe : Bêtabloquant + Inhibiteur Calcique (ICA) — Association fixe</w:t>
      </w:r>
    </w:p>
    <w:p>
      <w:r>
        <w:t xml:space="preserve">L'association d'un β-bloquant et d'un inhibiteur calcique dihydropyridinique (ICA-DHP) vise à combiner deux mécanismes antihypertenseurs synergiques : (1) le </w:t>
      </w:r>
      <w:r>
        <w:rPr>
          <w:b/>
        </w:rPr>
        <w:t>blocage β-adrénergique</w:t>
      </w:r>
      <w:r>
        <w:t xml:space="preserve"> (baisse du débit cardiaque, de la rénine, du tonus sympathique) ; (2) la </w:t>
      </w:r>
      <w:r>
        <w:rPr>
          <w:b/>
        </w:rPr>
        <w:t>vasodilatation artérielle</w:t>
      </w:r>
      <w:r>
        <w:t xml:space="preserve"> par blocage des canaux calciques voltage-dépendants de type L des cellules musculaires lisses vasculaires (nifédipine, amlodipine, félodipine). L'association β-bloquant + ICA-DHP est particulièrement pertinente car elle </w:t>
      </w:r>
      <w:r>
        <w:rPr>
          <w:b/>
        </w:rPr>
        <w:t>compense les effets secondaires respectifs</w:t>
      </w:r>
      <w:r>
        <w:t xml:space="preserve"> : (a) la tachycardie réflexe et l'œdème des membres inférieurs induits par les ICA-DHP sont atténués par le β-bloquant ; (b) la vasoconstriction réflexe induite par le β-bloquant est compensée par la vasodilatation de l'ICA-DHP. </w:t>
      </w:r>
      <w:r>
        <w:rPr>
          <w:b/>
        </w:rPr>
        <w:t>ATTENTION : l'association β-bloquant + inhibiteur calcique NON dihydropyridinique (vérapamil, diltiazem) est CONTRE-INDIQUÉE</w:t>
      </w:r>
      <w:r>
        <w:t xml:space="preserve"> en raison de l'addition des effets dépresseurs cardiaques (BAV, bradycardie sévère, décompensation cardiaque). En Algérie, une seule association fixe β-bloquant + ICA-DHP est historiquement disponible : </w:t>
      </w:r>
      <w:r>
        <w:rPr>
          <w:b/>
        </w:rPr>
        <w:t>Aténolol + Nifédipine</w:t>
      </w:r>
      <w:r>
        <w:t xml:space="preserve"> (TENORDATE — retiré du marché).</w:t>
      </w:r>
    </w:p>
    <w:p>
      <w:pPr>
        <w:pStyle w:val="Heading3"/>
      </w:pPr>
      <w:r>
        <w:t>12. DCI : Aténolol + Nifédipine (En Association)</w:t>
      </w:r>
    </w:p>
    <w:p>
      <w:r/>
      <w:r>
        <w:rPr>
          <w:b/>
        </w:rPr>
        <w:t>Liste des Catégories :</w:t>
      </w:r>
      <w:r>
        <w:t xml:space="preserve"> Bêtabloquant + Inhibiteur calcique dihydropyridinique (association fixe) ; Antihypertenseur (combinaison β1-bloquant + ICA-DHP) ; Anti-angoreux.</w:t>
      </w:r>
    </w:p>
    <w:p>
      <w:r>
        <w:t xml:space="preserve">L'association aténolol + nifédipine combine un β-bloquant </w:t>
      </w:r>
      <w:r>
        <w:rPr>
          <w:b/>
        </w:rPr>
        <w:t>cardiosélectif</w:t>
      </w:r>
      <w:r>
        <w:t xml:space="preserve"> (aténolol, 50 mg) avec un inhibiteur calcique </w:t>
      </w:r>
      <w:r>
        <w:rPr>
          <w:b/>
        </w:rPr>
        <w:t>dihydropyridinique</w:t>
      </w:r>
      <w:r>
        <w:t xml:space="preserve"> (nifédipine, 20 mg en forme LP). La nifédipine est un ICA-DHP de première génération, dérivé 1,4-dihydropyridine, qui bloque les canaux calciques voltage-dépendants de type L des cellules musculaires lisses vasculaires → vasodilatation artérielle artériolaire → baisse de la post-charge. La forme LP (libération prolongée) permet une monoprise quotidienne et évite la hypotension réflexe et la tachycardie de la forme à libération immédiate (à proscrire dans l'HTA chronique — risque d'hypotension brutale, d'ischémie myocardique et cérébrale). L'association aténolol + nifédipine LP a une AMM dans : (1) l'HTA modérée à sévère non contrôlée par monothérapie ; (2) l'angor stable. La spécialité TENORDATE (AstraZeneca) a été </w:t>
      </w:r>
      <w:r>
        <w:rPr>
          <w:b/>
        </w:rPr>
        <w:t>retirée du marché algérien</w:t>
      </w:r>
      <w:r>
        <w:t xml:space="preserve"> — il n'existe donc plus d'association fixe β-bloquant + ICA-DHP disponible en Algérie. Alternative : prescription séparée (aténolol 50 mg/j + nifédipine LP 20 mg/j ou amlodipine 5–10 mg/j).</w:t>
      </w:r>
    </w:p>
    <w:p>
      <w:r/>
      <w:r>
        <w:rPr>
          <w:b/>
        </w:rPr>
        <w:t>Médicaments disponibles en Algérie (Marques, Laboratoires, Formes et Dosages) :</w:t>
      </w:r>
      <w:r/>
    </w:p>
    <w:p>
      <w:pPr>
        <w:pStyle w:val="ListBullet"/>
      </w:pPr>
      <w:r/>
      <w:r>
        <w:rPr>
          <w:b/>
        </w:rPr>
        <w:t>TENORDATE</w:t>
      </w:r>
      <w:r>
        <w:t xml:space="preserve"> (ASTRA ZENECA)</w:t>
      </w:r>
    </w:p>
    <w:p>
      <w:pPr>
        <w:pStyle w:val="ListBullet"/>
      </w:pPr>
      <w:r>
        <w:t>Formes et Dosages : Gélule LP 50 mg/20 mg (aténolol 50 mg + nifédipine 20 mg LP) — B/28</w:t>
      </w:r>
    </w:p>
    <w:p>
      <w:pPr>
        <w:pStyle w:val="ListBullet"/>
      </w:pPr>
      <w:r>
        <w:t>Statut : Retiré (R) — Liste I</w:t>
      </w:r>
    </w:p>
    <w:p>
      <w:r/>
      <w:r>
        <w:rPr>
          <w:b/>
        </w:rPr>
        <w:t>Sous-classe et Mécanisme d'action :</w:t>
      </w:r>
      <w:r/>
    </w:p>
    <w:p>
      <w:pPr>
        <w:pStyle w:val="ListBullet"/>
      </w:pPr>
      <w:r>
        <w:t>Sous-classe : Association fixe β-bloquant cardiosélectif (β1-sélectif) + ICA-DHP (dihydropyridine de 1re génération, forme LP).</w:t>
      </w:r>
    </w:p>
    <w:p>
      <w:pPr>
        <w:pStyle w:val="ListBullet"/>
      </w:pPr>
      <w:r>
        <w:t>Mécanisme d'action : Triple action — (1) Aténolol : antagonisme compétitif β1 cardiaque → baisse FC, contractilité, RAS, conduction AV. (2) Nifédipine : blocage des canaux calciques voltage-dépendants de type L des CML vasculaires → vasodilatation artérielle (surtout splanchnique et musculaire) → baisse de la post-charge → baisse de la PA. (3) Effet anti-angoreux additif : baisse de la demande en O2 (aténolol — FC et contractilité) + augmentation de l'apport en O2 (nifédipine — vasodilatation coronaire). Synergie : la nifédipine induit une tachycardie réflexe et une vasodilatation qui sont compensées par l'aténolol ; la vasoconstriction réflexe de l'aténolol est compensée par la nifédipine.</w:t>
      </w:r>
    </w:p>
    <w:p>
      <w:r/>
      <w:r>
        <w:rPr>
          <w:b/>
        </w:rPr>
        <w:t>Profil Pharmacologique :</w:t>
      </w:r>
      <w:r/>
    </w:p>
    <w:p>
      <w:pPr>
        <w:pStyle w:val="ListBullet"/>
      </w:pPr>
      <w:r>
        <w:t>Indications : HTA modérée à sévère non contrôlée par monothérapie ; angor stable. Posologie 1 gélule/j (aténolol 50 mg + nifédipine LP 20 mg).</w:t>
      </w:r>
    </w:p>
    <w:p>
      <w:pPr>
        <w:pStyle w:val="ListBullet"/>
      </w:pPr>
      <w:r>
        <w:t>Contre-indications : Asthme/BPCO sévères ; BAV non appareillé ; bradycardie &lt; 50 ; choc cardiogénique ; ICC décompensée ; insuffisance hépatique sévère ; sténose aortique serrée ; hypersensibilité aux dihydropyridines ; grossesse (1er trimestre — tératogénicité animale de la nifédipine) ; allaitement.</w:t>
      </w:r>
    </w:p>
    <w:p>
      <w:pPr>
        <w:pStyle w:val="ListBullet"/>
      </w:pPr>
      <w:r>
        <w:t>Effets Indésirables : Ceux de l'aténolol (bradycardie, asthénie, syndrome Raynaud, masquage hypoglycémie) + ceux de la nifédipine LP (œdèmes des membres inférieurs — très fréquents ~ 10–20 %, céphalées vasodilatatrices, flush facial, hypotension orthostatique, reflux gastro-œsophagien, hyperplasie gingivale, troubles digestifs) + effet additif hypotension.</w:t>
      </w:r>
    </w:p>
    <w:p>
      <w:r/>
      <w:r>
        <w:rPr>
          <w:b/>
        </w:rPr>
        <w:t>Prévention et Gestion des Effets Indésirables :</w:t>
      </w:r>
      <w:r/>
    </w:p>
    <w:p>
      <w:pPr>
        <w:pStyle w:val="ListBullet"/>
      </w:pPr>
      <w:r>
        <w:t>Mesures Préventives : Surveillance FC, PA, ECG. Information sur le risque d'œdèmes des chevilles (bénin mais gênant — bas de contention, surélévation des jambes en fin de journée). Surveillance de la glycémie chez le diabétique. Éviter le pamplemousse (inhibition du CYP3A4 → augmentation des concentrations de nifédipine).</w:t>
      </w:r>
    </w:p>
    <w:p>
      <w:pPr>
        <w:pStyle w:val="ListBullet"/>
      </w:pPr>
      <w:r>
        <w:t>Conduite à Tenir : En cas d'œdèmes persistants : changement d'ICA-DHP (amlodipine — moins d'œdèmes) ou ajout d'IEC/ARA2 (compense la vasodilatation précapillaire). En cas d'hypotension : réduction posologique. En cas de bradycardie : atropine, glucagon.</w:t>
      </w:r>
    </w:p>
    <w:p>
      <w:r/>
      <w:r>
        <w:rPr>
          <w:b/>
        </w:rPr>
        <w:t>Interactions Importantes :</w:t>
      </w:r>
      <w:r/>
    </w:p>
    <w:p>
      <w:pPr>
        <w:pStyle w:val="ListBullet"/>
      </w:pPr>
      <w:r>
        <w:t>Aténolol/Nifédipine + Vérapamil/Diltiazem : CI absolue (BAV, bradycardie sévère).</w:t>
      </w:r>
    </w:p>
    <w:p>
      <w:pPr>
        <w:pStyle w:val="ListBullet"/>
      </w:pPr>
      <w:r>
        <w:t xml:space="preserve">Aténolol/Nifédipine + Pamplemousse (jus) : augmentation majeure des concentrations de nifédipine (× 2–3) → hypotension sévère, céphalées — </w:t>
      </w:r>
      <w:r>
        <w:rPr>
          <w:b/>
        </w:rPr>
        <w:t>à éviter</w:t>
      </w:r>
      <w:r>
        <w:t>.</w:t>
      </w:r>
    </w:p>
    <w:p>
      <w:pPr>
        <w:pStyle w:val="ListBullet"/>
      </w:pPr>
      <w:r>
        <w:t>Aténolol/Nifédipine + Inhibiteurs puissants du CYP3A4 (itraconazole, clarithromycine, ritonavir) : augmentation des concentrations de nifédipine.</w:t>
      </w:r>
    </w:p>
    <w:p>
      <w:pPr>
        <w:pStyle w:val="ListBullet"/>
      </w:pPr>
      <w:r>
        <w:t>Aténolol/Nifédipine + Inducteurs du CYP3A4 (rifampicine, phénytoïne, carbamazépine, millepertuis) : diminution de l'efficacité de la nifédipine.</w:t>
      </w:r>
    </w:p>
    <w:p>
      <w:pPr>
        <w:pStyle w:val="ListBullet"/>
      </w:pPr>
      <w:r>
        <w:t>Aténolol/Nifédipine + Insuline : masquage hypoglycémie (aténolol).</w:t>
      </w:r>
    </w:p>
    <w:p>
      <w:pPr>
        <w:pStyle w:val="ListBullet"/>
      </w:pPr>
      <w:r>
        <w:t>Aténolol/Nifédipine + Digitaliques : ralentissement AV additif (aténolol + digoxine).</w:t>
      </w:r>
    </w:p>
    <w:p>
      <w:r/>
      <w:r>
        <w:rPr>
          <w:b/>
        </w:rPr>
        <w:t>Grossesse et Allaitement :</w:t>
      </w:r>
      <w:r/>
    </w:p>
    <w:p>
      <w:pPr>
        <w:pStyle w:val="ListBullet"/>
      </w:pPr>
      <w:r>
        <w:t xml:space="preserve">Grossesse : </w:t>
      </w:r>
      <w:r>
        <w:rPr>
          <w:b/>
        </w:rPr>
        <w:t>À ÉVITER au 1er trimestre</w:t>
      </w:r>
      <w:r>
        <w:t xml:space="preserve"> (nifédipine tératogénique chez l'animal). Utilisable en 2e et 3e trimestres si indispensable (HTA sévère gravidique résistante) — surveillance fœtale.</w:t>
      </w:r>
    </w:p>
    <w:p>
      <w:pPr>
        <w:pStyle w:val="ListBullet"/>
      </w:pPr>
      <w:r>
        <w:t>Allaitement : Contre-indiqué (nifédipine passe dans le lait).</w:t>
      </w:r>
    </w:p>
    <w:p>
      <w:pPr>
        <w:pStyle w:val="ListBullet"/>
      </w:pPr>
      <w:r>
        <w:t>Précautions : Surveillance fœtale échographique.</w:t>
      </w:r>
    </w:p>
    <w:p>
      <w:r/>
      <w:r>
        <w:rPr>
          <w:b/>
        </w:rPr>
        <w:t>Posologie et Mode d'administration (Standard) :</w:t>
      </w:r>
      <w:r/>
    </w:p>
    <w:p>
      <w:pPr>
        <w:pStyle w:val="ListBullet"/>
      </w:pPr>
      <w:r>
        <w:t>Adulte : 1 gélule LP/j (aténolol 50 mg + nifédipine LP 20 mg) le matin.</w:t>
      </w:r>
    </w:p>
    <w:p>
      <w:pPr>
        <w:pStyle w:val="ListBullet"/>
      </w:pPr>
      <w:r>
        <w:t>Sujet âgé : débuter par demi-gélule, surveillance.</w:t>
      </w:r>
    </w:p>
    <w:p>
      <w:pPr>
        <w:pStyle w:val="ListBullet"/>
      </w:pPr>
      <w:r>
        <w:t>Insuffisance rénale/hépatique : adaptation selon tolérance.</w:t>
      </w:r>
    </w:p>
    <w:p>
      <w:pPr>
        <w:pStyle w:val="ListBullet"/>
      </w:pPr>
      <w:r>
        <w:t>Durée : au long cours.</w:t>
      </w:r>
    </w:p>
    <w:p>
      <w:pPr>
        <w:pStyle w:val="ListBullet"/>
      </w:pPr>
      <w:r>
        <w:t>Moment de prise : le matin, à heure fixe. La gélule LP doit être avalée entière (ne pas croquer ni écraser).</w:t>
      </w:r>
    </w:p>
    <w:p>
      <w:r/>
      <w:r>
        <w:rPr>
          <w:b/>
        </w:rPr>
        <w:t>Arbitrage et Bénéfices des Formes Galéniques :</w:t>
      </w:r>
      <w:r/>
    </w:p>
    <w:p>
      <w:r>
        <w:t>Forme unique : gélule LP 50 mg/20 mg. La forme LP de la nifédipine est essentielle (la forme LI est contre-indiquée dans l'HTA chronique — risque d'hypotension brutale et d'ischémie myocardique réflexe). Avantages de l'association fixe : observance, synergie, compensation des effets indésirables. Inconvénients : spécialité retirée du marché algérien, choix limité. Alternative : prescription séparée aténolol 50 mg/j + amlodipine 5–10 mg/j (meilleur profil que nifédipine — moindres œdèmes, moindres interactions).</w:t>
      </w:r>
    </w:p>
    <w:p>
      <w:r/>
      <w:r>
        <w:rPr>
          <w:b/>
        </w:rPr>
        <w:t>Instructions et Conseils au Patient :</w:t>
      </w:r>
      <w:r/>
    </w:p>
    <w:p>
      <w:pPr>
        <w:pStyle w:val="ListBullet"/>
      </w:pPr>
      <w:r>
        <w:t>Communication au comptoir : « Ce médicament combine un bêtabloquant et un vasodilatateur pour faire baisser votre tension et améliorer l'apport sanguin à votre cœur. Prenez-le le matin, en entier (ne pas croquer). Il peut provoquer des maux de tête, des bouffées de chaleur et des gonflements des chevilles au début — ces effets sont habituellement transitoires. Évitez le pamplemousse pendant le traitement. »</w:t>
      </w:r>
    </w:p>
    <w:p>
      <w:pPr>
        <w:pStyle w:val="ListBullet"/>
      </w:pPr>
      <w:r>
        <w:t>Mode d'utilisation pratique : Prise le matin à heure fixe. Gélule entière. Automesure tensionnelle. Information sur les œdèmes des chevilles (bénins, surélévation des jambes).</w:t>
      </w:r>
    </w:p>
    <w:p>
      <w:r/>
      <w:r>
        <w:rPr>
          <w:b/>
        </w:rPr>
        <w:t>Notes, Règles d'Or &amp; Pièges au Comptoir :</w:t>
      </w:r>
      <w:r/>
    </w:p>
    <w:p>
      <w:pPr>
        <w:pStyle w:val="ListBullet"/>
      </w:pPr>
      <w:r>
        <w:t>Piège classique : oubli de l'interrogatoire asthme (CI) ; oubli de contre-indication vérapamil associé ; oubli de l'interaction pamplemousse ; prescription chez la femme enceinte (CI 1er trimestre) ; arrêt brutal.</w:t>
      </w:r>
    </w:p>
    <w:p>
      <w:pPr>
        <w:pStyle w:val="ListBullet"/>
      </w:pPr>
      <w:r>
        <w:t>Règle de prise : 1 gélule LP/j le matin, à heure fixe, entière.</w:t>
      </w:r>
    </w:p>
    <w:p>
      <w:pPr>
        <w:pStyle w:val="ListBullet"/>
      </w:pPr>
      <w:r>
        <w:t>Préparation et Conservation : &lt; 25 °C, sec, à l'abri de la lumière.</w:t>
      </w:r>
    </w:p>
    <w:p>
      <w:pPr>
        <w:pStyle w:val="ListBullet"/>
      </w:pPr>
      <w:r>
        <w:t>Piège du surdosage / Substitution : en cas de substitution vers aténolol + amlodipine, surveillance ECG et PA. En cas d'intoxication : bradycardie, hypotension sévère, BAV — glucagon, atropine, isoprénaline, remplissage vasculaire, noradrénaline si hypotension réfractaire.</w:t>
      </w:r>
    </w:p>
    <w:p>
      <w:pPr>
        <w:pStyle w:val="Heading2"/>
      </w:pPr>
      <w:r>
        <w:t>Sous-classe : Bêtabloquants avec propriétés antiarythmiques de classe III (Vaughan-Williams)</w:t>
      </w:r>
    </w:p>
    <w:p>
      <w:r>
        <w:t xml:space="preserve">Le sotalol est le seul représentant de cette sous-classe combinant un </w:t>
      </w:r>
      <w:r>
        <w:rPr>
          <w:b/>
        </w:rPr>
        <w:t>blocage β-adrénergique non cardiosélectif</w:t>
      </w:r>
      <w:r>
        <w:t xml:space="preserve"> (classe II de Vaughan-Williams) et un </w:t>
      </w:r>
      <w:r>
        <w:rPr>
          <w:b/>
        </w:rPr>
        <w:t>allongement du potentiel d'action cardiaque</w:t>
      </w:r>
      <w:r>
        <w:t xml:space="preserve"> (classe III — blocage des canaux potassiques IKr). Cette double action en fait un antiarythmique puissant utilisé dans les </w:t>
      </w:r>
      <w:r>
        <w:rPr>
          <w:b/>
        </w:rPr>
        <w:t>arythmies ventriculaires menaçantes</w:t>
      </w:r>
      <w:r>
        <w:t xml:space="preserve"> (TV, FV) et les </w:t>
      </w:r>
      <w:r>
        <w:rPr>
          <w:b/>
        </w:rPr>
        <w:t>arythmies supraventriculaires symptomatiques</w:t>
      </w:r>
      <w:r>
        <w:t xml:space="preserve"> (FA récidivante, flutter atrial). Cependant, l'allongement du potentiel d'action s'accompagne d'un </w:t>
      </w:r>
      <w:r>
        <w:rPr>
          <w:b/>
        </w:rPr>
        <w:t>allongement de l'espace QT</w:t>
      </w:r>
      <w:r>
        <w:t xml:space="preserve"> qui expose à un risque de </w:t>
      </w:r>
      <w:r>
        <w:rPr>
          <w:b/>
        </w:rPr>
        <w:t>torsades de pointes</w:t>
      </w:r>
      <w:r>
        <w:t xml:space="preserve"> (TdP) — effet pro-arythmique majeur. La prescription de sotalol nécessite donc une surveillance ECG stricte (QTc &lt; 500 ms), une correction préalable des troubles hydro-électrolytiques (hypokaliémie, hypomagnésémie), et une initiation en milieu hospitalier (selon les recommandations ESC 2022 sur les arythmies ventriculaires).</w:t>
      </w:r>
    </w:p>
    <w:p>
      <w:pPr>
        <w:pStyle w:val="Heading3"/>
      </w:pPr>
      <w:r>
        <w:t>13. DCI : Sotalol (Seule)</w:t>
      </w:r>
    </w:p>
    <w:p>
      <w:r/>
      <w:r>
        <w:rPr>
          <w:b/>
        </w:rPr>
        <w:t>Liste des Catégories :</w:t>
      </w:r>
      <w:r>
        <w:t xml:space="preserve"> Bêtabloquants non cardiosélectifs avec propriétés antiarythmiques de classe III (Vaughan-Williams) ; Antiarythmique (classes II + III) ; Traitement des arythmies ventriculaires menaçantes ; Traitement de la FA récidivante symptomatique.</w:t>
      </w:r>
    </w:p>
    <w:p>
      <w:r>
        <w:t xml:space="preserve">Le sotalol est un β-bloquant </w:t>
      </w:r>
      <w:r>
        <w:rPr>
          <w:b/>
        </w:rPr>
        <w:t>non cardiosélectif</w:t>
      </w:r>
      <w:r>
        <w:t xml:space="preserve"> (β1 = β2) qui possède la particularité d'être également un </w:t>
      </w:r>
      <w:r>
        <w:rPr>
          <w:b/>
        </w:rPr>
        <w:t>antiarythmique de classe III</w:t>
      </w:r>
      <w:r>
        <w:t xml:space="preserve"> de la classification de Vaughan-Williams, en raison de son action </w:t>
      </w:r>
      <w:r>
        <w:rPr>
          <w:b/>
        </w:rPr>
        <w:t>bloqueuse des canaux potassiques IKr</w:t>
      </w:r>
      <w:r>
        <w:t xml:space="preserve"> (potassium rectifiant rapide, hERG). Cette double action (II + III) en fait un antiarythmique puissant utilisé dans les </w:t>
      </w:r>
      <w:r>
        <w:rPr>
          <w:b/>
        </w:rPr>
        <w:t>arythmies ventriculaires menaçantes</w:t>
      </w:r>
      <w:r>
        <w:t xml:space="preserve"> (tachycardie ventriculaire soutenue, fibrillation ventriculaire) en prévention secondaire et dans la </w:t>
      </w:r>
      <w:r>
        <w:rPr>
          <w:b/>
        </w:rPr>
        <w:t>fibrillation atriale récidivante symptomatique</w:t>
      </w:r>
      <w:r>
        <w:t xml:space="preserve">. Le sotalol est un </w:t>
      </w:r>
      <w:r>
        <w:rPr>
          <w:b/>
        </w:rPr>
        <w:t>mélange racémique</w:t>
      </w:r>
      <w:r>
        <w:t xml:space="preserve"> de deux énantiomères : le </w:t>
      </w:r>
      <w:r>
        <w:rPr>
          <w:b/>
        </w:rPr>
        <w:t>D-sotalol</w:t>
      </w:r>
      <w:r>
        <w:t xml:space="preserve"> (dextrorotatoire), responsable de l'effet classe III pur (bloc IKr), et le </w:t>
      </w:r>
      <w:r>
        <w:rPr>
          <w:b/>
        </w:rPr>
        <w:t>L-sotalol</w:t>
      </w:r>
      <w:r>
        <w:t xml:space="preserve"> (lévogyre), responsable du blocage β non cardiosélectif. La molécule est </w:t>
      </w:r>
      <w:r>
        <w:rPr>
          <w:b/>
        </w:rPr>
        <w:t>hydrosoluble</w:t>
      </w:r>
      <w:r>
        <w:t xml:space="preserve"> (peu de passage BHE, élimination rénale inchangée, biodisponibilité 90–100 %, demi-vie 12 heures justifiant une administration biquotidienne). Sa prescription impose une surveillance ECG stricte (QTc à J0, J3, J7 puis mensuel — cible QTc &lt; 500 ms) et une correction préalable de toute hypokaliémie ou hypomagnésémie (qui majorent le risque de torsades). En Algérie, le sotalol a été commercialisé sous la spécialité SOTALEX (Bristol Myers Squibb) — actuellement </w:t>
      </w:r>
      <w:r>
        <w:rPr>
          <w:b/>
        </w:rPr>
        <w:t>retiré du marché</w:t>
      </w:r>
      <w:r>
        <w:t xml:space="preserve"> algérien. Aucune alternative n'est disponible, ce qui pose le problème de la prise en charge des patients porteurs d'arythmies ventriculaires menaçantes — recours aux antiarythmiques de classe III purs (amiodarone) ou à l'ablation par radiofréquence.</w:t>
      </w:r>
    </w:p>
    <w:p>
      <w:r/>
      <w:r>
        <w:rPr>
          <w:b/>
        </w:rPr>
        <w:t>Médicaments disponibles en Algérie (Marques, Laboratoires, Formes et Dosages) :</w:t>
      </w:r>
      <w:r/>
    </w:p>
    <w:p>
      <w:pPr>
        <w:pStyle w:val="ListBullet"/>
      </w:pPr>
      <w:r/>
      <w:r>
        <w:rPr>
          <w:b/>
        </w:rPr>
        <w:t>SOTALEX</w:t>
      </w:r>
      <w:r>
        <w:t xml:space="preserve"> (BRISTOL MYERS SQUIBB)</w:t>
      </w:r>
    </w:p>
    <w:p>
      <w:pPr>
        <w:pStyle w:val="ListBullet"/>
      </w:pPr>
      <w:r>
        <w:t>Formes et Dosages : Comprimé 80 mg (B/30)</w:t>
      </w:r>
    </w:p>
    <w:p>
      <w:pPr>
        <w:pStyle w:val="ListBullet"/>
      </w:pPr>
      <w:r>
        <w:t>Statut : Retiré (R) — Liste I</w:t>
      </w:r>
    </w:p>
    <w:p>
      <w:r/>
      <w:r>
        <w:rPr>
          <w:b/>
        </w:rPr>
        <w:t>Sous-classe et Mécanisme d'action :</w:t>
      </w:r>
      <w:r/>
    </w:p>
    <w:p>
      <w:pPr>
        <w:pStyle w:val="ListBullet"/>
      </w:pPr>
      <w:r>
        <w:t>Sous-classe : β-bloquant non cardiosélectif (β1 = β2) + antiarythmique classe III (bloc IKr) ; hydrosoluble ; racémique D- + L-sotalol.</w:t>
      </w:r>
    </w:p>
    <w:p>
      <w:pPr>
        <w:pStyle w:val="ListBullet"/>
      </w:pPr>
      <w:r>
        <w:t xml:space="preserve">Mécanisme d'action : Double action — (1) L-sotalol : antagonisme compétitif β1β2 non cardiosélectif → baisse FC, contractilité, conduction AV (effet classe II). (2) D-sotalol : blocage des canaux potassiques IKr (hERG — human Ether-à-go-go-Related Gene) → allongement de la phase 3 de repolarisation du potentiel d'action cardiaque → allongement de la durée du potentiel d'action (APD) et de la période réfractaire effective (PRE) atriale, nodale et ventriculaire → effet antiarythmique classe III (suppression des réentrées et des automatismes anormaux). L'allongement de l'APD entraîne un </w:t>
      </w:r>
      <w:r>
        <w:rPr>
          <w:b/>
        </w:rPr>
        <w:t>allongement de l'espace QT</w:t>
      </w:r>
      <w:r>
        <w:t xml:space="preserve"> sur l'ECG, qui est le marqueur de l'efficacité (et du risque pro-arythmique). Le sotalol est </w:t>
      </w:r>
      <w:r>
        <w:rPr>
          <w:b/>
        </w:rPr>
        <w:t>hydrosoluble</w:t>
      </w:r>
      <w:r>
        <w:t xml:space="preserve"> : métabolisme hépatique négligeable, élimination rénale inchangée (nécessité d'adaptation posologique en insuffisance rénale), biodisponibilité 90–100 %, demi-vie 12 heures.</w:t>
      </w:r>
    </w:p>
    <w:p>
      <w:r/>
      <w:r>
        <w:rPr>
          <w:b/>
        </w:rPr>
        <w:t>Profil Pharmacologique :</w:t>
      </w:r>
      <w:r/>
    </w:p>
    <w:p>
      <w:pPr>
        <w:pStyle w:val="ListBullet"/>
      </w:pPr>
      <w:r>
        <w:t>Indications : Tachycardie ventriculaire soutenue symptomatique menaçante (prévention secondaire, en alternative à l'amiodarone ou à un défibrillateur implantable) ; fibrillation atriale récidivante symptomatique (prévention des récidives, alternative à la flécaïnide, propafénone, amiodarone) ; flutter atrial récidivant. Posologie : initiation à 80 mg x 2/j, titration à 160 mg x 2/j si nécessaire (dose maximale 320 mg x 2/j) sous surveillance ECG stricte.</w:t>
      </w:r>
    </w:p>
    <w:p>
      <w:pPr>
        <w:pStyle w:val="ListBullet"/>
      </w:pPr>
      <w:r>
        <w:t xml:space="preserve">Contre-indications : Asthme et BPCO sévères (β2) ; BAV 2e/3e non appareillé ; bradycardie &lt; 50 ; choc cardiogénique ; ICC décompensée ; </w:t>
      </w:r>
      <w:r>
        <w:rPr>
          <w:b/>
        </w:rPr>
        <w:t>QTc long congénital ou acquis (QTc &gt; 450 ms homme / 470 ms femme à l'initiation)</w:t>
      </w:r>
      <w:r>
        <w:t xml:space="preserve"> ; hypokaliémie &lt; 4 mmol/L ; hypomagnésémie ; insuffisance rénale sévère (ClCr &lt; 30) ; phéochromocytome non traité ; anesthésie à risque ; allergie sulfamides.</w:t>
      </w:r>
    </w:p>
    <w:p>
      <w:pPr>
        <w:pStyle w:val="ListBullet"/>
      </w:pPr>
      <w:r>
        <w:t xml:space="preserve">Effets Indésirables : </w:t>
      </w:r>
      <w:r>
        <w:rPr>
          <w:b/>
        </w:rPr>
        <w:t>Allongement du QTc → risque de torsades de pointes (effet pro-arythmique — jusqu'à 4 % des cas aux doses élevées)</w:t>
      </w:r>
      <w:r>
        <w:t xml:space="preserve"> ; bradycardie sinusale sévère ; hypotension ; BAV ; bronchospasme ; asthénie ; syndrome de Raynaud ; masquage hypoglycémie ; dysfonction érectile ; troubles digestifs ; céphalées ; rash ; photosensibilité.</w:t>
      </w:r>
    </w:p>
    <w:p>
      <w:r/>
      <w:r>
        <w:rPr>
          <w:b/>
        </w:rPr>
        <w:t>Prévention et Gestion des Effets Indésirables :</w:t>
      </w:r>
      <w:r/>
    </w:p>
    <w:p>
      <w:pPr>
        <w:pStyle w:val="ListBullet"/>
      </w:pPr>
      <w:r>
        <w:t xml:space="preserve">Mesures Préventives : </w:t>
      </w:r>
      <w:r>
        <w:rPr>
          <w:b/>
        </w:rPr>
        <w:t>Initiation en milieu hospitalier</w:t>
      </w:r>
      <w:r>
        <w:t xml:space="preserve"> (recommandations ESC 2022) avec monitorage ECG continu les 72 premières heures (QTc toutes les 4 h, FC, PA). </w:t>
      </w:r>
      <w:r>
        <w:rPr>
          <w:b/>
        </w:rPr>
        <w:t>Correction préalable des troubles hydro-électrolytiques</w:t>
      </w:r>
      <w:r>
        <w:t xml:space="preserve"> : kaliémie ≥ 4 mmol/L, magnésémie normale. </w:t>
      </w:r>
      <w:r>
        <w:rPr>
          <w:b/>
        </w:rPr>
        <w:t>Élimination de tout médicament allongeant le QT</w:t>
      </w:r>
      <w:r>
        <w:t xml:space="preserve"> avant initiation (amiodarone, macrolides, fluoroquinolones, antipsychotiques, antidépresseurs tricycliques, méthadone, cisapride). Surveillance ECG régulière : QTc à J3, J7, J15 puis mensuel — cible QTc &lt; 500 ms (au-delà : arrêt). Adaptation posologique à la fonction rénale (ClCr).</w:t>
      </w:r>
    </w:p>
    <w:p>
      <w:pPr>
        <w:pStyle w:val="ListBullet"/>
      </w:pPr>
      <w:r>
        <w:t xml:space="preserve">Conduite à Tenir : En cas de QTc &gt; 500 ms ou de torsades de pointes : </w:t>
      </w:r>
      <w:r>
        <w:rPr>
          <w:b/>
        </w:rPr>
        <w:t>arrêt immédiat</w:t>
      </w:r>
      <w:r>
        <w:t>, sulfate de magnésium IV (2 g en bolus), isoprénaline en perfusion (accélère la FC, raccourcit le QT), entraînement électrosystolique temporaire si nécessaire. En cas de bradycardie symptomatique : atropine, glucagon.</w:t>
      </w:r>
    </w:p>
    <w:p>
      <w:r/>
      <w:r>
        <w:rPr>
          <w:b/>
        </w:rPr>
        <w:t>Interactions Importantes :</w:t>
      </w:r>
      <w:r/>
    </w:p>
    <w:p>
      <w:pPr>
        <w:pStyle w:val="ListBullet"/>
      </w:pPr>
      <w:r>
        <w:t xml:space="preserve">Sotalol + Médicaments allongeant le QT (amiodarone, macrolides — érythromycine, clarithromycine, fluoroquinolones — lévofloxacine, moxifloxacine, antipsychotiques — halopéridol, thioridazine, antidépresseurs tricycliques, méthadone, cisapride) : </w:t>
      </w:r>
      <w:r>
        <w:rPr>
          <w:b/>
        </w:rPr>
        <w:t>CI absolue</w:t>
      </w:r>
      <w:r>
        <w:t xml:space="preserve"> — risque de torsades de pointes majeur.</w:t>
      </w:r>
    </w:p>
    <w:p>
      <w:pPr>
        <w:pStyle w:val="ListBullet"/>
      </w:pPr>
      <w:r>
        <w:t>Sotalol + Diurétiques hypokaliémiants (HCTZ, furosémide) : hypokaliémie → risque de torsades — surveillance stricte kaliémie, supplémentation potassique.</w:t>
      </w:r>
    </w:p>
    <w:p>
      <w:pPr>
        <w:pStyle w:val="ListBullet"/>
      </w:pPr>
      <w:r>
        <w:t>Sotalol + Vérapamil/Diltiazem : CI absolue (BAV, bradycardie sévère, décompensation).</w:t>
      </w:r>
    </w:p>
    <w:p>
      <w:pPr>
        <w:pStyle w:val="ListBullet"/>
      </w:pPr>
      <w:r>
        <w:t>Sotalol + Amiodarone : CI absolue (addition des effets classe III → QT long majeur, torsades).</w:t>
      </w:r>
    </w:p>
    <w:p>
      <w:pPr>
        <w:pStyle w:val="ListBullet"/>
      </w:pPr>
      <w:r>
        <w:t>Sotalol + Insuline : masquage hypoglycémie.</w:t>
      </w:r>
    </w:p>
    <w:p>
      <w:pPr>
        <w:pStyle w:val="ListBullet"/>
      </w:pPr>
      <w:r>
        <w:t>Sotalol + AINS : diminution effet antihypertenseur.</w:t>
      </w:r>
    </w:p>
    <w:p>
      <w:r/>
      <w:r>
        <w:rPr>
          <w:b/>
        </w:rPr>
        <w:t>Grossesse et Allaitement :</w:t>
      </w:r>
      <w:r/>
    </w:p>
    <w:p>
      <w:pPr>
        <w:pStyle w:val="ListBullet"/>
      </w:pPr>
      <w:r>
        <w:t xml:space="preserve">Grossesse : </w:t>
      </w:r>
      <w:r>
        <w:rPr>
          <w:b/>
        </w:rPr>
        <w:t>À ÉVITER</w:t>
      </w:r>
      <w:r>
        <w:t xml:space="preserve"> — le sotalol traverse le placenta, peut entraîner une bradycardie fœtale, une hypoglycémie et un QT long néonatal. Utilisable si indispensable (arythmie maternelle menaçante), en milieu spécialisé, avec monitorage fœtal continu.</w:t>
      </w:r>
    </w:p>
    <w:p>
      <w:pPr>
        <w:pStyle w:val="ListBullet"/>
      </w:pPr>
      <w:r>
        <w:t>Allaitement : Compatible aux doses habituelles, mais surveillance de la FC et du QT du nourrisson.</w:t>
      </w:r>
    </w:p>
    <w:p>
      <w:pPr>
        <w:pStyle w:val="ListBullet"/>
      </w:pPr>
      <w:r>
        <w:t>Précautions : Surveillance fœtale et néonatale stricte.</w:t>
      </w:r>
    </w:p>
    <w:p>
      <w:r/>
      <w:r>
        <w:rPr>
          <w:b/>
        </w:rPr>
        <w:t>Posologie et Mode d'administration (Standard) :</w:t>
      </w:r>
      <w:r/>
    </w:p>
    <w:p>
      <w:pPr>
        <w:pStyle w:val="ListBullet"/>
      </w:pPr>
      <w:r>
        <w:t>Adulte : Initiation à 80 mg x 2/j (matin et soir) en milieu hospitalier sous monitorage ECG → titration à 120 mg x 2/j puis 160 mg x 2/j si nécessaire (dose cible arythmies ventriculaires). Dose maximale 320 mg x 2/j (en milieu spécialisé).</w:t>
      </w:r>
    </w:p>
    <w:p>
      <w:pPr>
        <w:pStyle w:val="ListBullet"/>
      </w:pPr>
      <w:r>
        <w:t>Sujet âgé : initiation à 40 mg x 2/j, titration prudente.</w:t>
      </w:r>
    </w:p>
    <w:p>
      <w:pPr>
        <w:pStyle w:val="ListBullet"/>
      </w:pPr>
      <w:r>
        <w:t>Insuffisance rénale (ClCr 30–60) : espacer les prises (matin et soir → matin seul) ; ClCr &lt; 30 : CI.</w:t>
      </w:r>
    </w:p>
    <w:p>
      <w:pPr>
        <w:pStyle w:val="ListBullet"/>
      </w:pPr>
      <w:r>
        <w:t>Durée : au long cours (prévention des récidives).</w:t>
      </w:r>
    </w:p>
    <w:p>
      <w:pPr>
        <w:pStyle w:val="ListBullet"/>
      </w:pPr>
      <w:r>
        <w:t>Moment de prise : matin et soir (à 12 h d'intervalle), à heure fixe.</w:t>
      </w:r>
    </w:p>
    <w:p>
      <w:r/>
      <w:r>
        <w:rPr>
          <w:b/>
        </w:rPr>
        <w:t>Arbitrage et Bénéfices des Formes Galéniques :</w:t>
      </w:r>
      <w:r/>
    </w:p>
    <w:p>
      <w:r>
        <w:t xml:space="preserve">Forme unique : comprimé 80 mg sécable (permettant le demi-dosage 40 mg). La biquotidienne est nécessaire (demi-vie 12 h). Pas de forme LP ou injectable disponible. La </w:t>
      </w:r>
      <w:r>
        <w:rPr>
          <w:b/>
        </w:rPr>
        <w:t>spécialité SOTALEX est retirée du marché algérien</w:t>
      </w:r>
      <w:r>
        <w:t xml:space="preserve"> — alternative : amiodarone (antiarythmique classe III pur, mais avec toxicité pulmonaire, thyroïdienne, hépatique, cornéenne) ou ablation par radiofréquence pour la FA récidivante. En cas de nécessité absolue de sotalol, importation exceptionnelle à titre nominatif.</w:t>
      </w:r>
    </w:p>
    <w:p>
      <w:r/>
      <w:r>
        <w:rPr>
          <w:b/>
        </w:rPr>
        <w:t>Instructions et Conseils au Patient :</w:t>
      </w:r>
      <w:r/>
    </w:p>
    <w:p>
      <w:pPr>
        <w:pStyle w:val="ListBullet"/>
      </w:pPr>
      <w:r>
        <w:t>Communication au comptoir : « Ce médicament est un antiarythmique puissant qui nécessite une surveillance médicale stricte de votre cœur et de votre ECG. Signalez immédiatement tout vertige, syncope, palpitation, essoufflement. Ne jamais associer ce médicament avec d'autres médicaments sans avis médical (risque de troubles graves du rythme). Évitez la consommation de pamplemousse. Signalez tout traitement en cours (notamment antibiotiques, antidépresseurs, antipsychotiques). »</w:t>
      </w:r>
    </w:p>
    <w:p>
      <w:pPr>
        <w:pStyle w:val="ListBullet"/>
      </w:pPr>
      <w:r>
        <w:t>Mode d'utilisation pratique : Initiation en milieu hospitalier. Prise matin et soir à heure fixe. Surveillance ECG régulière (QTc). Bilan biologique (kaliémie, magnésémie, créatinine). En cas de diarrhée ou vomissements : risque d'hypokaliémie → consulter en urgence.</w:t>
      </w:r>
    </w:p>
    <w:p>
      <w:r/>
      <w:r>
        <w:rPr>
          <w:b/>
        </w:rPr>
        <w:t>Notes, Règles d'Or &amp; Pièges au Comptoir :</w:t>
      </w:r>
      <w:r/>
    </w:p>
    <w:p>
      <w:pPr>
        <w:pStyle w:val="ListBullet"/>
      </w:pPr>
      <w:r>
        <w:t>Piège classique : prescription sans surveillance ECG (risque de torsades de pointes méconnu) ; association avec médicament allongeant le QT (CI absolue) ; initiation en ambulatoire (devrait être hospitalière) ; insuffisance rénale non corrigée (accumulation) ; hypokaliémie non corrigée ; arrêt brutal (rebond).</w:t>
      </w:r>
    </w:p>
    <w:p>
      <w:pPr>
        <w:pStyle w:val="ListBullet"/>
      </w:pPr>
      <w:r>
        <w:t>Règle de prise : matin et soir, à 12 h d'intervalle, à heure fixe.</w:t>
      </w:r>
    </w:p>
    <w:p>
      <w:pPr>
        <w:pStyle w:val="ListBullet"/>
      </w:pPr>
      <w:r>
        <w:t>Préparation et Conservation : &lt; 25 °C, sec.</w:t>
      </w:r>
    </w:p>
    <w:p>
      <w:pPr>
        <w:pStyle w:val="ListBullet"/>
      </w:pPr>
      <w:r>
        <w:t>Piège du surdosage / Substitution : en cas de substitution sotalol → amiodarone, surveillance ECG (QTc), thyroïdie, fonction pulmonaire et hépatique. En cas d'intoxication : bradycardie sévère, hypotension, BAV, torsades de pointes — arrêt immédiat, sulfate de magnésium IV 2 g, isoprénaline en perfusion, entraînement électrosystolique temporaire.</w:t>
      </w:r>
    </w:p>
    <w:p>
      <w:pPr>
        <w:pStyle w:val="Heading2"/>
      </w:pPr>
      <w:r>
        <w:t>Tableau Comparatif des 13 DCI de Bêtabloquants disponibles en Algérie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Sélectivité</w:t>
            </w:r>
          </w:p>
        </w:tc>
        <w:tc>
          <w:tcPr>
            <w:tcW w:type="dxa" w:w="1169"/>
          </w:tcPr>
          <w:p>
            <w:r>
              <w:rPr>
                <w:b/>
                <w:sz w:val="20"/>
              </w:rPr>
              <w:t>Demi-vie (h)</w:t>
            </w:r>
          </w:p>
        </w:tc>
        <w:tc>
          <w:tcPr>
            <w:tcW w:type="dxa" w:w="1169"/>
          </w:tcPr>
          <w:p>
            <w:r>
              <w:rPr>
                <w:b/>
                <w:sz w:val="20"/>
              </w:rPr>
              <w:t>Métabolisme</w:t>
            </w:r>
          </w:p>
        </w:tc>
        <w:tc>
          <w:tcPr>
            <w:tcW w:type="dxa" w:w="1169"/>
          </w:tcPr>
          <w:p>
            <w:r>
              <w:rPr>
                <w:b/>
                <w:sz w:val="20"/>
              </w:rPr>
              <w:t>Posologie standard</w:t>
            </w:r>
          </w:p>
        </w:tc>
        <w:tc>
          <w:tcPr>
            <w:tcW w:type="dxa" w:w="1169"/>
          </w:tcPr>
          <w:p>
            <w:r>
              <w:rPr>
                <w:b/>
                <w:sz w:val="20"/>
              </w:rPr>
              <w:t>EI majeur</w:t>
            </w:r>
          </w:p>
        </w:tc>
        <w:tc>
          <w:tcPr>
            <w:tcW w:type="dxa" w:w="1169"/>
          </w:tcPr>
          <w:p>
            <w:r>
              <w:rPr>
                <w:b/>
                <w:sz w:val="20"/>
              </w:rPr>
              <w:t>Grossesse</w:t>
            </w:r>
          </w:p>
        </w:tc>
      </w:tr>
      <w:tr>
        <w:tc>
          <w:tcPr>
            <w:tcW w:type="dxa" w:w="1169"/>
          </w:tcPr>
          <w:p>
            <w:r>
              <w:rPr>
                <w:sz w:val="20"/>
              </w:rPr>
              <w:t>**Aténolol**</w:t>
            </w:r>
          </w:p>
        </w:tc>
        <w:tc>
          <w:tcPr>
            <w:tcW w:type="dxa" w:w="1169"/>
          </w:tcPr>
          <w:p>
            <w:r>
              <w:rPr>
                <w:sz w:val="20"/>
              </w:rPr>
              <w:t>Cardiosélectif</w:t>
            </w:r>
          </w:p>
        </w:tc>
        <w:tc>
          <w:tcPr>
            <w:tcW w:type="dxa" w:w="1169"/>
          </w:tcPr>
          <w:p>
            <w:r>
              <w:rPr>
                <w:sz w:val="20"/>
              </w:rPr>
              <w:t>β1 (5–10)</w:t>
            </w:r>
          </w:p>
        </w:tc>
        <w:tc>
          <w:tcPr>
            <w:tcW w:type="dxa" w:w="1169"/>
          </w:tcPr>
          <w:p>
            <w:r>
              <w:rPr>
                <w:sz w:val="20"/>
              </w:rPr>
              <w:t>6–7</w:t>
            </w:r>
          </w:p>
        </w:tc>
        <w:tc>
          <w:tcPr>
            <w:tcW w:type="dxa" w:w="1169"/>
          </w:tcPr>
          <w:p>
            <w:r>
              <w:rPr>
                <w:sz w:val="20"/>
              </w:rPr>
              <w:t>Rénal</w:t>
            </w:r>
          </w:p>
        </w:tc>
        <w:tc>
          <w:tcPr>
            <w:tcW w:type="dxa" w:w="1169"/>
          </w:tcPr>
          <w:p>
            <w:r>
              <w:rPr>
                <w:sz w:val="20"/>
              </w:rPr>
              <w:t>50–100 mg/j (1 prise)</w:t>
            </w:r>
          </w:p>
        </w:tc>
        <w:tc>
          <w:tcPr>
            <w:tcW w:type="dxa" w:w="1169"/>
          </w:tcPr>
          <w:p>
            <w:r>
              <w:rPr>
                <w:sz w:val="20"/>
              </w:rPr>
              <w:t>Bradycardie, asthénie</w:t>
            </w:r>
          </w:p>
        </w:tc>
        <w:tc>
          <w:tcPr>
            <w:tcW w:type="dxa" w:w="1169"/>
          </w:tcPr>
          <w:p>
            <w:r>
              <w:rPr>
                <w:sz w:val="20"/>
              </w:rPr>
              <w:t>À éviter (RCIU)</w:t>
            </w:r>
          </w:p>
        </w:tc>
      </w:tr>
      <w:tr>
        <w:tc>
          <w:tcPr>
            <w:tcW w:type="dxa" w:w="1169"/>
          </w:tcPr>
          <w:p>
            <w:r>
              <w:rPr>
                <w:sz w:val="20"/>
              </w:rPr>
              <w:t>**Bisoprolol**</w:t>
            </w:r>
          </w:p>
        </w:tc>
        <w:tc>
          <w:tcPr>
            <w:tcW w:type="dxa" w:w="1169"/>
          </w:tcPr>
          <w:p>
            <w:r>
              <w:rPr>
                <w:sz w:val="20"/>
              </w:rPr>
              <w:t>Cardiosélectif</w:t>
            </w:r>
          </w:p>
        </w:tc>
        <w:tc>
          <w:tcPr>
            <w:tcW w:type="dxa" w:w="1169"/>
          </w:tcPr>
          <w:p>
            <w:r>
              <w:rPr>
                <w:sz w:val="20"/>
              </w:rPr>
              <w:t>β1 (20–35)</w:t>
            </w:r>
          </w:p>
        </w:tc>
        <w:tc>
          <w:tcPr>
            <w:tcW w:type="dxa" w:w="1169"/>
          </w:tcPr>
          <w:p>
            <w:r>
              <w:rPr>
                <w:sz w:val="20"/>
              </w:rPr>
              <w:t>10–12</w:t>
            </w:r>
          </w:p>
        </w:tc>
        <w:tc>
          <w:tcPr>
            <w:tcW w:type="dxa" w:w="1169"/>
          </w:tcPr>
          <w:p>
            <w:r>
              <w:rPr>
                <w:sz w:val="20"/>
              </w:rPr>
              <w:t>Mixte 50/50</w:t>
            </w:r>
          </w:p>
        </w:tc>
        <w:tc>
          <w:tcPr>
            <w:tcW w:type="dxa" w:w="1169"/>
          </w:tcPr>
          <w:p>
            <w:r>
              <w:rPr>
                <w:sz w:val="20"/>
              </w:rPr>
              <w:t>5–10 mg/j (1 prise) ; IC-FEr : titration 1,25→10 mg</w:t>
            </w:r>
          </w:p>
        </w:tc>
        <w:tc>
          <w:tcPr>
            <w:tcW w:type="dxa" w:w="1169"/>
          </w:tcPr>
          <w:p>
            <w:r>
              <w:rPr>
                <w:sz w:val="20"/>
              </w:rPr>
              <w:t>Bradycardie, asthénie</w:t>
            </w:r>
          </w:p>
        </w:tc>
        <w:tc>
          <w:tcPr>
            <w:tcW w:type="dxa" w:w="1169"/>
          </w:tcPr>
          <w:p>
            <w:r>
              <w:rPr>
                <w:sz w:val="20"/>
              </w:rPr>
              <w:t>Compatible</w:t>
            </w:r>
          </w:p>
        </w:tc>
      </w:tr>
      <w:tr>
        <w:tc>
          <w:tcPr>
            <w:tcW w:type="dxa" w:w="1169"/>
          </w:tcPr>
          <w:p>
            <w:r>
              <w:rPr>
                <w:sz w:val="20"/>
              </w:rPr>
              <w:t>**Métoprolol**</w:t>
            </w:r>
          </w:p>
        </w:tc>
        <w:tc>
          <w:tcPr>
            <w:tcW w:type="dxa" w:w="1169"/>
          </w:tcPr>
          <w:p>
            <w:r>
              <w:rPr>
                <w:sz w:val="20"/>
              </w:rPr>
              <w:t>Cardiosélectif</w:t>
            </w:r>
          </w:p>
        </w:tc>
        <w:tc>
          <w:tcPr>
            <w:tcW w:type="dxa" w:w="1169"/>
          </w:tcPr>
          <w:p>
            <w:r>
              <w:rPr>
                <w:sz w:val="20"/>
              </w:rPr>
              <w:t>β1 (25)</w:t>
            </w:r>
          </w:p>
        </w:tc>
        <w:tc>
          <w:tcPr>
            <w:tcW w:type="dxa" w:w="1169"/>
          </w:tcPr>
          <w:p>
            <w:r>
              <w:rPr>
                <w:sz w:val="20"/>
              </w:rPr>
              <w:t>3–5 (LP : 8–12)</w:t>
            </w:r>
          </w:p>
        </w:tc>
        <w:tc>
          <w:tcPr>
            <w:tcW w:type="dxa" w:w="1169"/>
          </w:tcPr>
          <w:p>
            <w:r>
              <w:rPr>
                <w:sz w:val="20"/>
              </w:rPr>
              <w:t>Hépatique CYP2D6</w:t>
            </w:r>
          </w:p>
        </w:tc>
        <w:tc>
          <w:tcPr>
            <w:tcW w:type="dxa" w:w="1169"/>
          </w:tcPr>
          <w:p>
            <w:r>
              <w:rPr>
                <w:sz w:val="20"/>
              </w:rPr>
              <w:t>100–200 mg LP/j</w:t>
            </w:r>
          </w:p>
        </w:tc>
        <w:tc>
          <w:tcPr>
            <w:tcW w:type="dxa" w:w="1169"/>
          </w:tcPr>
          <w:p>
            <w:r>
              <w:rPr>
                <w:sz w:val="20"/>
              </w:rPr>
              <w:t>Cauchemars, asthénie</w:t>
            </w:r>
          </w:p>
        </w:tc>
        <w:tc>
          <w:tcPr>
            <w:tcW w:type="dxa" w:w="1169"/>
          </w:tcPr>
          <w:p>
            <w:r>
              <w:rPr>
                <w:sz w:val="20"/>
              </w:rPr>
              <w:t>Compatible (préféré)</w:t>
            </w:r>
          </w:p>
        </w:tc>
      </w:tr>
      <w:tr>
        <w:tc>
          <w:tcPr>
            <w:tcW w:type="dxa" w:w="1169"/>
          </w:tcPr>
          <w:p>
            <w:r>
              <w:rPr>
                <w:sz w:val="20"/>
              </w:rPr>
              <w:t>**Bétaxolol**</w:t>
            </w:r>
          </w:p>
        </w:tc>
        <w:tc>
          <w:tcPr>
            <w:tcW w:type="dxa" w:w="1169"/>
          </w:tcPr>
          <w:p>
            <w:r>
              <w:rPr>
                <w:sz w:val="20"/>
              </w:rPr>
              <w:t>Cardiosélectif (collyre)</w:t>
            </w:r>
          </w:p>
        </w:tc>
        <w:tc>
          <w:tcPr>
            <w:tcW w:type="dxa" w:w="1169"/>
          </w:tcPr>
          <w:p>
            <w:r>
              <w:rPr>
                <w:sz w:val="20"/>
              </w:rPr>
              <w:t>β1 (15)</w:t>
            </w:r>
          </w:p>
        </w:tc>
        <w:tc>
          <w:tcPr>
            <w:tcW w:type="dxa" w:w="1169"/>
          </w:tcPr>
          <w:p>
            <w:r>
              <w:rPr>
                <w:sz w:val="20"/>
              </w:rPr>
              <w:t>16–22</w:t>
            </w:r>
          </w:p>
        </w:tc>
        <w:tc>
          <w:tcPr>
            <w:tcW w:type="dxa" w:w="1169"/>
          </w:tcPr>
          <w:p>
            <w:r>
              <w:rPr>
                <w:sz w:val="20"/>
              </w:rPr>
              <w:t>Hépatique CYP2D6</w:t>
            </w:r>
          </w:p>
        </w:tc>
        <w:tc>
          <w:tcPr>
            <w:tcW w:type="dxa" w:w="1169"/>
          </w:tcPr>
          <w:p>
            <w:r>
              <w:rPr>
                <w:sz w:val="20"/>
              </w:rPr>
              <w:t>1 goutte 0,5 % x 2/j</w:t>
            </w:r>
          </w:p>
        </w:tc>
        <w:tc>
          <w:tcPr>
            <w:tcW w:type="dxa" w:w="1169"/>
          </w:tcPr>
          <w:p>
            <w:r>
              <w:rPr>
                <w:sz w:val="20"/>
              </w:rPr>
              <w:t>Brûlure oculaire, bradycardie</w:t>
            </w:r>
          </w:p>
        </w:tc>
        <w:tc>
          <w:tcPr>
            <w:tcW w:type="dxa" w:w="1169"/>
          </w:tcPr>
          <w:p>
            <w:r>
              <w:rPr>
                <w:sz w:val="20"/>
              </w:rPr>
              <w:t>À éviter</w:t>
            </w:r>
          </w:p>
        </w:tc>
      </w:tr>
      <w:tr>
        <w:tc>
          <w:tcPr>
            <w:tcW w:type="dxa" w:w="1169"/>
          </w:tcPr>
          <w:p>
            <w:r>
              <w:rPr>
                <w:sz w:val="20"/>
              </w:rPr>
              <w:t>**Acébutolol**</w:t>
            </w:r>
          </w:p>
        </w:tc>
        <w:tc>
          <w:tcPr>
            <w:tcW w:type="dxa" w:w="1169"/>
          </w:tcPr>
          <w:p>
            <w:r>
              <w:rPr>
                <w:sz w:val="20"/>
              </w:rPr>
              <w:t>Cardiosélectif + ASI</w:t>
            </w:r>
          </w:p>
        </w:tc>
        <w:tc>
          <w:tcPr>
            <w:tcW w:type="dxa" w:w="1169"/>
          </w:tcPr>
          <w:p>
            <w:r>
              <w:rPr>
                <w:sz w:val="20"/>
              </w:rPr>
              <w:t>β1 (5) + ASI</w:t>
            </w:r>
          </w:p>
        </w:tc>
        <w:tc>
          <w:tcPr>
            <w:tcW w:type="dxa" w:w="1169"/>
          </w:tcPr>
          <w:p>
            <w:r>
              <w:rPr>
                <w:sz w:val="20"/>
              </w:rPr>
              <w:t>3–4 (métabolite 10–12)</w:t>
            </w:r>
          </w:p>
        </w:tc>
        <w:tc>
          <w:tcPr>
            <w:tcW w:type="dxa" w:w="1169"/>
          </w:tcPr>
          <w:p>
            <w:r>
              <w:rPr>
                <w:sz w:val="20"/>
              </w:rPr>
              <w:t>Hépatique</w:t>
            </w:r>
          </w:p>
        </w:tc>
        <w:tc>
          <w:tcPr>
            <w:tcW w:type="dxa" w:w="1169"/>
          </w:tcPr>
          <w:p>
            <w:r>
              <w:rPr>
                <w:sz w:val="20"/>
              </w:rPr>
              <w:t>200 mg x 2/j</w:t>
            </w:r>
          </w:p>
        </w:tc>
        <w:tc>
          <w:tcPr>
            <w:tcW w:type="dxa" w:w="1169"/>
          </w:tcPr>
          <w:p>
            <w:r>
              <w:rPr>
                <w:sz w:val="20"/>
              </w:rPr>
              <w:t>Lupus induit, asthénie</w:t>
            </w:r>
          </w:p>
        </w:tc>
        <w:tc>
          <w:tcPr>
            <w:tcW w:type="dxa" w:w="1169"/>
          </w:tcPr>
          <w:p>
            <w:r>
              <w:rPr>
                <w:sz w:val="20"/>
              </w:rPr>
              <w:t>Compatible</w:t>
            </w:r>
          </w:p>
        </w:tc>
      </w:tr>
      <w:tr>
        <w:tc>
          <w:tcPr>
            <w:tcW w:type="dxa" w:w="1169"/>
          </w:tcPr>
          <w:p>
            <w:r>
              <w:rPr>
                <w:sz w:val="20"/>
              </w:rPr>
              <w:t>**Nébivolol**</w:t>
            </w:r>
          </w:p>
        </w:tc>
        <w:tc>
          <w:tcPr>
            <w:tcW w:type="dxa" w:w="1169"/>
          </w:tcPr>
          <w:p>
            <w:r>
              <w:rPr>
                <w:sz w:val="20"/>
              </w:rPr>
              <w:t>Cardiosélectif + NO</w:t>
            </w:r>
          </w:p>
        </w:tc>
        <w:tc>
          <w:tcPr>
            <w:tcW w:type="dxa" w:w="1169"/>
          </w:tcPr>
          <w:p>
            <w:r>
              <w:rPr>
                <w:sz w:val="20"/>
              </w:rPr>
              <w:t>β1 (30) + NO</w:t>
            </w:r>
          </w:p>
        </w:tc>
        <w:tc>
          <w:tcPr>
            <w:tcW w:type="dxa" w:w="1169"/>
          </w:tcPr>
          <w:p>
            <w:r>
              <w:rPr>
                <w:sz w:val="20"/>
              </w:rPr>
              <w:t>10</w:t>
            </w:r>
          </w:p>
        </w:tc>
        <w:tc>
          <w:tcPr>
            <w:tcW w:type="dxa" w:w="1169"/>
          </w:tcPr>
          <w:p>
            <w:r>
              <w:rPr>
                <w:sz w:val="20"/>
              </w:rPr>
              <w:t>Hépatique CYP2D6</w:t>
            </w:r>
          </w:p>
        </w:tc>
        <w:tc>
          <w:tcPr>
            <w:tcW w:type="dxa" w:w="1169"/>
          </w:tcPr>
          <w:p>
            <w:r>
              <w:rPr>
                <w:sz w:val="20"/>
              </w:rPr>
              <w:t>5 mg/j (1 prise) ; IC âgé : 1,25→10 mg</w:t>
            </w:r>
          </w:p>
        </w:tc>
        <w:tc>
          <w:tcPr>
            <w:tcW w:type="dxa" w:w="1169"/>
          </w:tcPr>
          <w:p>
            <w:r>
              <w:rPr>
                <w:sz w:val="20"/>
              </w:rPr>
              <w:t>Céphalées (NO), hypotension</w:t>
            </w:r>
          </w:p>
        </w:tc>
        <w:tc>
          <w:tcPr>
            <w:tcW w:type="dxa" w:w="1169"/>
          </w:tcPr>
          <w:p>
            <w:r>
              <w:rPr>
                <w:sz w:val="20"/>
              </w:rPr>
              <w:t>À éviter</w:t>
            </w:r>
          </w:p>
        </w:tc>
      </w:tr>
      <w:tr>
        <w:tc>
          <w:tcPr>
            <w:tcW w:type="dxa" w:w="1169"/>
          </w:tcPr>
          <w:p>
            <w:r>
              <w:rPr>
                <w:sz w:val="20"/>
              </w:rPr>
              <w:t>**Propranolol**</w:t>
            </w:r>
          </w:p>
        </w:tc>
        <w:tc>
          <w:tcPr>
            <w:tcW w:type="dxa" w:w="1169"/>
          </w:tcPr>
          <w:p>
            <w:r>
              <w:rPr>
                <w:sz w:val="20"/>
              </w:rPr>
              <w:t>Non cardiosélectif</w:t>
            </w:r>
          </w:p>
        </w:tc>
        <w:tc>
          <w:tcPr>
            <w:tcW w:type="dxa" w:w="1169"/>
          </w:tcPr>
          <w:p>
            <w:r>
              <w:rPr>
                <w:sz w:val="20"/>
              </w:rPr>
              <w:t>β1 = β2</w:t>
            </w:r>
          </w:p>
        </w:tc>
        <w:tc>
          <w:tcPr>
            <w:tcW w:type="dxa" w:w="1169"/>
          </w:tcPr>
          <w:p>
            <w:r>
              <w:rPr>
                <w:sz w:val="20"/>
              </w:rPr>
              <w:t>3–5 (LP : 8–12)</w:t>
            </w:r>
          </w:p>
        </w:tc>
        <w:tc>
          <w:tcPr>
            <w:tcW w:type="dxa" w:w="1169"/>
          </w:tcPr>
          <w:p>
            <w:r>
              <w:rPr>
                <w:sz w:val="20"/>
              </w:rPr>
              <w:t>Hépatique CYP1A2/2D6</w:t>
            </w:r>
          </w:p>
        </w:tc>
        <w:tc>
          <w:tcPr>
            <w:tcW w:type="dxa" w:w="1169"/>
          </w:tcPr>
          <w:p>
            <w:r>
              <w:rPr>
                <w:sz w:val="20"/>
              </w:rPr>
              <w:t>40 mg x 2-3/j ; LP 160 mg/j</w:t>
            </w:r>
          </w:p>
        </w:tc>
        <w:tc>
          <w:tcPr>
            <w:tcW w:type="dxa" w:w="1169"/>
          </w:tcPr>
          <w:p>
            <w:r>
              <w:rPr>
                <w:sz w:val="20"/>
              </w:rPr>
              <w:t>Cauchemars, bronchospasme</w:t>
            </w:r>
          </w:p>
        </w:tc>
        <w:tc>
          <w:tcPr>
            <w:tcW w:type="dxa" w:w="1169"/>
          </w:tcPr>
          <w:p>
            <w:r>
              <w:rPr>
                <w:sz w:val="20"/>
              </w:rPr>
              <w:t>À éviter (fin grossesse)</w:t>
            </w:r>
          </w:p>
        </w:tc>
      </w:tr>
      <w:tr>
        <w:tc>
          <w:tcPr>
            <w:tcW w:type="dxa" w:w="1169"/>
          </w:tcPr>
          <w:p>
            <w:r>
              <w:rPr>
                <w:sz w:val="20"/>
              </w:rPr>
              <w:t>**Timolol**</w:t>
            </w:r>
          </w:p>
        </w:tc>
        <w:tc>
          <w:tcPr>
            <w:tcW w:type="dxa" w:w="1169"/>
          </w:tcPr>
          <w:p>
            <w:r>
              <w:rPr>
                <w:sz w:val="20"/>
              </w:rPr>
              <w:t>Non cardiosélectif (collyre)</w:t>
            </w:r>
          </w:p>
        </w:tc>
        <w:tc>
          <w:tcPr>
            <w:tcW w:type="dxa" w:w="1169"/>
          </w:tcPr>
          <w:p>
            <w:r>
              <w:rPr>
                <w:sz w:val="20"/>
              </w:rPr>
              <w:t>β1 = β2</w:t>
            </w:r>
          </w:p>
        </w:tc>
        <w:tc>
          <w:tcPr>
            <w:tcW w:type="dxa" w:w="1169"/>
          </w:tcPr>
          <w:p>
            <w:r>
              <w:rPr>
                <w:sz w:val="20"/>
              </w:rPr>
              <w:t>4–5 (collyre)</w:t>
            </w:r>
          </w:p>
        </w:tc>
        <w:tc>
          <w:tcPr>
            <w:tcW w:type="dxa" w:w="1169"/>
          </w:tcPr>
          <w:p>
            <w:r>
              <w:rPr>
                <w:sz w:val="20"/>
              </w:rPr>
              <w:t>Hépatique</w:t>
            </w:r>
          </w:p>
        </w:tc>
        <w:tc>
          <w:tcPr>
            <w:tcW w:type="dxa" w:w="1169"/>
          </w:tcPr>
          <w:p>
            <w:r>
              <w:rPr>
                <w:sz w:val="20"/>
              </w:rPr>
              <w:t>1 goutte 0,5 % x 2/j ; gel LP x 1/j</w:t>
            </w:r>
          </w:p>
        </w:tc>
        <w:tc>
          <w:tcPr>
            <w:tcW w:type="dxa" w:w="1169"/>
          </w:tcPr>
          <w:p>
            <w:r>
              <w:rPr>
                <w:sz w:val="20"/>
              </w:rPr>
              <w:t>Bronchospasme, bradycardie</w:t>
            </w:r>
          </w:p>
        </w:tc>
        <w:tc>
          <w:tcPr>
            <w:tcW w:type="dxa" w:w="1169"/>
          </w:tcPr>
          <w:p>
            <w:r>
              <w:rPr>
                <w:sz w:val="20"/>
              </w:rPr>
              <w:t>À éviter</w:t>
            </w:r>
          </w:p>
        </w:tc>
      </w:tr>
      <w:tr>
        <w:tc>
          <w:tcPr>
            <w:tcW w:type="dxa" w:w="1169"/>
          </w:tcPr>
          <w:p>
            <w:r>
              <w:rPr>
                <w:sz w:val="20"/>
              </w:rPr>
              <w:t>**Carvédilol**</w:t>
            </w:r>
          </w:p>
        </w:tc>
        <w:tc>
          <w:tcPr>
            <w:tcW w:type="dxa" w:w="1169"/>
          </w:tcPr>
          <w:p>
            <w:r>
              <w:rPr>
                <w:sz w:val="20"/>
              </w:rPr>
              <w:t>Non sélectif + α1</w:t>
            </w:r>
          </w:p>
        </w:tc>
        <w:tc>
          <w:tcPr>
            <w:tcW w:type="dxa" w:w="1169"/>
          </w:tcPr>
          <w:p>
            <w:r>
              <w:rPr>
                <w:sz w:val="20"/>
              </w:rPr>
              <w:t>β1β2 + α1</w:t>
            </w:r>
          </w:p>
        </w:tc>
        <w:tc>
          <w:tcPr>
            <w:tcW w:type="dxa" w:w="1169"/>
          </w:tcPr>
          <w:p>
            <w:r>
              <w:rPr>
                <w:sz w:val="20"/>
              </w:rPr>
              <w:t>6–10</w:t>
            </w:r>
          </w:p>
        </w:tc>
        <w:tc>
          <w:tcPr>
            <w:tcW w:type="dxa" w:w="1169"/>
          </w:tcPr>
          <w:p>
            <w:r>
              <w:rPr>
                <w:sz w:val="20"/>
              </w:rPr>
              <w:t>Hépatique CYP2D6/1A2</w:t>
            </w:r>
          </w:p>
        </w:tc>
        <w:tc>
          <w:tcPr>
            <w:tcW w:type="dxa" w:w="1169"/>
          </w:tcPr>
          <w:p>
            <w:r>
              <w:rPr>
                <w:sz w:val="20"/>
              </w:rPr>
              <w:t>12,5–25 mg x 2/j ; IC-FEr titration 3,125→25 mg x 2/j</w:t>
            </w:r>
          </w:p>
        </w:tc>
        <w:tc>
          <w:tcPr>
            <w:tcW w:type="dxa" w:w="1169"/>
          </w:tcPr>
          <w:p>
            <w:r>
              <w:rPr>
                <w:sz w:val="20"/>
              </w:rPr>
              <w:t>Hypotension orthostatique</w:t>
            </w:r>
          </w:p>
        </w:tc>
        <w:tc>
          <w:tcPr>
            <w:tcW w:type="dxa" w:w="1169"/>
          </w:tcPr>
          <w:p>
            <w:r>
              <w:rPr>
                <w:sz w:val="20"/>
              </w:rPr>
              <w:t>À éviter</w:t>
            </w:r>
          </w:p>
        </w:tc>
      </w:tr>
      <w:tr>
        <w:tc>
          <w:tcPr>
            <w:tcW w:type="dxa" w:w="1169"/>
          </w:tcPr>
          <w:p>
            <w:r>
              <w:rPr>
                <w:sz w:val="20"/>
              </w:rPr>
              <w:t>**Aténolol + Chlorthalidone**</w:t>
            </w:r>
          </w:p>
        </w:tc>
        <w:tc>
          <w:tcPr>
            <w:tcW w:type="dxa" w:w="1169"/>
          </w:tcPr>
          <w:p>
            <w:r>
              <w:rPr>
                <w:sz w:val="20"/>
              </w:rPr>
              <w:t>Association β-bloquant + diurétique</w:t>
            </w:r>
          </w:p>
        </w:tc>
        <w:tc>
          <w:tcPr>
            <w:tcW w:type="dxa" w:w="1169"/>
          </w:tcPr>
          <w:p>
            <w:r>
              <w:rPr>
                <w:sz w:val="20"/>
              </w:rPr>
              <w:t>β1 (aténolol) + thiazidique</w:t>
            </w:r>
          </w:p>
        </w:tc>
        <w:tc>
          <w:tcPr>
            <w:tcW w:type="dxa" w:w="1169"/>
          </w:tcPr>
          <w:p>
            <w:r>
              <w:rPr>
                <w:sz w:val="20"/>
              </w:rPr>
              <w:t>6–7 + 40–60</w:t>
            </w:r>
          </w:p>
        </w:tc>
        <w:tc>
          <w:tcPr>
            <w:tcW w:type="dxa" w:w="1169"/>
          </w:tcPr>
          <w:p>
            <w:r>
              <w:rPr>
                <w:sz w:val="20"/>
              </w:rPr>
              <w:t>Rénal + hépatique</w:t>
            </w:r>
          </w:p>
        </w:tc>
        <w:tc>
          <w:tcPr>
            <w:tcW w:type="dxa" w:w="1169"/>
          </w:tcPr>
          <w:p>
            <w:r>
              <w:rPr>
                <w:sz w:val="20"/>
              </w:rPr>
              <w:t>1 cp 50/12,5 mg/j</w:t>
            </w:r>
          </w:p>
        </w:tc>
        <w:tc>
          <w:tcPr>
            <w:tcW w:type="dxa" w:w="1169"/>
          </w:tcPr>
          <w:p>
            <w:r>
              <w:rPr>
                <w:sz w:val="20"/>
              </w:rPr>
              <w:t>Hypokaliémie, hyperuricémie</w:t>
            </w:r>
          </w:p>
        </w:tc>
        <w:tc>
          <w:tcPr>
            <w:tcW w:type="dxa" w:w="1169"/>
          </w:tcPr>
          <w:p>
            <w:r>
              <w:rPr>
                <w:sz w:val="20"/>
              </w:rPr>
              <w:t>Contre-indiqué</w:t>
            </w:r>
          </w:p>
        </w:tc>
      </w:tr>
      <w:tr>
        <w:tc>
          <w:tcPr>
            <w:tcW w:type="dxa" w:w="1169"/>
          </w:tcPr>
          <w:p>
            <w:r>
              <w:rPr>
                <w:sz w:val="20"/>
              </w:rPr>
              <w:t>**Bisoprolol + HCTZ**</w:t>
            </w:r>
          </w:p>
        </w:tc>
        <w:tc>
          <w:tcPr>
            <w:tcW w:type="dxa" w:w="1169"/>
          </w:tcPr>
          <w:p>
            <w:r>
              <w:rPr>
                <w:sz w:val="20"/>
              </w:rPr>
              <w:t>Association β-bloquant + diurétique</w:t>
            </w:r>
          </w:p>
        </w:tc>
        <w:tc>
          <w:tcPr>
            <w:tcW w:type="dxa" w:w="1169"/>
          </w:tcPr>
          <w:p>
            <w:r>
              <w:rPr>
                <w:sz w:val="20"/>
              </w:rPr>
              <w:t>β1 (bisoprolol) + thiazidique</w:t>
            </w:r>
          </w:p>
        </w:tc>
        <w:tc>
          <w:tcPr>
            <w:tcW w:type="dxa" w:w="1169"/>
          </w:tcPr>
          <w:p>
            <w:r>
              <w:rPr>
                <w:sz w:val="20"/>
              </w:rPr>
              <w:t>10–12 + 6–8</w:t>
            </w:r>
          </w:p>
        </w:tc>
        <w:tc>
          <w:tcPr>
            <w:tcW w:type="dxa" w:w="1169"/>
          </w:tcPr>
          <w:p>
            <w:r>
              <w:rPr>
                <w:sz w:val="20"/>
              </w:rPr>
              <w:t>Mixte + hépatique</w:t>
            </w:r>
          </w:p>
        </w:tc>
        <w:tc>
          <w:tcPr>
            <w:tcW w:type="dxa" w:w="1169"/>
          </w:tcPr>
          <w:p>
            <w:r>
              <w:rPr>
                <w:sz w:val="20"/>
              </w:rPr>
              <w:t>1 cp 5/6,25 mg ou 10/6,25 mg/j</w:t>
            </w:r>
          </w:p>
        </w:tc>
        <w:tc>
          <w:tcPr>
            <w:tcW w:type="dxa" w:w="1169"/>
          </w:tcPr>
          <w:p>
            <w:r>
              <w:rPr>
                <w:sz w:val="20"/>
              </w:rPr>
              <w:t>Hypokaliémie (rare à 6,25 mg)</w:t>
            </w:r>
          </w:p>
        </w:tc>
        <w:tc>
          <w:tcPr>
            <w:tcW w:type="dxa" w:w="1169"/>
          </w:tcPr>
          <w:p>
            <w:r>
              <w:rPr>
                <w:sz w:val="20"/>
              </w:rPr>
              <w:t>Contre-indiqué</w:t>
            </w:r>
          </w:p>
        </w:tc>
      </w:tr>
      <w:tr>
        <w:tc>
          <w:tcPr>
            <w:tcW w:type="dxa" w:w="1169"/>
          </w:tcPr>
          <w:p>
            <w:r>
              <w:rPr>
                <w:sz w:val="20"/>
              </w:rPr>
              <w:t>**Aténolol + Nifédipine**</w:t>
            </w:r>
          </w:p>
        </w:tc>
        <w:tc>
          <w:tcPr>
            <w:tcW w:type="dxa" w:w="1169"/>
          </w:tcPr>
          <w:p>
            <w:r>
              <w:rPr>
                <w:sz w:val="20"/>
              </w:rPr>
              <w:t>Association β-bloquant + ICA-DHP</w:t>
            </w:r>
          </w:p>
        </w:tc>
        <w:tc>
          <w:tcPr>
            <w:tcW w:type="dxa" w:w="1169"/>
          </w:tcPr>
          <w:p>
            <w:r>
              <w:rPr>
                <w:sz w:val="20"/>
              </w:rPr>
              <w:t>β1 (aténolol) + ICA-DHP</w:t>
            </w:r>
          </w:p>
        </w:tc>
        <w:tc>
          <w:tcPr>
            <w:tcW w:type="dxa" w:w="1169"/>
          </w:tcPr>
          <w:p>
            <w:r>
              <w:rPr>
                <w:sz w:val="20"/>
              </w:rPr>
              <w:t>6–7 + 4–5 (LP)</w:t>
            </w:r>
          </w:p>
        </w:tc>
        <w:tc>
          <w:tcPr>
            <w:tcW w:type="dxa" w:w="1169"/>
          </w:tcPr>
          <w:p>
            <w:r>
              <w:rPr>
                <w:sz w:val="20"/>
              </w:rPr>
              <w:t>Rénal + hépatique CYP3A4</w:t>
            </w:r>
          </w:p>
        </w:tc>
        <w:tc>
          <w:tcPr>
            <w:tcW w:type="dxa" w:w="1169"/>
          </w:tcPr>
          <w:p>
            <w:r>
              <w:rPr>
                <w:sz w:val="20"/>
              </w:rPr>
              <w:t>1 gélule LP 50/20 mg/j</w:t>
            </w:r>
          </w:p>
        </w:tc>
        <w:tc>
          <w:tcPr>
            <w:tcW w:type="dxa" w:w="1169"/>
          </w:tcPr>
          <w:p>
            <w:r>
              <w:rPr>
                <w:sz w:val="20"/>
              </w:rPr>
              <w:t>Œdèmes, flush, hypotension</w:t>
            </w:r>
          </w:p>
        </w:tc>
        <w:tc>
          <w:tcPr>
            <w:tcW w:type="dxa" w:w="1169"/>
          </w:tcPr>
          <w:p>
            <w:r>
              <w:rPr>
                <w:sz w:val="20"/>
              </w:rPr>
              <w:t>CI 1er trimestre</w:t>
            </w:r>
          </w:p>
        </w:tc>
      </w:tr>
      <w:tr>
        <w:tc>
          <w:tcPr>
            <w:tcW w:type="dxa" w:w="1169"/>
          </w:tcPr>
          <w:p>
            <w:r>
              <w:rPr>
                <w:sz w:val="20"/>
              </w:rPr>
              <w:t>**Sotalol**</w:t>
            </w:r>
          </w:p>
        </w:tc>
        <w:tc>
          <w:tcPr>
            <w:tcW w:type="dxa" w:w="1169"/>
          </w:tcPr>
          <w:p>
            <w:r>
              <w:rPr>
                <w:sz w:val="20"/>
              </w:rPr>
              <w:t>Non cardiosélectif + classe III</w:t>
            </w:r>
          </w:p>
        </w:tc>
        <w:tc>
          <w:tcPr>
            <w:tcW w:type="dxa" w:w="1169"/>
          </w:tcPr>
          <w:p>
            <w:r>
              <w:rPr>
                <w:sz w:val="20"/>
              </w:rPr>
              <w:t>β1 = β2 + IKr bloc</w:t>
            </w:r>
          </w:p>
        </w:tc>
        <w:tc>
          <w:tcPr>
            <w:tcW w:type="dxa" w:w="1169"/>
          </w:tcPr>
          <w:p>
            <w:r>
              <w:rPr>
                <w:sz w:val="20"/>
              </w:rPr>
              <w:t>12</w:t>
            </w:r>
          </w:p>
        </w:tc>
        <w:tc>
          <w:tcPr>
            <w:tcW w:type="dxa" w:w="1169"/>
          </w:tcPr>
          <w:p>
            <w:r>
              <w:rPr>
                <w:sz w:val="20"/>
              </w:rPr>
              <w:t>Rénal inchangé</w:t>
            </w:r>
          </w:p>
        </w:tc>
        <w:tc>
          <w:tcPr>
            <w:tcW w:type="dxa" w:w="1169"/>
          </w:tcPr>
          <w:p>
            <w:r>
              <w:rPr>
                <w:sz w:val="20"/>
              </w:rPr>
              <w:t>80 mg x 2/j → 160 mg x 2/j</w:t>
            </w:r>
          </w:p>
        </w:tc>
        <w:tc>
          <w:tcPr>
            <w:tcW w:type="dxa" w:w="1169"/>
          </w:tcPr>
          <w:p>
            <w:r>
              <w:rPr>
                <w:sz w:val="20"/>
              </w:rPr>
              <w:t>**Torsades de pointes, QT long**</w:t>
            </w:r>
          </w:p>
        </w:tc>
        <w:tc>
          <w:tcPr>
            <w:tcW w:type="dxa" w:w="1169"/>
          </w:tcPr>
          <w:p>
            <w:r>
              <w:rPr>
                <w:sz w:val="20"/>
              </w:rPr>
              <w:t>À éviter</w:t>
            </w:r>
          </w:p>
        </w:tc>
      </w:tr>
    </w:tbl>
    <w:p/>
    <w:p>
      <w:pPr>
        <w:pStyle w:val="Heading2"/>
      </w:pPr>
      <w:r>
        <w:t>Conclusion du chapitre</w:t>
      </w:r>
    </w:p>
    <w:p>
      <w:r>
        <w:t xml:space="preserve">Les bêtabloquants constituent une classe centrale de la pharmacologie cardiovasculaire algérienne, avec </w:t>
      </w:r>
      <w:r>
        <w:rPr>
          <w:b/>
        </w:rPr>
        <w:t>13 DCI disponibles</w:t>
      </w:r>
      <w:r>
        <w:t xml:space="preserve"> réparties en </w:t>
      </w:r>
      <w:r>
        <w:rPr>
          <w:b/>
        </w:rPr>
        <w:t>8 sous-classes pharmacologiques</w:t>
      </w:r>
      <w:r>
        <w:t xml:space="preserve">. La diversité des mécanismes (cardiosélectivité, ASI, libération de NO, blocage α1, propriétés antiarythmiques classe III) permet une prescription personnalisée selon le profil du patient (âge, comorbidités respiratoires, métaboliques, grossesse, ICC, post-IDM, arythmies). Le pharmacien d'officine joue un rôle clé dans la </w:t>
      </w:r>
      <w:r>
        <w:rPr>
          <w:b/>
        </w:rPr>
        <w:t>sécurisation de la prescription</w:t>
      </w:r>
      <w:r>
        <w:t xml:space="preserve"> : interrogatoire systématique (asthme/BPCO, diabète, grossesse, psoriasis, BAV), surveillance de la FC et de la PA, information du patient sur l'</w:t>
      </w:r>
      <w:r>
        <w:rPr>
          <w:b/>
        </w:rPr>
        <w:t>interdiction de l'arrêt brutal</w:t>
      </w:r>
      <w:r>
        <w:t>, détection des interactions médicamenteuses majeures (vérapamil, amiodarone, inhibiteurs CYP2D6, médicaments allongeant le QT pour le sotalol), et orientation vers le médecin en cas d'effet indésirable (bradycardie, bronchospasme, hypotension, cauchemars). La connaissance de la pharmacogénétique (polymorphisme CYP2D6 pour métoprolol, nébivolol, carvédilol) et des particularités galéniques (formes LP, comprimés quadri-sécables pour la titration ICC, collyres avec occlusion nasolacrymale) est essentielle à la pratique pharmaceutique clinique moderne. Enfin, le retrait de certaines spécialités (SOTALEX, TENORDATE, ATENOCLOR) illustre la nécessité d'une veille réglementaire permanente et d'une capacité d'orientation du patient vers des alternatives disponibles.</w:t>
      </w:r>
    </w:p>
    <w:p>
      <w:r/>
      <w:r>
        <w:rPr>
          <w:b/>
        </w:rPr>
        <w:t>Sources :</w:t>
      </w:r>
      <w:r>
        <w:t xml:space="preserve"> VIDAL 2024, ANSM (Résum des Caractéristiques du Produit), Thériaque, CRAT (Centre de Renseignement sur les Agents Tératogènes), UpToDate (cardiology), Micromedex, ESC Guidelines (Heart Failure 2021, Hypertension 2023, Ventricular Arrhythmias 2022, Atrial Fibrillation 2024), ESH Guidelines (Hypertension 2023), HAS (Recommandations HTA 2024), Nomenclature algérienne des médicaments (Avril 2026).</w:t>
      </w:r>
    </w:p>
    <w:p>
      <w:pPr>
        <w:pStyle w:val="Heading1"/>
      </w:pPr>
      <w:r>
        <w:t>Section 33 — Inhibiteurs Calciques, Antihypertenseurs Centraux et Alpha-bloquants</w:t>
      </w:r>
    </w:p>
    <w:p>
      <w:pPr>
        <w:ind w:left="567"/>
      </w:pPr>
      <w:r>
        <w:rPr>
          <w:i/>
          <w:color w:val="606060"/>
        </w:rPr>
        <w:t>**Fascicule IV — Cardiologie**</w:t>
      </w:r>
    </w:p>
    <w:p>
      <w:pPr>
        <w:ind w:left="567"/>
      </w:pPr>
      <w:r>
        <w:rPr>
          <w:i/>
          <w:color w:val="606060"/>
        </w:rPr>
        <w:t>Chapitre : Inhibiteurs des canaux calciques (ICA), antihypertenseurs d'action centrale et alpha-bloquants postsynaptiques</w:t>
      </w:r>
    </w:p>
    <w:p>
      <w:pPr>
        <w:ind w:left="567"/>
      </w:pPr>
      <w:r>
        <w:rPr>
          <w:i/>
          <w:color w:val="606060"/>
        </w:rPr>
        <w:t>Nomenclature algérienne des médicaments (Avril 2026)</w:t>
      </w:r>
    </w:p>
    <w:p>
      <w:pPr>
        <w:ind w:left="567"/>
      </w:pPr>
      <w:r>
        <w:rPr>
          <w:i/>
          <w:color w:val="606060"/>
        </w:rPr>
        <w:t>Public cible : étudiants en pharmacie (cycle clinique, 5e année)</w:t>
      </w:r>
    </w:p>
    <w:p>
      <w:pPr>
        <w:pStyle w:val="Heading2"/>
      </w:pPr>
      <w:r>
        <w:t>Introduction générale à la classe</w:t>
      </w:r>
    </w:p>
    <w:p>
      <w:r>
        <w:t>Les inhibiteurs des canaux calciques (ICA), les antihypertenseurs centraux et les alpha-bloquants postsynaptiques constituent trois familles thérapeutiques historiquement liées par leur indication commune — l'hypertension artérielle (HTA) — mais profondément différentes par leurs mécanismes d'action, leurs cibles moléculaires et leurs champs thérapeutiques. Ensemble, ils représentent, dans la nomenclature algérienne des médicaments, près de quatorze dénominations communes internationales (DCI) actives ou ayant été commercialisées, distribuées en sept sous-classes pharmacologiques regroupant plus de 150 spécialités (marques, dosages, formes).</w:t>
      </w:r>
    </w:p>
    <w:p>
      <w:r>
        <w:t>Le point d'ancrage physiologique commun de ces trois familles est le système cardiovasculaire et son tonus sympathique. L'ICA agit directement sur la cellule musculaire lisse vasculaire et/ou sur le myocyte cardiaque en bloquant l'entrée du calcium extracellulaire par les canaux calciques voltage-dépendants de type L (Cav1.2). L'antihypertenseur central réduit le tonus sympathique en stimulant les récepteurs α2-adrénergiques (et/ou les récepteurs imidazoliniques I1) du tronc cérébral, ce qui diminue la libération de noradrénaline au niveau des terminaisons sympathiques périphériques. L'alpha-bloquant postsynaptique bloque les récepteurs α1-adrénergiques vasculaires (et/ou prostatiques), abolissant la vasoconstriction adrénergique et/ou la contraction du stroma et de la capsule prostatique.</w:t>
      </w:r>
    </w:p>
    <w:p>
      <w:r/>
      <w:r>
        <w:rPr>
          <w:b/>
        </w:rPr>
        <w:t>Rappel physiologique des canaux calciques voltage-dépendants.</w:t>
      </w:r>
      <w:r>
        <w:t xml:space="preserve"> Les canaux calciques voltage-dépendants (VDCC) sont des hétérocomplexe transmembranaires formés d'une sous-unité α1 principale (pore) et de sous-unités auxiliaires α2δ, β et γ. On en distingue plusieurs types selon la sous-unité α1 : Cav1.1 à Cav1.4 (canaux de type L, "long-lasting" — sensibles aux dihydropyridines), Cav2.1 (P/Q), Cav2.2 (N) et Cav2.3 (R), Cav3.1 à Cav3.3 (T, "transient"). Les ICA disponibles en thérapeutique ciblent quasi exclusivement les canaux L. Le sous-type Cav1.2 prédomine dans le muscle lisse vasculaire et le myocyte cardiaque (myocardique et nodal) ; Cav1.3 est exprimé dans les cellules rénine productives du rein, l'oreillette et certains neurones. La sélectivité tissulaire entre DHP et non-DHP (vérapamil, diltiazem) tient à l'état-dépendance : les DHP se lient préférentiellement au canal à l'état inactivé (qui prédomine dans le muscle lisse vasculaire au repos), tandis que les non-DHP se lient préférentiellement au canal à l'état inactivé fréquence-dépendant (cœur, tissu nodal). Cette différence pharmacocinéwtique cellulaire explique la vasosélectivité des DHP et l'effet inotrope/dromotrope négatif des phénylalkylamines et benzothiazépines.</w:t>
      </w:r>
    </w:p>
    <w:p>
      <w:r/>
      <w:r>
        <w:rPr>
          <w:b/>
        </w:rPr>
        <w:t>Rappel physiologique des récepteurs α2-adrénergiques.</w:t>
      </w:r>
      <w:r>
        <w:t xml:space="preserve"> Les récepteurs α2 sont couplés à la protéine Gi/Go. Leur activation inhibe l'adénylate cyclase (baisse d'AMPc), hyperpolarise la cellule par ouverture des canaux potassiques GIRK et réduit la libération présynaptique de noradrénaline par fermeture des canaux calciques N. Au niveau du tronc cérébral (noyau du tractus solitaire, locus coeruleus, bulbospinal cardiovascular centers), les α2 contrôlent le tonus sympathique descendant. La stimulation de ces récepteurs centraux diminue la fréquence cardiaque, la contractilité et la libération de rénine, et donc la pression artérielle. La clonidine, l'α-méthyldopa (prodrogue transformée en α-méthylnorépinéphrine) et la moxonidine partagent ce mécanisme central ; la moxonidine agit en plus sur les récepteurs imidazoliniques I1 du bulbe rachidien.</w:t>
      </w:r>
    </w:p>
    <w:p>
      <w:r/>
      <w:r>
        <w:rPr>
          <w:b/>
        </w:rPr>
        <w:t>Rappel physiologique des récepteurs α1-adrénergiques.</w:t>
      </w:r>
      <w:r>
        <w:t xml:space="preserve"> Les récepteurs α1 (sous-types α1A, α1B, α1D) sont couplés à la protéine Gq. Leur activation mobilise le calcium intracellulaire (IP3 → relargage du réticulum sarcoplasmique) et contracte le muscle lisse vasculaire (artérioles et veines), prostatique (capsule et stroma), vésical (col et trigone) et splénique. Le blocage des α1 produit une vasodilatation artérielle et veineuse (effet antihypertenseur) et un relâchement du tissu prostatique (effet utile dans l'hypertrophie bénigne de prostate — HBP). La sélectivité pour le sous-type α1A, prédominant dans la prostate, explique l'intérêt de la tamsulosine et de la silodosine en urologie avec moindre retentissement tensionnel.</w:t>
      </w:r>
    </w:p>
    <w:p>
      <w:r>
        <w:t xml:space="preserve">Sur le plan réglementaire algérien, l'ensemble de ces molécules appartient à la </w:t>
      </w:r>
      <w:r>
        <w:rPr>
          <w:b/>
        </w:rPr>
        <w:t>Liste I</w:t>
      </w:r>
      <w:r>
        <w:t xml:space="preserve"> des substances vénéneuses (prescription médicale obligatoire, ordonnance valable 6 mois) — à l'exception de la </w:t>
      </w:r>
      <w:r>
        <w:rPr>
          <w:b/>
        </w:rPr>
        <w:t>clonidine</w:t>
      </w:r>
      <w:r>
        <w:t xml:space="preserve">, classée </w:t>
      </w:r>
      <w:r>
        <w:rPr>
          <w:b/>
        </w:rPr>
        <w:t>Liste II</w:t>
      </w:r>
      <w:r>
        <w:t xml:space="preserve"> (prescription médicale valable 12 mois), en raison de son usage historique dans le sevrage opioïde, la migraine et certains troubles de l'humeur. Aucune de ces molécules n'est inscrite au tableau des stupéfiants. La nifédipine à forme courte, naguère utilisée en urgence hypertensive par voie sublinguale, est aujourd'hui fortement déconseillée (risque d'hypotension brutale, d'infarctus et d'accident vasculaire cérébral ischémique par hypoperfusion) et a été retirée du marché algérien dans sa forme immédiate.</w:t>
      </w:r>
    </w:p>
    <w:p>
      <w:r>
        <w:t xml:space="preserve">Le présent chapitre traite </w:t>
      </w:r>
      <w:r>
        <w:rPr>
          <w:b/>
        </w:rPr>
        <w:t>14 DCI</w:t>
      </w:r>
      <w:r>
        <w:t xml:space="preserve"> disponibles (actives, non renouvelées ou retirées) dans la nomenclature algérienne. Chaque fiche comporte systématiquement les sous-sections réglementaires, pharmacologiques, thérapeutiques et pédagogiques recommandées par l'ANSM (Agence Nationale de Sécurité du Médicament), la HAS (Haute Autorité de Santé), le CRAT (Centre de Renseignement sur les Agents Tératogènes) et l'ESC (European Society of Cardiology) — guidelines 2018/2023.</w:t>
      </w:r>
    </w:p>
    <w:p>
      <w:pPr>
        <w:pStyle w:val="Heading2"/>
      </w:pPr>
      <w:r>
        <w:t>Sous-classe : Inhibiteurs calciques — Dihydropyridines (DHP)</w:t>
      </w:r>
    </w:p>
    <w:p>
      <w:r>
        <w:t xml:space="preserve">Les </w:t>
      </w:r>
      <w:r>
        <w:rPr>
          <w:b/>
        </w:rPr>
        <w:t>dihydropyridines (DHP)</w:t>
      </w:r>
      <w:r>
        <w:t xml:space="preserve"> constituent la branche vasosélective des inhibiteurs des canaux calciques. Leur chef de file, la </w:t>
      </w:r>
      <w:r>
        <w:rPr>
          <w:b/>
        </w:rPr>
        <w:t>nifédipine</w:t>
      </w:r>
      <w:r>
        <w:t>, a été synthétisée en 1969 par Friedrich Bossert (Bayer) et commercialisée dès 1972 (Adalat®). La structure commune est un noyau 1,4-dihydropyridine substitué en 2,6-méthyle, 3,5-esters et 4-aromatic. Toutes les DHP se lient au site "DHP" du domaine III du canal Cav1.2 (sous-unité α1C), distinct du site de liaison des phénylalkylamines (vérapamil) et des benzothiazépines (diltiazem).</w:t>
      </w:r>
    </w:p>
    <w:p>
      <w:r>
        <w:t xml:space="preserve">La caractéristique pharmacologique commune des DHP est leur </w:t>
      </w:r>
      <w:r>
        <w:rPr>
          <w:b/>
        </w:rPr>
        <w:t>vasosélectivité</w:t>
      </w:r>
      <w:r>
        <w:t xml:space="preserve"> prédominante pour le muscle lisse artériolaire — avec une efficacité vasodilatatrice qui s'étend des artérioles coronaires (augmentation du débit coronaire), sous-cutanées (flush, œdèmes malléoles), cérébrales (céphalées) et rénales (natriurèse modérée). Les DHP modernes — </w:t>
      </w:r>
      <w:r>
        <w:rPr>
          <w:b/>
        </w:rPr>
        <w:t>amlodipine, félodipine, lercanidipine, lacidipine, manidipine</w:t>
      </w:r>
      <w:r>
        <w:t xml:space="preserve"> — se distinguent par leur longue demi-vie (action 24 h en une prise) et/ou leur haute lipophilie (effet membrane — lercanidipine — diminuant le reflexe sympathique). Les DHP de 1re génération (nifédipine courte, nicardipine courte) imposent 2 à 3 prises/jour et sont moins utilisées aujourd'hui en raison d'une variabilité tensionnelle plus grande et d'une activation sympathique réflexe (tachycardie, flush). Les formes à libération prolongée (LP) corrigent partiellement ces inconvénients.</w:t>
      </w:r>
    </w:p>
    <w:p>
      <w:r>
        <w:t>Sur le plan thérapeutique, les DHP occupent une place centrale dans la stratégie antihypertensive, notamment en association avec les IEC/ARA2 (qui neutralisent l'œdème périphérique), chez le sujet âgé (systolique prédominante, compliance aortique réduite), le diabétique (neutres sur la glycémie et le profil lipidique), le sujet noir (réponse excellente, supérieure aux IEC en monothérapie), et chez le coronarien (forme LP uniquement, pour éviter la tachycardie réflexe délétère). Elles sont proposées en alternative aux β-bloquants ou en association fixe. La nifédipine LP et l'amlodipine ont également une AMM dans l'angor stable.</w:t>
      </w:r>
    </w:p>
    <w:p>
      <w:r>
        <w:t xml:space="preserve">En Algérie, six DHP sont commercialisées ou l'ont été : </w:t>
      </w:r>
      <w:r>
        <w:rPr>
          <w:b/>
        </w:rPr>
        <w:t>amlodipine</w:t>
      </w:r>
      <w:r>
        <w:t xml:space="preserve"> (le leader du marché, plus de 30 spécialités), </w:t>
      </w:r>
      <w:r>
        <w:rPr>
          <w:b/>
        </w:rPr>
        <w:t>nifédipine</w:t>
      </w:r>
      <w:r>
        <w:t xml:space="preserve"> (essentiellement des formes anciennes aujourd'hui retirées ou non renouvelées), </w:t>
      </w:r>
      <w:r>
        <w:rPr>
          <w:b/>
        </w:rPr>
        <w:t>lercanidipine</w:t>
      </w:r>
      <w:r>
        <w:t xml:space="preserve"> (huit spécialités actives), </w:t>
      </w:r>
      <w:r>
        <w:rPr>
          <w:b/>
        </w:rPr>
        <w:t>nicardipine</w:t>
      </w:r>
      <w:r>
        <w:t xml:space="preserve"> (orale LP et injectable IV — urgentiel), </w:t>
      </w:r>
      <w:r>
        <w:rPr>
          <w:b/>
        </w:rPr>
        <w:t>nitrendipine</w:t>
      </w:r>
      <w:r>
        <w:t xml:space="preserve"> (deux spécialités non renouvelées) et </w:t>
      </w:r>
      <w:r>
        <w:rPr>
          <w:b/>
        </w:rPr>
        <w:t>isradipine</w:t>
      </w:r>
      <w:r>
        <w:t xml:space="preserve"> (une spécialité retirée). La félodipine et la lacidipine, bien que connues internationalement, ne figurent pas dans la nomenclature algérienne.</w:t>
      </w:r>
    </w:p>
    <w:p>
      <w:r>
        <w:t>Caractéristiques communes :</w:t>
      </w:r>
    </w:p>
    <w:p>
      <w:pPr>
        <w:pStyle w:val="ListBullet"/>
      </w:pPr>
      <w:r/>
      <w:r>
        <w:rPr>
          <w:b/>
        </w:rPr>
        <w:t>Effets indésirables de classe</w:t>
      </w:r>
      <w:r>
        <w:t xml:space="preserve"> : œdèmes malléoles indolores (10–20 %, dose-dépendants, liés à la vasodilatation artériolaire précapillaire asymétrique — ne répondent pas aux diurétiques), céphalées (10–15 %), flush (5–10 %), palpitations réflexes (surtout 1re génération), hypotension orthostatique (rare avec DHP longue durée), hyperplasie gingivale (amlodipine, ~3 %), reflux gastro-œsophagien (relâchement du sphincter inférieur de l'œsophage).</w:t>
      </w:r>
    </w:p>
    <w:p>
      <w:pPr>
        <w:pStyle w:val="ListBullet"/>
      </w:pPr>
      <w:r/>
      <w:r>
        <w:rPr>
          <w:b/>
        </w:rPr>
        <w:t>Contre-indications communes</w:t>
      </w:r>
      <w:r>
        <w:t xml:space="preserve"> : hypotension sévère (PAS &lt; 90 mmHg), choc cardiogénique, sténose aortique serrée (obstacle à l'éjection — la vasodilatation ne peut être compensée), angor instable (pour les formes courtes).</w:t>
      </w:r>
    </w:p>
    <w:p>
      <w:pPr>
        <w:pStyle w:val="ListBullet"/>
      </w:pPr>
      <w:r/>
      <w:r>
        <w:rPr>
          <w:b/>
        </w:rPr>
        <w:t>Grossesse</w:t>
      </w:r>
      <w:r>
        <w:t xml:space="preserve"> : les DHP peuvent être utilisées à partir du 2e trimestre (préférence pour nifédipine LP ou amlodipine). CI au 1er trimestre (données animales et humaines insuffisantes). La nifédipine est utilisée comme tocolytique en cas de travail prématuré.</w:t>
      </w:r>
    </w:p>
    <w:p>
      <w:pPr>
        <w:pStyle w:val="ListBullet"/>
      </w:pPr>
      <w:r/>
      <w:r>
        <w:rPr>
          <w:b/>
        </w:rPr>
        <w:t>Interactions</w:t>
      </w:r>
      <w:r>
        <w:t xml:space="preserve"> : tous métabolisés par CYP3A4 → prudence avec les inducteurs (rifampicine, millepertuis, phénytoïne, carbamazépine — baisse d'efficacité) et les inhibiteurs (itraconazole, kétoconazole, clarithromycine, érythromycine, ritonavir, jus de pamplemousse — majoration des concentrations et de la toxicité).</w:t>
      </w:r>
    </w:p>
    <w:p>
      <w:pPr>
        <w:pStyle w:val="Heading2"/>
      </w:pPr>
      <w:r>
        <w:t>Sous-classe : Inhibiteurs calciques — Non dihydropyridines (Phénylalkylamines)</w:t>
      </w:r>
    </w:p>
    <w:p>
      <w:r>
        <w:t xml:space="preserve">La sous-classe des </w:t>
      </w:r>
      <w:r>
        <w:rPr>
          <w:b/>
        </w:rPr>
        <w:t>phénylalkylamines</w:t>
      </w:r>
      <w:r>
        <w:t xml:space="preserve"> ne comporte qu'un seul représentant en clinique : le </w:t>
      </w:r>
      <w:r>
        <w:rPr>
          <w:b/>
        </w:rPr>
        <w:t>vérapamil</w:t>
      </w:r>
      <w:r>
        <w:t xml:space="preserve"> (commercialisé en France dès 1962, sous l'égide des laboratoires Knoll puis Abbott). C'est le chef de file historique des ICA, antérieur même à la nifédipine. Sa structure chimique — un radical phénylalkylamine (1-[3,4-diméthoxyphényléthyl]-3,4-diméthoxyphényl-acétonitrile) — n'a aucune parenté structurale avec les DHP et elle se lie à un site distinct du canal Cav1.2 (domaine III, segment S6, chevauchement partiel avec le site du diltiazem).</w:t>
      </w:r>
    </w:p>
    <w:p>
      <w:r>
        <w:t xml:space="preserve">Le vérapamil présente un </w:t>
      </w:r>
      <w:r>
        <w:rPr>
          <w:b/>
        </w:rPr>
        <w:t>profil d'action mixte</w:t>
      </w:r>
      <w:r>
        <w:t xml:space="preserve"> : il bloque les canaux calciques L du muscle lisse vasculaire (vasodilatation artérielle modérée — coronaires prédominantes) et surtout des cellules nodales (sinale et atrio-ventriculaire) et myocardiques (effet inotrope négatif marqué). Cette double action explique son large spectre thérapeutique : HTA, angor stable, troubles du rythme supraventriculaire (fibrillation auriculaire, flutter auriculaire, tachycardie par réentrée nodale, tachycardie jonctionnelle). Le vérapamil réduit la fréquence ventriculaire dans la FA en ralentissant la conduction nodale AV. Il est également utilisé dans les cardiomyopathies hypertrophiques obstructives (baisse du gradient) et dans certaines migraines (prophylaxie). En revanche, il est formellement contre-indiqué en cas d'insuffisance cardiaque avec dysfonction systolique (FEVG &lt; 40 %), de bloc auriculo-ventriculaire de 2e ou 3e degré non appareillé, de bradycardie sinusale (&lt; 50 bpm), d'association aux β-bloquants (risque de BAV complet et d'asystolie), et pendant la phase aiguë d'un infarctus du myocarde compliqué de dysfonction VG.</w:t>
      </w:r>
    </w:p>
    <w:p>
      <w:r>
        <w:t xml:space="preserve">Le métabolisme hépatique du vérapamil est intense (effet de premier passage &gt; 80 %) et dépend du CYP3A4. Le principal métabolite actif, la nor-vérapamil, conserve 20 % de l'activité parentale. La demi-vie est de 4–5 h pour la forme immédiate, justifiant l'usage de la forme LP (240–480 mg/j en une prise). Le vérapamil est aussi un </w:t>
      </w:r>
      <w:r>
        <w:rPr>
          <w:b/>
        </w:rPr>
        <w:t>inhibiteur de la P-glycoprotéine (P-gp / ABCB1)</w:t>
      </w:r>
      <w:r>
        <w:t xml:space="preserve"> — ce qui explique ses interactions majeures avec la digoxine (baisse de la clairance de 30–40 %), la ciclosporine, le tacrolimus et certains antirétroviraux. Le vérapamil inhibe également le CYP3A4 in vivo, majorant les concentrations des statines (simvastatine, atorvastatine — risque de rhabdomyolyse), de la doxazosine et du carbamazépine.</w:t>
      </w:r>
    </w:p>
    <w:p>
      <w:r>
        <w:t xml:space="preserve">En Algérie, le vérapamil n'est plus disponible en spécialités actives : le VASOMIL-40® (Pharmacare Limited, 40 mg comprimé) et le VERAPAMIL BIOGARAN® (240 mg LP gélule) sont tous deux au statut </w:t>
      </w:r>
      <w:r>
        <w:rPr>
          <w:b/>
        </w:rPr>
        <w:t>Retiré (R)</w:t>
      </w:r>
      <w:r>
        <w:t>. Cette situation est paradoxale compte tenu de la place du vérapamil dans les recommandations ESC pour le ralentissement ventriculaire de la FA ; le clinicien algérien doit recourir au diltiazem (lui aussi marginalisé sur le marché local), au β-bloquant, à la digoxine ou à l'amiodarone. Cette perte d'accessibilité du vérapamil constitue un sujet de préoccupation pour la pharmacovigilance et la politique du médicament.</w:t>
      </w:r>
    </w:p>
    <w:p>
      <w:pPr>
        <w:pStyle w:val="Heading2"/>
      </w:pPr>
      <w:r>
        <w:t>Sous-classe : Inhibiteurs calciques — Non dihydropyridines (Benzothiazépines)</w:t>
      </w:r>
    </w:p>
    <w:p>
      <w:r>
        <w:t xml:space="preserve">La sous-classe des </w:t>
      </w:r>
      <w:r>
        <w:rPr>
          <w:b/>
        </w:rPr>
        <w:t>benzothiazépines</w:t>
      </w:r>
      <w:r>
        <w:t xml:space="preserve"> comporte un seul représentant thérapeutique : le </w:t>
      </w:r>
      <w:r>
        <w:rPr>
          <w:b/>
        </w:rPr>
        <w:t>diltiazem</w:t>
      </w:r>
      <w:r>
        <w:t xml:space="preserve"> (synthétisé par Tanabe Seiyaku, Japon, en 1969 ; commercialisé en France dès 1972 sous le nom de Tildiem®). Sa structure est une 1,4-benzothiazépine substituée, sans parenté structurale avec les DHP ni avec les phénylalkylamines. Le diltiazem se lie à un site distinct mais proche de celui du vérapamil sur le domaine III/IV du canal Cav1.2 (chevauchement partiel).</w:t>
      </w:r>
    </w:p>
    <w:p>
      <w:r>
        <w:t xml:space="preserve">Le diltiazem occupe une position </w:t>
      </w:r>
      <w:r>
        <w:rPr>
          <w:b/>
        </w:rPr>
        <w:t>intermédiaire</w:t>
      </w:r>
      <w:r>
        <w:t xml:space="preserve"> entre les DHP et le vérapamil : il partage avec le vérapamil l'effet bradycardisant et dromotrope négatif (blocage des cellules nodales sinale et AV), mais avec une intensité moindre, et un effet inotrope négatif plus atténué. Sa vasodilatation coronarienne est marquée, et sa vasodilatation artérielle systémique est moindre que celle des DHP (donc moins d'œdèmes périphériques et moins d'activation sympathique réflexe). Ce profil mixte en fait un médicament de choix dans l'angor stable avec composante vasospastique, dans la FA/Flutter pour le ralentissement ventriculaire (alternative au vérapamil ou aux β-bloquants), et dans l'HTA du coronarien stable.</w:t>
      </w:r>
    </w:p>
    <w:p>
      <w:r>
        <w:t>Les principales caractéristiques pharmacologiques du diltiazem :</w:t>
      </w:r>
    </w:p>
    <w:p>
      <w:pPr>
        <w:pStyle w:val="ListBullet"/>
      </w:pPr>
      <w:r>
        <w:t>Demi-vie d'élimination courte (3–5 h) pour la forme immédiate, imposant 3 à 4 prises/jour ; formes LP (90, 120, 180, 200, 300 mg) permettant une ou deux prises/jour.</w:t>
      </w:r>
    </w:p>
    <w:p>
      <w:pPr>
        <w:pStyle w:val="ListBullet"/>
      </w:pPr>
      <w:r>
        <w:t>Métabolisme hépatique CYP3A4 (effet de premier passage), métabolites actifs (desacetyl-diltiazem — 25 % d'activité).</w:t>
      </w:r>
    </w:p>
    <w:p>
      <w:pPr>
        <w:pStyle w:val="ListBullet"/>
      </w:pPr>
      <w:r>
        <w:t>Inhibiteur du CYP3A4 (interactions avec statines, ciclosporine, carbamazépine, midazolam) et de la P-gp (digoxine).</w:t>
      </w:r>
    </w:p>
    <w:p>
      <w:pPr>
        <w:pStyle w:val="ListBullet"/>
      </w:pPr>
      <w:r>
        <w:t>Contre-indications similaires au vérapamil, mais plus permissif dans l'insuffisance cardiaque légère à modérée (FEVG &gt; 40 %) avec prudence.</w:t>
      </w:r>
    </w:p>
    <w:p>
      <w:pPr>
        <w:pStyle w:val="ListBullet"/>
      </w:pPr>
      <w:r>
        <w:t>Effets indésirables : bradycardie sinusale, BAV (rare), hypotension, constipation (moins marquée que le vérapamil), œdèmes malléoles (moins marqués qu'avec les DHP), rash cutané (4–8 %), hyperplasie gingivale (rare), élévation modérée des transaminases.</w:t>
      </w:r>
    </w:p>
    <w:p>
      <w:r>
        <w:t xml:space="preserve">En Algérie, le diltiazem reste disponible sous deux formes actives : </w:t>
      </w:r>
      <w:r>
        <w:rPr>
          <w:b/>
        </w:rPr>
        <w:t>TILDIEM 60 mg</w:t>
      </w:r>
      <w:r>
        <w:t xml:space="preserve"> comprimé (Sanofi France) et </w:t>
      </w:r>
      <w:r>
        <w:rPr>
          <w:b/>
        </w:rPr>
        <w:t>MONO-TILDIEM LP 300 mg</w:t>
      </w:r>
      <w:r>
        <w:t xml:space="preserve"> microgranules en gélule (Sanofi Algérie) — cette dernière étant la forme princeps à libération prolongée permettant une prise unique quotidienne. De nombreuses spécialités génériques sont non renouvelées (Corzem, Diltial, Citizen LP, Zalaxan LP 90/120/180/300, Diltiazem-Bayer LP) ou retirées (Diltiazem Medo, Diazem, Diltiazem-Ratiopharm, Zildem, Diltiazor). La conservation de la spécialité MONO-TILDIEM LP 300 mg assure la continuité thérapeutique pour les coronariens stables et les patients en FA chronique.</w:t>
      </w:r>
    </w:p>
    <w:p>
      <w:pPr>
        <w:pStyle w:val="Heading2"/>
      </w:pPr>
      <w:r>
        <w:t>Sous-classe : Antihypertenseurs centraux</w:t>
      </w:r>
    </w:p>
    <w:p>
      <w:r>
        <w:t xml:space="preserve">Les </w:t>
      </w:r>
      <w:r>
        <w:rPr>
          <w:b/>
        </w:rPr>
        <w:t>antihypertenseurs d'action centrale</w:t>
      </w:r>
      <w:r>
        <w:t xml:space="preserve"> sont les plus anciens antihypertenseurs utilisés en clinique. Ils agissent en réduisant le tonus sympathique central au niveau du tronc cérébral. Trois molécules dominent cette classe : la </w:t>
      </w:r>
      <w:r>
        <w:rPr>
          <w:b/>
        </w:rPr>
        <w:t>clonidine</w:t>
      </w:r>
      <w:r>
        <w:t xml:space="preserve"> (agoniste α2 préférentiel), l'</w:t>
      </w:r>
      <w:r>
        <w:rPr>
          <w:b/>
        </w:rPr>
        <w:t>α-méthyldopa</w:t>
      </w:r>
      <w:r>
        <w:t xml:space="preserve"> (prodrogue transformée en α-méthylnoradrénaline, agoniste α2) et la </w:t>
      </w:r>
      <w:r>
        <w:rPr>
          <w:b/>
        </w:rPr>
        <w:t>moxonidine</w:t>
      </w:r>
      <w:r>
        <w:t xml:space="preserve"> (agoniste des récepteurs imidazoliniques I1 prédominant, faible action α2).</w:t>
      </w:r>
    </w:p>
    <w:p>
      <w:r>
        <w:t xml:space="preserve">La </w:t>
      </w:r>
      <w:r>
        <w:rPr>
          <w:b/>
        </w:rPr>
        <w:t>clonidine</w:t>
      </w:r>
      <w:r>
        <w:t xml:space="preserve"> (Catapressan®) a été synthétisée en 1962 par Boehringer Ingelheim, initialement comme vasoconstricteur nasal (agoniste α périphérique). La découverte fortuite de son effet hypotenseur (central) a conduit à son développement en cardiologie. La clonidine stimule les récepteurs α2 du noyau du tractus solitaire, mimant l'action de la noradrénaline au niveau des synapses inhibitrices présynaptiques → réduction de la libération de noradrénaline des terminaisons sympathiques périphériques → chute de la pression artérielle, bradycardie, baisse de la rénine. La clonidine traverse la barrière hémato-encéphalique (BHE) ; elle a aussi une action sédative et analgésique propre (utilisations hors cardiologie : sevrage opioïde, alcoolique, tabagique ; migraine ; troubles déficit de l'attention avec hyperactivité ; analgésie péridurale). Sa brusque interruption provoque une </w:t>
      </w:r>
      <w:r>
        <w:rPr>
          <w:b/>
        </w:rPr>
        <w:t>rébound hypertensive</w:t>
      </w:r>
      <w:r>
        <w:t xml:space="preserve"> (sometimes life-threatening) — le mécanisme est une désensibilisation des α2 centraux pendant le traitement, levée brutale à l'arrêt → surge de noradrénaline → HTA paroxystique.</w:t>
      </w:r>
    </w:p>
    <w:p>
      <w:r>
        <w:t>L'</w:t>
      </w:r>
      <w:r>
        <w:rPr>
          <w:b/>
        </w:rPr>
        <w:t>α-méthyldopa</w:t>
      </w:r>
      <w:r>
        <w:t xml:space="preserve"> (Aldomet®) est une prodrogue qui subit une conversion centrale en α-méthylnorépinéphrine (faux neurotransmetteur) par la dopamine β-hydroxylase ; cet analogue stimule les α2 centraux. La méthyldopa reste le traitement de référence de l'</w:t>
      </w:r>
      <w:r>
        <w:rPr>
          <w:b/>
        </w:rPr>
        <w:t>HTA gravidique</w:t>
      </w:r>
      <w:r>
        <w:t xml:space="preserve"> (selon les recommandations ESC 2018, AHA 2017 et HAS 2016) en raison de son innocuité fœtale (recul de plus de 50 ans d'utilisation), de son efficacité et de son faible passage dans le lait maternel. Elle reste aussi un choix historique de l'HTA du sujet jeune ou de la crise hypertensive gravidique. Cependant, ses effets indésirables hématologiques (anémie hémolytique auto-immune, test de Coombs positif chez 10–20 % des patients), hépatiques (hépatite cytolytique ou cholestatique rare), sédation, xérostomie et Syndrome dépressif en limitent l'usage à long terme chez le non-gravide.</w:t>
      </w:r>
    </w:p>
    <w:p>
      <w:r>
        <w:t xml:space="preserve">La </w:t>
      </w:r>
      <w:r>
        <w:rPr>
          <w:b/>
        </w:rPr>
        <w:t>moxonidine</w:t>
      </w:r>
      <w:r>
        <w:t xml:space="preserve"> (Physiotens®) est plus récente (commercialisée depuis 1991 par Solvay puis Abbott). Elle se distingue de la clonidine par sa </w:t>
      </w:r>
      <w:r>
        <w:rPr>
          <w:b/>
        </w:rPr>
        <w:t>sélectivité pour les récepteurs imidazoliniques I1</w:t>
      </w:r>
      <w:r>
        <w:t xml:space="preserve"> du bulbe rachidien (rostral ventrolateral medulla) sur l'α2. Cette sélectivité permet de réduire le tonus sympathique sans provoquer la sédation centrale marquée ni le rebond hypertensif aussi intenses que la clonidine. La moxonidine est métabolisée par glucuroconjugaison et éliminée par le rein — d'où la nécessité d'adaptation posologique en cas d'insuffisance rénale. Elle a un effet métabolique favorable (amélioration discrète de la sensibilité à l'insuline). Elle n'a pas d'AMM dans l'HTA gravidique.</w:t>
      </w:r>
    </w:p>
    <w:p>
      <w:r>
        <w:t>Caractéristiques communes aux antihypertenseurs centraux :</w:t>
      </w:r>
    </w:p>
    <w:p>
      <w:pPr>
        <w:pStyle w:val="ListBullet"/>
      </w:pPr>
      <w:r>
        <w:t>Indication : HTA modérée à sévère, en seconde intention ou en association (rarement en 1re intention sauf grossesse).</w:t>
      </w:r>
    </w:p>
    <w:p>
      <w:pPr>
        <w:pStyle w:val="ListBullet"/>
      </w:pPr>
      <w:r>
        <w:t>Effets indésirables de classe : sédation, sécheresse buccale, constipation, bradycardie, troubles sexuels (baisse libido, dysfonction érectile), syndrome dépressif, rétention hydrosodée (nécessité d'associations à un diurétique).</w:t>
      </w:r>
    </w:p>
    <w:p>
      <w:pPr>
        <w:pStyle w:val="ListBullet"/>
      </w:pPr>
      <w:r>
        <w:t>Contre-indications : BAV non appareillé, bradycardie sévère, syndrome de Raynaud sévère, dépression majeure, insuffisance rénale sévère (moxonidine), porphyrie (méthyldopa), allaitement (clonidine — passage lacté important).</w:t>
      </w:r>
    </w:p>
    <w:p>
      <w:pPr>
        <w:pStyle w:val="ListBullet"/>
      </w:pPr>
      <w:r/>
      <w:r>
        <w:rPr>
          <w:b/>
        </w:rPr>
        <w:t>Rébound hypertensif</w:t>
      </w:r>
      <w:r>
        <w:t xml:space="preserve"> à l'arrêt brutal de la clonidine (le plus marqué) — ne jamais interrompre brutalement, décroissance sur 4–7 jours.</w:t>
      </w:r>
    </w:p>
    <w:p>
      <w:pPr>
        <w:pStyle w:val="ListBullet"/>
      </w:pPr>
      <w:r>
        <w:t>En Algérie, ces trois molécules sont disponibles en spécialités actives (méthyldopa, moxonidine) ou mixtes (clonidine — forme orale retirée mais forme injectable encore active).</w:t>
      </w:r>
    </w:p>
    <w:p>
      <w:pPr>
        <w:pStyle w:val="Heading2"/>
      </w:pPr>
      <w:r>
        <w:t>Sous-classe : Alpha-bloquants postsynaptiques (vasculaires)</w:t>
      </w:r>
    </w:p>
    <w:p>
      <w:r>
        <w:t xml:space="preserve">Les </w:t>
      </w:r>
      <w:r>
        <w:rPr>
          <w:b/>
        </w:rPr>
        <w:t>alpha-bloquants postsynaptiques α1</w:t>
      </w:r>
      <w:r>
        <w:t xml:space="preserve"> (sélectifs) sont représentés en clinique par les </w:t>
      </w:r>
      <w:r>
        <w:rPr>
          <w:b/>
        </w:rPr>
        <w:t>quinazolines</w:t>
      </w:r>
      <w:r>
        <w:t xml:space="preserve"> (prazosine, térazosine, doxazosine) et par les </w:t>
      </w:r>
      <w:r>
        <w:rPr>
          <w:b/>
        </w:rPr>
        <w:t>sulfonamides</w:t>
      </w:r>
      <w:r>
        <w:t xml:space="preserve"> (urapidil — usage IV urgentiel). Seule la </w:t>
      </w:r>
      <w:r>
        <w:rPr>
          <w:b/>
        </w:rPr>
        <w:t>doxazosine</w:t>
      </w:r>
      <w:r>
        <w:t xml:space="preserve"> figure dans la nomenclature algérienne active. La prazosine et la térazosine, bien que connues, ne sont plus commercialisées en Algérie (données Avril 2026). Les anciens alpha-bloquants non sélectifs (phénoxybenzamine, phentolamine — utilisés dans le phéochromocytome) ne sont pas traités dans ce chapitre.</w:t>
      </w:r>
    </w:p>
    <w:p>
      <w:r>
        <w:t xml:space="preserve">Le mécanisme d'action est le </w:t>
      </w:r>
      <w:r>
        <w:rPr>
          <w:b/>
        </w:rPr>
        <w:t>blocage compétitif et sélectif des récepteurs α1 postsynaptiques vasculaires</w:t>
      </w:r>
      <w:r>
        <w:t xml:space="preserve"> (α1A prédominant dans la prostate et le trigone vésical, α1B prédominant dans le muscle lisse vasculaire, α1D dans la vessie détentionnelle). Le blocage de ces récepteurs abolit la vasoconstriction adrénergique, produisant une vasodilatation artérielle (baisse des résistances périphériques) et veineuse (baisse du retour veineux). Cette double action explique l'</w:t>
      </w:r>
      <w:r>
        <w:rPr>
          <w:b/>
        </w:rPr>
        <w:t>hypotension orthostatique de première dose</w:t>
      </w:r>
      <w:r>
        <w:t>, qui est la principale limitation des alpha-bloquants vasculaires : la vasodilatation veineuse prédominante provoque un appel sanguin vers le territoire splanchnique et membres inférieurs, réduisant le retour veineux et donc le débit cardiaque lors du lever. La doxazosine, par sa longue demi-vie (22 h), provoque moins d'hypotension orthostatique que la prazosine (4 h) ou la térazosine (12 h). Une forme LP à 4 et 8 mg de doxazosine est disponible pour minimiser cet effet.</w:t>
      </w:r>
    </w:p>
    <w:p>
      <w:r>
        <w:t xml:space="preserve">Le statut des alpha-bloquants dans l'HTA a été profondément modifié par l'essai </w:t>
      </w:r>
      <w:r>
        <w:rPr>
          <w:b/>
        </w:rPr>
        <w:t>ALLHAT (2002)</w:t>
      </w:r>
      <w:r>
        <w:t xml:space="preserve"> : la branche doxazosine a été interrompue prématurément en raison d'une surmortalité cardiovasculaire (notamment d'insuffisance cardiaque multipliée par 2) comparativement à la chlortalidone. Depuis, les alpha-bloquants ne sont plus recommandés en </w:t>
      </w:r>
      <w:r>
        <w:rPr>
          <w:b/>
        </w:rPr>
        <w:t>1re intention</w:t>
      </w:r>
      <w:r>
        <w:t xml:space="preserve"> dans l'HTA essentielle non compliquée ; ils gardent une place en </w:t>
      </w:r>
      <w:r>
        <w:rPr>
          <w:b/>
        </w:rPr>
        <w:t>seconde intention</w:t>
      </w:r>
      <w:r>
        <w:t xml:space="preserve"> ou en association (en particulier chez le sujet présentant une HBP associée — double indication) et dans l'HTA réfractaire (4e ligne). En urologie, la doxazosine a longtemps été un traitement de l'HBP avant d'être supplantée par les alpha-bloquants urologiques sélectifs (tamsulosine, alfuzosine, silodosine).</w:t>
      </w:r>
    </w:p>
    <w:p>
      <w:r>
        <w:t xml:space="preserve">En Algérie, la </w:t>
      </w:r>
      <w:r>
        <w:rPr>
          <w:b/>
        </w:rPr>
        <w:t>doxazosine</w:t>
      </w:r>
      <w:r>
        <w:t xml:space="preserve"> reste largement disponible sous forme de comprimés 1, 2 et 4 mg à libération immédiate et 4/8 mg à libération prolongée (DOXALAR, CARDOX, CARDULAR, DOXACARD, DOXAZOSINE BEKER, ZODURA, ZOXAN LP) — principale indication : HBP symptomatique, et accessoirement HTA en seconde intention.</w:t>
      </w:r>
    </w:p>
    <w:p>
      <w:pPr>
        <w:pStyle w:val="Heading2"/>
      </w:pPr>
      <w:r>
        <w:t>Sous-classe : Alpha-bloquants postsynaptiques (urologie) — Alfuzosine</w:t>
      </w:r>
    </w:p>
    <w:p>
      <w:r>
        <w:t>L'</w:t>
      </w:r>
      <w:r>
        <w:rPr>
          <w:b/>
        </w:rPr>
        <w:t>alfuzosine</w:t>
      </w:r>
      <w:r>
        <w:t xml:space="preserve"> est un alpha-bloquant urologique dérivé des quinazolines, présentant une </w:t>
      </w:r>
      <w:r>
        <w:rPr>
          <w:b/>
        </w:rPr>
        <w:t>sélectivité α1 postsynaptique pour les récepteurs prostatiques</w:t>
      </w:r>
      <w:r>
        <w:t xml:space="preserve"> (α1A prédominant), avec une moindre affinité pour les α1B vasculaires. Cette sélectivité relative — appelée "urosélectivité" — explique son effet bénéfique sur la dysurie de l'HBP avec un moindre retentissement tensionnel que la doxazosine. L'alfuzosine n'est pas aussi sélective que la tamsulosine (α1A haute affinité), mais reste nettement moins hypotenseur que la prazosine ou la doxazosine.</w:t>
      </w:r>
    </w:p>
    <w:p>
      <w:r>
        <w:t xml:space="preserve">L'alfuzosine est indiquée dans le </w:t>
      </w:r>
      <w:r>
        <w:rPr>
          <w:b/>
        </w:rPr>
        <w:t>traitement symptomatique de l'hypertrophie bénigne de la prostate (HBP) modérée à sévère</w:t>
      </w:r>
      <w:r>
        <w:t xml:space="preserve"> — soulagement rapide de la dysurie, du jet faible, de la pollakiurie et des mictions impérieuses en 1 à 2 semaines. Elle n'a pas d'AMM dans l'HTA. Elle n'a pas d'effet sur le volume prostatique ni sur la progression de l'HBP (contrairement aux inhibiteurs de la 5α-réductase — finastéride, dutastéride — qui réduisent le volume mais agissent en 6 mois).</w:t>
      </w:r>
    </w:p>
    <w:p>
      <w:r>
        <w:t xml:space="preserve">La forme LP à 10 mg en une prise unique (Xatral LP, Fraxal LP, Prostax LP, etc.) a supplanté les formes 5 mg (à prendre 2 fois/jour). La prise est recommandée </w:t>
      </w:r>
      <w:r>
        <w:rPr>
          <w:b/>
        </w:rPr>
        <w:t>au cours d'un repas du soir</w:t>
      </w:r>
      <w:r>
        <w:t>, pour minimiser l'hypotension orthostatique et la biodisponibilité optimale (absorption augmentée par la nourriture). Le principal effet indésirable est l'hypotension orthostatique (5–10 %), les vertiges, les céphalées, et rarement le priapisme (urgence urologique). L'alfuzosine a un avantage par rapport à la tamsulosine : moins d'éjaculation rétrograde (parce que moins sélective α1A sur le col vésical). Elle ne pose pas le problème du syndrome "floppy iris" (IFIS) en chirurgie de la cataracte, comme peut le faire la tamsulosine (mais ce syndrome est décrit avec tous les alpha-bloquants, à un moindre degré).</w:t>
      </w:r>
    </w:p>
    <w:p>
      <w:pPr>
        <w:pStyle w:val="Heading2"/>
      </w:pPr>
      <w:r>
        <w:t>Sous-classe : Alpha-bloquants sélectifs α1A (urologie) — Tamsulosine</w:t>
      </w:r>
    </w:p>
    <w:p>
      <w:r>
        <w:t xml:space="preserve">La </w:t>
      </w:r>
      <w:r>
        <w:rPr>
          <w:b/>
        </w:rPr>
        <w:t>tamsulosine</w:t>
      </w:r>
      <w:r>
        <w:t xml:space="preserve"> est le chef de file des alpha-bloquants </w:t>
      </w:r>
      <w:r>
        <w:rPr>
          <w:b/>
        </w:rPr>
        <w:t>sélectifs du sous-type α1A</w:t>
      </w:r>
      <w:r>
        <w:t xml:space="preserve"> — sous-type prédominant dans la prostate (75 % des récepteurs prostatiques), le col vésical et l'urethre prostatique. Cette sélectivité haute pour α1A permet une action prostatique à faible dose (0,4 mg/j) avec un risque d'hypotension orthostatique très atténué comparativement aux quinazolines non sélectives (doxazosine) ou à l'alfuzosine.</w:t>
      </w:r>
    </w:p>
    <w:p>
      <w:r>
        <w:t>La tamsulosine est indiquée dans le traitement fonctionnel de l'HBP modérée à sévère — score IPSS &gt; 8 — avec une amélioration symptomatique en 1 à 2 semaines. Elle n'a aucune indication dans l'HTA. Sa forme LP en microgranules dans une gélule à 0,4 mg en une prise unique quotidienne est la forme standard (Josir, Omexel — retirés, et leurs équivalents génériques actifs). La prise se fait après le premier repas de la journée pour optimiser l'absorption et minimiser la variabilité.</w:t>
      </w:r>
    </w:p>
    <w:p>
      <w:r>
        <w:t>Effets indésirables caractéristiques de la tamsulosine :</w:t>
      </w:r>
    </w:p>
    <w:p>
      <w:pPr>
        <w:pStyle w:val="ListBullet"/>
      </w:pPr>
      <w:r/>
      <w:r>
        <w:rPr>
          <w:b/>
        </w:rPr>
        <w:t>Éjaculation rétrograde</w:t>
      </w:r>
      <w:r>
        <w:t xml:space="preserve"> (5–10 %) : le relâchement du col vésical permet au sperme de refluer dans la vessie lors de l'éjaculation, donnant une "éjaculation sèche" — bénin mais pouvant être mal vécu. Ceci est lié à la sélectivité α1A du col vésical.</w:t>
      </w:r>
    </w:p>
    <w:p>
      <w:pPr>
        <w:pStyle w:val="ListBullet"/>
      </w:pPr>
      <w:r/>
      <w:r>
        <w:rPr>
          <w:b/>
        </w:rPr>
        <w:t>Hypotension orthostatique</w:t>
      </w:r>
      <w:r>
        <w:t xml:space="preserve"> (2–5 %, moins marquée qu'avec la doxazosine) — peut toutefois être problématique chez le sujet âgé fragile.</w:t>
      </w:r>
    </w:p>
    <w:p>
      <w:pPr>
        <w:pStyle w:val="ListBullet"/>
      </w:pPr>
      <w:r/>
      <w:r>
        <w:rPr>
          <w:b/>
        </w:rPr>
        <w:t>Syndrome de l'iris flasque peropératoire (IFIS — Intraoperative Floppy Iris Syndrome)</w:t>
      </w:r>
      <w:r>
        <w:t xml:space="preserve"> : observé lors de la chirurgie de la cataracte chez les patients sous tamsulosine (rapport initial Chang &amp; Campbell, J Cataract Refract Surg 2005). L'iris devient flasque, billote pendant la phacoémulsification, avec un risque de prolapsus irien, de rupture capsulaire et de perte de vitré. Le risque persiste même après arrêt prolongé de la tamsulosine (jusqu'à plusieurs années). L'information du patient et de l'ophtalmologiste est essentielle. La tamsulosine a un risque d'IFIS plus élevé que l'alfuzosine ou la doxazosine (sélectivité α1A plus marquée).</w:t>
      </w:r>
    </w:p>
    <w:p>
      <w:pPr>
        <w:pStyle w:val="ListBullet"/>
      </w:pPr>
      <w:r>
        <w:t>Céphalées, vertiges, asthénie, rhinite.</w:t>
      </w:r>
    </w:p>
    <w:p>
      <w:r>
        <w:t xml:space="preserve">En Algérie, la </w:t>
      </w:r>
      <w:r>
        <w:rPr>
          <w:b/>
        </w:rPr>
        <w:t>tamsulosine</w:t>
      </w:r>
      <w:r>
        <w:t xml:space="preserve"> est très largement disponible — plus de 12 spécialités actives (Josir, Omexel, Mecir retirés ; GAMCET, OLSERAZ, PROSTALOZINE LP, PROSTAM LP, PROSTASIR LP, SULOZIR LP, TAMSIR LP, TAMSULIX LP, TAMSULOSINE BEKER LP, TAMSULOSINE MM LP, TAMSUMED LP, TAMSUPROST) — reflétant la forte prévalence de l'HBP dans la population masculine âgée algérienne.</w:t>
      </w:r>
    </w:p>
    <w:p>
      <w:pPr>
        <w:pStyle w:val="Heading2"/>
      </w:pPr>
      <w:r>
        <w:t>Fiches détaillées par DCI (14 molécules)</w:t>
      </w:r>
    </w:p>
    <w:p>
      <w:r>
        <w:t>Cette section présente, pour chacune des 14 DCI de la classe (6 DHP, 1 phénylalkylamine, 1 benzothiazépine, 3 antihypertenseurs centraux, 1 alpha-bloquant vasculaire, 1 alpha-bloquant urologique, 1 alpha-bloquant urosélectif α1A), la fiche complète conforme à la structure pédagogique réglementaire (marques disponibles en Algérie, mécanisme d'action moléculaire, profil pharmacologique, prévention et gestion des effets indésirables, interactions médicamenteuses, grossesse/allaitement, posologie, arbitrage galénique, conseils au comptoir, pièges pratiques). L'ordre de présentation suit l'ordre pharmacologique classique : DHP (nifédipine → amlodipine → lercanidipine → nicardipine → nitrendipine → isradipine), non-DHP (vérapamil → diltiazem), antihypertenseurs centraux (clonidine → méthyldopa → moxonidine), alpha-bloquants (doxazosine → alfuzosine → tamsulosine).</w:t>
      </w:r>
    </w:p>
    <w:p>
      <w:pPr>
        <w:pStyle w:val="Heading3"/>
      </w:pPr>
      <w:r>
        <w:t>1. DCI : Amlodipine (Seule)</w:t>
      </w:r>
    </w:p>
    <w:p>
      <w:r/>
      <w:r>
        <w:rPr>
          <w:b/>
        </w:rPr>
        <w:t>Liste des Catégories :</w:t>
      </w:r>
      <w:r>
        <w:t xml:space="preserve"> Inhibiteurs calciques — Dihydropyridines (DHP) ; Antihypertenseur ; Antiangoreux.</w:t>
      </w:r>
    </w:p>
    <w:p>
      <w:r>
        <w:t xml:space="preserve">L'amlodipine (3-éthyl 5-méthyl 2-[(2-aminoéthoxyméthyl)-4-(2-chlorophényl)-6-méthyl-1,4-dihydropyridine-3,5-dicarboxylate) est une DHP de </w:t>
      </w:r>
      <w:r>
        <w:rPr>
          <w:b/>
        </w:rPr>
        <w:t>3e génération</w:t>
      </w:r>
      <w:r>
        <w:t xml:space="preserve">, commercialisée dès 1990 par Pfizer sous le nom de Norvasc® (AMLOR® en France et Algérie). Elle se distingue des DHP de 1re génération (nifédipine) par sa </w:t>
      </w:r>
      <w:r>
        <w:rPr>
          <w:b/>
        </w:rPr>
        <w:t>demi-vie d'élimination très longue (35–50 h)</w:t>
      </w:r>
      <w:r>
        <w:t>, autorisant une prise unique quotidienne sans à-coup tensionnel, et par son profil d'activation sympathique réflexe minimisée. Sa liaison extensive aux protéines plasmatiques (&gt; 95 %), sa distribution tissulaire large (Vd ≈ 21 L/kg) et sa lente élimination hépatique (CYP3A4 → métabolites pyridine inactifs) en font la DHP la plus prescrite au monde. En Algérie, l'amlodipine occupe la première place des ventes des ICA en ville, en raison de sa simplicité d'usage, de sa tolérance acceptable et de son coût modéré (génériques nombreux).</w:t>
      </w:r>
    </w:p>
    <w:p>
      <w:r/>
      <w:r>
        <w:rPr>
          <w:b/>
        </w:rPr>
        <w:t>Médicaments disponibles en Algérie (Marques, Laboratoires, Formes et Dosages) :</w:t>
      </w:r>
      <w:r/>
    </w:p>
    <w:p>
      <w:r>
        <w:t>Forme orale 5 mg :</w:t>
      </w:r>
    </w:p>
    <w:p>
      <w:pPr>
        <w:pStyle w:val="ListBullet"/>
      </w:pPr>
      <w:r/>
      <w:r>
        <w:rPr>
          <w:b/>
        </w:rPr>
        <w:t>AMLIBON</w:t>
      </w:r>
      <w:r>
        <w:t xml:space="preserve"> (SPA JAMJOOM ALGERIA LIL DAWA) — Comprimé 5 mg, B/30 et B/90 — Liste I — Actif</w:t>
      </w:r>
    </w:p>
    <w:p>
      <w:pPr>
        <w:pStyle w:val="ListBullet"/>
      </w:pPr>
      <w:r/>
      <w:r>
        <w:rPr>
          <w:b/>
        </w:rPr>
        <w:t>AMLODAL</w:t>
      </w:r>
      <w:r>
        <w:t xml:space="preserve"> (PHARMIDAL NS) — Comprimé 5 mg, B/30 — Liste I — Actif</w:t>
      </w:r>
    </w:p>
    <w:p>
      <w:pPr>
        <w:pStyle w:val="ListBullet"/>
      </w:pPr>
      <w:r/>
      <w:r>
        <w:rPr>
          <w:b/>
        </w:rPr>
        <w:t>AMLODIPAL</w:t>
      </w:r>
      <w:r>
        <w:t xml:space="preserve"> (SOPHAL — Société Pharmaceutique Algérienne) — Gélule 5 mg, B/30 — Liste I — Actif</w:t>
      </w:r>
    </w:p>
    <w:p>
      <w:pPr>
        <w:pStyle w:val="ListBullet"/>
      </w:pPr>
      <w:r/>
      <w:r>
        <w:rPr>
          <w:b/>
        </w:rPr>
        <w:t>AMLODIPINE BEKER</w:t>
      </w:r>
      <w:r>
        <w:t xml:space="preserve"> (LABORATOIRES BEKER) — Gélule 5 mg, B/30 — Liste I — Actif</w:t>
      </w:r>
    </w:p>
    <w:p>
      <w:pPr>
        <w:pStyle w:val="ListBullet"/>
      </w:pPr>
      <w:r/>
      <w:r>
        <w:rPr>
          <w:b/>
        </w:rPr>
        <w:t>AMLODIPINE MM</w:t>
      </w:r>
      <w:r>
        <w:t xml:space="preserve"> (LABORATOIRES MM) — Comprimé pelliculé 5 mg, B/30 — Liste I — Actif</w:t>
      </w:r>
    </w:p>
    <w:p>
      <w:pPr>
        <w:pStyle w:val="ListBullet"/>
      </w:pPr>
      <w:r/>
      <w:r>
        <w:rPr>
          <w:b/>
        </w:rPr>
        <w:t>AMLOMED</w:t>
      </w:r>
      <w:r>
        <w:t xml:space="preserve"> (ABDI IBRAHIM REMEDE PHARMA) — Comprimé pelliculé 5 mg, B/30 — Liste I — Actif</w:t>
      </w:r>
    </w:p>
    <w:p>
      <w:pPr>
        <w:pStyle w:val="ListBullet"/>
      </w:pPr>
      <w:r/>
      <w:r>
        <w:rPr>
          <w:b/>
        </w:rPr>
        <w:t>AMLOR</w:t>
      </w:r>
      <w:r>
        <w:t xml:space="preserve"> (UPJOHN SAIDAL PHARMA) — Gélule 5 mg, B/28 et B/98 — Liste I — Actif (princeps)</w:t>
      </w:r>
    </w:p>
    <w:p>
      <w:pPr>
        <w:pStyle w:val="ListBullet"/>
      </w:pPr>
      <w:r/>
      <w:r>
        <w:rPr>
          <w:b/>
        </w:rPr>
        <w:t>DIMLOR</w:t>
      </w:r>
      <w:r>
        <w:t xml:space="preserve"> (BIOCARE) — Gélule 5 mg, B/30 et B/90 — Liste I — Actif</w:t>
      </w:r>
    </w:p>
    <w:p>
      <w:pPr>
        <w:pStyle w:val="ListBullet"/>
      </w:pPr>
      <w:r/>
      <w:r>
        <w:rPr>
          <w:b/>
        </w:rPr>
        <w:t>DIPICARD</w:t>
      </w:r>
      <w:r>
        <w:t xml:space="preserve"> (AT PHARMA) — Gélule 5 mg, B/30 — Liste I — Actif</w:t>
      </w:r>
    </w:p>
    <w:p>
      <w:pPr>
        <w:pStyle w:val="ListBullet"/>
      </w:pPr>
      <w:r/>
      <w:r>
        <w:rPr>
          <w:b/>
        </w:rPr>
        <w:t>HUMLOR</w:t>
      </w:r>
      <w:r>
        <w:t xml:space="preserve"> (HUPP PHARMA) — Gélule 5 mg, B/30 — Liste I — Actif</w:t>
      </w:r>
    </w:p>
    <w:p>
      <w:pPr>
        <w:pStyle w:val="ListBullet"/>
      </w:pPr>
      <w:r/>
      <w:r>
        <w:rPr>
          <w:b/>
        </w:rPr>
        <w:t>LOTENSE</w:t>
      </w:r>
      <w:r>
        <w:t xml:space="preserve"> (EL KENDI INDUSTRIE DU MEDICAMENT) — Gélule 5 mg, B/30 — Liste I — Actif</w:t>
      </w:r>
    </w:p>
    <w:p>
      <w:pPr>
        <w:pStyle w:val="ListBullet"/>
      </w:pPr>
      <w:r/>
      <w:r>
        <w:rPr>
          <w:b/>
        </w:rPr>
        <w:t>LOWVASC</w:t>
      </w:r>
      <w:r>
        <w:t xml:space="preserve"> (HIKMA PHARMA ALGERIA) — Gélule 5 mg, B/28 — Liste I — Actif</w:t>
      </w:r>
    </w:p>
    <w:p>
      <w:pPr>
        <w:pStyle w:val="ListBullet"/>
      </w:pPr>
      <w:r/>
      <w:r>
        <w:rPr>
          <w:b/>
        </w:rPr>
        <w:t>MIBRAL</w:t>
      </w:r>
      <w:r>
        <w:t xml:space="preserve"> (LABORATOIRES DE DIAGNOSTIC MAGHREBINS-LDM) — Gélule 5 mg, B/30 — Liste I — Actif</w:t>
      </w:r>
    </w:p>
    <w:p>
      <w:pPr>
        <w:pStyle w:val="ListBullet"/>
      </w:pPr>
      <w:r/>
      <w:r>
        <w:rPr>
          <w:b/>
        </w:rPr>
        <w:t>AMLOPINE</w:t>
      </w:r>
      <w:r>
        <w:t xml:space="preserve"> (GENERICLAB SARL) — Gélule 5 mg, B/30 — Liste I — Actif</w:t>
      </w:r>
    </w:p>
    <w:p>
      <w:pPr>
        <w:pStyle w:val="ListBullet"/>
      </w:pPr>
      <w:r/>
      <w:r>
        <w:rPr>
          <w:b/>
        </w:rPr>
        <w:t>TENSODIPINE</w:t>
      </w:r>
      <w:r>
        <w:t xml:space="preserve"> (FRATER-RAZES FORME SECHE) — Gélule 5 mg, B/30 — Liste I — Actif</w:t>
      </w:r>
    </w:p>
    <w:p>
      <w:r>
        <w:t>Forme orale 10 mg :</w:t>
      </w:r>
    </w:p>
    <w:p>
      <w:pPr>
        <w:pStyle w:val="ListBullet"/>
      </w:pPr>
      <w:r/>
      <w:r>
        <w:rPr>
          <w:b/>
        </w:rPr>
        <w:t>AMLIBON</w:t>
      </w:r>
      <w:r>
        <w:t xml:space="preserve"> (SPA JAMJOOM) — Comprimé 10 mg, B/30 et B/90 — Liste I — Actif</w:t>
      </w:r>
    </w:p>
    <w:p>
      <w:pPr>
        <w:pStyle w:val="ListBullet"/>
      </w:pPr>
      <w:r/>
      <w:r>
        <w:rPr>
          <w:b/>
        </w:rPr>
        <w:t>AMLOCARDINE</w:t>
      </w:r>
      <w:r>
        <w:t xml:space="preserve"> (GEOPHARM) — Gélule 10 mg, B/30 — Liste I — Actif</w:t>
      </w:r>
    </w:p>
    <w:p>
      <w:pPr>
        <w:pStyle w:val="ListBullet"/>
      </w:pPr>
      <w:r/>
      <w:r>
        <w:rPr>
          <w:b/>
        </w:rPr>
        <w:t>AMLODAL</w:t>
      </w:r>
      <w:r>
        <w:t xml:space="preserve"> (PHARMIDAL NS) — Comprimé sécable 10 mg, B/30 — Liste I — Actif</w:t>
      </w:r>
    </w:p>
    <w:p>
      <w:pPr>
        <w:pStyle w:val="ListBullet"/>
      </w:pPr>
      <w:r/>
      <w:r>
        <w:rPr>
          <w:b/>
        </w:rPr>
        <w:t>AMLODIPINE BEKER</w:t>
      </w:r>
      <w:r>
        <w:t xml:space="preserve"> (BEKER) — Gélule 10 mg, B/30 et B/90 — Liste I — Actif</w:t>
      </w:r>
    </w:p>
    <w:p>
      <w:pPr>
        <w:pStyle w:val="ListBullet"/>
      </w:pPr>
      <w:r/>
      <w:r>
        <w:rPr>
          <w:b/>
        </w:rPr>
        <w:t>AMLOR</w:t>
      </w:r>
      <w:r>
        <w:t xml:space="preserve"> (UPJOHN SAIDAL) — Gélule 10 mg, B/28 — Liste I — Actif</w:t>
      </w:r>
    </w:p>
    <w:p>
      <w:pPr>
        <w:pStyle w:val="ListBullet"/>
      </w:pPr>
      <w:r/>
      <w:r>
        <w:rPr>
          <w:b/>
        </w:rPr>
        <w:t>DIMLOR</w:t>
      </w:r>
      <w:r>
        <w:t xml:space="preserve"> (BIOCARE) — Gélule 10 mg, B/30 et B/90 — Liste I — Actif</w:t>
      </w:r>
    </w:p>
    <w:p>
      <w:pPr>
        <w:pStyle w:val="ListBullet"/>
      </w:pPr>
      <w:r/>
      <w:r>
        <w:rPr>
          <w:b/>
        </w:rPr>
        <w:t>DIPICARD</w:t>
      </w:r>
      <w:r>
        <w:t xml:space="preserve"> (AT PHARMA) — Gélule 10 mg, B/30 — Liste I — Actif</w:t>
      </w:r>
    </w:p>
    <w:p>
      <w:pPr>
        <w:pStyle w:val="ListBullet"/>
      </w:pPr>
      <w:r/>
      <w:r>
        <w:rPr>
          <w:b/>
        </w:rPr>
        <w:t>HUMLOR</w:t>
      </w:r>
      <w:r>
        <w:t xml:space="preserve"> (HUPP PHARMA) — Gélule 10 mg, B/30 — Liste I — Actif</w:t>
      </w:r>
    </w:p>
    <w:p>
      <w:pPr>
        <w:pStyle w:val="ListBullet"/>
      </w:pPr>
      <w:r/>
      <w:r>
        <w:rPr>
          <w:b/>
        </w:rPr>
        <w:t>LOTENSE</w:t>
      </w:r>
      <w:r>
        <w:t xml:space="preserve"> (EL KENDI) — Gélule 10 mg, B/30 — Liste I — Actif</w:t>
      </w:r>
    </w:p>
    <w:p>
      <w:pPr>
        <w:pStyle w:val="ListBullet"/>
      </w:pPr>
      <w:r/>
      <w:r>
        <w:rPr>
          <w:b/>
        </w:rPr>
        <w:t>MIBRAL</w:t>
      </w:r>
      <w:r>
        <w:t xml:space="preserve"> (LDM) — Gélule 10 mg, B/30 — Liste I — Actif</w:t>
      </w:r>
    </w:p>
    <w:p>
      <w:pPr>
        <w:pStyle w:val="ListBullet"/>
      </w:pPr>
      <w:r/>
      <w:r>
        <w:rPr>
          <w:b/>
        </w:rPr>
        <w:t>TENSODIPINE</w:t>
      </w:r>
      <w:r>
        <w:t xml:space="preserve"> (FRATER-RAZES) — Gélule 10 mg, B/30 — Liste I — Actif</w:t>
      </w:r>
    </w:p>
    <w:p>
      <w:r>
        <w:t>Spécialités Non Renouvelables :</w:t>
      </w:r>
    </w:p>
    <w:p>
      <w:pPr>
        <w:pStyle w:val="ListBullet"/>
      </w:pPr>
      <w:r/>
      <w:r>
        <w:rPr>
          <w:b/>
        </w:rPr>
        <w:t>AMLIBON</w:t>
      </w:r>
      <w:r>
        <w:t xml:space="preserve"> (SANDOZ SPA) — Comprimé 5 mg, B/30 et B/90 — Non Renouvelable</w:t>
      </w:r>
    </w:p>
    <w:p>
      <w:pPr>
        <w:pStyle w:val="ListBullet"/>
      </w:pPr>
      <w:r/>
      <w:r>
        <w:rPr>
          <w:b/>
        </w:rPr>
        <w:t>AMLORIDAL</w:t>
      </w:r>
      <w:r>
        <w:t xml:space="preserve"> (GROUPE SAIDAL) — Gélule 5 mg et 10 mg, B/30 — Non Renouvelable</w:t>
      </w:r>
    </w:p>
    <w:p>
      <w:pPr>
        <w:pStyle w:val="ListBullet"/>
      </w:pPr>
      <w:r/>
      <w:r>
        <w:rPr>
          <w:b/>
        </w:rPr>
        <w:t>ALODIPINE</w:t>
      </w:r>
      <w:r>
        <w:t xml:space="preserve"> (PHARMALLIANCE) — Gélule 5 mg et 10 mg, B/30 — Non Renouvelable</w:t>
      </w:r>
    </w:p>
    <w:p>
      <w:r>
        <w:t>Spécialités Retirées (R) :</w:t>
      </w:r>
    </w:p>
    <w:p>
      <w:pPr>
        <w:pStyle w:val="ListBullet"/>
      </w:pPr>
      <w:r>
        <w:t>AMLOCAL (CADILA), AMLODIPINE OUBARI (OUBARI), AMLOMEX (KHROUB PHARMA), AMLOPRESS (PETRA PHARM), LORAX (BIOVITAL), AMLOCARDINE 5 mg (GEOPHARM), AMILO (SOTHEMA), AMLOTENSINE 5 et 10 mg (ALGERIE PHARM), AMLODIPINE ZENTIVA 5 et 10 mg (WINTHROP PHARMA SAIDAL), MIBRAL 5 et 10 mg (PENTAFARMA), VASCOPIN (AL QUDS), AMLODAR (DAR AL DAWA), AMEP (COOPER MAROC), AMLOCOR-5 (TORRENT), AMLODEX (SALEM).</w:t>
      </w:r>
    </w:p>
    <w:p>
      <w:r/>
      <w:r>
        <w:rPr>
          <w:b/>
        </w:rPr>
        <w:t>Sous-classe et Mécanisme d'action :</w:t>
      </w:r>
      <w:r/>
    </w:p>
    <w:p>
      <w:pPr>
        <w:pStyle w:val="ListBullet"/>
      </w:pPr>
      <w:r>
        <w:t>Sous-classe : DHP de 3e génération, vasosélective, longue durée d'action.</w:t>
      </w:r>
    </w:p>
    <w:p>
      <w:pPr>
        <w:pStyle w:val="ListBullet"/>
      </w:pPr>
      <w:r>
        <w:t>Mécanisme d'action : l'amlodipine se lie au site "DHP" du canal Cav1.2 (sous-unité α1C — domaine III, segment S6), avec une forte affinité pour l'état inactivé du canal (prédominant dans le muscle lisse vasculaire au repos). Elle bloque l'entrée du calcium extracellulaire dans la cellule musculaire lisse artériolaire, réduisant la concentration cytosolique en Ca2+ libre. Sans ce calcium, la calmoduline ne peut pas activer la chaîne légère de myosine (MLCK), empêchant la phosphorylation de la myosine et la contraction. Résultat : relaxation du muscle lisse vasculaire → baisse des résistances périphériques systémiques → baisse de la pression artérielle. L'amlodipine a un effet vasodilatateur artériolaire prédominant (coronaire et systémique) avec un effet inotrope négatif négligeable (à doses thérapeutiques), un effet dromotrope nul et un effet chronotrope positif réflexe modéré (compensé par l'absence d'à-coup). Elle conserve une activité bloquante sur les canaux Cav1.3 des cellules juxtaglomérulaires rénales (modulant discrètement la libération de rénine), ce qui pourrait contribuer à son absence d'activation rénine-angiotensine significative à long terme. L'amlodipine a également un effet anti-athérogène propre (réduction de l'épaississement intimal carotidien démontrée dans l'essai PREVENT), indépendant de la baisse tensionnelle.</w:t>
      </w:r>
    </w:p>
    <w:p>
      <w:r/>
      <w:r>
        <w:rPr>
          <w:b/>
        </w:rPr>
        <w:t>Profil Pharmacologique :</w:t>
      </w:r>
      <w:r/>
    </w:p>
    <w:p>
      <w:pPr>
        <w:pStyle w:val="ListBullet"/>
      </w:pPr>
      <w:r>
        <w:t>Indications : (1) HTA essentielle, en monothérapie (sujet âgé, sujet noir, diabétique — ESH/ESC 2018, classe I, niveau A) ou en association (avec IEC, ARA2, diurétique thiazidique — neutralise l'œdème des DHP) ; (2) angor stable chronique, en monothérapie ou en association (avec β-bloquant, nitrate) ; (3) angor vasospastique (Prinzmetal) ; (4) angor instable une fois stabilisé (à éviter en phase aiguë) ; (5) forme d'association fixe (amlodipine + valsartan, amlodipine + lisinopril, amlodipine + atorvastatine — associations non détaillées dans cette fiche mais disponibles en Algérie). Chez l'enfant &gt; 6 ans : HTA (5 mg/j max 10 mg).</w:t>
      </w:r>
    </w:p>
    <w:p>
      <w:pPr>
        <w:pStyle w:val="ListBullet"/>
      </w:pPr>
      <w:r>
        <w:t>Contre-indications : (1) hypotension sévère (PAS &lt; 90 mmHg) ; (2) choc cardiogénique ; (3) obstruction à l'éjection ventriculaire gauche sévère (sténose aortique serrée, cardiomyopathie hypertrophique obstructive) — la vasodilatation ne peut être compensée par augmentation du débit ; (4) angor instable en phase aiguë (formes courtes — non applicable à l'amlodipine LP qui peut être poursuivie) ; (5) insuffisance cardiaque avec dysfonction systolique sévère (FEVG &lt; 30 % — préférer IEC/β-bloquant — bien que l'amlodipine soit neutre selon PRAISE-2) ; (6) hypersensibilité aux DHP.</w:t>
      </w:r>
    </w:p>
    <w:p>
      <w:pPr>
        <w:pStyle w:val="ListBullet"/>
      </w:pPr>
      <w:r>
        <w:t xml:space="preserve">Effets Indésirables : (1) </w:t>
      </w:r>
      <w:r>
        <w:rPr>
          <w:b/>
        </w:rPr>
        <w:t>Œdèmes malléoles indolores</w:t>
      </w:r>
      <w:r>
        <w:t xml:space="preserve"> (10–25 %, dose-dépendants — liés à la vasodilatation artériolaire précapillaire asymétrique augmentant la pression hydrostatique capillaire — ne répondent PAS aux diurétiques, régressent à la baisse de dose ou à l'association à un IEC/ARA2) ; (2) céphalées (10–15 %, vasodilatation cérébrale) ; (3) flush facial (5–10 %, vasodilatation cutanée) ; (4) palpitations (5 %, tachycardie réflexe) ; (5) asthénie, somnolence ; (6) vertiges, hypotension orthostatique (rare avec longue durée) ; (7) </w:t>
      </w:r>
      <w:r>
        <w:rPr>
          <w:b/>
        </w:rPr>
        <w:t>hyperplasie gingivale</w:t>
      </w:r>
      <w:r>
        <w:t xml:space="preserve"> (3 %, réversible à l'arrêt, favorisée par l'hygiène dentaire déficiente — surveillance bucco-dentaire) ; (8) reflux gastro-œsophagien (relâchement du sphincter inférieur de l'œsophage) ; (9) troubles digestifs (nausées, douleurs abdominales, constipation) ; (10) rash, prurit ; (11) troubles sexuels (rares) ; (12) élévation modérée des transaminases (rare). L'amlodipine est </w:t>
      </w:r>
      <w:r>
        <w:rPr>
          <w:b/>
        </w:rPr>
        <w:t>neutre sur le métabolisme</w:t>
      </w:r>
      <w:r>
        <w:t xml:space="preserve"> (glycémie, profil lipidique, acide urique) — avantage chez le diabétique.</w:t>
      </w:r>
    </w:p>
    <w:p>
      <w:r/>
      <w:r>
        <w:rPr>
          <w:b/>
        </w:rPr>
        <w:t>Prévention et Gestion des Effets Indésirables :</w:t>
      </w:r>
      <w:r/>
    </w:p>
    <w:p>
      <w:pPr>
        <w:pStyle w:val="ListBullet"/>
      </w:pPr>
      <w:r>
        <w:t>Mesures Préventives : (a) Démarrer à 5 mg/j (2,5 mg chez le sujet âgé &gt; 75 ans, l'insuffisant hépatique ou l'enfant), augmentation à 10 mg/j après 1–2 semaines si nécessaire (réservée à l'adulte) ; (b) Prévention des œdèmes : ne pas augmenter au-delà de 10 mg/j ; envisager l'association à un IEC/ARA2 (qui neutralise l'œdème par baisse de la pression capillaire) ; (c) Surveiller la pression artérielle orthostatique chez le sujet âgé ; (d) Hygiène bucco-dentaire rigoureuse (brossage 2x/j, fil dentaire) — consultation dentaire semestrielle pour dépister l'hyperplasie gingivale ; (e) Chez le coronarien, ne pas arrêter brutalement (rebond ischémique possible).</w:t>
      </w:r>
    </w:p>
    <w:p>
      <w:pPr>
        <w:pStyle w:val="ListBullet"/>
      </w:pPr>
      <w:r>
        <w:t>Conduite à Tenir : (a) Œdèmes malléoles invalidants → association à IEC/ARA2 ou remplacement par lercanidipine (moins d'œdèmes) ou par non-DHP (vérifier l'absence de CI cardiaque) ; (b) Céphalées → habituellement régressives en 1–2 semaines, antalgique paracétamol si nécessaire ; (c) Hyperplasie gingivale → arrêt de l'amlodipine (remplacement par non-DHP) + soins dentaires ; (d) Hypotension sévère → position allongée, jambes surélevées, perfusion de macromolécules, arrêt transitoire ; (e) Surdosage massif → hypotension réfractaire, bradycardie — traitement : calcium IV (gluconate 10 % — 10 à 20 mL IVL, à répéter), adrénaline, glucagon (3–10 mg IV bolus puis perfusion), insuline-glucose (high-dose insulin therapy), assistance circulatoire en cas d'échec.</w:t>
      </w:r>
    </w:p>
    <w:p>
      <w:r/>
      <w:r>
        <w:rPr>
          <w:b/>
        </w:rPr>
        <w:t>Interactions Importantes :</w:t>
      </w:r>
      <w:r/>
    </w:p>
    <w:p>
      <w:pPr>
        <w:pStyle w:val="ListBullet"/>
      </w:pPr>
      <w:r>
        <w:t xml:space="preserve">Amlodipine + </w:t>
      </w:r>
      <w:r>
        <w:rPr>
          <w:b/>
        </w:rPr>
        <w:t>Inhibiteurs du CYP3A4 puissants</w:t>
      </w:r>
      <w:r>
        <w:t xml:space="preserve"> (itraconazole, kétoconazole, clarithromycine, érythromycine, ritonavir, jus de pamplemousse en quantité &gt; 1 verre/j) : majoration des concentrations d'amlodipine (× 1,5 à 2) → hypotension, œdèmes, céphalées. Surveillance clinique, adaptation posologique, contre-indication avec itraconazole oral selon ANSM.</w:t>
      </w:r>
    </w:p>
    <w:p>
      <w:pPr>
        <w:pStyle w:val="ListBullet"/>
      </w:pPr>
      <w:r>
        <w:t xml:space="preserve">Amlodipine + </w:t>
      </w:r>
      <w:r>
        <w:rPr>
          <w:b/>
        </w:rPr>
        <w:t>Inducteurs du CYP3A4</w:t>
      </w:r>
      <w:r>
        <w:t xml:space="preserve"> (rifampicine, phénytoïne, carbamazépine, phénobarbital, millepertuis) : baisse d'efficacité (concentrations réduites de 50 %), surveillance de la TA, adaptation posologique.</w:t>
      </w:r>
    </w:p>
    <w:p>
      <w:pPr>
        <w:pStyle w:val="ListBullet"/>
      </w:pPr>
      <w:r>
        <w:t xml:space="preserve">Amlodipine + </w:t>
      </w:r>
      <w:r>
        <w:rPr>
          <w:b/>
        </w:rPr>
        <w:t>β-bloquant</w:t>
      </w:r>
      <w:r>
        <w:t xml:space="preserve"> : association utile (vasodilatation + baisse de la fréquence cardiaque — neutralise la tachycardie réflexe), sans interaction pharmacodynamique significative (contrairement au vérapamil + β-bloquant qui est CI).</w:t>
      </w:r>
    </w:p>
    <w:p>
      <w:pPr>
        <w:pStyle w:val="ListBullet"/>
      </w:pPr>
      <w:r>
        <w:t xml:space="preserve">Amlodipine + </w:t>
      </w:r>
      <w:r>
        <w:rPr>
          <w:b/>
        </w:rPr>
        <w:t>Digoxine</w:t>
      </w:r>
      <w:r>
        <w:t xml:space="preserve"> : pas d'effet significatif sur les concentrations de digoxine (contrairement au vérapamil/diltiazem).</w:t>
      </w:r>
    </w:p>
    <w:p>
      <w:pPr>
        <w:pStyle w:val="ListBullet"/>
      </w:pPr>
      <w:r>
        <w:t xml:space="preserve">Amlodipine + </w:t>
      </w:r>
      <w:r>
        <w:rPr>
          <w:b/>
        </w:rPr>
        <w:t>Statines</w:t>
      </w:r>
      <w:r>
        <w:t xml:space="preserve"> (atorvastatine, simvastatine) : pas d'interaction significative (contrairement au vérapamil). L'association fixe amlodipine + atorvastatine existe (Caduet®).</w:t>
      </w:r>
    </w:p>
    <w:p>
      <w:pPr>
        <w:pStyle w:val="ListBullet"/>
      </w:pPr>
      <w:r>
        <w:t xml:space="preserve">Amlodipine + </w:t>
      </w:r>
      <w:r>
        <w:rPr>
          <w:b/>
        </w:rPr>
        <w:t>Ciclosporine</w:t>
      </w:r>
      <w:r>
        <w:t xml:space="preserve"> : augmentation modérée des concentrations de ciclosporine (20–30 %), surveillance taux résiduel.</w:t>
      </w:r>
    </w:p>
    <w:p>
      <w:pPr>
        <w:pStyle w:val="ListBullet"/>
      </w:pPr>
      <w:r>
        <w:t xml:space="preserve">Amlodipine + </w:t>
      </w:r>
      <w:r>
        <w:rPr>
          <w:b/>
        </w:rPr>
        <w:t>Tacrolimus</w:t>
      </w:r>
      <w:r>
        <w:t xml:space="preserve"> : surveillance taux résiduel.</w:t>
      </w:r>
    </w:p>
    <w:p>
      <w:pPr>
        <w:pStyle w:val="ListBullet"/>
      </w:pPr>
      <w:r>
        <w:t xml:space="preserve">Amlodipine + </w:t>
      </w:r>
      <w:r>
        <w:rPr>
          <w:b/>
        </w:rPr>
        <w:t>Dabigatran, rivaroxaban, apixaban</w:t>
      </w:r>
      <w:r>
        <w:t xml:space="preserve"> : pas d'interaction cliniquement significative.</w:t>
      </w:r>
    </w:p>
    <w:p>
      <w:pPr>
        <w:pStyle w:val="ListBullet"/>
      </w:pPr>
      <w:r>
        <w:t xml:space="preserve">Amlodipine + </w:t>
      </w:r>
      <w:r>
        <w:rPr>
          <w:b/>
        </w:rPr>
        <w:t>Pamplemousse (jus)</w:t>
      </w:r>
      <w:r>
        <w:t xml:space="preserve"> : interaction possible mais moindre qu'avec d'autres DHP (la longue demi-vie de l'amlodipine "lisse" l'effet) ; recommandation : éviter la consommation quotidienne de plus de 1 verre.</w:t>
      </w:r>
    </w:p>
    <w:p>
      <w:r/>
      <w:r>
        <w:rPr>
          <w:b/>
        </w:rPr>
        <w:t>Grossesse et Allaitement :</w:t>
      </w:r>
      <w:r/>
    </w:p>
    <w:p>
      <w:pPr>
        <w:pStyle w:val="ListBullet"/>
      </w:pPr>
      <w:r>
        <w:t xml:space="preserve">Grossesse : (1) </w:t>
      </w:r>
      <w:r>
        <w:rPr>
          <w:b/>
        </w:rPr>
        <w:t>1er trimestre</w:t>
      </w:r>
      <w:r>
        <w:t xml:space="preserve"> : à éviter par prudence (données animales évocatrices, données humaines limitées — non tératogène formellement démontrée mais précaution). Préférer méthyldopa, labétalol, nicardipine LP. (2) </w:t>
      </w:r>
      <w:r>
        <w:rPr>
          <w:b/>
        </w:rPr>
        <w:t>2e et 3e trimestres</w:t>
      </w:r>
      <w:r>
        <w:t xml:space="preserve"> : acceptable (selon CRAT, ESC 2018) — la nifédipine LP et l'amlodipine sont les DHP de choix en 2e intention après méthyldopa/labétalol. (3) </w:t>
      </w:r>
      <w:r>
        <w:rPr>
          <w:b/>
        </w:rPr>
        <w:t>Prééclampsie sévère / HTA gravidique sévère</w:t>
      </w:r>
      <w:r>
        <w:t xml:space="preserve"> : nifédipine LP ou nicardipine IV en urgence, labétalol IV — l'amlodipine n'est pas un antihypertenseur d'urgence.</w:t>
      </w:r>
    </w:p>
    <w:p>
      <w:pPr>
        <w:pStyle w:val="ListBullet"/>
      </w:pPr>
      <w:r>
        <w:t>Allaitement : Compatible selon le CRAT — passage dans le lait très faible (rapport lait/plasma ≈ 0,4), dose ingérée par le nourrisson estimée à &lt; 1 % de la dose maternelle pondérée. Surveillance de la pression artérielle du nourrisson (risque théorique d'hypotension, en pratique rare).</w:t>
      </w:r>
    </w:p>
    <w:p>
      <w:pPr>
        <w:pStyle w:val="ListBullet"/>
      </w:pPr>
      <w:r>
        <w:t>Précisions : L'amlodipine est une option de seconde ligne après méthyldopa chez la femme enceinte hypertendue chronique ou avec prééclampsie. La voie orale une fois par jour est un avantage pratique majeur pendant la grossesse.</w:t>
      </w:r>
    </w:p>
    <w:p>
      <w:r/>
      <w:r>
        <w:rPr>
          <w:b/>
        </w:rPr>
        <w:t>Posologie et Mode d'administration (Standard) :</w:t>
      </w:r>
      <w:r/>
    </w:p>
    <w:p>
      <w:pPr>
        <w:pStyle w:val="ListBullet"/>
      </w:pPr>
      <w:r>
        <w:t>Adulte : 5 mg/j en une prise unique, augmentable à 10 mg/j après 1–2 semaines si réponse tensionnelle insuffisante. Dose maximale : 10 mg/j.</w:t>
      </w:r>
    </w:p>
    <w:p>
      <w:pPr>
        <w:pStyle w:val="ListBullet"/>
      </w:pPr>
      <w:r>
        <w:t>Sujet âgé (&gt; 75 ans) : démarrer à 2,5 mg/j (en cassant un comprimé sécable 5 mg — attention, seuls les comprimés sécables AMLODAL 10 mg et les formes sécables permettent la dose 2,5 mg — sinon utiliser 5 mg à un jour sur deux initialement), puis 5 mg/j.</w:t>
      </w:r>
    </w:p>
    <w:p>
      <w:pPr>
        <w:pStyle w:val="ListBullet"/>
      </w:pPr>
      <w:r>
        <w:t>Enfant &gt; 6 ans : 2,5 mg/j (1/2 comprimé sécable 5 mg), max 5 mg/j (6–12 ans) ou 10 mg/j (&gt; 12 ans).</w:t>
      </w:r>
    </w:p>
    <w:p>
      <w:pPr>
        <w:pStyle w:val="ListBullet"/>
      </w:pPr>
      <w:r>
        <w:t>Insuffisant hépatique modéré à sévère : démarrer à 2,5 mg/j, titration prudente (l'amlodipine est métabolisée par le foie — effet de premier passage significatif).</w:t>
      </w:r>
    </w:p>
    <w:p>
      <w:pPr>
        <w:pStyle w:val="ListBullet"/>
      </w:pPr>
      <w:r>
        <w:t>Insuffisant rénal : pas d'adaptation posologique (métabolites hépatiques inactifs, élimination rénale &lt; 10 %).</w:t>
      </w:r>
    </w:p>
    <w:p>
      <w:pPr>
        <w:pStyle w:val="ListBullet"/>
      </w:pPr>
      <w:r>
        <w:t>Durée : traitement au long cours (à vie pour HTA chronique). Ne jamais interrompre brutalement (rebond hypertensif possible).</w:t>
      </w:r>
    </w:p>
    <w:p>
      <w:pPr>
        <w:pStyle w:val="ListBullet"/>
      </w:pPr>
      <w:r>
        <w:t>Moment de prise : une prise unique par jour, à heure fixe, le matin (ou le soir — peu importe l'horaire car la longue demi-vie assure une couverture 24 h). Pendant ou en dehors des repas (pas d'influence alimentaire significative).</w:t>
      </w:r>
    </w:p>
    <w:p>
      <w:r/>
      <w:r>
        <w:rPr>
          <w:b/>
        </w:rPr>
        <w:t>Arbitrage et Bénéfices des Formes Galéniques :</w:t>
      </w:r>
      <w:r/>
    </w:p>
    <w:p>
      <w:r>
        <w:t>L'amlodipine n'a pas de forme LP ou injectable en Algérie — toutes les spécialités sont à libération immédiate (comprimé ou gélule 5 mg ou 10 mg). La longue demi-vie d'élimination (35–50 h) intrinsèque à la molécule dispense du besoin de formulation LP. Avantage pratique : une seule prise par jour, observance facilitée, couverture tensionnelle continue y compris si un oubli se produit (l'effet persiste &gt; 24 h après la dernière prise). Inconvénient : la titration est lente (état d'équilibre atteint en 7 à 10 jours — soit 4 à 5 demi-vies). Pour la phase d'attaque ou l'urgence hypertensive, on préférera la nicardipine IV (effet immédiat), la nifédipine LP (déjà déconseillée en urgence) ou le labétalol IV. Les comprimés sécables (AMLODAL 10 mg, AMLODIPINE BEKER) permettent le dosage 2,5 mg et 5 mg. Les gélules ne sont pas sécables — pour 2,5 mg, préférer la forme comprimé sécable. L'association fixe amlodipine + atorvastatine (Caduet®) n'est pas disponible en Algérie — la coprescription des deux molécules en deux comprimés séparés est nécessaire.</w:t>
      </w:r>
    </w:p>
    <w:p>
      <w:r/>
      <w:r>
        <w:rPr>
          <w:b/>
        </w:rPr>
        <w:t>Instructions et Conseils au Patient :</w:t>
      </w:r>
      <w:r/>
    </w:p>
    <w:p>
      <w:pPr>
        <w:pStyle w:val="ListBullet"/>
      </w:pPr>
      <w:r>
        <w:t xml:space="preserve">Communication au comptoir : « Ce médicament est un antihypertenseur (ou antiangoreux) de la famille des inhibiteurs calciques. Il doit se prendre </w:t>
      </w:r>
      <w:r>
        <w:rPr>
          <w:b/>
        </w:rPr>
        <w:t>tous les jours à la même heure</w:t>
      </w:r>
      <w:r>
        <w:t xml:space="preserve">, en une seule prise par jour, même si vous vous sentez bien — l'HTA est une maladie silencieuse. Ne l'arrêtez jamais sans avis médical, même si la tension est redevenue normale — il y a un risque de rebond hypertensif. Prévenez votre médecin si vous constatez des </w:t>
      </w:r>
      <w:r>
        <w:rPr>
          <w:b/>
        </w:rPr>
        <w:t>gonflements des chevilles</w:t>
      </w:r>
      <w:r>
        <w:t xml:space="preserve"> (œdèmes), des </w:t>
      </w:r>
      <w:r>
        <w:rPr>
          <w:b/>
        </w:rPr>
        <w:t>maux de tête</w:t>
      </w:r>
      <w:r>
        <w:t xml:space="preserve">, des </w:t>
      </w:r>
      <w:r>
        <w:rPr>
          <w:b/>
        </w:rPr>
        <w:t>bouffées de chaleur</w:t>
      </w:r>
      <w:r>
        <w:t xml:space="preserve"> du visage — ces effets sont fréquents, bénins et liés à l'action du médicament (vasodilatation), mais doivent être signalés. Évitez la consommation quotidienne de plus d'un verre de </w:t>
      </w:r>
      <w:r>
        <w:rPr>
          <w:b/>
        </w:rPr>
        <w:t>jus de pamplemousse</w:t>
      </w:r>
      <w:r>
        <w:t>. Chez le dentiste, signalez le traitement (risque de gonflement des gencives). Si vous êtes enceinte ou planifiez une grossesse, prévenez votre médecin. »</w:t>
      </w:r>
    </w:p>
    <w:p>
      <w:pPr>
        <w:pStyle w:val="ListBullet"/>
      </w:pPr>
      <w:r>
        <w:t>Mode d'utilisation pratique : (a) Prendre à heure fixe chaque jour (matin conseillé) — l'inscrire dans une routine quotidienne (avec le petit-déjeuner) ; (b) En cas d'oubli d'une prise : si l'écart avec l'heure habituelle est &lt; 8 h, prendre la dose oubliée ; si &gt; 8 h, ne pas prendre la dose oubliée et prendre la suivante à l'heure habituelle (ne jamais doubler la dose) ; (c) Ne pas écraser ni croquer les comprimés pelliculés ou gélules ; avaler avec un verre d'eau ; (d) Automesure tensionnelle (MAPA) : 3 mesures le matin et le soir pendant 7 jours avant la consultation — noter les valeurs ; (e) Consulter le médecin si TA &gt; 140/90 mmHg en consultation, ou en cas d'effets indésirables intolérables.</w:t>
      </w:r>
    </w:p>
    <w:p>
      <w:r/>
      <w:r>
        <w:rPr>
          <w:b/>
        </w:rPr>
        <w:t>Notes, Règles d'Or &amp; Pièges au Comptoir :</w:t>
      </w:r>
      <w:r/>
    </w:p>
    <w:p>
      <w:pPr>
        <w:pStyle w:val="ListBullet"/>
      </w:pPr>
      <w:r/>
      <w:r>
        <w:rPr>
          <w:b/>
        </w:rPr>
        <w:t>Piège classique — Œdèmes des chevilles</w:t>
      </w:r>
      <w:r>
        <w:t xml:space="preserve"> : les patients attribuent souvent ces œdèmes à une insuffisance cardiaque ou rénale et consultent en urgence. L'interrogatoire révèle l'absence de dyspnée, d'orthopnée, les œdèmes sont mous, indolores, bilatéraux, prédominants en fin de journée, sans prise de poids significative. Ne pas prescrire de diurétique (inefficace — l'œdème est lié à une vasodilatation précapillaire asymétrique, non à une surcharge hydrosodée). La solution est l'association à un IEC/ARA2 ou la baisse de dose, ou le remplacement par une autre DHP (lercanidipine) ou un non-DHP (si pas de CI cardiaque).</w:t>
      </w:r>
    </w:p>
    <w:p>
      <w:pPr>
        <w:pStyle w:val="ListBullet"/>
      </w:pPr>
      <w:r/>
      <w:r>
        <w:rPr>
          <w:b/>
        </w:rPr>
        <w:t>Piège classique — Arrêt brutal</w:t>
      </w:r>
      <w:r>
        <w:t xml:space="preserve"> : ne jamais arrêter l'amlodipine brutalement en raison d'un rebond hypertensif possible (le patient a "oublié" que son antihypertenseur était responsable de sa TA normale). Toujours décroissance progressive sur 1 à 2 semaines.</w:t>
      </w:r>
    </w:p>
    <w:p>
      <w:pPr>
        <w:pStyle w:val="ListBullet"/>
      </w:pPr>
      <w:r/>
      <w:r>
        <w:rPr>
          <w:b/>
        </w:rPr>
        <w:t>Piège — Substitution générique</w:t>
      </w:r>
      <w:r>
        <w:t xml:space="preserve"> : il existe plus de 30 génériques de l'amlodipine en Algérie. Tous ne sont pas strictement bioéquivalents en termes d'effets indésirables ressentis (variabilité d'excipients, de temps de désintégration). En cas d'intolérance à une marque, essayer une autre marque plutôt que de changer de classe.</w:t>
      </w:r>
    </w:p>
    <w:p>
      <w:pPr>
        <w:pStyle w:val="ListBullet"/>
      </w:pPr>
      <w:r/>
      <w:r>
        <w:rPr>
          <w:b/>
        </w:rPr>
        <w:t>Règle de prise</w:t>
      </w:r>
      <w:r>
        <w:t xml:space="preserve"> : une prise unique, à heure fixe, à vie.</w:t>
      </w:r>
    </w:p>
    <w:p>
      <w:pPr>
        <w:pStyle w:val="ListBullet"/>
      </w:pPr>
      <w:r/>
      <w:r>
        <w:rPr>
          <w:b/>
        </w:rPr>
        <w:t>Préparation et Conservation</w:t>
      </w:r>
      <w:r>
        <w:t xml:space="preserve"> : conserver à température ambiante (&lt; 25 °C), à l'abri de l'humidité et de la lumière. Ne pas congeler.</w:t>
      </w:r>
    </w:p>
    <w:p>
      <w:pPr>
        <w:pStyle w:val="ListBullet"/>
      </w:pPr>
      <w:r/>
      <w:r>
        <w:rPr>
          <w:b/>
        </w:rPr>
        <w:t>Piège du surdosage</w:t>
      </w:r>
      <w:r>
        <w:t xml:space="preserve"> : surdosage massif → hypotension réfractaire, bradycardie. Traitement : calcium IV (gluconate 10 % — 10 à 20 mL IVL sur 5–10 min, à répéter), adrénaline (1 mg IV ou 0,05–0,1 µg/kg/min perfusion), glucagon (5–10 mg IV bolus puis 1–5 mg/h), insuline + glucose (0,5–1 UI/kg/h avec glucose 50 %). Hémoperfusion inefficace (liaison protéique élevée, Vd large).</w:t>
      </w:r>
    </w:p>
    <w:p>
      <w:pPr>
        <w:pStyle w:val="Heading3"/>
      </w:pPr>
      <w:r>
        <w:t>2. DCI : Nifédipine (Seule)</w:t>
      </w:r>
    </w:p>
    <w:p>
      <w:r/>
      <w:r>
        <w:rPr>
          <w:b/>
        </w:rPr>
        <w:t>Liste des Catégories :</w:t>
      </w:r>
      <w:r>
        <w:t xml:space="preserve"> Inhibiteurs calciques — Dihydropyridines (DHP) ; Antihypertenseur ; Antiangoreux ; Tocolytique (hors AMM).</w:t>
      </w:r>
    </w:p>
    <w:p>
      <w:r>
        <w:t xml:space="preserve">La nifédipine (diméthyl 1,4-dihydro-2,6-diméthyl-4-(2-nitrophényl)-3,5-pyridinedicarboxylate) est la </w:t>
      </w:r>
      <w:r>
        <w:rPr>
          <w:b/>
        </w:rPr>
        <w:t>première DHP historique</w:t>
      </w:r>
      <w:r>
        <w:t xml:space="preserve">, synthétisée par Friedrich Bossert et Wilhelm Vater chez Bayer en 1969 et commercialisée dès 1972 sous le nom d'Adalat®. Sa découverte a révolutionné le traitement de l'HTA et de l'angor, inaugurant l'ère des ICA. La nifédipine se caractérise par une </w:t>
      </w:r>
      <w:r>
        <w:rPr>
          <w:b/>
        </w:rPr>
        <w:t>demi-vie courte (2–5 h)</w:t>
      </w:r>
      <w:r>
        <w:t xml:space="preserve"> pour la forme immédiate (gélule 10 mg, capsule orale), imposant 2 à 3 prises par jour, et par une </w:t>
      </w:r>
      <w:r>
        <w:rPr>
          <w:b/>
        </w:rPr>
        <w:t>vasodilatation artériolaire rapide et intense</w:t>
      </w:r>
      <w:r>
        <w:t xml:space="preserve"> responsable d'une activation sympathique réflexe (tachycardie, flush, céphalées). Pour pallier ces inconvénients, des </w:t>
      </w:r>
      <w:r>
        <w:rPr>
          <w:b/>
        </w:rPr>
        <w:t>formes à libération prolongée (LP)</w:t>
      </w:r>
      <w:r>
        <w:t xml:space="preserve"> — comprimé LP 20 mg (Adalat Retard), 30 mg, 60 mg (Adalat LP, Nifedipine LP) — ont été développées dès 1984, autorisant une prise biquotidienne puis quotidienne. La forme sublinguale (croquer la gélule), autrefois utilisée en urgence hypertensive, est aujourd'hui </w:t>
      </w:r>
      <w:r>
        <w:rPr>
          <w:b/>
        </w:rPr>
        <w:t>strictement déconseillée</w:t>
      </w:r>
      <w:r>
        <w:t xml:space="preserve"> en raison du risque d'hypotension brutale, d'ischémie myocardique et cérébrale (accidents vasculaires ischémiques), de décès — mise en garde FDA/EMA 1985 et 1995. En Algérie, la nifédipine n'est plus disponible en spécialités actives — toutes les formes sont </w:t>
      </w:r>
      <w:r>
        <w:rPr>
          <w:b/>
        </w:rPr>
        <w:t>non renouvelables</w:t>
      </w:r>
      <w:r>
        <w:t xml:space="preserve"> (Adipine, Epilat, Myogard, Nidilat) ou </w:t>
      </w:r>
      <w:r>
        <w:rPr>
          <w:b/>
        </w:rPr>
        <w:t>retirées</w:t>
      </w:r>
      <w:r>
        <w:t xml:space="preserve"> (Adalat, Nifedipine-Ratiopharm, Nifedicor, etc.). Cette disparition pose la question de la disponibilité d'une DHP classique pour les indications spécifiques (tocolyse, angor de Prinzmetal — où la nifédipine LP reste le traitement de référence).</w:t>
      </w:r>
    </w:p>
    <w:p>
      <w:r/>
      <w:r>
        <w:rPr>
          <w:b/>
        </w:rPr>
        <w:t>Médicaments disponibles en Algérie (Marques, Laboratoires, Formes et Dosages) :</w:t>
      </w:r>
      <w:r/>
    </w:p>
    <w:p>
      <w:r>
        <w:t>Spécialités Non Renouvelables :</w:t>
      </w:r>
    </w:p>
    <w:p>
      <w:pPr>
        <w:pStyle w:val="ListBullet"/>
      </w:pPr>
      <w:r/>
      <w:r>
        <w:rPr>
          <w:b/>
        </w:rPr>
        <w:t>ADIPINE</w:t>
      </w:r>
      <w:r>
        <w:t xml:space="preserve"> (PHARMALLIANCE) — Comprimé 10 mg, B/30 — Liste I — Non Renouvelable</w:t>
      </w:r>
    </w:p>
    <w:p>
      <w:pPr>
        <w:pStyle w:val="ListBullet"/>
      </w:pPr>
      <w:r/>
      <w:r>
        <w:rPr>
          <w:b/>
        </w:rPr>
        <w:t>ADIPINE</w:t>
      </w:r>
      <w:r>
        <w:t xml:space="preserve"> (PHARMALLIANCE) — Gélule à microgranules LP 20 mg, B/30 — Liste I — Non Renouvelable</w:t>
      </w:r>
    </w:p>
    <w:p>
      <w:pPr>
        <w:pStyle w:val="ListBullet"/>
      </w:pPr>
      <w:r/>
      <w:r>
        <w:rPr>
          <w:b/>
        </w:rPr>
        <w:t>EPILAT 10</w:t>
      </w:r>
      <w:r>
        <w:t xml:space="preserve"> (EIPICO) — Gélule 10 mg, B/30 — Liste I — Non Renouvelable</w:t>
      </w:r>
    </w:p>
    <w:p>
      <w:pPr>
        <w:pStyle w:val="ListBullet"/>
      </w:pPr>
      <w:r/>
      <w:r>
        <w:rPr>
          <w:b/>
        </w:rPr>
        <w:t>MYOGARD</w:t>
      </w:r>
      <w:r>
        <w:t xml:space="preserve"> (UNITED PHARMACEUTICAL MANUFACTURING — UPM) — Capsule orale 10 mg, B/30 — Liste I — Non Renouvelable</w:t>
      </w:r>
    </w:p>
    <w:p>
      <w:pPr>
        <w:pStyle w:val="ListBullet"/>
      </w:pPr>
      <w:r/>
      <w:r>
        <w:rPr>
          <w:b/>
        </w:rPr>
        <w:t>NIDILAT</w:t>
      </w:r>
      <w:r>
        <w:t xml:space="preserve"> (SANOFI DOGU) — Capsule orale 10 mg, B/30 — Liste I — Non Renouvelable</w:t>
      </w:r>
    </w:p>
    <w:p>
      <w:r>
        <w:t>Spécialités Retirées (R) — forme immédiate 10 mg :</w:t>
      </w:r>
    </w:p>
    <w:p>
      <w:pPr>
        <w:pStyle w:val="ListBullet"/>
      </w:pPr>
      <w:r/>
      <w:r>
        <w:rPr>
          <w:b/>
        </w:rPr>
        <w:t>ADALAT</w:t>
      </w:r>
      <w:r>
        <w:t xml:space="preserve"> (QUIMICA FARMACEUTICA BAYER) — Capsule 10 mg, B/50 — Retiré (R)</w:t>
      </w:r>
    </w:p>
    <w:p>
      <w:pPr>
        <w:pStyle w:val="ListBullet"/>
      </w:pPr>
      <w:r/>
      <w:r>
        <w:rPr>
          <w:b/>
        </w:rPr>
        <w:t>NIFEDAR</w:t>
      </w:r>
      <w:r>
        <w:t xml:space="preserve"> (DAR AL DAWA) — Gélule 10 mg, B/30 — Retiré (R)</w:t>
      </w:r>
    </w:p>
    <w:p>
      <w:pPr>
        <w:pStyle w:val="ListBullet"/>
      </w:pPr>
      <w:r/>
      <w:r>
        <w:rPr>
          <w:b/>
        </w:rPr>
        <w:t>NIFAR</w:t>
      </w:r>
      <w:r>
        <w:t xml:space="preserve"> (ARAB PHARMACEUTICAL MFG) — Gélule 10 mg, B/30 — Retiré (R)</w:t>
      </w:r>
    </w:p>
    <w:p>
      <w:pPr>
        <w:pStyle w:val="ListBullet"/>
      </w:pPr>
      <w:r/>
      <w:r>
        <w:rPr>
          <w:b/>
        </w:rPr>
        <w:t>NIFEDICOR</w:t>
      </w:r>
      <w:r>
        <w:t xml:space="preserve"> (ALFA WASSERMANN) — Capsule 10 mg, B/50 — Retiré (R)</w:t>
      </w:r>
    </w:p>
    <w:p>
      <w:pPr>
        <w:pStyle w:val="ListBullet"/>
      </w:pPr>
      <w:r/>
      <w:r>
        <w:rPr>
          <w:b/>
        </w:rPr>
        <w:t>NIFELATE</w:t>
      </w:r>
      <w:r>
        <w:t xml:space="preserve"> (BIOGALENIQUE) — Capsule 10 mg, B/30 — Retiré (R)</w:t>
      </w:r>
    </w:p>
    <w:p>
      <w:pPr>
        <w:pStyle w:val="ListBullet"/>
      </w:pPr>
      <w:r/>
      <w:r>
        <w:rPr>
          <w:b/>
        </w:rPr>
        <w:t>ZENUSIN-10</w:t>
      </w:r>
      <w:r>
        <w:t xml:space="preserve"> (MEPHA PHARMA) — Capsule 10 mg, B/20 — Retiré (R)</w:t>
      </w:r>
    </w:p>
    <w:p>
      <w:pPr>
        <w:pStyle w:val="ListBullet"/>
      </w:pPr>
      <w:r/>
      <w:r>
        <w:rPr>
          <w:b/>
        </w:rPr>
        <w:t>NIFEDIPINE-RATIOPHARM</w:t>
      </w:r>
      <w:r>
        <w:t xml:space="preserve"> (LAFON RATIOPHARM) — Capsule 10 mg, B/30 — Retiré (R)</w:t>
      </w:r>
    </w:p>
    <w:p>
      <w:pPr>
        <w:pStyle w:val="ListBullet"/>
      </w:pPr>
      <w:r/>
      <w:r>
        <w:rPr>
          <w:b/>
        </w:rPr>
        <w:t>COROTREND 10</w:t>
      </w:r>
      <w:r>
        <w:t xml:space="preserve"> (NOVAPHARM TRADING) — Gélule 10 mg, B/30 — Retiré (R)</w:t>
      </w:r>
    </w:p>
    <w:p>
      <w:r>
        <w:t>Spécialités Retirées (R) — forme LP 20 mg :</w:t>
      </w:r>
    </w:p>
    <w:p>
      <w:pPr>
        <w:pStyle w:val="ListBullet"/>
      </w:pPr>
      <w:r/>
      <w:r>
        <w:rPr>
          <w:b/>
        </w:rPr>
        <w:t>ADALAT RETARD</w:t>
      </w:r>
      <w:r>
        <w:t xml:space="preserve"> (QUIMICA FARMACEUTICA BAYER) — Comprimé LP 20 mg, B/60 — Retiré (R) — princeps historique</w:t>
      </w:r>
    </w:p>
    <w:p>
      <w:pPr>
        <w:pStyle w:val="ListBullet"/>
      </w:pPr>
      <w:r/>
      <w:r>
        <w:rPr>
          <w:b/>
        </w:rPr>
        <w:t>EPILAT</w:t>
      </w:r>
      <w:r>
        <w:t xml:space="preserve"> (EIPICO) — Comprimé LP 20 mg, B/20 — Retiré (R)</w:t>
      </w:r>
    </w:p>
    <w:p>
      <w:pPr>
        <w:pStyle w:val="ListBullet"/>
      </w:pPr>
      <w:r/>
      <w:r>
        <w:rPr>
          <w:b/>
        </w:rPr>
        <w:t>MYOGARD RETARD</w:t>
      </w:r>
      <w:r>
        <w:t xml:space="preserve"> (UPM) — Comprimé LP 20 mg, B/30 — Retiré (R)</w:t>
      </w:r>
    </w:p>
    <w:p>
      <w:pPr>
        <w:pStyle w:val="ListBullet"/>
      </w:pPr>
      <w:r/>
      <w:r>
        <w:rPr>
          <w:b/>
        </w:rPr>
        <w:t>NIFECARD</w:t>
      </w:r>
      <w:r>
        <w:t xml:space="preserve"> (LEK) — Comprimé LP 20 mg, B/30 — Retiré (R)</w:t>
      </w:r>
    </w:p>
    <w:p>
      <w:pPr>
        <w:pStyle w:val="ListBullet"/>
      </w:pPr>
      <w:r/>
      <w:r>
        <w:rPr>
          <w:b/>
        </w:rPr>
        <w:t>NIFEDIPAL</w:t>
      </w:r>
      <w:r>
        <w:t xml:space="preserve"> (SOPHAL) — Comprimé LP 20 mg, B/20 — Retiré (R)</w:t>
      </w:r>
    </w:p>
    <w:p>
      <w:pPr>
        <w:pStyle w:val="ListBullet"/>
      </w:pPr>
      <w:r/>
      <w:r>
        <w:rPr>
          <w:b/>
        </w:rPr>
        <w:t>NIFELAT RETARD</w:t>
      </w:r>
      <w:r>
        <w:t xml:space="preserve"> (CIPLA) — Comprimé LP 20 mg, B/30 — Retiré (R)</w:t>
      </w:r>
    </w:p>
    <w:p>
      <w:pPr>
        <w:pStyle w:val="ListBullet"/>
      </w:pPr>
      <w:r/>
      <w:r>
        <w:rPr>
          <w:b/>
        </w:rPr>
        <w:t>NIFEDICOR LP</w:t>
      </w:r>
      <w:r>
        <w:t xml:space="preserve"> (ALFA WASSERMANN) — Comprimé LP 20 mg, B/50 — Retiré (R)</w:t>
      </w:r>
    </w:p>
    <w:p>
      <w:pPr>
        <w:pStyle w:val="ListBullet"/>
      </w:pPr>
      <w:r/>
      <w:r>
        <w:rPr>
          <w:b/>
        </w:rPr>
        <w:t>NIFEDIPINE T20 STADA RETARD</w:t>
      </w:r>
      <w:r>
        <w:t xml:space="preserve"> (STADA) — Comprimé LP 20 mg, B/50 — Retiré (R)</w:t>
      </w:r>
    </w:p>
    <w:p>
      <w:pPr>
        <w:pStyle w:val="ListBullet"/>
      </w:pPr>
      <w:r/>
      <w:r>
        <w:rPr>
          <w:b/>
        </w:rPr>
        <w:t>NIFELATE LP</w:t>
      </w:r>
      <w:r>
        <w:t xml:space="preserve"> (BIOGALENIQUE) — Comprimé LP 20 mg, B/30 — Retiré (R)</w:t>
      </w:r>
    </w:p>
    <w:p>
      <w:pPr>
        <w:pStyle w:val="ListBullet"/>
      </w:pPr>
      <w:r/>
      <w:r>
        <w:rPr>
          <w:b/>
        </w:rPr>
        <w:t>CORACTEN</w:t>
      </w:r>
      <w:r>
        <w:t xml:space="preserve"> (ICN PHARMACEUTICALS) — Gélule LP 20 mg, B/30 — Retiré (R)</w:t>
      </w:r>
    </w:p>
    <w:p>
      <w:pPr>
        <w:pStyle w:val="ListBullet"/>
      </w:pPr>
      <w:r/>
      <w:r>
        <w:rPr>
          <w:b/>
        </w:rPr>
        <w:t>CORDIPIN RETARD</w:t>
      </w:r>
      <w:r>
        <w:t xml:space="preserve"> (KRKA) — Comprimé LP 20 mg, B/30 — Retiré (R)</w:t>
      </w:r>
    </w:p>
    <w:p>
      <w:pPr>
        <w:pStyle w:val="ListBullet"/>
      </w:pPr>
      <w:r/>
      <w:r>
        <w:rPr>
          <w:b/>
        </w:rPr>
        <w:t>NIFEDIPINE-RATIOPHARM LP</w:t>
      </w:r>
      <w:r>
        <w:t xml:space="preserve"> (LAFON RATIOPHARM) — Comprimé LP 20 mg, B/30 — Retiré (R)</w:t>
      </w:r>
    </w:p>
    <w:p>
      <w:pPr>
        <w:pStyle w:val="ListBullet"/>
      </w:pPr>
      <w:r/>
      <w:r>
        <w:rPr>
          <w:b/>
        </w:rPr>
        <w:t>ZENUSIN-20 SR</w:t>
      </w:r>
      <w:r>
        <w:t xml:space="preserve"> (MEPHA PHARMA) — Comprimé LP enrobé 20 mg, B/30 — Retiré (R)</w:t>
      </w:r>
    </w:p>
    <w:p>
      <w:pPr>
        <w:pStyle w:val="ListBullet"/>
      </w:pPr>
      <w:r/>
      <w:r>
        <w:rPr>
          <w:b/>
        </w:rPr>
        <w:t>FENAMON SR</w:t>
      </w:r>
      <w:r>
        <w:t xml:space="preserve"> (MEDOCHEMIE) — Comprimé LP 20 mg, B/30 — Retiré (R)</w:t>
      </w:r>
    </w:p>
    <w:p>
      <w:pPr>
        <w:pStyle w:val="ListBullet"/>
      </w:pPr>
      <w:r/>
      <w:r>
        <w:rPr>
          <w:b/>
        </w:rPr>
        <w:t>ANGILAT</w:t>
      </w:r>
      <w:r>
        <w:t xml:space="preserve"> (PETRA PHARM) — Comprimé LP 20 mg, B/30 — Retiré (R)</w:t>
      </w:r>
    </w:p>
    <w:p>
      <w:r/>
      <w:r>
        <w:rPr>
          <w:b/>
        </w:rPr>
        <w:t>Sous-classe et Mécanisme d'action :</w:t>
      </w:r>
      <w:r/>
    </w:p>
    <w:p>
      <w:pPr>
        <w:pStyle w:val="ListBullet"/>
      </w:pPr>
      <w:r>
        <w:t>Sous-classe : DHP de 1re génération, vasosélective, à courte durée d'action (forme immédiate) ou à libération prolongée (comprimés LP 20–60 mg).</w:t>
      </w:r>
    </w:p>
    <w:p>
      <w:pPr>
        <w:pStyle w:val="ListBullet"/>
      </w:pPr>
      <w:r>
        <w:t>Mécanisme d'action : identique à l'amlodipine — liaison au site "DHP" du canal Cav1.2 (sous-unité α1C), blocage voltage-dépendant de l'entrée du Ca2+ extracellulaire dans la cellule musculaire lisse artériolaire → vasodilatation artérielle systémique et coronaire → baisse de la post-charge → baisse de la PA et augmentation du débit coronaire. La nifédipine a une affinité plus marquée pour les artérioles coronaires épicardiques que pour les artérioles systémiques, ce qui explique son excellente efficacité dans l'angor vasospastique (Prinzmetal). Sa vasodilatation est intense et rapide (effet en 20 min pour la forme orale immédiate, en 5–10 min pour la forme sublinguale — utilisée autrefois en urgence hypertensive, aujourd'hui proscrite). Le reflexe sympathique est plus marqué que pour l'amlodipine (tachycardie, palpitations, flush, céphalées).</w:t>
      </w:r>
    </w:p>
    <w:p>
      <w:r/>
      <w:r>
        <w:rPr>
          <w:b/>
        </w:rPr>
        <w:t>Profil Pharmacologique :</w:t>
      </w:r>
      <w:r/>
    </w:p>
    <w:p>
      <w:pPr>
        <w:pStyle w:val="ListBullet"/>
      </w:pPr>
      <w:r>
        <w:t xml:space="preserve">Indications : (1) HTA modérée à sévère, en monothérapie ou association — forme LP uniquement (la forme courte est déconseillée en raison de la variabilité tensionnelle et de l'activation sympathique réflexe) ; (2) angor stable chronique — forme LP ; (3) angor vasospastique de Prinzmetal (forme LP — traitement de référence avec les dérivés nitrés) ; (4) phénomène de Raynaud (hors AMM, en 2e intention après inhibiteurs calciques non sélectifs) ; (5) </w:t>
      </w:r>
      <w:r>
        <w:rPr>
          <w:b/>
        </w:rPr>
        <w:t>tocolyse</w:t>
      </w:r>
      <w:r>
        <w:t xml:space="preserve"> dans le travail prématuré entre 24 et 34 SA (hors AMM, en alternative à l'atosiban ou aux β2-mimétiques) — prescription spécialisée gynéco-obstétricale ; (6) dysménorrhée, hoquet réfractaire (hors AMM).</w:t>
      </w:r>
    </w:p>
    <w:p>
      <w:pPr>
        <w:pStyle w:val="ListBullet"/>
      </w:pPr>
      <w:r>
        <w:t>Contre-indications : (1) hypotension sévère (PAS &lt; 90 mmHg) ; (2) choc cardiogénique ; (3) sténose aortique serrée ; (4) angor instable en phase aiguë ; (5) infarctus du myocarde aigu (forme courte CI) ; (6) obstruction œsophagienne ou gastro-intestinale sévère (formes LP à envelope osmotique — Adalat LP — risque de bézoard) ; (7) porphyrie (rarement rapportée) ; (8) association à la rifampicine (inducteur puissant — la nifédipine est inefficace) ; (9) grossesse au 1er trimestre (CI pour les DHP) ; (10) allaitement (CI — passage lacté important).</w:t>
      </w:r>
    </w:p>
    <w:p>
      <w:pPr>
        <w:pStyle w:val="ListBullet"/>
      </w:pPr>
      <w:r>
        <w:t xml:space="preserve">Effets Indésirables : (1) </w:t>
      </w:r>
      <w:r>
        <w:rPr>
          <w:b/>
        </w:rPr>
        <w:t>Hypotension orthostatique</w:t>
      </w:r>
      <w:r>
        <w:t xml:space="preserve"> — plus marquée qu'avec l'amlodipine (forme courte) ; (2) </w:t>
      </w:r>
      <w:r>
        <w:rPr>
          <w:b/>
        </w:rPr>
        <w:t>Tachycardie réflexe, palpitations</w:t>
      </w:r>
      <w:r>
        <w:t xml:space="preserve"> (jusqu'à 25 % en forme courte — bien moindre en LP) ; (3) flush facial (20 %), céphalées vasculaires (15–20 %) ; (4) Œdèmes malléoles (10–30 %) ; (5) </w:t>
      </w:r>
      <w:r>
        <w:rPr>
          <w:b/>
        </w:rPr>
        <w:t>Réflexe adrénergique — augmentation de l'angor ou de l'infarctus</w:t>
      </w:r>
      <w:r>
        <w:t xml:space="preserve"> (formes courtes — mécanisme : tachycardie + hypotension diastolique réduisant la perfusion coronaire) ; (6) </w:t>
      </w:r>
      <w:r>
        <w:rPr>
          <w:b/>
        </w:rPr>
        <w:t>Hypotension soudaine — risque d'AVC ischémique ou d'IDM</w:t>
      </w:r>
      <w:r>
        <w:t xml:space="preserve"> (forme sublinguale — proscrite depuis 1995) ; (7) Constipation (rare avec DHP, plus fréquente avec vérapamil) ; (8) Hyperplasie gingivale (5 %) ; (9) Réflux gastro-œsophagien ; (10) Démangeaisons, rash ; (11) Réactions phototoxiques ; (12) Œdème pulmonaire non cardiogénique (rare) ; (13) Troubles mictionnels (pollakiurie) ; (14) Hypertrophie gingivale.</w:t>
      </w:r>
    </w:p>
    <w:p>
      <w:r/>
      <w:r>
        <w:rPr>
          <w:b/>
        </w:rPr>
        <w:t>Prévention et Gestion des Effets Indésirables :</w:t>
      </w:r>
      <w:r/>
    </w:p>
    <w:p>
      <w:pPr>
        <w:pStyle w:val="ListBullet"/>
      </w:pPr>
      <w:r>
        <w:t xml:space="preserve">Mesures Préventives : (a) </w:t>
      </w:r>
      <w:r>
        <w:rPr>
          <w:b/>
        </w:rPr>
        <w:t>Préférer systématiquement la forme LP à la forme courte</w:t>
      </w:r>
      <w:r>
        <w:t xml:space="preserve"> (la forme LP 20 mg biquotidienne, ou 30/60 mg en une prise, lisse les pics tensionnels et réduit l'activation sympathique) ; (b) Ne JAMAIS utiliser la forme sublinguale (croquer la gélule) en urgence hypertensive — prescription interdite depuis 1995 par l'ANSM et l'EMA ; (c) Démarrer à faible dose (10 mg × 2/jour ou LP 20 mg × 1/jour), titration progressive ; (d) Surveillance de la TA et de la FC pendant la titration ; (e) Chez le coronarien, surveillance ECG et clinique stricte — éviter en post-IDM récent ; (f) Chez la femme enceinte, tocolyse sous monitoring maternel et fœtal (TA, FC, contractions, RCF) — relais par atosiban ou β2-mimétiques si intolérance.</w:t>
      </w:r>
    </w:p>
    <w:p>
      <w:pPr>
        <w:pStyle w:val="ListBullet"/>
      </w:pPr>
      <w:r>
        <w:t>Conduite à Tenir : (a) Tachycardie réflexe invalidante → associer un β-bloquant (lésinopril, bisoprolol) ou remplacer par amlodipine (longue durée d'action) ; (b) Hypotension sévère → arrêt transitoire, perfusion, adrénaline si collapsus ; (c) Céphalées persistantes → antalgique paracétamol, relais par autre antihypertenseur si intolérance ; (d) Œdèmes malléoles → association à IEC/ARA2, ou relais par lercanidipine ; (e) Hyperplasie gingivale → arrêt, soins dentaires, relais par non-DHP.</w:t>
      </w:r>
    </w:p>
    <w:p>
      <w:r/>
      <w:r>
        <w:rPr>
          <w:b/>
        </w:rPr>
        <w:t>Interactions Importantes :</w:t>
      </w:r>
      <w:r/>
    </w:p>
    <w:p>
      <w:pPr>
        <w:pStyle w:val="ListBullet"/>
      </w:pPr>
      <w:r>
        <w:t xml:space="preserve">Nifédipine + </w:t>
      </w:r>
      <w:r>
        <w:rPr>
          <w:b/>
        </w:rPr>
        <w:t>Inhibiteurs puissants du CYP3A4</w:t>
      </w:r>
      <w:r>
        <w:t xml:space="preserve"> (itraconazole, kétoconazole, clarithromycine, érythromycine, ritonavir, jus de pamplemousse en quantité &gt; 1 verre) : majoration des concentrations (× 2 à 3) → hypotension sévère, tachycardie, céphalées. CI avec itraconazole oral.</w:t>
      </w:r>
    </w:p>
    <w:p>
      <w:pPr>
        <w:pStyle w:val="ListBullet"/>
      </w:pPr>
      <w:r>
        <w:t xml:space="preserve">Nifédipine + </w:t>
      </w:r>
      <w:r>
        <w:rPr>
          <w:b/>
        </w:rPr>
        <w:t>Inducteurs du CYP3A4</w:t>
      </w:r>
      <w:r>
        <w:t xml:space="preserve"> (rifampicine, phénytoïne, carbamazépine, phénobarbital, millepertuis) : </w:t>
      </w:r>
      <w:r>
        <w:rPr>
          <w:b/>
        </w:rPr>
        <w:t>baisse majeure d'efficacité</w:t>
      </w:r>
      <w:r>
        <w:t xml:space="preserve"> (jusqu'à 90 % de réduction des concentrations) — CI avec rifampicine (inefficacité complète).</w:t>
      </w:r>
    </w:p>
    <w:p>
      <w:pPr>
        <w:pStyle w:val="ListBullet"/>
      </w:pPr>
      <w:r>
        <w:t xml:space="preserve">Nifédipine + </w:t>
      </w:r>
      <w:r>
        <w:rPr>
          <w:b/>
        </w:rPr>
        <w:t>β-bloquant</w:t>
      </w:r>
      <w:r>
        <w:t xml:space="preserve"> : association synergique (le β-bloquant neutralise la tachycardie réflexe). Utile chez le coronarien.</w:t>
      </w:r>
    </w:p>
    <w:p>
      <w:pPr>
        <w:pStyle w:val="ListBullet"/>
      </w:pPr>
      <w:r>
        <w:t xml:space="preserve">Nifédipine + </w:t>
      </w:r>
      <w:r>
        <w:rPr>
          <w:b/>
        </w:rPr>
        <w:t>Digoxine</w:t>
      </w:r>
      <w:r>
        <w:t xml:space="preserve"> : augmentation modérée des concentrations de digoxine (10–20 %), surveillance.</w:t>
      </w:r>
    </w:p>
    <w:p>
      <w:pPr>
        <w:pStyle w:val="ListBullet"/>
      </w:pPr>
      <w:r>
        <w:t xml:space="preserve">Nifédipine + </w:t>
      </w:r>
      <w:r>
        <w:rPr>
          <w:b/>
        </w:rPr>
        <w:t>Tacrolimus, ciclosporine</w:t>
      </w:r>
      <w:r>
        <w:t xml:space="preserve"> : augmentation des concentrations (10–40 %), surveillance taux résiduel.</w:t>
      </w:r>
    </w:p>
    <w:p>
      <w:pPr>
        <w:pStyle w:val="ListBullet"/>
      </w:pPr>
      <w:r>
        <w:t xml:space="preserve">Nifédipine + </w:t>
      </w:r>
      <w:r>
        <w:rPr>
          <w:b/>
        </w:rPr>
        <w:t>Phénytoïne</w:t>
      </w:r>
      <w:r>
        <w:t xml:space="preserve"> : augmentation des concentrations de phénytoïne (toxicité neurologique).</w:t>
      </w:r>
    </w:p>
    <w:p>
      <w:pPr>
        <w:pStyle w:val="ListBullet"/>
      </w:pPr>
      <w:r>
        <w:t xml:space="preserve">Nifédipine + </w:t>
      </w:r>
      <w:r>
        <w:rPr>
          <w:b/>
        </w:rPr>
        <w:t>Quinupristine/Dalfopristine</w:t>
      </w:r>
      <w:r>
        <w:t xml:space="preserve"> : majoration des concentrations de nifédipine.</w:t>
      </w:r>
    </w:p>
    <w:p>
      <w:pPr>
        <w:pStyle w:val="ListBullet"/>
      </w:pPr>
      <w:r>
        <w:t xml:space="preserve">Nifédipine + </w:t>
      </w:r>
      <w:r>
        <w:rPr>
          <w:b/>
        </w:rPr>
        <w:t>Cimétidine</w:t>
      </w:r>
      <w:r>
        <w:t xml:space="preserve"> : augmentation des concentrations de nifédipine (inhibition CYP3A4).</w:t>
      </w:r>
    </w:p>
    <w:p>
      <w:pPr>
        <w:pStyle w:val="ListBullet"/>
      </w:pPr>
      <w:r>
        <w:t xml:space="preserve">Nifédipine + </w:t>
      </w:r>
      <w:r>
        <w:rPr>
          <w:b/>
        </w:rPr>
        <w:t>Sildénafil, tadalafil</w:t>
      </w:r>
      <w:r>
        <w:t xml:space="preserve"> : potentialisation hypotensive (risque d'hypotension orthostatique sévère — démarrer à faible dose de PDE5).</w:t>
      </w:r>
    </w:p>
    <w:p>
      <w:pPr>
        <w:pStyle w:val="ListBullet"/>
      </w:pPr>
      <w:r>
        <w:t xml:space="preserve">Nifédipine + </w:t>
      </w:r>
      <w:r>
        <w:rPr>
          <w:b/>
        </w:rPr>
        <w:t>Alcool</w:t>
      </w:r>
      <w:r>
        <w:t xml:space="preserve"> : potentialisation hypotensive.</w:t>
      </w:r>
    </w:p>
    <w:p>
      <w:r/>
      <w:r>
        <w:rPr>
          <w:b/>
        </w:rPr>
        <w:t>Grossesse et Allaitement :</w:t>
      </w:r>
      <w:r/>
    </w:p>
    <w:p>
      <w:pPr>
        <w:pStyle w:val="ListBullet"/>
      </w:pPr>
      <w:r>
        <w:t xml:space="preserve">Grossesse : (1) </w:t>
      </w:r>
      <w:r>
        <w:rPr>
          <w:b/>
        </w:rPr>
        <w:t>1er trimestre</w:t>
      </w:r>
      <w:r>
        <w:t xml:space="preserve"> : à éviter par prudence (données animales tératogènes à doses élevées — données humaines limitées) ; (2) </w:t>
      </w:r>
      <w:r>
        <w:rPr>
          <w:b/>
        </w:rPr>
        <w:t>2e et 3e trimestres</w:t>
      </w:r>
      <w:r>
        <w:t xml:space="preserve"> : acceptable pour HTA chronique gravidique ou prééclampsie (selon CRAT — la nifédipine LP est une DHP de choix en 2e ligne après méthyldopa) ; (3) </w:t>
      </w:r>
      <w:r>
        <w:rPr>
          <w:b/>
        </w:rPr>
        <w:t>Tocolyse</w:t>
      </w:r>
      <w:r>
        <w:t xml:space="preserve"> : nifédipine LP 20 mg toutes les 4–6 h (max 60 mg/j) — hors AMM en France mais largement utilisée en pratique et recommandée par le Collège National des Gynécologues et Obstétriciens Français (CNGOF) en première intention. La nifédipine tocolytique traverse le placenta sans effets fœtaux majeurs à doses thérapeutiques ; surveillance du RCF.</w:t>
      </w:r>
    </w:p>
    <w:p>
      <w:pPr>
        <w:pStyle w:val="ListBullet"/>
      </w:pPr>
      <w:r>
        <w:t xml:space="preserve">Allaitement : </w:t>
      </w:r>
      <w:r>
        <w:rPr>
          <w:b/>
        </w:rPr>
        <w:t>Déconseillée</w:t>
      </w:r>
      <w:r>
        <w:t xml:space="preserve"> selon le CRAT — passage lacté significatif (rapport lait/plasma ≈ 0,5), doses ingérées par le nourrisson estimées à 3–5 % de la dose maternelle pondérée. Préférer l'amlodipine ou la nicardipine LP si traitement de l'HTA pendant l'allaitement.</w:t>
      </w:r>
    </w:p>
    <w:p>
      <w:pPr>
        <w:pStyle w:val="ListBullet"/>
      </w:pPr>
      <w:r>
        <w:t>Précisions : La nifédipine IV n'existe pas en France — pour l'urgence hypertensive gravidique, on utilise la nicardipine IV ou le labétalol IV.</w:t>
      </w:r>
    </w:p>
    <w:p>
      <w:r/>
      <w:r>
        <w:rPr>
          <w:b/>
        </w:rPr>
        <w:t>Posologie et Mode d'administration (Standard) :</w:t>
      </w:r>
      <w:r/>
    </w:p>
    <w:p>
      <w:pPr>
        <w:pStyle w:val="ListBullet"/>
      </w:pPr>
      <w:r>
        <w:t xml:space="preserve">Adulte : Forme LP : 20 mg × 2/jour (matin et soir) ou 30 mg × 1/jour (LP) ou 60 mg × 1/jour (LP) —dose maximale 90 mg/jour (LP 60 mg + LP 30 mg en deux prises). </w:t>
      </w:r>
      <w:r>
        <w:rPr>
          <w:b/>
        </w:rPr>
        <w:t>Forme courte (gélule 10 mg) à proscrire en pratique ambulatoire</w:t>
      </w:r>
      <w:r>
        <w:t xml:space="preserve"> — réservée à la phase aiguë hospitalière avec monitoring (et encore, déconseillée).</w:t>
      </w:r>
    </w:p>
    <w:p>
      <w:pPr>
        <w:pStyle w:val="ListBullet"/>
      </w:pPr>
      <w:r>
        <w:t>Sujet âgé : démarrer à LP 20 mg/jour, titration prudente, surveillance orthostatique.</w:t>
      </w:r>
    </w:p>
    <w:p>
      <w:pPr>
        <w:pStyle w:val="ListBullet"/>
      </w:pPr>
      <w:r>
        <w:t>Enfant : la nifédipine n'a pas d'AMM pédiatrique stricte en Algérie ; utilisée hors AMM dans l'HTA pédiatrique sévère à 0,25–0,5 mg/kg/jour en 3 prises (forme courte — à manier en milieu spécialisé).</w:t>
      </w:r>
    </w:p>
    <w:p>
      <w:pPr>
        <w:pStyle w:val="ListBullet"/>
      </w:pPr>
      <w:r>
        <w:t>Insuffisant hépatique : réduction de 50 % de la dose initiale.</w:t>
      </w:r>
    </w:p>
    <w:p>
      <w:pPr>
        <w:pStyle w:val="ListBullet"/>
      </w:pPr>
      <w:r>
        <w:t>Insuffisant rénal : pas d'adaptation (métabolites hépatiques inactifs).</w:t>
      </w:r>
    </w:p>
    <w:p>
      <w:pPr>
        <w:pStyle w:val="ListBullet"/>
      </w:pPr>
      <w:r>
        <w:t>Tocolyse : 20 mg LP per os, à répéter toutes les 4 h (max 60 mg/j) pendant 48 h. Relais par atosiban ou β2-mimétique si échec.</w:t>
      </w:r>
    </w:p>
    <w:p>
      <w:pPr>
        <w:pStyle w:val="ListBullet"/>
      </w:pPr>
      <w:r>
        <w:t>Durée : traitement au long cours (HTA, angor). Tocolyse : 48 h maximum.</w:t>
      </w:r>
    </w:p>
    <w:p>
      <w:pPr>
        <w:pStyle w:val="ListBullet"/>
      </w:pPr>
      <w:r>
        <w:t>Moment de prise : à heure fixe, à distance des repas (la prise au cours d'un repas riche en graisses peut modifier la résorption des formes LP à envelope osmotique — Adalat LP — en pratique peu d'impact clinique). Ne pas croquer ni écraser les formes LP.</w:t>
      </w:r>
    </w:p>
    <w:p>
      <w:r/>
      <w:r>
        <w:rPr>
          <w:b/>
        </w:rPr>
        <w:t>Arbitrage et Bénéfices des Formes Galéniques :</w:t>
      </w:r>
      <w:r/>
    </w:p>
    <w:p>
      <w:r>
        <w:t xml:space="preserve">La nifédipine illustre l'importance cruciale de la formulation galénique : la forme immédiate (gélule 10 mg) a une action rapide (20 min) mais brève (4–6 h), générant des pics de vasodilatation avec activation sympathique réflexe et risque d'ischémie myocardique. La forme LP 20 mg (Adalat Retard, Nifedipine LP 20) prolonge l'action à 12 h, autorisant 2 prises/j. La forme LP 30 mg et 60 mg (Adalat LP — système osmotique OROS) délivre la molécule sur 24 h en une prise unique, autorisant une couverture tensionnelle continue. La </w:t>
      </w:r>
      <w:r>
        <w:rPr>
          <w:b/>
        </w:rPr>
        <w:t>forme LP à envelope osmotique</w:t>
      </w:r>
      <w:r>
        <w:t xml:space="preserve"> (Adalat LP, système GITS — Gastro-Intestinal Therapeutic System) doit être avalée entière — la coque est récupérée dans les selles (information à donner au patient pour éviter l'inquiétude). Pour la tocolyse, la forme LP 20 mg est utilisée. La forme sublinguale (croquer la gélule 10 mg) — autrefois urgence hypertensive — est aujourd'hui </w:t>
      </w:r>
      <w:r>
        <w:rPr>
          <w:b/>
        </w:rPr>
        <w:t>strictement proscrite</w:t>
      </w:r>
      <w:r>
        <w:t xml:space="preserve"> en raison d'accidents mortels (hypotension brutale, AVC ischémique, IDM) — information essentielle pour le pharmacien d'officine qui doit refuser cette pratique si un patient la demande.</w:t>
      </w:r>
    </w:p>
    <w:p>
      <w:r/>
      <w:r>
        <w:rPr>
          <w:b/>
        </w:rPr>
        <w:t>Instructions et Conseils au Patient :</w:t>
      </w:r>
      <w:r/>
    </w:p>
    <w:p>
      <w:pPr>
        <w:pStyle w:val="ListBullet"/>
      </w:pPr>
      <w:r>
        <w:t xml:space="preserve">Communication au comptoir : « Ce médicament est un antihypertenseur ou antiangoreux de la famille des inhibiteurs calciques. Il doit se prendre </w:t>
      </w:r>
      <w:r>
        <w:rPr>
          <w:b/>
        </w:rPr>
        <w:t>tous les jours à la même heure</w:t>
      </w:r>
      <w:r>
        <w:t xml:space="preserve">. Si c'est la forme "à libération prolongée" (LP), </w:t>
      </w:r>
      <w:r>
        <w:rPr>
          <w:b/>
        </w:rPr>
        <w:t>ne jamais la croquer ni l'écraser</w:t>
      </w:r>
      <w:r>
        <w:t xml:space="preserve"> — l'avaler entière avec un grand verre d'eau. Vous pourriez voir dans les selles une sorte de coque vide — c'est normal, le médicament a bien été libéré. Vous pouvez ressentir des </w:t>
      </w:r>
      <w:r>
        <w:rPr>
          <w:b/>
        </w:rPr>
        <w:t>bouffées de chaleur</w:t>
      </w:r>
      <w:r>
        <w:t xml:space="preserve"> du visage, des </w:t>
      </w:r>
      <w:r>
        <w:rPr>
          <w:b/>
        </w:rPr>
        <w:t>maux de tête</w:t>
      </w:r>
      <w:r>
        <w:t xml:space="preserve"> ou des </w:t>
      </w:r>
      <w:r>
        <w:rPr>
          <w:b/>
        </w:rPr>
        <w:t>palpitations</w:t>
      </w:r>
      <w:r>
        <w:t xml:space="preserve"> en début de traitement — ces effets s'atténuent en 1 à 2 semaines. Si vous avez les </w:t>
      </w:r>
      <w:r>
        <w:rPr>
          <w:b/>
        </w:rPr>
        <w:t>chevilles gonflées</w:t>
      </w:r>
      <w:r>
        <w:t xml:space="preserve">, prévenez votre médecin. </w:t>
      </w:r>
      <w:r>
        <w:rPr>
          <w:b/>
        </w:rPr>
        <w:t>Ne jamais croquer la gélule</w:t>
      </w:r>
      <w:r>
        <w:t xml:space="preserve"> même en cas de crise hypertensive — ceci est dangereux. Prévenez tout médecin ou dentiste que vous prenez ce traitement. Évitez le pamplemousse (jus) en grande quantité. »</w:t>
      </w:r>
    </w:p>
    <w:p>
      <w:pPr>
        <w:pStyle w:val="ListBullet"/>
      </w:pPr>
      <w:r>
        <w:t>Mode d'utilisation pratique : (a) Prendre la forme LP à heure fixe, sans croquer ; (b) En cas d'oubli : si &lt; 4 h, prendre la dose oubliée ; sinon, sauter et continuer ; (c) Ne pas associer à l'alcool ; (d) Automesure tensionnelle et carnet de TA ; (e) Consultation médicale si TA &gt; 140/90 ou effets intolérables.</w:t>
      </w:r>
    </w:p>
    <w:p>
      <w:r/>
      <w:r>
        <w:rPr>
          <w:b/>
        </w:rPr>
        <w:t>Notes, Règles d'Or &amp; Pièges au Comptoir :</w:t>
      </w:r>
      <w:r/>
    </w:p>
    <w:p>
      <w:pPr>
        <w:pStyle w:val="ListBullet"/>
      </w:pPr>
      <w:r/>
      <w:r>
        <w:rPr>
          <w:b/>
        </w:rPr>
        <w:t>Piège classique — Forme sublinguale proscrite</w:t>
      </w:r>
      <w:r>
        <w:t xml:space="preserve"> : ne jamais accepter de donner à un patient l'instruction de "croquer une gélule de nifédipine en cas de crise hypertensive". Cette pratique a été responsable de cas mortels. En cas de poussée hypertensive, l'attitude correcte est : (a) mesurer la TA, (b) si TA &gt; 180/110 avec signes de gravité (céphalées brutales, troubles visuels, douleur thoracique, dyspnée) → hospitalisation en urgence pour nicardipine IV ; (c) si TA &gt; 180/110 sans signe de gravité → consultation médicale rapide pour adaptation thérapeutique (augmentation de l'antihypertenseur oral, association).</w:t>
      </w:r>
    </w:p>
    <w:p>
      <w:pPr>
        <w:pStyle w:val="ListBullet"/>
      </w:pPr>
      <w:r/>
      <w:r>
        <w:rPr>
          <w:b/>
        </w:rPr>
        <w:t>Piège — Substitution par amlodipine</w:t>
      </w:r>
      <w:r>
        <w:t xml:space="preserve"> : en l'absence de nifédipine LP active en Algérie, de nombreux patients sous nifédipine LP ancienne ont été transférés vers l'amlodipine. Le pharmacien doit vérifier l'équivalence posologique approximative : nifédipine LP 20 mg ≈ amlodipine 5 mg, nifédipine LP 30 mg ≈ amlodipine 5–10 mg.</w:t>
      </w:r>
    </w:p>
    <w:p>
      <w:pPr>
        <w:pStyle w:val="ListBullet"/>
      </w:pPr>
      <w:r/>
      <w:r>
        <w:rPr>
          <w:b/>
        </w:rPr>
        <w:t>Piège — Tocolyse</w:t>
      </w:r>
      <w:r>
        <w:t xml:space="preserve"> : la nifédipine LP pour tocolyse n'est plus disponible en spécialité active en Algérie — les obstétriciens doivent recourir à l'atosiban, la nicardipine IV (hors AMM mais utilisée), ou aux β2-mimétiques.</w:t>
      </w:r>
    </w:p>
    <w:p>
      <w:pPr>
        <w:pStyle w:val="ListBullet"/>
      </w:pPr>
      <w:r/>
      <w:r>
        <w:rPr>
          <w:b/>
        </w:rPr>
        <w:t>Règle de prise</w:t>
      </w:r>
      <w:r>
        <w:t xml:space="preserve"> : une prise unique (LP 30 ou 60 mg) ou biquotidienne (LP 20 mg), à heure fixe, à vie (HTA, angor).</w:t>
      </w:r>
    </w:p>
    <w:p>
      <w:pPr>
        <w:pStyle w:val="ListBullet"/>
      </w:pPr>
      <w:r/>
      <w:r>
        <w:rPr>
          <w:b/>
        </w:rPr>
        <w:t>Préparation et Conservation</w:t>
      </w:r>
      <w:r>
        <w:t xml:space="preserve"> : conserver à &lt; 25 °C, à l'abri de la lumière et de l'humidité. Les gélules ne doivent pas être exposées à des températures &gt; 30 °C (risque de modification de la résorption).</w:t>
      </w:r>
    </w:p>
    <w:p>
      <w:pPr>
        <w:pStyle w:val="ListBullet"/>
      </w:pPr>
      <w:r/>
      <w:r>
        <w:rPr>
          <w:b/>
        </w:rPr>
        <w:t>Piège du surdosage</w:t>
      </w:r>
      <w:r>
        <w:t xml:space="preserve"> : surdosage massif → hypotension sévère, tachycardie réflexe initiale puis bradycardie, troubles de conduction, hyperglycémie, acidose métabolique. Traitement : lavage gastrique si ingestion &lt; 1 h, charbon activé, calcium IV (gluconate 10 % — 10 à 20 mL IVL), adrénaline, glucagon, insuline + glucose. Hémoperfusion inefficace.</w:t>
      </w:r>
    </w:p>
    <w:p>
      <w:pPr>
        <w:pStyle w:val="Heading3"/>
      </w:pPr>
      <w:r>
        <w:t>3. DCI : Lercanidipine (Seule)</w:t>
      </w:r>
    </w:p>
    <w:p>
      <w:r/>
      <w:r>
        <w:rPr>
          <w:b/>
        </w:rPr>
        <w:t>Liste des Catégories :</w:t>
      </w:r>
      <w:r>
        <w:t xml:space="preserve"> Inhibiteurs calciques — Dihydropyridines (DHP) ; Antihypertenseur.</w:t>
      </w:r>
    </w:p>
    <w:p>
      <w:r>
        <w:t xml:space="preserve">La lercanidipine (chlorhydrate de 2-[(3,3-diphenylpropyl)methylamino]-1,1-dimethylethyl methyl 2,6-dimethyl-4-(3-nitrophenyl)-1,4-dihydropyridine-3,5-dicarboxylate) est une DHP de </w:t>
      </w:r>
      <w:r>
        <w:rPr>
          <w:b/>
        </w:rPr>
        <w:t>4e génération</w:t>
      </w:r>
      <w:r>
        <w:t xml:space="preserve">, commercialisée en Italie dès 1997 par Recordati sous le nom de Zanidip®. Elle se distingue des DHP précédentes par sa </w:t>
      </w:r>
      <w:r>
        <w:rPr>
          <w:b/>
        </w:rPr>
        <w:t>très haute lipophilie</w:t>
      </w:r>
      <w:r>
        <w:t xml:space="preserve"> (log P ≈ 6, plus élevée que l'amlodipine) et son </w:t>
      </w:r>
      <w:r>
        <w:rPr>
          <w:b/>
        </w:rPr>
        <w:t>effet "membrane"</w:t>
      </w:r>
      <w:r>
        <w:t xml:space="preserve"> : la molécule s'accumule dans la bicouche lipidique de la membrane des cellules musculaires lisses vasculaires, formant un "réservoir" à proximité immédiate du canal Cav1.2. Cette propriété pharmacocinétique cellulaire explique plusieurs avantages : (1) </w:t>
      </w:r>
      <w:r>
        <w:rPr>
          <w:b/>
        </w:rPr>
        <w:t>installation d'action lente</w:t>
      </w:r>
      <w:r>
        <w:t xml:space="preserve"> (effet maximum en 6–8 h, vs 4–6 h pour l'amlodipine) — pas de pic de vasodilatation → pas d'activation sympathique réflexe marquée ; (2) </w:t>
      </w:r>
      <w:r>
        <w:rPr>
          <w:b/>
        </w:rPr>
        <w:t>déclin d'action lent</w:t>
      </w:r>
      <w:r>
        <w:t xml:space="preserve"> — couverture 24 h en une prise ; (3) </w:t>
      </w:r>
      <w:r>
        <w:rPr>
          <w:b/>
        </w:rPr>
        <w:t>vasosélectivité accrue</w:t>
      </w:r>
      <w:r>
        <w:t xml:space="preserve"> — effet sur le muscle lisse vasculaire 100 fois supérieur à l'effet inotrope négatif (vs 10 fois pour la nifédipine) ; (4) </w:t>
      </w:r>
      <w:r>
        <w:rPr>
          <w:b/>
        </w:rPr>
        <w:t>moindre incidence d'œdèmes malléoles</w:t>
      </w:r>
      <w:r>
        <w:t xml:space="preserve"> (le vasodilatateur se diffuse lentement, sans gradient artériolocapillaire asymétrique) ; (5) </w:t>
      </w:r>
      <w:r>
        <w:rPr>
          <w:b/>
        </w:rPr>
        <w:t>métabolisme hépatique exclusif par CYP3A4</w:t>
      </w:r>
      <w:r>
        <w:t>, sans métabolites actifs. La lercanidipine est devenue la DHP de référence chez le sujet âgé et chez le patient présentant des œdèmes sous amlodipine. En Algérie, elle est commercialisée sous 8 spécialités actives — un marché concurrentiel dynamique.</w:t>
      </w:r>
    </w:p>
    <w:p>
      <w:r/>
      <w:r>
        <w:rPr>
          <w:b/>
        </w:rPr>
        <w:t>Médicaments disponibles en Algérie (Marques, Laboratoires, Formes et Dosages) :</w:t>
      </w:r>
      <w:r/>
    </w:p>
    <w:p>
      <w:r>
        <w:t>Forme orale 10 mg :</w:t>
      </w:r>
    </w:p>
    <w:p>
      <w:pPr>
        <w:pStyle w:val="ListBullet"/>
      </w:pPr>
      <w:r/>
      <w:r>
        <w:rPr>
          <w:b/>
        </w:rPr>
        <w:t>CARDIPINE</w:t>
      </w:r>
      <w:r>
        <w:t xml:space="preserve"> (HUPP PHARMA) — Comprimé pelliculé sécable 10 mg, B/30 — Liste I — Actif</w:t>
      </w:r>
    </w:p>
    <w:p>
      <w:pPr>
        <w:pStyle w:val="ListBullet"/>
      </w:pPr>
      <w:r/>
      <w:r>
        <w:rPr>
          <w:b/>
        </w:rPr>
        <w:t>CORDIPINE</w:t>
      </w:r>
      <w:r>
        <w:t xml:space="preserve"> (BIOPHARM) — Comprimé pelliculé sécable 10 mg, B/30 — Liste I — Actif</w:t>
      </w:r>
    </w:p>
    <w:p>
      <w:pPr>
        <w:pStyle w:val="ListBullet"/>
      </w:pPr>
      <w:r/>
      <w:r>
        <w:rPr>
          <w:b/>
        </w:rPr>
        <w:t>DEPADIUM</w:t>
      </w:r>
      <w:r>
        <w:t xml:space="preserve"> (EL KENDI INDUSTRIE DU MEDICAMENT) — Comprimé pelliculé sécable 10 mg, B/30 — Liste I — Actif</w:t>
      </w:r>
    </w:p>
    <w:p>
      <w:pPr>
        <w:pStyle w:val="ListBullet"/>
      </w:pPr>
      <w:r/>
      <w:r>
        <w:rPr>
          <w:b/>
        </w:rPr>
        <w:t>DINAZIP</w:t>
      </w:r>
      <w:r>
        <w:t xml:space="preserve"> (NEOMEDIC) — Comprimé pelliculé sécable 10 mg, B/30 — Liste I — Actif</w:t>
      </w:r>
    </w:p>
    <w:p>
      <w:pPr>
        <w:pStyle w:val="ListBullet"/>
      </w:pPr>
      <w:r/>
      <w:r>
        <w:rPr>
          <w:b/>
        </w:rPr>
        <w:t>LECARNIDIPINE LDM</w:t>
      </w:r>
      <w:r>
        <w:t xml:space="preserve"> (LABORATOIRES DE DIAGNOSTIC MAGHREBINS-LDM) — Comprimé pelliculé sécable 10 mg, B/30 — Liste I — Actif</w:t>
      </w:r>
    </w:p>
    <w:p>
      <w:pPr>
        <w:pStyle w:val="ListBullet"/>
      </w:pPr>
      <w:r/>
      <w:r>
        <w:rPr>
          <w:b/>
        </w:rPr>
        <w:t>LERCA</w:t>
      </w:r>
      <w:r>
        <w:t xml:space="preserve"> (NOVAPHARM TRADING) — Comprimé pelliculé sécable 10 mg, B/30 — Liste I — Actif</w:t>
      </w:r>
    </w:p>
    <w:p>
      <w:pPr>
        <w:pStyle w:val="ListBullet"/>
      </w:pPr>
      <w:r/>
      <w:r>
        <w:rPr>
          <w:b/>
        </w:rPr>
        <w:t>LERCANIDIPINE BEKER</w:t>
      </w:r>
      <w:r>
        <w:t xml:space="preserve"> (LABORATOIRES BEKER) — Comprimé pelliculé sécable 10 mg, B/30 et B/90 — Liste I — Actif</w:t>
      </w:r>
    </w:p>
    <w:p>
      <w:pPr>
        <w:pStyle w:val="ListBullet"/>
      </w:pPr>
      <w:r/>
      <w:r>
        <w:rPr>
          <w:b/>
        </w:rPr>
        <w:t>ZANIDIP</w:t>
      </w:r>
      <w:r>
        <w:t xml:space="preserve"> (BOUCHARA-RECORDATI) — Comprimé pelliculé sécable 10 mg, B/30 et B/90 — Liste I — Actif (princeps)</w:t>
      </w:r>
    </w:p>
    <w:p>
      <w:r/>
      <w:r>
        <w:rPr>
          <w:b/>
        </w:rPr>
        <w:t>Sous-classe et Mécanisme d'action :</w:t>
      </w:r>
      <w:r/>
    </w:p>
    <w:p>
      <w:pPr>
        <w:pStyle w:val="ListBullet"/>
      </w:pPr>
      <w:r>
        <w:t>Sous-classe : DHP de 4e génération, vasosélective, longue durée d'action, haute lipophilie.</w:t>
      </w:r>
    </w:p>
    <w:p>
      <w:pPr>
        <w:pStyle w:val="ListBullet"/>
      </w:pPr>
      <w:r>
        <w:t>Mécanisme d'action : la lercanidipine se lie au site "DHP" du canal Cav1.2 de la cellule musculaire lisse vasculaire, avec une cinétique d'association/dissociation lente (lié à son incorporation membranaire préalable). Le blocage de l'entrée du Ca2+ extracellulaire produit une vasodilatation artériolaire systémique et coronaire, sans effet inotrope négatif significatif (rapport vasodilatation/inotropie négatif ≈ 100, vs 10 pour la nifédipine). L'absence de pic de concentration plasmatique (Tmax à 1,5–3 h, Cmax basse) évite l'activation sympathique réflexe. La lercanidipine n'a aucun effet délétaire sur le métabolisme (neutre sur glycémie, profil lipidique, uricémie) et présente des effets pléiotropes anti-athérogènes et néphroprotecteurs discutés (réduction de la protéinurie chez le diabétique, comparable aux autres ICA).</w:t>
      </w:r>
    </w:p>
    <w:p>
      <w:r/>
      <w:r>
        <w:rPr>
          <w:b/>
        </w:rPr>
        <w:t>Profil Pharmacologique :</w:t>
      </w:r>
      <w:r/>
    </w:p>
    <w:p>
      <w:pPr>
        <w:pStyle w:val="ListBullet"/>
      </w:pPr>
      <w:r>
        <w:t>Indications : (1) HTA essentielle légère à modérée, en monothérapie (sujet âgé, diabétique, syndrome métabolique — selon recommandations ESH/ESC 2018) ; (2) en association à un IEC, ARA2 ou diurétique thiazidique en cas d'HTA modérée à sévère ; (3) alternative à l'amlodipine en cas d'œdèmes malléoles intolérables. La lercanidipine n'a pas d'AMM dans l'angor stable (son développement clinique s'est concentré sur l'HTA).</w:t>
      </w:r>
    </w:p>
    <w:p>
      <w:pPr>
        <w:pStyle w:val="ListBullet"/>
      </w:pPr>
      <w:r>
        <w:t>Contre-indications : (1) hypersensibilité aux DHP ; (2) hypotension sévère (PAS &lt; 90 mmHg) ; (3) choc cardiogénique ; (4) sténose aortique serrée ; (5) angor instable ; (6) insuffisance hépatique sévère (la lercanidipine est métabolisée exclusivement par le foie — CI absolue si Child-Pugh C) ; (7) insuffisance rénale sévère (DFG &lt; 30 mL/min — non CI formelle mais prudence, utilisation non recommandée) ; (8) femme enceinte ou allaitante (CI — données insuffisantes) ; (9) obstruction œsophagienne (rare, décrit avec d'autres DHP) ; (10) association à la ciclosporine (CI — majoration importante des concentrations de lercanidipine).</w:t>
      </w:r>
    </w:p>
    <w:p>
      <w:pPr>
        <w:pStyle w:val="ListBullet"/>
      </w:pPr>
      <w:r>
        <w:t xml:space="preserve">Effets Indésirables : (1) </w:t>
      </w:r>
      <w:r>
        <w:rPr>
          <w:b/>
        </w:rPr>
        <w:t>Œdèmes malléoles</w:t>
      </w:r>
      <w:r>
        <w:t xml:space="preserve"> — incidence plus faible qu'avec l'amlodipine (4–8 % vs 10–25 % — lié à la cinétique d'installation lente) ; (2) céphalées (2–5 %) ; (3) flush facial (1–3 %) ; (4) palpitations (1–2 %, moindre que la nifédipine courte) ; (5) vertiges, asthénie (1–3 %) ; (6) tachycardie réflexe (rare, &lt; 1 %) ; (7) rash, prurit (1 %) ; (8) hyperplasie gingivale (rare, &lt; 1 %) ; (9) troubles digestifs (dyspepsie, nausées — 1–2 %) ; (10) réactions cutanées phototoxiques (rares). Profil global </w:t>
      </w:r>
      <w:r>
        <w:rPr>
          <w:b/>
        </w:rPr>
        <w:t>meilleur que l'amlodipine</w:t>
      </w:r>
      <w:r>
        <w:t xml:space="preserve"> en termes d'œdèmes et de céphalées — avantage décisif chez le sujet âgé ou en cas d'intolérance à l'amlodipine.</w:t>
      </w:r>
    </w:p>
    <w:p>
      <w:r/>
      <w:r>
        <w:rPr>
          <w:b/>
        </w:rPr>
        <w:t>Prévention et Gestion des Effets Indésirables :</w:t>
      </w:r>
      <w:r/>
    </w:p>
    <w:p>
      <w:pPr>
        <w:pStyle w:val="ListBullet"/>
      </w:pPr>
      <w:r>
        <w:t>Mesures Préventives : (a) Prendre au moins 15 minutes avant le petit-déjeuner (l'alimentation augmente considérablement la résorption — prise à jeun recommandée) ; (b) Démarrer à 10 mg/jour, augmentation à 20 mg/jour après 2 semaines si nécessaire (dose maximale) ; (c) Chez le sujet âgé ou l'insuffisant hépatique modéré, démarrer à 10 mg/jour et titrer prudemment ; (d) Ne pas associer à la ciclosporine (CI) ; (e) Prévenir le patient que les œdèmes sont rares mais possibles, et qu'ils ne sont pas un signe d'insuffisance cardiaque.</w:t>
      </w:r>
    </w:p>
    <w:p>
      <w:pPr>
        <w:pStyle w:val="ListBullet"/>
      </w:pPr>
      <w:r>
        <w:t>Conduite à Tenir : (a) Œdèmes persistants → baisse de dose à 10 mg, association à IEC/ARA2, ou relais par une autre classe (non-DHP si CI cardiaque absente) ; (b) Céphalées → paracétamol, régression habituelle en 1–2 semaines ; (c) Hypotension → arrêt transitoire, perfusion si sévère ; (d) Rash → arrêt, antihistaminique si prurigineux.</w:t>
      </w:r>
    </w:p>
    <w:p>
      <w:r/>
      <w:r>
        <w:rPr>
          <w:b/>
        </w:rPr>
        <w:t>Interactions Importantes :</w:t>
      </w:r>
      <w:r/>
    </w:p>
    <w:p>
      <w:pPr>
        <w:pStyle w:val="ListBullet"/>
      </w:pPr>
      <w:r>
        <w:t xml:space="preserve">Lercanidipine + </w:t>
      </w:r>
      <w:r>
        <w:rPr>
          <w:b/>
        </w:rPr>
        <w:t>Ciclosporine</w:t>
      </w:r>
      <w:r>
        <w:t xml:space="preserve"> : </w:t>
      </w:r>
      <w:r>
        <w:rPr>
          <w:b/>
        </w:rPr>
        <w:t>CI absolue</w:t>
      </w:r>
      <w:r>
        <w:t xml:space="preserve"> — la ciclosporine inhibe le CYP3A4 et la P-gp, majorant les concentrations de lercanidipine de 3 à 5 fois → risque d'hypotension sévère, bradycardie.</w:t>
      </w:r>
    </w:p>
    <w:p>
      <w:pPr>
        <w:pStyle w:val="ListBullet"/>
      </w:pPr>
      <w:r>
        <w:t xml:space="preserve">Lercanidipine + </w:t>
      </w:r>
      <w:r>
        <w:rPr>
          <w:b/>
        </w:rPr>
        <w:t>Inhibiteurs puissants du CYP3A4</w:t>
      </w:r>
      <w:r>
        <w:t xml:space="preserve"> (itraconazole, kétoconazole, clarithromycine, érythromycine, ritonavir) : majoration des concentrations → hypotension. Surveillance, adaptation.</w:t>
      </w:r>
    </w:p>
    <w:p>
      <w:pPr>
        <w:pStyle w:val="ListBullet"/>
      </w:pPr>
      <w:r>
        <w:t xml:space="preserve">Lercanidipine + </w:t>
      </w:r>
      <w:r>
        <w:rPr>
          <w:b/>
        </w:rPr>
        <w:t>Inducteurs du CYP3A4</w:t>
      </w:r>
      <w:r>
        <w:t xml:space="preserve"> (rifampicine, phénytoïne, carbamazépine, phénobarbital, millepertuis) : baisse d'efficacité — éviter l'association.</w:t>
      </w:r>
    </w:p>
    <w:p>
      <w:pPr>
        <w:pStyle w:val="ListBullet"/>
      </w:pPr>
      <w:r>
        <w:t xml:space="preserve">Lercanidipine + </w:t>
      </w:r>
      <w:r>
        <w:rPr>
          <w:b/>
        </w:rPr>
        <w:t>Digoxine</w:t>
      </w:r>
      <w:r>
        <w:t xml:space="preserve"> : pas d'effet significatif.</w:t>
      </w:r>
    </w:p>
    <w:p>
      <w:pPr>
        <w:pStyle w:val="ListBullet"/>
      </w:pPr>
      <w:r>
        <w:t xml:space="preserve">Lercanidipine + </w:t>
      </w:r>
      <w:r>
        <w:rPr>
          <w:b/>
        </w:rPr>
        <w:t>Midorine</w:t>
      </w:r>
      <w:r>
        <w:t xml:space="preserve"> : la midorine (α1-agoniste) peut réduire l'effet antihypertenseur de la lercanidipine.</w:t>
      </w:r>
    </w:p>
    <w:p>
      <w:pPr>
        <w:pStyle w:val="ListBullet"/>
      </w:pPr>
      <w:r>
        <w:t xml:space="preserve">Lercanidipine + </w:t>
      </w:r>
      <w:r>
        <w:rPr>
          <w:b/>
        </w:rPr>
        <w:t>β-bloquant, IEC, ARA2, diurétique</w:t>
      </w:r>
      <w:r>
        <w:t xml:space="preserve"> : associations synergiques sans interaction pharmacocinétique notable.</w:t>
      </w:r>
    </w:p>
    <w:p>
      <w:pPr>
        <w:pStyle w:val="ListBullet"/>
      </w:pPr>
      <w:r>
        <w:t xml:space="preserve">Lercanidipine + </w:t>
      </w:r>
      <w:r>
        <w:rPr>
          <w:b/>
        </w:rPr>
        <w:t>Pamplemousse (jus)</w:t>
      </w:r>
      <w:r>
        <w:t xml:space="preserve"> : interaction possible — éviter la consommation quotidienne de plus d'un verre.</w:t>
      </w:r>
    </w:p>
    <w:p>
      <w:pPr>
        <w:pStyle w:val="ListBullet"/>
      </w:pPr>
      <w:r>
        <w:t xml:space="preserve">Lercanidipine + </w:t>
      </w:r>
      <w:r>
        <w:rPr>
          <w:b/>
        </w:rPr>
        <w:t>Alcool</w:t>
      </w:r>
      <w:r>
        <w:t xml:space="preserve"> : potentialisation hypotensive — éviter.</w:t>
      </w:r>
    </w:p>
    <w:p>
      <w:r/>
      <w:r>
        <w:rPr>
          <w:b/>
        </w:rPr>
        <w:t>Grossesse et Allaitement :</w:t>
      </w:r>
      <w:r/>
    </w:p>
    <w:p>
      <w:pPr>
        <w:pStyle w:val="ListBullet"/>
      </w:pPr>
      <w:r>
        <w:t xml:space="preserve">Grossesse : </w:t>
      </w:r>
      <w:r>
        <w:rPr>
          <w:b/>
        </w:rPr>
        <w:t>CI par prudence</w:t>
      </w:r>
      <w:r>
        <w:t xml:space="preserve"> — données animales évocatrices (foetotoxicité à doses maternotoxiques), données humaines insuffisantes. Préférer la méthyldopa, le labétalol, la nicardipine LP ou la nifédipine LP en 2e ligne. Ne pas utiliser en tocolyse (nifédipine LP préférée).</w:t>
      </w:r>
    </w:p>
    <w:p>
      <w:pPr>
        <w:pStyle w:val="ListBullet"/>
      </w:pPr>
      <w:r>
        <w:t xml:space="preserve">Allaitement : </w:t>
      </w:r>
      <w:r>
        <w:rPr>
          <w:b/>
        </w:rPr>
        <w:t>CI</w:t>
      </w:r>
      <w:r>
        <w:t xml:space="preserve"> — passage lacté mal évalué, par prudence ne pas utiliser pendant l'allaitement. Préférer l'amlodipine si DHP nécessaire.</w:t>
      </w:r>
    </w:p>
    <w:p>
      <w:pPr>
        <w:pStyle w:val="ListBullet"/>
      </w:pPr>
      <w:r>
        <w:t>Précisions : La lercanidipine n'a pas d'AMM dans l'HTA gravidique. La prescription chez une femme en âge de procréer nécessite une contraception efficace.</w:t>
      </w:r>
    </w:p>
    <w:p>
      <w:r/>
      <w:r>
        <w:rPr>
          <w:b/>
        </w:rPr>
        <w:t>Posologie et Mode d'administration (Standard) :</w:t>
      </w:r>
      <w:r/>
    </w:p>
    <w:p>
      <w:pPr>
        <w:pStyle w:val="ListBullet"/>
      </w:pPr>
      <w:r>
        <w:t>Adulte : 10 mg/jour en une prise unique, augmentable à 20 mg/jour après 2 semaines si réponse tensionnelle insuffisante. Dose maximale : 20 mg/jour.</w:t>
      </w:r>
    </w:p>
    <w:p>
      <w:pPr>
        <w:pStyle w:val="ListBullet"/>
      </w:pPr>
      <w:r>
        <w:t>Sujet âgé (&gt; 65 ans) : démarrer à 10 mg/jour, titration prudente (augmentation à 20 mg/j si nécessaire). Pas d'adaptation posologique systématique.</w:t>
      </w:r>
    </w:p>
    <w:p>
      <w:pPr>
        <w:pStyle w:val="ListBullet"/>
      </w:pPr>
      <w:r>
        <w:t>Sujet très âgé (&gt; 75 ans) : démarrer à 5 mg/jour (1/2 comprimé sécable), puis 10 mg/jour.</w:t>
      </w:r>
    </w:p>
    <w:p>
      <w:pPr>
        <w:pStyle w:val="ListBullet"/>
      </w:pPr>
      <w:r>
        <w:t xml:space="preserve">Enfant &lt; 18 ans : </w:t>
      </w:r>
      <w:r>
        <w:rPr>
          <w:b/>
        </w:rPr>
        <w:t>CI</w:t>
      </w:r>
      <w:r>
        <w:t xml:space="preserve"> (absence d'études pédiatriques).</w:t>
      </w:r>
    </w:p>
    <w:p>
      <w:pPr>
        <w:pStyle w:val="ListBullet"/>
      </w:pPr>
      <w:r>
        <w:t>Insuffisant hépatique modéré : démarrer à 5 mg/jour, surveillance hépatique. CI absolue si insuffisance hépatique sévère.</w:t>
      </w:r>
    </w:p>
    <w:p>
      <w:pPr>
        <w:pStyle w:val="ListBullet"/>
      </w:pPr>
      <w:r>
        <w:t>Insuffisant rénal (DFG &gt; 30 mL/min) : pas d'adaptation. Prudence si DFG &lt; 30 mL/min.</w:t>
      </w:r>
    </w:p>
    <w:p>
      <w:pPr>
        <w:pStyle w:val="ListBullet"/>
      </w:pPr>
      <w:r>
        <w:t>Durée : traitement au long cours. Ne jamais interrompre brutalement.</w:t>
      </w:r>
    </w:p>
    <w:p>
      <w:pPr>
        <w:pStyle w:val="ListBullet"/>
      </w:pPr>
      <w:r>
        <w:t xml:space="preserve">Moment de prise : </w:t>
      </w:r>
      <w:r>
        <w:rPr>
          <w:b/>
        </w:rPr>
        <w:t>au moins 15 minutes avant le petit-déjeuner</w:t>
      </w:r>
      <w:r>
        <w:t xml:space="preserve"> — à jeun (l'alimentation augmente la résorption et la variabilité, exposant à un surdosage relatif et à des effets indésirables accrédités). Prise unique le matin à heure fixe.</w:t>
      </w:r>
    </w:p>
    <w:p>
      <w:r/>
      <w:r>
        <w:rPr>
          <w:b/>
        </w:rPr>
        <w:t>Arbitrage et Bénéfices des Formes Galéniques :</w:t>
      </w:r>
      <w:r/>
    </w:p>
    <w:p>
      <w:r>
        <w:t xml:space="preserve">La lercanidipine n'est disponible qu'en forme orale à libération immédiate 10 mg (comprimé pelliculé sécable). Sa longue demi-vie apparente d'action (24 h, liée à l'incorporation membranaire) dispense d'une formulation LP. Le comprimé est </w:t>
      </w:r>
      <w:r>
        <w:rPr>
          <w:b/>
        </w:rPr>
        <w:t>sécable</w:t>
      </w:r>
      <w:r>
        <w:t xml:space="preserve"> (toutes les marques), autorisant la dose 5 mg (1/2 cp) pour la titration chez le sujet âgé fragile, l'insuffisant hépatique ou en cas d'intolérance à 10 mg. La forme est simple d'usage et l'observance est facilitée par la prise unique. Avantage : 8 spécialités actives concurrentielles en Algérie → prix modéré, accessibilité large. Inconvénient : pas de forme 20 mg en un seul comprimé (il faut prendre 2 comprimés de 10 mg — mais toutes les marques proposent le dosage 10 mg sécable pour la dose 5 mg). La lercanidipine n'a pas de forme injectable.</w:t>
      </w:r>
    </w:p>
    <w:p>
      <w:r/>
      <w:r>
        <w:rPr>
          <w:b/>
        </w:rPr>
        <w:t>Instructions et Conseils au Patient :</w:t>
      </w:r>
      <w:r/>
    </w:p>
    <w:p>
      <w:pPr>
        <w:pStyle w:val="ListBullet"/>
      </w:pPr>
      <w:r>
        <w:t xml:space="preserve">Communication au comptoir : « Ce médicament est un antihypertenseur de la famille des inhibiteurs calciques. Il se prend </w:t>
      </w:r>
      <w:r>
        <w:rPr>
          <w:b/>
        </w:rPr>
        <w:t>une fois par jour, à jeun, au moins 15 minutes avant le petit-déjeuner</w:t>
      </w:r>
      <w:r>
        <w:t xml:space="preserve">, à heure fixe. Avalez le comprimé entier avec un grand verre d'eau, ne le croquez pas. Vous pouvez le couper en deux si votre médecin vous a prescrit 5 mg. Continuez tous les jours, même si vous vous sentez bien — l'hypertension est silencieuse. Les effets indésirables possibles sont des </w:t>
      </w:r>
      <w:r>
        <w:rPr>
          <w:b/>
        </w:rPr>
        <w:t>maux de tête</w:t>
      </w:r>
      <w:r>
        <w:t xml:space="preserve">, des </w:t>
      </w:r>
      <w:r>
        <w:rPr>
          <w:b/>
        </w:rPr>
        <w:t>bouffées de chaleur</w:t>
      </w:r>
      <w:r>
        <w:t xml:space="preserve"> du visage, parfois des </w:t>
      </w:r>
      <w:r>
        <w:rPr>
          <w:b/>
        </w:rPr>
        <w:t>gonflements des chevilles</w:t>
      </w:r>
      <w:r>
        <w:t xml:space="preserve"> (plus rares qu'avec d'autres médicaments de la même famille) — prévenez votre médecin si cela vous gêne. Évitez de boire plus d'un verre de </w:t>
      </w:r>
      <w:r>
        <w:rPr>
          <w:b/>
        </w:rPr>
        <w:t>pamplemousse</w:t>
      </w:r>
      <w:r>
        <w:t xml:space="preserve"> par jour. Ne prenez pas de médicaments contre le SIDA, certains antibiotiques (clarithromycine, érythromycine) ou antifongiques (kétoconazole, itraconazole) sans en parler à votre médecin. »</w:t>
      </w:r>
    </w:p>
    <w:p>
      <w:pPr>
        <w:pStyle w:val="ListBullet"/>
      </w:pPr>
      <w:r>
        <w:t>Mode d'utilisation pratique : (a) Prise à heure fixe le matin, à jeun ; (b) En cas d'oubli : si &lt; 8 h, prendre la dose oubliée ; sinon sauter et continuer ; (c) Automesure tensionnelle et carnet de suivi ; (d) Consultation médicale si TA &gt; 140/90 ou effets intolérables ; (e) Si vous devez avoir une opération ou un soin sous anesthésie, prévenez le médecin anesthésiste.</w:t>
      </w:r>
    </w:p>
    <w:p>
      <w:r/>
      <w:r>
        <w:rPr>
          <w:b/>
        </w:rPr>
        <w:t>Notes, Règles d'Or &amp; Pièges au Comptoir :</w:t>
      </w:r>
      <w:r/>
    </w:p>
    <w:p>
      <w:pPr>
        <w:pStyle w:val="ListBullet"/>
      </w:pPr>
      <w:r/>
      <w:r>
        <w:rPr>
          <w:b/>
        </w:rPr>
        <w:t>Piège classique — Prise au cours du repas</w:t>
      </w:r>
      <w:r>
        <w:t xml:space="preserve"> : la prise alimentaire augmente la résorption de la lercanidipine de manière importante (jusqu'à 4 fois plus) — il faut donc impérativement la prendre </w:t>
      </w:r>
      <w:r>
        <w:rPr>
          <w:b/>
        </w:rPr>
        <w:t>à jeun, au moins 15 minutes avant le petit-déjeuner</w:t>
      </w:r>
      <w:r>
        <w:t>. Si le patient la prend au cours du repas, il s'expose à un surdosage relatif (hypotension, palpitations, céphalées). C'est l'instruction clé à donner au comptoir.</w:t>
      </w:r>
    </w:p>
    <w:p>
      <w:pPr>
        <w:pStyle w:val="ListBullet"/>
      </w:pPr>
      <w:r/>
      <w:r>
        <w:rPr>
          <w:b/>
        </w:rPr>
        <w:t>Piège — Association à la ciclosporine</w:t>
      </w:r>
      <w:r>
        <w:t xml:space="preserve"> : la ciclosporine majore les concentrations de lercanidipine de 3 à 5 fois — CI absolue. Si un patient transplanté sous ciclosporine a une HTA, préférer un autre antihypertenseur (β-bloquant, IEC).</w:t>
      </w:r>
    </w:p>
    <w:p>
      <w:pPr>
        <w:pStyle w:val="ListBullet"/>
      </w:pPr>
      <w:r/>
      <w:r>
        <w:rPr>
          <w:b/>
        </w:rPr>
        <w:t>Piège — Substitution par l'amlodipine</w:t>
      </w:r>
      <w:r>
        <w:t xml:space="preserve"> : équivalence posologique approximative : lercanidipine 10 mg ≈ amlodipine 5 mg ; lercanidipine 20 mg ≈ amlodipine 10 mg. La lercanidipine est un peu moins puissante que l'amlodipine dose à dose mais sa tolérance est meilleure.</w:t>
      </w:r>
    </w:p>
    <w:p>
      <w:pPr>
        <w:pStyle w:val="ListBullet"/>
      </w:pPr>
      <w:r/>
      <w:r>
        <w:rPr>
          <w:b/>
        </w:rPr>
        <w:t>Règle de prise</w:t>
      </w:r>
      <w:r>
        <w:t xml:space="preserve"> : une prise unique, le matin à jeun, à vie.</w:t>
      </w:r>
    </w:p>
    <w:p>
      <w:pPr>
        <w:pStyle w:val="ListBullet"/>
      </w:pPr>
      <w:r/>
      <w:r>
        <w:rPr>
          <w:b/>
        </w:rPr>
        <w:t>Préparation et Conservation</w:t>
      </w:r>
      <w:r>
        <w:t xml:space="preserve"> : conserver à &lt; 25 °C, à l'abri de la lumière et de l'humidité. Tenir hors de portée des enfants.</w:t>
      </w:r>
    </w:p>
    <w:p>
      <w:pPr>
        <w:pStyle w:val="ListBullet"/>
      </w:pPr>
      <w:r/>
      <w:r>
        <w:rPr>
          <w:b/>
        </w:rPr>
        <w:t>Piège du surdosage</w:t>
      </w:r>
      <w:r>
        <w:t xml:space="preserve"> : surdosage massif → hypotension, bradycardie. Traitement symptomatique (calcium IV, adrénaline, glucagon) — comme pour les autres DHP.</w:t>
      </w:r>
    </w:p>
    <w:p>
      <w:pPr>
        <w:pStyle w:val="Heading3"/>
      </w:pPr>
      <w:r>
        <w:t>4. DCI : Nicardipine (Seule)</w:t>
      </w:r>
    </w:p>
    <w:p>
      <w:r/>
      <w:r>
        <w:rPr>
          <w:b/>
        </w:rPr>
        <w:t>Liste des Catégories :</w:t>
      </w:r>
      <w:r>
        <w:t xml:space="preserve"> Inhibiteurs calciques — Dihydropyridines (DHP) ; Antihypertenseur ; Urgence hypertensive (forme IV) ; Antiangoreux (forme orale — usage marginal).</w:t>
      </w:r>
    </w:p>
    <w:p>
      <w:r>
        <w:t xml:space="preserve">La nicardipine (chlorhydrate de diméthyl 2-[(benzyl-méthylamino)méthyl]-1,4-dihydro-2,6-diméthyl-4-(3-nitrophényl)-3,5-pyridinedicarboxylate) est une DHP de 2e génération, commercialisée dès 1981 par Yamanouchi (devenu Astellas) puis Novartis (LOXEN®). Elle se caractérise par sa </w:t>
      </w:r>
      <w:r>
        <w:rPr>
          <w:b/>
        </w:rPr>
        <w:t>vasosélectivité cérébrale et coronaire</w:t>
      </w:r>
      <w:r>
        <w:t xml:space="preserve"> prédominante, par sa </w:t>
      </w:r>
      <w:r>
        <w:rPr>
          <w:b/>
        </w:rPr>
        <w:t>demi-vie courte</w:t>
      </w:r>
      <w:r>
        <w:t xml:space="preserve"> (1–2 h pour la forme IV, 8 h pour la forme orale LP) et par sa disponibilité en </w:t>
      </w:r>
      <w:r>
        <w:rPr>
          <w:b/>
        </w:rPr>
        <w:t>forme intraveineuse</w:t>
      </w:r>
      <w:r>
        <w:t xml:space="preserve"> — seul ICA injectable disponible en Algérie avec le vérapamil (rarement utilisé en IV). La nicardipine IV est le traitement de référence de l'urgence hypertensive hospitalière (dissection aortique, prééclampsie sévère, encéphalopathie hypertensive, HTA péri-opératoire) selon les recommandations ESC 2018 et ESH 2018. Sa titration précise par perfusion continue (1 à 15 mg/h) permet un contrôle tensionnel fin et réversible. En Algérie, la nicardipine est disponible en spécialités orales LP (50 mg/jour en 2 prises) et en solution IV (1 mg/mL) — plusieurs marques concurrentielles.</w:t>
      </w:r>
    </w:p>
    <w:p>
      <w:r/>
      <w:r>
        <w:rPr>
          <w:b/>
        </w:rPr>
        <w:t>Médicaments disponibles en Algérie (Marques, Laboratoires, Formes et Dosages) :</w:t>
      </w:r>
      <w:r/>
    </w:p>
    <w:p>
      <w:r>
        <w:t>Forme orale LP 50 mg (gélule à microgranules LP — 1 prise matin et soir) :</w:t>
      </w:r>
    </w:p>
    <w:p>
      <w:pPr>
        <w:pStyle w:val="ListBullet"/>
      </w:pPr>
      <w:r/>
      <w:r>
        <w:rPr>
          <w:b/>
        </w:rPr>
        <w:t>CARDIPEN LP</w:t>
      </w:r>
      <w:r>
        <w:t xml:space="preserve"> (ABDI IBRAHIM REMEDE PHARMA) — Microgranule en gélule LP 50 mg, B/60 — Liste I — Actif</w:t>
      </w:r>
    </w:p>
    <w:p>
      <w:pPr>
        <w:pStyle w:val="ListBullet"/>
      </w:pPr>
      <w:r/>
      <w:r>
        <w:rPr>
          <w:b/>
        </w:rPr>
        <w:t>LOXIDIPINE LP</w:t>
      </w:r>
      <w:r>
        <w:t xml:space="preserve"> (LABORATOIRES MM) — Microgranules à libération prolongée en gélule 50 mg, B/60 — Liste I — Actif</w:t>
      </w:r>
    </w:p>
    <w:p>
      <w:pPr>
        <w:pStyle w:val="ListBullet"/>
      </w:pPr>
      <w:r/>
      <w:r>
        <w:rPr>
          <w:b/>
        </w:rPr>
        <w:t>NICARDIPINE BIOCARE LP</w:t>
      </w:r>
      <w:r>
        <w:t xml:space="preserve"> (BIOCARE) — Gélule à micro-granules LP 50 mg, B/60 — Actif</w:t>
      </w:r>
    </w:p>
    <w:p>
      <w:pPr>
        <w:pStyle w:val="ListBullet"/>
      </w:pPr>
      <w:r/>
      <w:r>
        <w:rPr>
          <w:b/>
        </w:rPr>
        <w:t>PULSAGEN LP</w:t>
      </w:r>
      <w:r>
        <w:t xml:space="preserve"> (GENERIC LAB) — Gélule LP 50 mg, B/60 — Liste I — Actif</w:t>
      </w:r>
    </w:p>
    <w:p>
      <w:pPr>
        <w:pStyle w:val="ListBullet"/>
      </w:pPr>
      <w:r/>
      <w:r>
        <w:rPr>
          <w:b/>
        </w:rPr>
        <w:t>LOXEN LP</w:t>
      </w:r>
      <w:r>
        <w:t xml:space="preserve"> (LABORATOIRE X.O) — Microgranules LP en gélule 50 mg, B/60 — Liste I — Actif (princeps)</w:t>
      </w:r>
    </w:p>
    <w:p>
      <w:r>
        <w:t>Forme injectable IV (1 mg/mL, ampoule de 10 mL = 10 mg) :</w:t>
      </w:r>
    </w:p>
    <w:p>
      <w:pPr>
        <w:pStyle w:val="ListBullet"/>
      </w:pPr>
      <w:r/>
      <w:r>
        <w:rPr>
          <w:b/>
        </w:rPr>
        <w:t>LOXEN</w:t>
      </w:r>
      <w:r>
        <w:t xml:space="preserve"> (NOVARTIS PHARMA SCHWEIZ AG) — Solution injectable IV 1 mg/mL (10 mg/10 mL), B/5 ampoules de 10 mL — Liste I — Actif (princeps)</w:t>
      </w:r>
    </w:p>
    <w:p>
      <w:pPr>
        <w:pStyle w:val="ListBullet"/>
      </w:pPr>
      <w:r/>
      <w:r>
        <w:rPr>
          <w:b/>
        </w:rPr>
        <w:t>NICARDEX</w:t>
      </w:r>
      <w:r>
        <w:t xml:space="preserve"> (LES LABORATOIRES FRATER RAZES) — Solution injectable IV 1 mg/mL (10 mg/10 mL), B/5 ampoules de 10 mL et B/50 ampoules de 10 mL — Liste I — Actif</w:t>
      </w:r>
    </w:p>
    <w:p>
      <w:pPr>
        <w:pStyle w:val="ListBullet"/>
      </w:pPr>
      <w:r/>
      <w:r>
        <w:rPr>
          <w:b/>
        </w:rPr>
        <w:t>NICARDIPINE BIOTHERA</w:t>
      </w:r>
      <w:r>
        <w:t xml:space="preserve"> (BIOTHERA) — Solution injectable IV 1 mg/mL (10 mg/10 mL), B/5 ampoules de 10 mL — Liste I — Actif</w:t>
      </w:r>
    </w:p>
    <w:p>
      <w:pPr>
        <w:pStyle w:val="ListBullet"/>
      </w:pPr>
      <w:r/>
      <w:r>
        <w:rPr>
          <w:b/>
        </w:rPr>
        <w:t>NICARDIPINE INPHA MEDIS</w:t>
      </w:r>
      <w:r>
        <w:t xml:space="preserve"> (INPHA-MEDIS) — Solution injectable IV 1 mg/mL (10 mg/10 mL), B/5 ampoules de 10 mL — Liste I — Actif</w:t>
      </w:r>
    </w:p>
    <w:p>
      <w:r>
        <w:t>Spécialités Non Renouvelables :</w:t>
      </w:r>
    </w:p>
    <w:p>
      <w:pPr>
        <w:pStyle w:val="ListBullet"/>
      </w:pPr>
      <w:r/>
      <w:r>
        <w:rPr>
          <w:b/>
        </w:rPr>
        <w:t>LOXEN</w:t>
      </w:r>
      <w:r>
        <w:t xml:space="preserve"> (NOVARTIS PHARMA S.A.) — Comprimé 20 mg, B/30 — Non Renouvelable</w:t>
      </w:r>
    </w:p>
    <w:p>
      <w:pPr>
        <w:pStyle w:val="ListBullet"/>
      </w:pPr>
      <w:r/>
      <w:r>
        <w:rPr>
          <w:b/>
        </w:rPr>
        <w:t>NICARDIL LP</w:t>
      </w:r>
      <w:r>
        <w:t xml:space="preserve"> (NEOMEDIC) — Gélule microgranules LP 50 mg, B/60 — Non Renouvelable</w:t>
      </w:r>
    </w:p>
    <w:p>
      <w:r>
        <w:t>Spécialités Retirées (R) :</w:t>
      </w:r>
    </w:p>
    <w:p>
      <w:pPr>
        <w:pStyle w:val="ListBullet"/>
      </w:pPr>
      <w:r/>
      <w:r>
        <w:rPr>
          <w:b/>
        </w:rPr>
        <w:t>NICARDIPINO RATIOPHARM</w:t>
      </w:r>
      <w:r>
        <w:t xml:space="preserve"> (RATIOPHARM S.A.) — Comprimé 20 mg, B/30 — Retiré (R)</w:t>
      </w:r>
    </w:p>
    <w:p>
      <w:pPr>
        <w:pStyle w:val="ListBullet"/>
      </w:pPr>
      <w:r/>
      <w:r>
        <w:rPr>
          <w:b/>
        </w:rPr>
        <w:t>NICARDIPINE TEDEC</w:t>
      </w:r>
      <w:r>
        <w:t xml:space="preserve"> (TEDEC MEIJI) — Comprimé 20 mg, B/30 — Retiré (R)</w:t>
      </w:r>
    </w:p>
    <w:p>
      <w:r/>
      <w:r>
        <w:rPr>
          <w:b/>
        </w:rPr>
        <w:t>Sous-classe et Mécanisme d'action :</w:t>
      </w:r>
      <w:r/>
    </w:p>
    <w:p>
      <w:pPr>
        <w:pStyle w:val="ListBullet"/>
      </w:pPr>
      <w:r>
        <w:t>Sous-classe : DHP de 2e génération, vasosélective cérébrale et coronaire, disponible en formes orale LP et injectable IV.</w:t>
      </w:r>
    </w:p>
    <w:p>
      <w:pPr>
        <w:pStyle w:val="ListBullet"/>
      </w:pPr>
      <w:r>
        <w:t xml:space="preserve">Mécanisme d'action : blocage du canal Cav1.2 du muscle lisse vasculaire artériolaire, identique aux autres DHP. La nicardipine présente une </w:t>
      </w:r>
      <w:r>
        <w:rPr>
          <w:b/>
        </w:rPr>
        <w:t>vasosélectivité cérébrale</w:t>
      </w:r>
      <w:r>
        <w:t xml:space="preserve"> (vasodilatation des artères cérébrales plus marquée que l'amlodipine — d'où son intérêt dans la vasospasme cérébral de l'hémorragie sous-arachnoïdienne, indication historique) et </w:t>
      </w:r>
      <w:r>
        <w:rPr>
          <w:b/>
        </w:rPr>
        <w:t>coronaire</w:t>
      </w:r>
      <w:r>
        <w:t xml:space="preserve"> (augmentation du débit coronaire). Sa forme IV a un délai d'action court (5–15 min), un effet maximum à 30–60 min, et une durée d'action résiduelle de 4–6 h après arrêt. La titration par perfusion continue (dose-effect linéaire) permet un contrôle tensionnel précis et réversible — avantage majeur en urgence hypertensive.</w:t>
      </w:r>
    </w:p>
    <w:p>
      <w:r/>
      <w:r>
        <w:rPr>
          <w:b/>
        </w:rPr>
        <w:t>Profil Pharmacologique :</w:t>
      </w:r>
      <w:r/>
    </w:p>
    <w:p>
      <w:pPr>
        <w:pStyle w:val="ListBullet"/>
      </w:pPr>
      <w:r>
        <w:t xml:space="preserve">Indications : (1) </w:t>
      </w:r>
      <w:r>
        <w:rPr>
          <w:b/>
        </w:rPr>
        <w:t>Urgence hypertensive</w:t>
      </w:r>
      <w:r>
        <w:t xml:space="preserve"> (forme IV) — dissection aortique (en association au β-bloquant pour éviter la tachycardie réflexe), encéphalopathie hypertensive, prééclampsie sévère, HTA péri-opératoire (chirurgie cardiaque, neurochirurgie, transplantation rénale), HTA du post-AVC ischémique (à éviter dans l'hémorragie cérébrale — préférer uradipil ou labétalol selon les recommandations). Selon ESC 2018, la nicardipine IV est le traitement de choix de l'urgence hypertensive gravidique (prééclampsie sévère, eclampsie). (2) HTA chronique modérée à sévère (forme orale LP 50 mg) — en monothérapie ou association. (3) Angor stable chronique (forme orale LP, indication marginale). (4) Prévention du vasospasme cérébral après hémorragie sous-arachnoïdienne (forme orale LP, indication historique — aujourd'hui nimodipine préférée).</w:t>
      </w:r>
    </w:p>
    <w:p>
      <w:pPr>
        <w:pStyle w:val="ListBullet"/>
      </w:pPr>
      <w:r>
        <w:t>Contre-indications : (1) hypersensibilité aux DHP ; (2) hypotension sévère (PAS &lt; 90 mmHg) ; (3) choc cardiogénique ; (4) sténose aortique serrée ; (5) angor instable en phase aiguë ; (6) insuffisance cardiaque sévère (FEVG &lt; 30 %) ; (7) grossesse au 1er trimestre ; (8) allaitement (CI pour la forme orale — pour la forme IV en urgence, suspension de l'allaitement pendant 24 h après la dernière dose) ; (9) forme IV : association à la rifampicine (inducteur — inefficacité) ; (10) forme IV : obstruction des voies veineuses centrales (voie d'administration périphérique possible).</w:t>
      </w:r>
    </w:p>
    <w:p>
      <w:pPr>
        <w:pStyle w:val="ListBullet"/>
      </w:pPr>
      <w:r>
        <w:t xml:space="preserve">Effets Indésirables : (1) </w:t>
      </w:r>
      <w:r>
        <w:rPr>
          <w:b/>
        </w:rPr>
        <w:t>Hypotension</w:t>
      </w:r>
      <w:r>
        <w:t xml:space="preserve"> — forme IV : à surveiller par monitorage continu ; (2) </w:t>
      </w:r>
      <w:r>
        <w:rPr>
          <w:b/>
        </w:rPr>
        <w:t>Tachycardie réflexe</w:t>
      </w:r>
      <w:r>
        <w:t xml:space="preserve"> — surtout en forme IV si titration trop rapide (à éviter dans la dissection aortique — associer impérativement un β-bloquant IV préalable) ; (3) </w:t>
      </w:r>
      <w:r>
        <w:rPr>
          <w:b/>
        </w:rPr>
        <w:t>Céphalées</w:t>
      </w:r>
      <w:r>
        <w:t xml:space="preserve"> (10–15 % — fréquentes en IV, liées à la vasodilatation cérébrale) ; (4) flush facial (10 %) ; (5) </w:t>
      </w:r>
      <w:r>
        <w:rPr>
          <w:b/>
        </w:rPr>
        <w:t>Œdèmes malléoles</w:t>
      </w:r>
      <w:r>
        <w:t xml:space="preserve"> (5–10 %, dose-dépendants) ; (6) palpitations (5 %) ; (7) vertiges, sensations vertigineuses (5 %) ; (8) hypotension orthostatique (rare en forme LP) ; (9) thrombophlébite au site de perfusion (5–10 % en IV — à diluer et perfuser dans une grosse veine, ou voie centrale) ; (10) nausées, vomissements (5 %) ; (11) rash, prurit ; (12) hyperplasie gingivale (rare) ; (13) augmentation des transaminases (rare).</w:t>
      </w:r>
    </w:p>
    <w:p>
      <w:r/>
      <w:r>
        <w:rPr>
          <w:b/>
        </w:rPr>
        <w:t>Prévention et Gestion des Effets Indésirables :</w:t>
      </w:r>
      <w:r/>
    </w:p>
    <w:p>
      <w:pPr>
        <w:pStyle w:val="ListBullet"/>
      </w:pPr>
      <w:r>
        <w:t>Mesures Préventives : (a) Forme IV : monitorage continu (PA invasive si possible, ECG, SpO2), voie veineuse centrale ou périphérique de gros calibre, dilution du produit dans 50–250 mL de NaCl 0,9 % ou G5 %, perfusion à débit contrôlé (pousse-seringue électrique de préférence) ; (b) Titration progressive IV : 5 mg/h en début, augmentation par paliers de 2,5 mg/h toutes les 5 min jusqu'à PA cible, dose maximale 15 mg/h, puis débit d'entretien 3 mg/h ; (c) Dans la dissection aortique : commencer par le β-bloquant IV (esmolol ou labétalol) pour atteindre FC &lt; 70 bpm PUIS nicardipine IV pour contrôler la PA (objectif PAS &lt; 120 mmHg en 20 min) ; (d) Dans la prééclampsie : monitorage maternel et fœtal, objectif PAS &lt; 160 mmHg et PAD &lt; 105 mmHg (ne pas normaliser la PA trop vite — risque de souffrance fœtale) ; (e) Forme orale LP : démarrer à 50 mg × 2/jour, surveillance de la PA orthostatique chez le sujet âgé.</w:t>
      </w:r>
    </w:p>
    <w:p>
      <w:pPr>
        <w:pStyle w:val="ListBullet"/>
      </w:pPr>
      <w:r>
        <w:t>Conduite à Tenir : (a) Hypotension sévère en IV → arrêt immédiat de la perfusion (effet disparaît en 30–60 min), position de Trendelenburg, remplissage vasculaire (NaCl 0,9 % 500 mL), adrénaline si collapsus ; (b) Tachycardie réflexe invalidante → β-bloquant IV associé ; (c) Thrombophlébite → changer de voie, diluer davantage, ou voie centrale ; (d) Céphalées → antalgique paracétamol, habituellement régressives.</w:t>
      </w:r>
    </w:p>
    <w:p>
      <w:r/>
      <w:r>
        <w:rPr>
          <w:b/>
        </w:rPr>
        <w:t>Interactions Importantes :</w:t>
      </w:r>
      <w:r/>
    </w:p>
    <w:p>
      <w:pPr>
        <w:pStyle w:val="ListBullet"/>
      </w:pPr>
      <w:r>
        <w:t xml:space="preserve">Nicardipine IV + </w:t>
      </w:r>
      <w:r>
        <w:rPr>
          <w:b/>
        </w:rPr>
        <w:t>β-bloquant IV</w:t>
      </w:r>
      <w:r>
        <w:t xml:space="preserve"> (esmolol, labétalol) : association nécessaire dans la dissection aortique — le β-bloquant précède la nicardipine pour éviter la tachycardie réflexe délétère (augmentation de la force de propulsion de l'éjection ventriculaire aggravant la dissection).</w:t>
      </w:r>
    </w:p>
    <w:p>
      <w:pPr>
        <w:pStyle w:val="ListBullet"/>
      </w:pPr>
      <w:r>
        <w:t xml:space="preserve">Nicardipine + </w:t>
      </w:r>
      <w:r>
        <w:rPr>
          <w:b/>
        </w:rPr>
        <w:t>Inhibiteurs du CYP3A4</w:t>
      </w:r>
      <w:r>
        <w:t xml:space="preserve"> (itraconazole, kétoconazole, clarithromycine, érythromycine, ritonavir) : majoration des concentrations — surveillance, adaptation.</w:t>
      </w:r>
    </w:p>
    <w:p>
      <w:pPr>
        <w:pStyle w:val="ListBullet"/>
      </w:pPr>
      <w:r>
        <w:t xml:space="preserve">Nicardipine + </w:t>
      </w:r>
      <w:r>
        <w:rPr>
          <w:b/>
        </w:rPr>
        <w:t>Inducteurs du CYP3A4</w:t>
      </w:r>
      <w:r>
        <w:t xml:space="preserve"> (rifampicine, phénytoïne, carbamazépine, millepertuis) : baisse d'efficacité — éviter.</w:t>
      </w:r>
    </w:p>
    <w:p>
      <w:pPr>
        <w:pStyle w:val="ListBullet"/>
      </w:pPr>
      <w:r>
        <w:t xml:space="preserve">Nicardipine IV + </w:t>
      </w:r>
      <w:r>
        <w:rPr>
          <w:b/>
        </w:rPr>
        <w:t>Ciclosporine</w:t>
      </w:r>
      <w:r>
        <w:t xml:space="preserve"> : majoration des concentrations de ciclosporine (inhibition CYP3A4 et P-gp), surveillance taux résiduel.</w:t>
      </w:r>
    </w:p>
    <w:p>
      <w:pPr>
        <w:pStyle w:val="ListBullet"/>
      </w:pPr>
      <w:r>
        <w:t xml:space="preserve">Nicardipine IV + </w:t>
      </w:r>
      <w:r>
        <w:rPr>
          <w:b/>
        </w:rPr>
        <w:t>Anesthésiques volatils halogénés</w:t>
      </w:r>
      <w:r>
        <w:t xml:space="preserve"> (sévorane, isoflurane) : potentialisation hypotensive — adaptation des doses.</w:t>
      </w:r>
    </w:p>
    <w:p>
      <w:pPr>
        <w:pStyle w:val="ListBullet"/>
      </w:pPr>
      <w:r>
        <w:t xml:space="preserve">Nicardipine + </w:t>
      </w:r>
      <w:r>
        <w:rPr>
          <w:b/>
        </w:rPr>
        <w:t>Pamplemousse (jus)</w:t>
      </w:r>
      <w:r>
        <w:t xml:space="preserve"> : interaction possible — éviter.</w:t>
      </w:r>
    </w:p>
    <w:p>
      <w:pPr>
        <w:pStyle w:val="ListBullet"/>
      </w:pPr>
      <w:r>
        <w:t xml:space="preserve">Nicardipine + </w:t>
      </w:r>
      <w:r>
        <w:rPr>
          <w:b/>
        </w:rPr>
        <w:t>Sildénafil, tadalafil</w:t>
      </w:r>
      <w:r>
        <w:t xml:space="preserve"> : potentialisation hypotensive.</w:t>
      </w:r>
    </w:p>
    <w:p>
      <w:pPr>
        <w:pStyle w:val="ListBullet"/>
      </w:pPr>
      <w:r>
        <w:t xml:space="preserve">Nicardipine + </w:t>
      </w:r>
      <w:r>
        <w:rPr>
          <w:b/>
        </w:rPr>
        <w:t>Digoxine</w:t>
      </w:r>
      <w:r>
        <w:t xml:space="preserve"> : pas d'interaction significative.</w:t>
      </w:r>
    </w:p>
    <w:p>
      <w:r/>
      <w:r>
        <w:rPr>
          <w:b/>
        </w:rPr>
        <w:t>Grossesse et Allaitement :</w:t>
      </w:r>
      <w:r/>
    </w:p>
    <w:p>
      <w:pPr>
        <w:pStyle w:val="ListBullet"/>
      </w:pPr>
      <w:r>
        <w:t xml:space="preserve">Grossesse : (1) </w:t>
      </w:r>
      <w:r>
        <w:rPr>
          <w:b/>
        </w:rPr>
        <w:t>1er trimestre</w:t>
      </w:r>
      <w:r>
        <w:t xml:space="preserve"> : à éviter par prudence ; (2) </w:t>
      </w:r>
      <w:r>
        <w:rPr>
          <w:b/>
        </w:rPr>
        <w:t>2e et 3e trimestres</w:t>
      </w:r>
      <w:r>
        <w:t xml:space="preserve"> : la </w:t>
      </w:r>
      <w:r>
        <w:rPr>
          <w:b/>
        </w:rPr>
        <w:t>nicardipine IV est le traitement de choix de l'urgence hypertensive gravidique</w:t>
      </w:r>
      <w:r>
        <w:t xml:space="preserve"> (prééclampsie sévère, menace d'éclampsie, encéphalopathie hypertensive) selon les recommandations ESC 2018, HAS 2016, CNGOF 2018. La nicardipine IV ne traverse que faiblement le placenta, n'a pas d'effet tocolytique significatif (contrairement à la nifédipine), et permet un contrôle tensionnel précis. Surveillance du RCF. (3) La forme orale LP peut être utilisée pour HTA chronique gravidique en 2e ou 3e intention après méthyldopa. (4) La nicardipine orale n'a pas d'indication tocolytique.</w:t>
      </w:r>
    </w:p>
    <w:p>
      <w:pPr>
        <w:pStyle w:val="ListBullet"/>
      </w:pPr>
      <w:r>
        <w:t xml:space="preserve">Allaitement : (1) Forme orale LP : </w:t>
      </w:r>
      <w:r>
        <w:rPr>
          <w:b/>
        </w:rPr>
        <w:t>déconseillée</w:t>
      </w:r>
      <w:r>
        <w:t xml:space="preserve"> (données insuffisantes). (2) Forme IV en urgence : suspension de l'allaitement pendant 24 h après la dernière dose, tirage et élimination du lait pendant cette période. Reprise de l'allaitement ensuite.</w:t>
      </w:r>
    </w:p>
    <w:p>
      <w:pPr>
        <w:pStyle w:val="ListBullet"/>
      </w:pPr>
      <w:r>
        <w:t>Précisions : En pratique, la nicardipine IV est l'antihypertenseur de référence en matemité pour urgence hypertensive. Le labétalol IV est une alternative.</w:t>
      </w:r>
    </w:p>
    <w:p>
      <w:r/>
      <w:r>
        <w:rPr>
          <w:b/>
        </w:rPr>
        <w:t>Posologie et Mode d'administration (Standard) :</w:t>
      </w:r>
      <w:r/>
    </w:p>
    <w:p>
      <w:r/>
      <w:r>
        <w:rPr>
          <w:i/>
        </w:rPr>
        <w:t>Forme orale LP 50 mg :</w:t>
      </w:r>
      <w:r/>
    </w:p>
    <w:p>
      <w:pPr>
        <w:pStyle w:val="ListBullet"/>
      </w:pPr>
      <w:r>
        <w:t>Adulte : 50 mg matin et soir (soit 100 mg/jour), à heure fixe, pendant ou en dehors des repas. Dose maximale : 100 mg/jour (50 mg × 2).</w:t>
      </w:r>
    </w:p>
    <w:p>
      <w:pPr>
        <w:pStyle w:val="ListBullet"/>
      </w:pPr>
      <w:r>
        <w:t>Sujet âgé : démarrer à 50 mg le matin (1 prise/j), augmenter à 50 mg × 2/j si nécessaire.</w:t>
      </w:r>
    </w:p>
    <w:p>
      <w:pPr>
        <w:pStyle w:val="ListBullet"/>
      </w:pPr>
      <w:r>
        <w:t>Insuffisant hépatique modéré : démarrer à 50 mg/jour, surveillance.</w:t>
      </w:r>
    </w:p>
    <w:p>
      <w:pPr>
        <w:pStyle w:val="ListBullet"/>
      </w:pPr>
      <w:r>
        <w:t>Insuffisant rénal : pas d'adaptation stricte (prudence si DFG &lt; 30 mL/min).</w:t>
      </w:r>
    </w:p>
    <w:p>
      <w:pPr>
        <w:pStyle w:val="ListBullet"/>
      </w:pPr>
      <w:r>
        <w:t>Durée : au long cours. Ne pas croquer ni écraser les gélules LP.</w:t>
      </w:r>
    </w:p>
    <w:p>
      <w:r/>
      <w:r>
        <w:rPr>
          <w:i/>
        </w:rPr>
        <w:t>Forme IV :</w:t>
      </w:r>
      <w:r/>
    </w:p>
    <w:p>
      <w:pPr>
        <w:pStyle w:val="ListBullet"/>
      </w:pPr>
      <w:r>
        <w:t>Adulte : perfusion continue à débit variable.</w:t>
      </w:r>
    </w:p>
    <w:p>
      <w:pPr>
        <w:pStyle w:val="ListBullet"/>
      </w:pPr>
      <w:r/>
      <w:r>
        <w:rPr>
          <w:b/>
        </w:rPr>
        <w:t>Dose d'attaque</w:t>
      </w:r>
      <w:r>
        <w:t xml:space="preserve"> : 5 mg/h (50 mL/h d'une solution à 1 mg/mL diluée), augmenter par paliers de 2,5 mg/h toutes les 5 min jusqu'à obtention de la PA cible.</w:t>
      </w:r>
    </w:p>
    <w:p>
      <w:pPr>
        <w:pStyle w:val="ListBullet"/>
      </w:pPr>
      <w:r/>
      <w:r>
        <w:rPr>
          <w:b/>
        </w:rPr>
        <w:t>Dose maximale</w:t>
      </w:r>
      <w:r>
        <w:t xml:space="preserve"> : 15 mg/h.</w:t>
      </w:r>
    </w:p>
    <w:p>
      <w:pPr>
        <w:pStyle w:val="ListBullet"/>
      </w:pPr>
      <w:r/>
      <w:r>
        <w:rPr>
          <w:b/>
        </w:rPr>
        <w:t>Dose d'entretien</w:t>
      </w:r>
      <w:r>
        <w:t xml:space="preserve"> : 3 mg/h après obtention de la PA cible (à adapter selon la réponse).</w:t>
      </w:r>
    </w:p>
    <w:p>
      <w:pPr>
        <w:pStyle w:val="ListBullet"/>
      </w:pPr>
      <w:r/>
      <w:r>
        <w:rPr>
          <w:b/>
        </w:rPr>
        <w:t>Durée maximale</w:t>
      </w:r>
      <w:r>
        <w:t xml:space="preserve"> : 7 jours (au-delà, relais par forme orale).</w:t>
      </w:r>
    </w:p>
    <w:p>
      <w:pPr>
        <w:pStyle w:val="ListBullet"/>
      </w:pPr>
      <w:r>
        <w:t>Dilution : ampoule de 10 mg (10 mL) diluée dans 50 mL de NaCl 0,9 % ou G5 % → concentration 0,2 mg/mL. Pour perfusion prolongée, diluer 50 mg (5 ampoules) dans 250 mL → concentration 0,2 mg/mL. À conserver à l'abri de la lumière (les solutions diluées se conservent 24 h).</w:t>
      </w:r>
    </w:p>
    <w:p>
      <w:pPr>
        <w:pStyle w:val="ListBullet"/>
      </w:pPr>
      <w:r>
        <w:t>Voie d'administration : voie veineuse périphérique de gros calibre ou voie centrale. Ne pas administrer en bolus.</w:t>
      </w:r>
    </w:p>
    <w:p>
      <w:pPr>
        <w:pStyle w:val="ListBullet"/>
      </w:pPr>
      <w:r>
        <w:t>Sujet âgé : réduire la dose initiale (2,5–5 mg/h).</w:t>
      </w:r>
    </w:p>
    <w:p>
      <w:pPr>
        <w:pStyle w:val="ListBullet"/>
      </w:pPr>
      <w:r>
        <w:t>Enfant : hors AMM, en soins intensifs pédiatriques, à 0,5–1 µg/kg/min, titrer selon réponse.</w:t>
      </w:r>
    </w:p>
    <w:p>
      <w:pPr>
        <w:pStyle w:val="ListBullet"/>
      </w:pPr>
      <w:r>
        <w:t>Prééclampsie sévère : titration prudente, objectif PAS &lt; 160 et PAD &lt; 105 mmHg en 30–60 min.</w:t>
      </w:r>
    </w:p>
    <w:p>
      <w:r/>
      <w:r>
        <w:rPr>
          <w:b/>
        </w:rPr>
        <w:t>Arbitrage et Bénéfices des Formes Galéniques :</w:t>
      </w:r>
      <w:r/>
    </w:p>
    <w:p>
      <w:r>
        <w:t xml:space="preserve">La nicardipine illustre parfaitement le concept de formulation galénique adaptée à la situation clinique : (1) </w:t>
      </w:r>
      <w:r>
        <w:rPr>
          <w:b/>
        </w:rPr>
        <w:t>forme orale LP 50 mg</w:t>
      </w:r>
      <w:r>
        <w:t xml:space="preserve"> — pour le traitement au long cours de l'HTA chronique, en 2 prises/jour (matin et soir) — microgranules dans une gélule assurant une libération prolongée sur 12 h ; (2) </w:t>
      </w:r>
      <w:r>
        <w:rPr>
          <w:b/>
        </w:rPr>
        <w:t>forme injectable IV 1 mg/mL</w:t>
      </w:r>
      <w:r>
        <w:t xml:space="preserve"> — pour l'urgence hypertensive hospitalière, en perfusion continue titrée, permettant un contrôle tensionnel précis et réversible. La forme orale courte 20 mg (LOXEN comprimé) est non renouvelée — sa courte durée d'action imposait 3 prises/jour, ce qui est aujourd'hui obsolète. La présence de </w:t>
      </w:r>
      <w:r>
        <w:rPr>
          <w:b/>
        </w:rPr>
        <w:t>4 spécialités IV actives</w:t>
      </w:r>
      <w:r>
        <w:t xml:space="preserve"> (LOXEN Novartis, NICARDEX Frater-Razes, NICARDIPINE BIOTHERA, NICARDIPINE INPHA MEDIS) assure une disponibilité robuste en milieu hospitalier. En cas de pénurie d'une marque, le pharmacien hospitalier peut basculer vers une autre sans difficulté. À noter que la nicardipine IV coûte plus cher que la forme orale, mais son usage est justifié par la précision du contrôle tensionnel en urgence. L'uradipil IV (Eupressyl®) est une alternative dans l'urgence hypertensive (bloqueur α1 + agoniste 5-HT1A central), non disponible en Algérie.</w:t>
      </w:r>
    </w:p>
    <w:p>
      <w:r/>
      <w:r>
        <w:rPr>
          <w:b/>
        </w:rPr>
        <w:t>Instructions et Conseils au Patient :</w:t>
      </w:r>
      <w:r/>
    </w:p>
    <w:p>
      <w:r/>
      <w:r>
        <w:rPr>
          <w:i/>
        </w:rPr>
        <w:t>Forme orale LP :</w:t>
      </w:r>
      <w:r/>
    </w:p>
    <w:p>
      <w:pPr>
        <w:pStyle w:val="ListBullet"/>
      </w:pPr>
      <w:r>
        <w:t xml:space="preserve">Communication au comptoir : « Ce médicament est un antihypertenseur de la famille des inhibiteurs calciques. Il se prend </w:t>
      </w:r>
      <w:r>
        <w:rPr>
          <w:b/>
        </w:rPr>
        <w:t>deux fois par jour</w:t>
      </w:r>
      <w:r>
        <w:t xml:space="preserve">, matin et soir, à heure fixe. Avalez les gélules entières avec un verre d'eau — ne les croquez pas, ne les écrasez pas (elles sont à libération prolongée). Les effets indésirables possibles sont des </w:t>
      </w:r>
      <w:r>
        <w:rPr>
          <w:b/>
        </w:rPr>
        <w:t>maux de tête</w:t>
      </w:r>
      <w:r>
        <w:t xml:space="preserve"> (fréquents en début de traitement, s'atténuent en 1–2 semaines), des </w:t>
      </w:r>
      <w:r>
        <w:rPr>
          <w:b/>
        </w:rPr>
        <w:t>bouffées de chaleur</w:t>
      </w:r>
      <w:r>
        <w:t xml:space="preserve"> du visage, parfois des </w:t>
      </w:r>
      <w:r>
        <w:rPr>
          <w:b/>
        </w:rPr>
        <w:t>gonflements des chevilles</w:t>
      </w:r>
      <w:r>
        <w:t xml:space="preserve">, des </w:t>
      </w:r>
      <w:r>
        <w:rPr>
          <w:b/>
        </w:rPr>
        <w:t>vertiges</w:t>
      </w:r>
      <w:r>
        <w:t xml:space="preserve">. Évitez le </w:t>
      </w:r>
      <w:r>
        <w:rPr>
          <w:b/>
        </w:rPr>
        <w:t>pamplemousse</w:t>
      </w:r>
      <w:r>
        <w:t xml:space="preserve"> (jus en grande quantité). Prévenez votre médecin si vous prenez des antibiotiques comme clarithromycine, érythromycine, ou des antifongiques comme itraconazole. Ne l'arrêtez pas sans avis médical. »</w:t>
      </w:r>
    </w:p>
    <w:p>
      <w:r/>
      <w:r>
        <w:rPr>
          <w:i/>
        </w:rPr>
        <w:t>Forme IV :</w:t>
      </w:r>
      <w:r/>
    </w:p>
    <w:p>
      <w:pPr>
        <w:pStyle w:val="ListBullet"/>
      </w:pPr>
      <w:r>
        <w:t xml:space="preserve">Communication réservée au milieu médical : administration par infirmier(e) ou médecin réanimateur/anesthésiste, en soins intensifs ou bloc opératoire. Information au patient : « Ce médicament va faire baisser votre tension artérielle rapidement. Vous serez surveillé(e) en continu (tension, cœur, oxymétrie). Une perfusion continue sera adaptée à votre tension. Prévenez l'équipe si vous avez des </w:t>
      </w:r>
      <w:r>
        <w:rPr>
          <w:b/>
        </w:rPr>
        <w:t>maux de tête</w:t>
      </w:r>
      <w:r>
        <w:t xml:space="preserve">, des </w:t>
      </w:r>
      <w:r>
        <w:rPr>
          <w:b/>
        </w:rPr>
        <w:t>bouffées de chaleur</w:t>
      </w:r>
      <w:r>
        <w:t xml:space="preserve">, des </w:t>
      </w:r>
      <w:r>
        <w:rPr>
          <w:b/>
        </w:rPr>
        <w:t>nausées</w:t>
      </w:r>
      <w:r>
        <w:t xml:space="preserve">, des </w:t>
      </w:r>
      <w:r>
        <w:rPr>
          <w:b/>
        </w:rPr>
        <w:t>vertiges</w:t>
      </w:r>
      <w:r>
        <w:t>. »</w:t>
      </w:r>
    </w:p>
    <w:p>
      <w:r/>
      <w:r>
        <w:rPr>
          <w:b/>
        </w:rPr>
        <w:t>Notes, Règles d'Or &amp; Pièges au Comptoir :</w:t>
      </w:r>
      <w:r/>
    </w:p>
    <w:p>
      <w:pPr>
        <w:pStyle w:val="ListBullet"/>
      </w:pPr>
      <w:r/>
      <w:r>
        <w:rPr>
          <w:b/>
        </w:rPr>
        <w:t>Piège classique — Forme IV en cas de dissection aortique</w:t>
      </w:r>
      <w:r>
        <w:t xml:space="preserve"> : ne jamais commencer la nicardipine IV seule dans la dissection aortique — la tachycardie réflexe augmente la force d'éjection et propage la dissection. Toujours commencer par un β-bloquant IV (esmolol 500 µg/kg bolus puis 50–200 µg/kg/min, ou labétalol 20 mg IV puis 1–2 mg/min) pour abaisser la FC &lt; 70 bpm PUIS nicardipine IV pour abaisser la PA (objectif PAS &lt; 120 mmHg en 20 min).</w:t>
      </w:r>
    </w:p>
    <w:p>
      <w:pPr>
        <w:pStyle w:val="ListBullet"/>
      </w:pPr>
      <w:r/>
      <w:r>
        <w:rPr>
          <w:b/>
        </w:rPr>
        <w:t>Piège — Substitution forme orale courte → LP</w:t>
      </w:r>
      <w:r>
        <w:t xml:space="preserve"> : la forme orale 20 mg (LOXEN comprimé, retirée) imposait 3 prises/jour. La forme LP 50 mg en 2 prises/jour est l'équivalent galénique moderne.</w:t>
      </w:r>
    </w:p>
    <w:p>
      <w:pPr>
        <w:pStyle w:val="ListBullet"/>
      </w:pPr>
      <w:r/>
      <w:r>
        <w:rPr>
          <w:b/>
        </w:rPr>
        <w:t>Piège — Prééclampsie</w:t>
      </w:r>
      <w:r>
        <w:t xml:space="preserve"> : ne pas abaisser la PA trop vite (objectif PAS &lt; 160 et non 140) en raison du risque de souffrance fœtale par hypoperfusion placentaire. Titration prudente.</w:t>
      </w:r>
    </w:p>
    <w:p>
      <w:pPr>
        <w:pStyle w:val="ListBullet"/>
      </w:pPr>
      <w:r/>
      <w:r>
        <w:rPr>
          <w:b/>
        </w:rPr>
        <w:t>Piège — Arrêt de la forme IV</w:t>
      </w:r>
      <w:r>
        <w:t xml:space="preserve"> : la durée d'action résiduelle est de 4–6 h après l'arrêt — prévoir le relais par forme orale avant l'arrêt complet de l'IV pour éviter une remontée tensionnelle.</w:t>
      </w:r>
    </w:p>
    <w:p>
      <w:pPr>
        <w:pStyle w:val="ListBullet"/>
      </w:pPr>
      <w:r/>
      <w:r>
        <w:rPr>
          <w:b/>
        </w:rPr>
        <w:t>Règle de prise</w:t>
      </w:r>
      <w:r>
        <w:t xml:space="preserve"> : forme orale 2 prises/jour à heure fixe. Forme IV en perfusion continue titrée, en milieu hospitalier.</w:t>
      </w:r>
    </w:p>
    <w:p>
      <w:pPr>
        <w:pStyle w:val="ListBullet"/>
      </w:pPr>
      <w:r/>
      <w:r>
        <w:rPr>
          <w:b/>
        </w:rPr>
        <w:t>Préparation et Conservation</w:t>
      </w:r>
      <w:r>
        <w:t xml:space="preserve"> : forme orale LP : conserver à &lt; 25 °C, à l'abri de l'humidité. Forme IV : conserver à &lt; 25 °C, à l'abri de la lumière. Les solutions diluées se conservent 24 h.</w:t>
      </w:r>
    </w:p>
    <w:p>
      <w:pPr>
        <w:pStyle w:val="ListBullet"/>
      </w:pPr>
      <w:r/>
      <w:r>
        <w:rPr>
          <w:b/>
        </w:rPr>
        <w:t>Piège du surdosage</w:t>
      </w:r>
      <w:r>
        <w:t xml:space="preserve"> : surdosage IV → hypotension sévère, tachycardie réflexe. Traitement : arrêt immédiat de la perfusion, remplissage, adrénaline si collapsus, calcium IV.</w:t>
      </w:r>
    </w:p>
    <w:p>
      <w:pPr>
        <w:pStyle w:val="Heading3"/>
      </w:pPr>
      <w:r>
        <w:t>5. DCI : Nitrendipine (Seule)</w:t>
      </w:r>
    </w:p>
    <w:p>
      <w:r/>
      <w:r>
        <w:rPr>
          <w:b/>
        </w:rPr>
        <w:t>Liste des Catégories :</w:t>
      </w:r>
      <w:r>
        <w:t xml:space="preserve"> Inhibiteurs calciques — Dihydropyridines (DHP) ; Antihypertenseur.</w:t>
      </w:r>
    </w:p>
    <w:p>
      <w:r>
        <w:t xml:space="preserve">La nitrendipine (diméthyl éthyl méthyl 1,4-dihydro-2,6-diméthyl-4-(3-nitrophényl)-3,5-pyridinedicarboxylate) est une DHP de 2e génération, proche parente structurale de la nifédipine — dont elle ne diffère que par la substitution d'un groupe méthyle par un groupe éthyle sur l'ester en position 3. Cette modification structurale modifie la pharmacocinétique : la nitrendipine présente une </w:t>
      </w:r>
      <w:r>
        <w:rPr>
          <w:b/>
        </w:rPr>
        <w:t>demi-vie plus longue (12–24 h)</w:t>
      </w:r>
      <w:r>
        <w:t xml:space="preserve"> que la nifédipine (2–5 h), autorisant 1 à 2 prises par jour. Commercialisée dès 1986 par Bayer puis Schwarz Pharma sous le nom de Bayotensin® (et Baypress®), elle a été développée spécifiquement pour l'HTA. Son développement clinique a été marqué par l'essai épidémiologique </w:t>
      </w:r>
      <w:r>
        <w:rPr>
          <w:b/>
        </w:rPr>
        <w:t>SYST-EUR (1997, Staessen et al.)</w:t>
      </w:r>
      <w:r>
        <w:t xml:space="preserve"> — le premier essai à démontrer qu'un ICA réduit l'incidence de la démence vasculaire chez le sujet âgé hypertendu (incidence divisée par 2 vs placebo). Cet effet protecteur cognitif a été ultérieurement confirmé pour l'amlodipine (essai ACCOMPLISH). La nitrendipine reste un traitement de référence en Belgique, en Allemagne et en Chine — mais elle est peu prescrite en France (absente du marché) et </w:t>
      </w:r>
      <w:r>
        <w:rPr>
          <w:b/>
        </w:rPr>
        <w:t>n'est plus disponible en Algérie</w:t>
      </w:r>
      <w:r>
        <w:t xml:space="preserve"> (les deux spécialités NIDREL 10 et 20 mg sont Non Renouvelables depuis avril 2026). Cette disparité internationale reflète les choix stratégiques des firmes pharmaceutiques plus que des différences d'efficacité ou de tolérance.</w:t>
      </w:r>
    </w:p>
    <w:p>
      <w:r/>
      <w:r>
        <w:rPr>
          <w:b/>
        </w:rPr>
        <w:t>Médicaments disponibles en Algérie (Marques, Laboratoires, Formes et Dosages) :</w:t>
      </w:r>
      <w:r/>
    </w:p>
    <w:p>
      <w:r>
        <w:t>Spécialités Non Renouvelables :</w:t>
      </w:r>
    </w:p>
    <w:p>
      <w:pPr>
        <w:pStyle w:val="ListBullet"/>
      </w:pPr>
      <w:r/>
      <w:r>
        <w:rPr>
          <w:b/>
        </w:rPr>
        <w:t>NIDREL 10 MG</w:t>
      </w:r>
      <w:r>
        <w:t xml:space="preserve"> (SCHWARZ PHARMA) — Comprimé 10 mg, B/28 — Liste I — Non Renouvelable</w:t>
      </w:r>
    </w:p>
    <w:p>
      <w:pPr>
        <w:pStyle w:val="ListBullet"/>
      </w:pPr>
      <w:r/>
      <w:r>
        <w:rPr>
          <w:b/>
        </w:rPr>
        <w:t>NIDREL 20 MG</w:t>
      </w:r>
      <w:r>
        <w:t xml:space="preserve"> (SCHWARZ PHARMA) — Comprimé 20 mg, B/28 — Liste I — Non Renouvelable</w:t>
      </w:r>
    </w:p>
    <w:p>
      <w:r/>
      <w:r>
        <w:rPr>
          <w:b/>
        </w:rPr>
        <w:t>Sous-classe et Mécanisme d'action :</w:t>
      </w:r>
      <w:r/>
    </w:p>
    <w:p>
      <w:pPr>
        <w:pStyle w:val="ListBullet"/>
      </w:pPr>
      <w:r>
        <w:t>Sous-classe : DHP de 2e génération, vasosélective, demi-vie intermédiaire (12–24 h).</w:t>
      </w:r>
    </w:p>
    <w:p>
      <w:pPr>
        <w:pStyle w:val="ListBullet"/>
      </w:pPr>
      <w:r>
        <w:t xml:space="preserve">Mécanisme d'action : identique aux autres DHP — liaison au site DHP du canal Cav1.2 du muscle lisse vasculaire artériolaire → blocage de l'entrée du Ca2+ extracellulaire → vasodilatation artérielle systémique et coronaire → baisse des résistances périphériques → baisse de la PA. La nitrendipine présente une </w:t>
      </w:r>
      <w:r>
        <w:rPr>
          <w:b/>
        </w:rPr>
        <w:t>vasosélectivité vasculaire sur les lits artériolaires cérébraux et rénaux</w:t>
      </w:r>
      <w:r>
        <w:t xml:space="preserve"> prédominante (intérêt dans la néphroprotection du diabétique et la protection cognitive du sujet âgé). Son effet natriurétique propre (modeste mais significatif) explique un effet antihypertenseur indépendant de la baisse des résistances périphériques.</w:t>
      </w:r>
    </w:p>
    <w:p>
      <w:r/>
      <w:r>
        <w:rPr>
          <w:b/>
        </w:rPr>
        <w:t>Profil Pharmacologique :</w:t>
      </w:r>
      <w:r/>
    </w:p>
    <w:p>
      <w:pPr>
        <w:pStyle w:val="ListBullet"/>
      </w:pPr>
      <w:r>
        <w:t>Indications : (1) HTA essentielle légère à modérée, en monothérapie ou association — sujet âgé, diabétique ; (2) HTA systolique isolée du sujet âgé (indication princeps validée par SYST-EUR) ; (3) prévention de la démence vasculaire chez le sujet âgé hypertendu (effet démontré par SYST-EUR). La nitrendipine n'a pas d'AMM dans l'angor.</w:t>
      </w:r>
    </w:p>
    <w:p>
      <w:pPr>
        <w:pStyle w:val="ListBullet"/>
      </w:pPr>
      <w:r>
        <w:t>Contre-indications : (1) hypersensibilité aux DHP ; (2) hypotension sévère (PAS &lt; 90 mmHg) ; (3) choc cardiogénique ; (4) sténose aortique serrée ; (5) angor instable ; (6) grossesse au 1er trimestre ; (7) allaitement ; (8) association à la rifampicine.</w:t>
      </w:r>
    </w:p>
    <w:p>
      <w:pPr>
        <w:pStyle w:val="ListBullet"/>
      </w:pPr>
      <w:r>
        <w:t>Effets Indésirables : profil identique aux autres DHP — œdèmes malléoles (5–15 %), céphalées (10 %), flush (5 %), palpitations (5 %), hypotension orthostatique, hyperplasie gingivale (rare). Le profil est comparable à l'amlodipine en termes de tolérance, avec un effet moins marqué sur les œdèmes en raison de la cinétique d'installation plus progressive.</w:t>
      </w:r>
    </w:p>
    <w:p>
      <w:r/>
      <w:r>
        <w:rPr>
          <w:b/>
        </w:rPr>
        <w:t>Prévention et Gestion des Effets Indésirables :</w:t>
      </w:r>
      <w:r/>
    </w:p>
    <w:p>
      <w:pPr>
        <w:pStyle w:val="ListBullet"/>
      </w:pPr>
      <w:r>
        <w:t>Mesures Préventives : (a) Démarrer à 10 mg/jour, augmenter à 20 mg/jour si nécessaire, voire 40 mg/jour en 2 prises (HTA modérée à sévère) ; (b) Prévention des œdèmes : association à IEC/ARA2 ; (c) Surveillance de la PA et de la FC en début de traitement ; (d) Adaptation chez le sujet âgé (démarrer à 5 mg/jour en cassant le comprimé 10 mg sécable).</w:t>
      </w:r>
    </w:p>
    <w:p>
      <w:pPr>
        <w:pStyle w:val="ListBullet"/>
      </w:pPr>
      <w:r>
        <w:t>Conduite à Tenir : identique aux autres DHP — voir fiche Amlodipine.</w:t>
      </w:r>
    </w:p>
    <w:p>
      <w:r/>
      <w:r>
        <w:rPr>
          <w:b/>
        </w:rPr>
        <w:t>Interactions Importantes :</w:t>
      </w:r>
      <w:r/>
    </w:p>
    <w:p>
      <w:pPr>
        <w:pStyle w:val="ListBullet"/>
      </w:pPr>
      <w:r>
        <w:t xml:space="preserve">Nitrendipine + </w:t>
      </w:r>
      <w:r>
        <w:rPr>
          <w:b/>
        </w:rPr>
        <w:t>Inhibiteurs du CYP3A4</w:t>
      </w:r>
      <w:r>
        <w:t xml:space="preserve"> (itraconazole, kétoconazole, clarithromycine, érythromycine, ritonavir, jus de pamplemousse) : majoration des concentrations → hypotension, œdèmes.</w:t>
      </w:r>
    </w:p>
    <w:p>
      <w:pPr>
        <w:pStyle w:val="ListBullet"/>
      </w:pPr>
      <w:r>
        <w:t xml:space="preserve">Nitrendipine + </w:t>
      </w:r>
      <w:r>
        <w:rPr>
          <w:b/>
        </w:rPr>
        <w:t>Inducteurs du CYP3A4</w:t>
      </w:r>
      <w:r>
        <w:t xml:space="preserve"> (rifampicine — CI absolue ; phénytoïne, carbamazépine, millepertuis) : baisse majeure d'efficacité.</w:t>
      </w:r>
    </w:p>
    <w:p>
      <w:pPr>
        <w:pStyle w:val="ListBullet"/>
      </w:pPr>
      <w:r>
        <w:t xml:space="preserve">Nitrendipine + </w:t>
      </w:r>
      <w:r>
        <w:rPr>
          <w:b/>
        </w:rPr>
        <w:t>β-bloquant</w:t>
      </w:r>
      <w:r>
        <w:t xml:space="preserve"> : association synergique utile.</w:t>
      </w:r>
    </w:p>
    <w:p>
      <w:pPr>
        <w:pStyle w:val="ListBullet"/>
      </w:pPr>
      <w:r>
        <w:t xml:space="preserve">Nitrendipine + </w:t>
      </w:r>
      <w:r>
        <w:rPr>
          <w:b/>
        </w:rPr>
        <w:t>Digoxine</w:t>
      </w:r>
      <w:r>
        <w:t xml:space="preserve"> : pas d'effet significatif.</w:t>
      </w:r>
    </w:p>
    <w:p>
      <w:pPr>
        <w:pStyle w:val="ListBullet"/>
      </w:pPr>
      <w:r>
        <w:t xml:space="preserve">Nitrendipine + </w:t>
      </w:r>
      <w:r>
        <w:rPr>
          <w:b/>
        </w:rPr>
        <w:t>Ciclosporine</w:t>
      </w:r>
      <w:r>
        <w:t xml:space="preserve"> : surveillance taux résiduel.</w:t>
      </w:r>
    </w:p>
    <w:p>
      <w:r/>
      <w:r>
        <w:rPr>
          <w:b/>
        </w:rPr>
        <w:t>Grossesse et Allaitement :</w:t>
      </w:r>
      <w:r/>
    </w:p>
    <w:p>
      <w:pPr>
        <w:pStyle w:val="ListBullet"/>
      </w:pPr>
      <w:r>
        <w:t>Grossesse : à éviter au 1er trimestre par prudence. 2e et 3e trimestres : acceptable en 2e intention après méthyldopa, labétalol, nifédipine LP. Pas d'usage en urgence hypertensive gravidique (pas de forme IV).</w:t>
      </w:r>
    </w:p>
    <w:p>
      <w:pPr>
        <w:pStyle w:val="ListBullet"/>
      </w:pPr>
      <w:r>
        <w:t xml:space="preserve">Allaitement : </w:t>
      </w:r>
      <w:r>
        <w:rPr>
          <w:b/>
        </w:rPr>
        <w:t>déconseillée</w:t>
      </w:r>
      <w:r>
        <w:t xml:space="preserve"> — passage lacté mal évalué. Préférer l'amlodipine si DHP nécessaire pendant l'allaitement.</w:t>
      </w:r>
    </w:p>
    <w:p>
      <w:pPr>
        <w:pStyle w:val="ListBullet"/>
      </w:pPr>
      <w:r>
        <w:t>Précisions : La nitrendipine n'est plus disponible en Algérie en spécialité active — cette section est essentiellement académique, à destination des étudiants qui pourraient rencontrer le produit dans des pratiques à l'étranger (Belgique, Chine).</w:t>
      </w:r>
    </w:p>
    <w:p>
      <w:r/>
      <w:r>
        <w:rPr>
          <w:b/>
        </w:rPr>
        <w:t>Posologie et Mode d'administration (Standard) :</w:t>
      </w:r>
      <w:r/>
    </w:p>
    <w:p>
      <w:pPr>
        <w:pStyle w:val="ListBullet"/>
      </w:pPr>
      <w:r>
        <w:t>Adulte : 10–20 mg/jour en une prise unique (le matin), augmentable à 40 mg/jour en 2 prises (matin et soir) si réponse insuffisante. Dose maximale : 40 mg/jour.</w:t>
      </w:r>
    </w:p>
    <w:p>
      <w:pPr>
        <w:pStyle w:val="ListBullet"/>
      </w:pPr>
      <w:r>
        <w:t>Sujet âgé : démarrer à 5 mg/jour (1/2 comprimé 10 mg), puis 10–20 mg/jour.</w:t>
      </w:r>
    </w:p>
    <w:p>
      <w:pPr>
        <w:pStyle w:val="ListBullet"/>
      </w:pPr>
      <w:r>
        <w:t>Enfant : non évalué, non recommandé.</w:t>
      </w:r>
    </w:p>
    <w:p>
      <w:pPr>
        <w:pStyle w:val="ListBullet"/>
      </w:pPr>
      <w:r>
        <w:t>Insuffisant hépatique : démarrer à 5 mg/jour, surveillance.</w:t>
      </w:r>
    </w:p>
    <w:p>
      <w:pPr>
        <w:pStyle w:val="ListBullet"/>
      </w:pPr>
      <w:r>
        <w:t>Insuffisant rénal : pas d'adaptation (métabolites hépatiques inactifs).</w:t>
      </w:r>
    </w:p>
    <w:p>
      <w:pPr>
        <w:pStyle w:val="ListBullet"/>
      </w:pPr>
      <w:r>
        <w:t>Durée : au long cours.</w:t>
      </w:r>
    </w:p>
    <w:p>
      <w:pPr>
        <w:pStyle w:val="ListBullet"/>
      </w:pPr>
      <w:r>
        <w:t>Moment de prise : à heure fixe, le matin de préférence, pendant ou en dehors des repas.</w:t>
      </w:r>
    </w:p>
    <w:p>
      <w:r/>
      <w:r>
        <w:rPr>
          <w:b/>
        </w:rPr>
        <w:t>Arbitrage et Bénéfices des Formes Galéniques :</w:t>
      </w:r>
      <w:r/>
    </w:p>
    <w:p>
      <w:r>
        <w:t>La nitrendipine n'est disponible qu'en comprimé à libération immédiate (10 mg, 20 mg). Sa longue demi-vie (12–24 h) autorise 1 à 2 prises par jour sans nécessité de formulation LP. La spécialité princeps NIDREL (Schwarz Pharma) était conditionnée en boîte de 28 comprimés — format adapté à un traitement mensuel (2 prises/jour pendant 14 jours, ou 1 prise/jour pendant 28 jours). La disparition du produit en Algérie oblige à transférer les patients vers l'amlodipine (équivalence : nitrendipine 10 mg ≈ amlodipine 5 mg ; nitrendipine 20 mg ≈ amlodipine 10 mg). L'effet cognitif protecteur (SYST-EUR) est partagé par l'amlodipine (ACCOMPLISH) — le transfert ne devrait pas altérer la protection neurovasculaire.</w:t>
      </w:r>
    </w:p>
    <w:p>
      <w:r/>
      <w:r>
        <w:rPr>
          <w:b/>
        </w:rPr>
        <w:t>Instructions et Conseils au Patient :</w:t>
      </w:r>
      <w:r/>
    </w:p>
    <w:p>
      <w:pPr>
        <w:pStyle w:val="ListBullet"/>
      </w:pPr>
      <w:r>
        <w:t>Communication au comptoir : « Cette molécule n'est plus disponible en Algérie. Votre médecin vous prescrira un médicament équivalent (probablement l'amlodipine, qui appartient à la même famille et présente des avantages similaires). Ne vous inquiétez pas de ce changement, il est administratif et non lié à un problème de tolérance ou d'efficacité. »</w:t>
      </w:r>
    </w:p>
    <w:p>
      <w:pPr>
        <w:pStyle w:val="ListBullet"/>
      </w:pPr>
      <w:r>
        <w:t>Mode d'utilisation pratique : à titre académique — une prise par jour à heure fixe le matin. En cas d'oubli, ne pas doubler la dose.</w:t>
      </w:r>
    </w:p>
    <w:p>
      <w:r/>
      <w:r>
        <w:rPr>
          <w:b/>
        </w:rPr>
        <w:t>Notes, Règles d'Or &amp; Pièges au Comptoir :</w:t>
      </w:r>
      <w:r/>
    </w:p>
    <w:p>
      <w:pPr>
        <w:pStyle w:val="ListBullet"/>
      </w:pPr>
      <w:r/>
      <w:r>
        <w:rPr>
          <w:b/>
        </w:rPr>
        <w:t>Piège classique — Disparition du produit</w:t>
      </w:r>
      <w:r>
        <w:t xml:space="preserve"> : un patient sous nitrendipine (NIDREL) venant à la pharmacie se verra notifier que le médicament n'est plus disponible. Le pharmacien doit informer le patient, contacter le médecin traitant pour substitution par amlodipine (équivalence posologique approximative) ou lercanidipine. Ne jamais laisser le patient sans traitement antihypertenseur — risque de rebond hypertensif.</w:t>
      </w:r>
    </w:p>
    <w:p>
      <w:pPr>
        <w:pStyle w:val="ListBullet"/>
      </w:pPr>
      <w:r/>
      <w:r>
        <w:rPr>
          <w:b/>
        </w:rPr>
        <w:t>Piège — Substitution</w:t>
      </w:r>
      <w:r>
        <w:t xml:space="preserve"> : nitrendipine 10 mg ≈ amlodipine 5 mg ; nitrendipine 20 mg ≈ amlodipine 10 mg.</w:t>
      </w:r>
    </w:p>
    <w:p>
      <w:pPr>
        <w:pStyle w:val="ListBullet"/>
      </w:pPr>
      <w:r/>
      <w:r>
        <w:rPr>
          <w:b/>
        </w:rPr>
        <w:t>Règle de prise</w:t>
      </w:r>
      <w:r>
        <w:t xml:space="preserve"> : une prise unique par jour à heure fixe (historiquement).</w:t>
      </w:r>
    </w:p>
    <w:p>
      <w:pPr>
        <w:pStyle w:val="ListBullet"/>
      </w:pPr>
      <w:r/>
      <w:r>
        <w:rPr>
          <w:b/>
        </w:rPr>
        <w:t>Préparation et Conservation</w:t>
      </w:r>
      <w:r>
        <w:t xml:space="preserve"> : conserver à &lt; 25 °C, à l'abri de la lumière et de l'humidité.</w:t>
      </w:r>
    </w:p>
    <w:p>
      <w:pPr>
        <w:pStyle w:val="ListBullet"/>
      </w:pPr>
      <w:r/>
      <w:r>
        <w:rPr>
          <w:b/>
        </w:rPr>
        <w:t>Piège du surdosage</w:t>
      </w:r>
      <w:r>
        <w:t xml:space="preserve"> : identique aux autres DHP (hypotension, tachycardie réflexe, céphalées). Traitement symptomatique.</w:t>
      </w:r>
    </w:p>
    <w:p>
      <w:pPr>
        <w:pStyle w:val="Heading3"/>
      </w:pPr>
      <w:r>
        <w:t>6. DCI : Isradipine (Seule)</w:t>
      </w:r>
    </w:p>
    <w:p>
      <w:r/>
      <w:r>
        <w:rPr>
          <w:b/>
        </w:rPr>
        <w:t>Liste des Catégories :</w:t>
      </w:r>
      <w:r>
        <w:t xml:space="preserve"> Inhibiteurs calciques — Dihydropyridines (DHP) ; Antihypertenseur.</w:t>
      </w:r>
    </w:p>
    <w:p>
      <w:r>
        <w:t xml:space="preserve">L'isradipine (isopropyl méthyl 4-(2,1,3-benzoxadiazol-4-yl)-1,4-dihydro-2,6-diméthyl-3,5-pyridinedicarboxylate) est une DHP de 2e génération, proche parente de la nitrendipine. Elle a été synthétisée par Sandoz (devenu Novartis) et commercialisée dès 1989 sous les noms de DynaCirc® (États-Unis), Prescal® (Europe) et ICAZ® (Algérie). Son profil pharmacologique se distingue par : (1) une </w:t>
      </w:r>
      <w:r>
        <w:rPr>
          <w:b/>
        </w:rPr>
        <w:t>vasosélectivité artériolaire élevée</w:t>
      </w:r>
      <w:r>
        <w:t xml:space="preserve">, avec un effet inotrope négatif négligeable ; (2) une </w:t>
      </w:r>
      <w:r>
        <w:rPr>
          <w:b/>
        </w:rPr>
        <w:t>demi-vie courte</w:t>
      </w:r>
      <w:r>
        <w:t xml:space="preserve"> (1,5–8 h pour la forme immédiate, 12–20 h pour la forme LP) — d'où l'usage de la forme LP 5 mg ; (3) une </w:t>
      </w:r>
      <w:r>
        <w:rPr>
          <w:b/>
        </w:rPr>
        <w:t>sélectivité prédominante pour les canaux calciques L du muscle lisse vasculaire</w:t>
      </w:r>
      <w:r>
        <w:t xml:space="preserve"> ; (4) un métabolisme hépatique par CYP3A4. L'isradipine a également été étudiée dans la maladie de Parkinson (essai STEADY-PD III, 2020 — negatif), en raison d'un effet neuroprotecteur potentiel sur les neurones dopaminergiques via une inhibition de lamitochondrie liée à la ferryl-protéine — effet non confirmé cliniquement. En Algérie, l'isradipine est </w:t>
      </w:r>
      <w:r>
        <w:rPr>
          <w:b/>
        </w:rPr>
        <w:t>retirée du marché</w:t>
      </w:r>
      <w:r>
        <w:t xml:space="preserve"> (ICAZ 5 mg LP, Novartis, Retiré). Sa présence académique dans la nomenclature s'explique par son rôle historique et l'éventuelle réintroduction.</w:t>
      </w:r>
    </w:p>
    <w:p>
      <w:r/>
      <w:r>
        <w:rPr>
          <w:b/>
        </w:rPr>
        <w:t>Médicaments disponibles en Algérie (Marques, Laboratoires, Formes et Dosages) :</w:t>
      </w:r>
      <w:r/>
    </w:p>
    <w:p>
      <w:r>
        <w:t>Spécialité Retirée (R) :</w:t>
      </w:r>
    </w:p>
    <w:p>
      <w:pPr>
        <w:pStyle w:val="ListBullet"/>
      </w:pPr>
      <w:r/>
      <w:r>
        <w:rPr>
          <w:b/>
        </w:rPr>
        <w:t>ICAZ</w:t>
      </w:r>
      <w:r>
        <w:t xml:space="preserve"> (NOVARTIS PHARMA S.A.) — Gélule LP 5 mg, B/30 — Liste I — Retiré (R)</w:t>
      </w:r>
    </w:p>
    <w:p>
      <w:r/>
      <w:r>
        <w:rPr>
          <w:b/>
        </w:rPr>
        <w:t>Sous-classe et Mécanisme d'action :</w:t>
      </w:r>
      <w:r/>
    </w:p>
    <w:p>
      <w:pPr>
        <w:pStyle w:val="ListBullet"/>
      </w:pPr>
      <w:r>
        <w:t>Sous-classe : DHP de 2e génération, vasosélective, disponible en forme LP.</w:t>
      </w:r>
    </w:p>
    <w:p>
      <w:pPr>
        <w:pStyle w:val="ListBullet"/>
      </w:pPr>
      <w:r>
        <w:t>Mécanisme d'action : identique aux autres DHP — blocage du canal Cav1.2 artériolaire, vasodilatation systémique, baisse de la post-charge. L'isradipine a une affinité élevée pour le site DHP du canal (Kd ≈ 1 nM), comparable à la nifédipine. Sa sélectivité vasculaire est plus marquée que pour la nifédipine (rapport vasodilatation/inotropie négatif &gt; 100).</w:t>
      </w:r>
    </w:p>
    <w:p>
      <w:r/>
      <w:r>
        <w:rPr>
          <w:b/>
        </w:rPr>
        <w:t>Profil Pharmacologique :</w:t>
      </w:r>
      <w:r/>
    </w:p>
    <w:p>
      <w:pPr>
        <w:pStyle w:val="ListBullet"/>
      </w:pPr>
      <w:r>
        <w:t>Indications : (1) HTA essentielle légère à modérée, en monothérapie ou association. Indication limitée à l'HTA.</w:t>
      </w:r>
    </w:p>
    <w:p>
      <w:pPr>
        <w:pStyle w:val="ListBullet"/>
      </w:pPr>
      <w:r>
        <w:t>Contre-indications : (1) hypersensibilité aux DHP ; (2) hypotension sévère ; (3) choc cardiogénique ; (4) sténose aortique serrée ; (5) angor instable ; (6) grossesse (CI par prudence) ; (7) allaitement (CI).</w:t>
      </w:r>
    </w:p>
    <w:p>
      <w:pPr>
        <w:pStyle w:val="ListBullet"/>
      </w:pPr>
      <w:r>
        <w:t>Effets Indésirables : profil identique aux DHP — céphalées (15 %), flush (10 %), œdèmes malléoles (5–10 %), palpitations (5 %), hypotension orthostatique. La forme LP minimise l'activation sympathique réflexe.</w:t>
      </w:r>
    </w:p>
    <w:p>
      <w:r/>
      <w:r>
        <w:rPr>
          <w:b/>
        </w:rPr>
        <w:t>Prévention et Gestion des Effets Indésirables :</w:t>
      </w:r>
      <w:r/>
    </w:p>
    <w:p>
      <w:pPr>
        <w:pStyle w:val="ListBullet"/>
      </w:pPr>
      <w:r>
        <w:t>Mesures Préventives : démarrer à 2,5 mg/jour (1/2 gélule LP), titrer à 5 mg/jour, max 10 mg/jour. Surveillance PA, FC.</w:t>
      </w:r>
    </w:p>
    <w:p>
      <w:pPr>
        <w:pStyle w:val="ListBullet"/>
      </w:pPr>
      <w:r>
        <w:t>Conduite à Tenir : identique aux autres DHP.</w:t>
      </w:r>
    </w:p>
    <w:p>
      <w:r/>
      <w:r>
        <w:rPr>
          <w:b/>
        </w:rPr>
        <w:t>Interactions Importantes :</w:t>
      </w:r>
      <w:r/>
    </w:p>
    <w:p>
      <w:pPr>
        <w:pStyle w:val="ListBullet"/>
      </w:pPr>
      <w:r>
        <w:t xml:space="preserve">Isradipine + </w:t>
      </w:r>
      <w:r>
        <w:rPr>
          <w:b/>
        </w:rPr>
        <w:t>Inhibiteurs du CYP3A4</w:t>
      </w:r>
      <w:r>
        <w:t xml:space="preserve"> : majoration des concentrations — surveillance, adaptation.</w:t>
      </w:r>
    </w:p>
    <w:p>
      <w:pPr>
        <w:pStyle w:val="ListBullet"/>
      </w:pPr>
      <w:r>
        <w:t xml:space="preserve">Isradipine + </w:t>
      </w:r>
      <w:r>
        <w:rPr>
          <w:b/>
        </w:rPr>
        <w:t>Inducteurs du CYP3A4</w:t>
      </w:r>
      <w:r>
        <w:t xml:space="preserve"> (rifampicine, phénytoïne, carbamazépine, millepertuis) : baisse d'efficacité.</w:t>
      </w:r>
    </w:p>
    <w:p>
      <w:pPr>
        <w:pStyle w:val="ListBullet"/>
      </w:pPr>
      <w:r>
        <w:t xml:space="preserve">Isradipine + </w:t>
      </w:r>
      <w:r>
        <w:rPr>
          <w:b/>
        </w:rPr>
        <w:t>β-bloquant</w:t>
      </w:r>
      <w:r>
        <w:t xml:space="preserve"> : association synergique utile.</w:t>
      </w:r>
    </w:p>
    <w:p>
      <w:pPr>
        <w:pStyle w:val="ListBullet"/>
      </w:pPr>
      <w:r>
        <w:t xml:space="preserve">Isradipine + </w:t>
      </w:r>
      <w:r>
        <w:rPr>
          <w:b/>
        </w:rPr>
        <w:t>Digoxine</w:t>
      </w:r>
      <w:r>
        <w:t xml:space="preserve"> : pas d'effet significatif.</w:t>
      </w:r>
    </w:p>
    <w:p>
      <w:pPr>
        <w:pStyle w:val="ListBullet"/>
      </w:pPr>
      <w:r>
        <w:t xml:space="preserve">Isradipine + </w:t>
      </w:r>
      <w:r>
        <w:rPr>
          <w:b/>
        </w:rPr>
        <w:t>Pamplemousse (jus)</w:t>
      </w:r>
      <w:r>
        <w:t xml:space="preserve"> : interaction possible.</w:t>
      </w:r>
    </w:p>
    <w:p>
      <w:r/>
      <w:r>
        <w:rPr>
          <w:b/>
        </w:rPr>
        <w:t>Grossesse et Allaitement :</w:t>
      </w:r>
      <w:r/>
    </w:p>
    <w:p>
      <w:pPr>
        <w:pStyle w:val="ListBullet"/>
      </w:pPr>
      <w:r>
        <w:t>Grossesse : à éviter par prudence (données animales tératogènes à doses élevées). Préférer méthyldopa, labétalol, nifédipine LP en cas de grossesse.</w:t>
      </w:r>
    </w:p>
    <w:p>
      <w:pPr>
        <w:pStyle w:val="ListBullet"/>
      </w:pPr>
      <w:r>
        <w:t>Allaitement : CI par prudence — passage lacté non évalué.</w:t>
      </w:r>
    </w:p>
    <w:p>
      <w:pPr>
        <w:pStyle w:val="ListBullet"/>
      </w:pPr>
      <w:r>
        <w:t>Précisions : Indication académique uniquement.</w:t>
      </w:r>
    </w:p>
    <w:p>
      <w:r/>
      <w:r>
        <w:rPr>
          <w:b/>
        </w:rPr>
        <w:t>Posologie et Mode d'administration (Standard) :</w:t>
      </w:r>
      <w:r/>
    </w:p>
    <w:p>
      <w:pPr>
        <w:pStyle w:val="ListBullet"/>
      </w:pPr>
      <w:r>
        <w:t>Adulte : 2,5–5 mg/jour en une prise unique (LP), augmentable à 10 mg/jour. Dose maximale : 10 mg/jour.</w:t>
      </w:r>
    </w:p>
    <w:p>
      <w:pPr>
        <w:pStyle w:val="ListBullet"/>
      </w:pPr>
      <w:r>
        <w:t>Sujet âgé : démarrer à 2,5 mg/jour.</w:t>
      </w:r>
    </w:p>
    <w:p>
      <w:pPr>
        <w:pStyle w:val="ListBullet"/>
      </w:pPr>
      <w:r>
        <w:t>Insuffisant hépatique : démarrer à 2,5 mg/jour, surveillance.</w:t>
      </w:r>
    </w:p>
    <w:p>
      <w:pPr>
        <w:pStyle w:val="ListBullet"/>
      </w:pPr>
      <w:r>
        <w:t>Insuffisant rénal : pas d'adaptation.</w:t>
      </w:r>
    </w:p>
    <w:p>
      <w:pPr>
        <w:pStyle w:val="ListBullet"/>
      </w:pPr>
      <w:r>
        <w:t>Durée : au long cours.</w:t>
      </w:r>
    </w:p>
    <w:p>
      <w:pPr>
        <w:pStyle w:val="ListBullet"/>
      </w:pPr>
      <w:r>
        <w:t>Moment de prise : à heure fixe, le matin ou le soir.</w:t>
      </w:r>
    </w:p>
    <w:p>
      <w:r/>
      <w:r>
        <w:rPr>
          <w:b/>
        </w:rPr>
        <w:t>Arbitrage et Bénéfices des Formes Galéniques :</w:t>
      </w:r>
      <w:r/>
    </w:p>
    <w:p>
      <w:r>
        <w:t>L'isradipine était disponible exclusivement en forme LP 5 mg en gélule. Cette formulation permettait une couverture tensionnelle 24 h en une prise unique. Le conditionnement en boîte de 30 gélules correspondait à un mois de traitement. La disparition du produit en Algérie est compensée par l'amlodipine (équivalence : isradipine 5 mg LP ≈ amlodipine 5 mg).</w:t>
      </w:r>
    </w:p>
    <w:p>
      <w:r/>
      <w:r>
        <w:rPr>
          <w:b/>
        </w:rPr>
        <w:t>Instructions et Conseils au Patient :</w:t>
      </w:r>
      <w:r/>
    </w:p>
    <w:p>
      <w:pPr>
        <w:pStyle w:val="ListBullet"/>
      </w:pPr>
      <w:r>
        <w:t>Communication au comptoir : « Cette molécule n'est plus disponible en Algérie. Votre médecin vous prescrira un médicament équivalent (probablement l'amlodipine). Ne vous inquiétez pas du changement. »</w:t>
      </w:r>
    </w:p>
    <w:p>
      <w:pPr>
        <w:pStyle w:val="ListBullet"/>
      </w:pPr>
      <w:r>
        <w:t>Mode d'utilisation pratique : à titre académique — une prise par jour, à heure fixe.</w:t>
      </w:r>
    </w:p>
    <w:p>
      <w:r/>
      <w:r>
        <w:rPr>
          <w:b/>
        </w:rPr>
        <w:t>Notes, Règles d'Or &amp; Pièges au Comptoir :</w:t>
      </w:r>
      <w:r/>
    </w:p>
    <w:p>
      <w:pPr>
        <w:pStyle w:val="ListBullet"/>
      </w:pPr>
      <w:r/>
      <w:r>
        <w:rPr>
          <w:b/>
        </w:rPr>
        <w:t>Piège classique — Disparition du produit</w:t>
      </w:r>
      <w:r>
        <w:t xml:space="preserve"> : patient sous ICAZ — informer, contacter le médecin pour substitution par amlodipine 5 mg.</w:t>
      </w:r>
    </w:p>
    <w:p>
      <w:pPr>
        <w:pStyle w:val="ListBullet"/>
      </w:pPr>
      <w:r/>
      <w:r>
        <w:rPr>
          <w:b/>
        </w:rPr>
        <w:t>Piège — Substitution</w:t>
      </w:r>
      <w:r>
        <w:t xml:space="preserve"> : isradipine 5 mg LP ≈ amlodipine 5 mg.</w:t>
      </w:r>
    </w:p>
    <w:p>
      <w:pPr>
        <w:pStyle w:val="ListBullet"/>
      </w:pPr>
      <w:r/>
      <w:r>
        <w:rPr>
          <w:b/>
        </w:rPr>
        <w:t>Règle de prise</w:t>
      </w:r>
      <w:r>
        <w:t xml:space="preserve"> : une prise unique par jour (historiquement).</w:t>
      </w:r>
    </w:p>
    <w:p>
      <w:pPr>
        <w:pStyle w:val="ListBullet"/>
      </w:pPr>
      <w:r/>
      <w:r>
        <w:rPr>
          <w:b/>
        </w:rPr>
        <w:t>Préparation et Conservation</w:t>
      </w:r>
      <w:r>
        <w:t xml:space="preserve"> : conserver à &lt; 25 °C, à l'abri de l'humidité.</w:t>
      </w:r>
    </w:p>
    <w:p>
      <w:pPr>
        <w:pStyle w:val="ListBullet"/>
      </w:pPr>
      <w:r/>
      <w:r>
        <w:rPr>
          <w:b/>
        </w:rPr>
        <w:t>Piège du surdosage</w:t>
      </w:r>
      <w:r>
        <w:t xml:space="preserve"> : identique aux autres DHP — hypotension, tachycardie réflexe. Traitement symptomatique.</w:t>
      </w:r>
    </w:p>
    <w:p>
      <w:pPr>
        <w:pStyle w:val="Heading3"/>
      </w:pPr>
      <w:r>
        <w:t>7. DCI : Vérapamil (Seule)</w:t>
      </w:r>
    </w:p>
    <w:p>
      <w:r/>
      <w:r>
        <w:rPr>
          <w:b/>
        </w:rPr>
        <w:t>Liste des Catégories :</w:t>
      </w:r>
      <w:r>
        <w:t xml:space="preserve"> Inhibiteurs calciques — Non dihydropyridines (phénylalkylamines) ; Antihypertenseur ; Antiangoreux ; Antiarythmique (classe IV) ; Prophylaxie de la migraine (hors AMM) ; Cardiomyopathie hypertrophique.</w:t>
      </w:r>
    </w:p>
    <w:p>
      <w:r>
        <w:t xml:space="preserve">Le vérapamil (chlorhydrate de (RS)-2-(3,4-diméthoxyphényl)-5-{[2-(3,4-diméthoxyphényl)éthyl](méthyl)amino}-2-(propan-2-yl)pentanenitrile) est le chef de file des ICA phénylalkylamines. Synthétisé en 1962 par le chimiste Albert Florey chez Knoll (Bâle), il a d'abord été considéré comme un β-bloquant avant que son mécanisme d'action original — le blocage du canal calcique L — ne soit identifié par Godfraind et Kaba en 1969. C'est donc le </w:t>
      </w:r>
      <w:r>
        <w:rPr>
          <w:b/>
        </w:rPr>
        <w:t>plus ancien ICA commercialisé</w:t>
      </w:r>
      <w:r>
        <w:t xml:space="preserve"> (Isoptin® dès 1963 en Allemagne). Son profil pharmacologique est remarquable par sa double action : (1) vasodilatation coronarienne et artérielle systémique modérée (blocage des canaux L du muscle lisse vasculaire) ; (2) </w:t>
      </w:r>
      <w:r>
        <w:rPr>
          <w:b/>
        </w:rPr>
        <w:t>effets dépressifs cardiaques marqués</w:t>
      </w:r>
      <w:r>
        <w:t xml:space="preserve"> — bradycardie sinusale, allongement du PR (blocage des cellules nodales AV), effet inotrope négatif (blocage des canaux L du myocyte ventriculaire). Cette double action explique son large spectre thérapeutique : HTA, angor stable, troubles du rythme supraventriculaire (ralentissement de la FA, du flutter, des tachycardies jonctionnelles), cardiomyopathie hypertrophique, prévention des migraines. Le vérapamil est classé comme </w:t>
      </w:r>
      <w:r>
        <w:rPr>
          <w:b/>
        </w:rPr>
        <w:t>antiarythmique de classe IV</w:t>
      </w:r>
      <w:r>
        <w:t xml:space="preserve"> selon la classification de Vaughan-Williams. Il est également un </w:t>
      </w:r>
      <w:r>
        <w:rPr>
          <w:b/>
        </w:rPr>
        <w:t>inhibiteur de la P-glycoprotéine (P-gp / ABCB1)</w:t>
      </w:r>
      <w:r>
        <w:t xml:space="preserve">, ce qui explique plusieurs interactions médicamenteuses majeures (digoxine, ciclosporine, doxazosine, statines). En Algérie, le vérapamil n'est malheureusement </w:t>
      </w:r>
      <w:r>
        <w:rPr>
          <w:b/>
        </w:rPr>
        <w:t>plus disponible en spécialités actives</w:t>
      </w:r>
      <w:r>
        <w:t xml:space="preserve"> (VASOMIL-40 40 mg comprimé — Pharmacare Limited — Retiré ; VERAPAMIL BIOGARAN 240 mg LP — Retiré). Cette absence est paradoxale compte tenu de la place centrale du vérapamil dans les recommandations ESC 2018 pour le ralentissement ventriculaire de la FA. Le clinicien algérien doit recourir au diltiazem (encore disponible), au β-bloquant, à la digoxine ou à l'amiodarone.</w:t>
      </w:r>
    </w:p>
    <w:p>
      <w:r/>
      <w:r>
        <w:rPr>
          <w:b/>
        </w:rPr>
        <w:t>Médicaments disponibles en Algérie (Marques, Laboratoires, Formes et Dosages) :</w:t>
      </w:r>
      <w:r/>
    </w:p>
    <w:p>
      <w:r>
        <w:t>Spécialités Retirées (R) :</w:t>
      </w:r>
    </w:p>
    <w:p>
      <w:pPr>
        <w:pStyle w:val="ListBullet"/>
      </w:pPr>
      <w:r/>
      <w:r>
        <w:rPr>
          <w:b/>
        </w:rPr>
        <w:t>VASOMIL-40</w:t>
      </w:r>
      <w:r>
        <w:t xml:space="preserve"> (PHARMACARE LIMITED) — Comprimé 40 mg, B/75 — Liste I — Retiré (R)</w:t>
      </w:r>
    </w:p>
    <w:p>
      <w:pPr>
        <w:pStyle w:val="ListBullet"/>
      </w:pPr>
      <w:r/>
      <w:r>
        <w:rPr>
          <w:b/>
        </w:rPr>
        <w:t>VERAPAMIL BIOGARAN</w:t>
      </w:r>
      <w:r>
        <w:t xml:space="preserve"> (BIOGARAN) — Gélule LP 240 mg, B/30 — Liste I — Retiré (R)</w:t>
      </w:r>
    </w:p>
    <w:p>
      <w:r/>
      <w:r>
        <w:rPr>
          <w:b/>
        </w:rPr>
        <w:t>Sous-classe et Mécanisme d'action :</w:t>
      </w:r>
      <w:r/>
    </w:p>
    <w:p>
      <w:pPr>
        <w:pStyle w:val="ListBullet"/>
      </w:pPr>
      <w:r>
        <w:t>Sous-classe : phénylalkylamine (non-DHP), ICA de classe IV selon Vaughan-Williams, à action cardiaque prédominante (effet inotrope, dromotrope et chronotrope négatifs).</w:t>
      </w:r>
    </w:p>
    <w:p>
      <w:pPr>
        <w:pStyle w:val="ListBullet"/>
      </w:pPr>
      <w:r>
        <w:t xml:space="preserve">Mécanisme d'action : le vérapamil se lie à un site du canal Cav1.2 distinct du site DHP (domaine III/IV, segment S6 — chevauchement partiel avec le diltiazem), avec une </w:t>
      </w:r>
      <w:r>
        <w:rPr>
          <w:b/>
        </w:rPr>
        <w:t>affinité préférentielle pour l'état inactivé fréquence-dépendant</w:t>
      </w:r>
      <w:r>
        <w:t xml:space="preserve"> (canaux ouverts fréquemment — tissu nodal et myocardique). Cette propriété explique : (a) la </w:t>
      </w:r>
      <w:r>
        <w:rPr>
          <w:b/>
        </w:rPr>
        <w:t>sélectivité cardiaque</w:t>
      </w:r>
      <w:r>
        <w:t xml:space="preserve"> du vérapamil (canaux nodaux et myocytaires activés en permanence par le pacemaker sinusal et les dépolarisations successives) ; (b) l'effet </w:t>
      </w:r>
      <w:r>
        <w:rPr>
          <w:b/>
        </w:rPr>
        <w:t>bradycardisant</w:t>
      </w:r>
      <w:r>
        <w:t xml:space="preserve"> (blocage du noeud sinusal — pas de tachycardie réflexe comme pour les DHP) ; (c) l'effet </w:t>
      </w:r>
      <w:r>
        <w:rPr>
          <w:b/>
        </w:rPr>
        <w:t>dromotrope négatif</w:t>
      </w:r>
      <w:r>
        <w:t xml:space="preserve"> (blocage du noeud AV — allongement du PR, ralentissement de la conduction — utile dans la FA pour réduire la fréquence ventriculaire) ; (d) l'effet </w:t>
      </w:r>
      <w:r>
        <w:rPr>
          <w:b/>
        </w:rPr>
        <w:t>inotrope négatif</w:t>
      </w:r>
      <w:r>
        <w:t xml:space="preserve"> (blocage des canaux L du myocyte ventriculaire — baisse de la contractilité). Le vérapamil dilate également les artères coronaires épicardiques (baisse du vasospasme) et les artérioles systémiques (baisse de la post-charge — moindre que les DHP). Le vérapamil est </w:t>
      </w:r>
      <w:r>
        <w:rPr>
          <w:b/>
        </w:rPr>
        <w:t>inhibiteur de la P-glycoprotéine</w:t>
      </w:r>
      <w:r>
        <w:t xml:space="preserve"> — d'où de nombreuses interactions.</w:t>
      </w:r>
    </w:p>
    <w:p>
      <w:r/>
      <w:r>
        <w:rPr>
          <w:b/>
        </w:rPr>
        <w:t>Profil Pharmacologique :</w:t>
      </w:r>
      <w:r/>
    </w:p>
    <w:p>
      <w:pPr>
        <w:pStyle w:val="ListBullet"/>
      </w:pPr>
      <w:r>
        <w:t xml:space="preserve">Indications : (1) </w:t>
      </w:r>
      <w:r>
        <w:rPr>
          <w:b/>
        </w:rPr>
        <w:t>HTA modérée à sévère</w:t>
      </w:r>
      <w:r>
        <w:t xml:space="preserve"> — en monothérapie ou association (alternative aux β-bloquants si CI à ceux-ci : asthme, BAV de haut degré — mais le vérapamil est lui-même CI dans le BAV ; en pratique, indiqué chez le coronarien hypertendu sans dysfonction VG). Forme LP 240 mg/jour en une prise. (2) </w:t>
      </w:r>
      <w:r>
        <w:rPr>
          <w:b/>
        </w:rPr>
        <w:t>Angor stable chronique</w:t>
      </w:r>
      <w:r>
        <w:t xml:space="preserve"> — alternative aux β-bloquants ou aux DHP, en monothérapie ou en association (sauf avec β-bloquant — CI absolue). (3) </w:t>
      </w:r>
      <w:r>
        <w:rPr>
          <w:b/>
        </w:rPr>
        <w:t>Angor vasospastique de Prinzmetal</w:t>
      </w:r>
      <w:r>
        <w:t xml:space="preserve"> — efficace (vasodilatation coronaire). (4) </w:t>
      </w:r>
      <w:r>
        <w:rPr>
          <w:b/>
        </w:rPr>
        <w:t>Troubles du rythme supraventriculaire</w:t>
      </w:r>
      <w:r>
        <w:t xml:space="preserve"> : ralentissement de la FA/Flutter en aigu (forme IV) ou en chronique (forme orale) ; prévention des tachycardies par réentrée nodale ; tachycardie jonctionelle. </w:t>
      </w:r>
      <w:r>
        <w:rPr>
          <w:b/>
        </w:rPr>
        <w:t>AMM spécifique pour la forme IV</w:t>
      </w:r>
      <w:r>
        <w:t xml:space="preserve"> (qui n'est plus disponible en Algérie). (5) </w:t>
      </w:r>
      <w:r>
        <w:rPr>
          <w:b/>
        </w:rPr>
        <w:t>Cardiomyopathie hypertrophique obstructive</w:t>
      </w:r>
      <w:r>
        <w:t xml:space="preserve"> — amélioration de la tolérance à l'effort par réduction du gradient intraventriculaire et amélioration du remplissage diastolique (relaxation). (6) </w:t>
      </w:r>
      <w:r>
        <w:rPr>
          <w:b/>
        </w:rPr>
        <w:t>Prophylaxie de la migraine</w:t>
      </w:r>
      <w:r>
        <w:t xml:space="preserve"> hors AMM (en alternative aux β-bloquants). (7) </w:t>
      </w:r>
      <w:r>
        <w:rPr>
          <w:b/>
        </w:rPr>
        <w:t>Manie bipolaire</w:t>
      </w:r>
      <w:r>
        <w:t xml:space="preserve"> hors AMM — alternative au lithium.</w:t>
      </w:r>
    </w:p>
    <w:p>
      <w:pPr>
        <w:pStyle w:val="ListBullet"/>
      </w:pPr>
      <w:r>
        <w:t xml:space="preserve">Contre-indications : (1) </w:t>
      </w:r>
      <w:r>
        <w:rPr>
          <w:b/>
        </w:rPr>
        <w:t>Insuffisance cardiaque avec dysfonction systolique</w:t>
      </w:r>
      <w:r>
        <w:t xml:space="preserve"> (FEVG &lt; 40 %) — effet inotrope négatif délétère ; (2) </w:t>
      </w:r>
      <w:r>
        <w:rPr>
          <w:b/>
        </w:rPr>
        <w:t>Bloc auriculo-ventriculaire de 2e ou 3e degré non appareillé</w:t>
      </w:r>
      <w:r>
        <w:t xml:space="preserve"> ; (3) </w:t>
      </w:r>
      <w:r>
        <w:rPr>
          <w:b/>
        </w:rPr>
        <w:t>Maladie du sinus non appareillée</w:t>
      </w:r>
      <w:r>
        <w:t xml:space="preserve"> (bradycardie sinusale sévère, pauses sinusales) ; (4) </w:t>
      </w:r>
      <w:r>
        <w:rPr>
          <w:b/>
        </w:rPr>
        <w:t>Bradycardie &lt; 50 bpm</w:t>
      </w:r>
      <w:r>
        <w:t xml:space="preserve"> ; (5) </w:t>
      </w:r>
      <w:r>
        <w:rPr>
          <w:b/>
        </w:rPr>
        <w:t>Association aux β-bloquants</w:t>
      </w:r>
      <w:r>
        <w:t xml:space="preserve"> (CI absolue — risque de BAV complet, d'asystolie, de collapsus — par potentialisation du blocage nodal) ; (6) </w:t>
      </w:r>
      <w:r>
        <w:rPr>
          <w:b/>
        </w:rPr>
        <w:t>Phase aiguë de l'infarctus du myocarde</w:t>
      </w:r>
      <w:r>
        <w:t xml:space="preserve"> avec dysfonction VG ; (7) Hypersensibilité aux phénylalkylamines ; (8) Hypotension sévère (PAS &lt; 90 mmHg) ; (9) Flutter ou FA avec syndrome de pré-excitation (WPW) — le vérapamil ralentit le noeud AV mais accélère la conduction par la voie accessoire → risque de FA rapide dégénérant en fibrillation ventriculaire ; (10) Tachycardie à QRS large (non distinguée entre VT et SVT avec aberration — la forme IV est dangereuse en cas de VT — risque d'arrêt cardiaque) ; (11) Grossesse au 1er trimestre (par prudence, en pratique acceptable selon CRAT aux 2e et 3e trimestres) ; (12) Porphyrie (rarement rapportée).</w:t>
      </w:r>
    </w:p>
    <w:p>
      <w:pPr>
        <w:pStyle w:val="ListBullet"/>
      </w:pPr>
      <w:r>
        <w:t xml:space="preserve">Effets Indésirables : (1) </w:t>
      </w:r>
      <w:r>
        <w:rPr>
          <w:b/>
        </w:rPr>
        <w:t>Constipation</w:t>
      </w:r>
      <w:r>
        <w:t xml:space="preserve"> (jusqu'à 25 % des patients sous forme orale — liée au blocage des canaux calciques du plexus myentérique — typique du vérapamil, moins marquée avec le diltiazem) — peut être sévère chez le sujet âgé ; (2) </w:t>
      </w:r>
      <w:r>
        <w:rPr>
          <w:b/>
        </w:rPr>
        <w:t>Bradycardie sinusale</w:t>
      </w:r>
      <w:r>
        <w:t xml:space="preserve"> (10–15 %) — surveillance ECG ; (3) </w:t>
      </w:r>
      <w:r>
        <w:rPr>
          <w:b/>
        </w:rPr>
        <w:t>BAV de haut degré</w:t>
      </w:r>
      <w:r>
        <w:t xml:space="preserve"> (rare, mais à surveiller) — risque d'asystolie ; (4) </w:t>
      </w:r>
      <w:r>
        <w:rPr>
          <w:b/>
        </w:rPr>
        <w:t>Hypotension orthostatique</w:t>
      </w:r>
      <w:r>
        <w:t xml:space="preserve"> (5–10 %) ; (5) </w:t>
      </w:r>
      <w:r>
        <w:rPr>
          <w:b/>
        </w:rPr>
        <w:t>Insuffisance cardiaque</w:t>
      </w:r>
      <w:r>
        <w:t xml:space="preserve"> déclenchée ou aggravée (surtout si dysfonction VG préexistante) ; (6) Flush, céphalées (moins marquées que les DHP) ; (7) Œdèmes malléoles (5 %, moins que DHP) ; (8) </w:t>
      </w:r>
      <w:r>
        <w:rPr>
          <w:b/>
        </w:rPr>
        <w:t>Élévation des transaminases</w:t>
      </w:r>
      <w:r>
        <w:t xml:space="preserve"> (rare, hépatotoxicité cholestatique décrite) ; (9) Hyperplasie gingivale (rare, &lt; 1 %) ; (10) Réactions cutanées (rash, prurit) ; (11) Galactorrhée (rare — hyperprolactinémie par action sur la libération hypothalamique de dopamine) ; (12) Impuissance, troubles sexuels ; (13) Asthénie, somnolence, vertiges.</w:t>
      </w:r>
    </w:p>
    <w:p>
      <w:r/>
      <w:r>
        <w:rPr>
          <w:b/>
        </w:rPr>
        <w:t>Prévention et Gestion des Effets Indésirables :</w:t>
      </w:r>
      <w:r/>
    </w:p>
    <w:p>
      <w:pPr>
        <w:pStyle w:val="ListBullet"/>
      </w:pPr>
      <w:r>
        <w:t xml:space="preserve">Mesures Préventives : (a) </w:t>
      </w:r>
      <w:r>
        <w:rPr>
          <w:b/>
        </w:rPr>
        <w:t>ECG systématique avant prescription</w:t>
      </w:r>
      <w:r>
        <w:t xml:space="preserve"> — vérifier l'absence de BAV, bradycardie sinusale, allongement du PR &gt; 240 ms ; (b) Démarrer à dose faible (LP 120 mg/jour), titration progressive sur 2 semaines, surveillance ECG ; (c) </w:t>
      </w:r>
      <w:r>
        <w:rPr>
          <w:b/>
        </w:rPr>
        <w:t>Surveillance de la digoxinémie si association</w:t>
      </w:r>
      <w:r>
        <w:t xml:space="preserve"> (le vérapamil double la digoxinémie — adapter la dose de digoxine à -50 %) ; (d) Prévention de la constipation : régime riche en fibres, hydratation, laxatif osmotique (macrogol) si besoin — surtout chez le sujet âgé ; (e) Surveillance de la fonction VG (échographie cardiaque) en cas d'antécédent de dysfonction VG ; (f) Vérifier l'absence de β-bloquant associé (CI absolue) ; (g) Chez le sujet âgé, démarrer à LP 120 mg/jour (et non 240 mg) — surveillance clinique et ECG.</w:t>
      </w:r>
    </w:p>
    <w:p>
      <w:pPr>
        <w:pStyle w:val="ListBullet"/>
      </w:pPr>
      <w:r>
        <w:t>Conduite à Tenir : (a) Constipation sévère → macrogol 10 g/jour, voire lactulose ; si persistance, remplacement par diltiazem (moins constipant) ou par DHP ; (b) Bradycardie symptomatique (syncope, malaise, vertiges) → arrêt immédiat, atropine 0,5–1 mg IV si bradycardie sévère, isoprénaline si récidive, entraînement électrosystolique temporaire si BAV complet ; (c) Insuffisance cardiaque déclenchée → arrêt immédiat, diurétique IV, IEC ; (d) Élévation des transaminases → arrêt, bilan hépatique complet ; (e) Galactorrhée → arrêt, bilan endocrinien (prolactinémie) ; (f) Hypotension sévère → arrêt transitoire, remplissage, adrénaline si collapsus.</w:t>
      </w:r>
    </w:p>
    <w:p>
      <w:r/>
      <w:r>
        <w:rPr>
          <w:b/>
        </w:rPr>
        <w:t>Interactions Importantes :</w:t>
      </w:r>
      <w:r/>
    </w:p>
    <w:p>
      <w:pPr>
        <w:pStyle w:val="ListBullet"/>
      </w:pPr>
      <w:r>
        <w:t xml:space="preserve">Vérapamil + </w:t>
      </w:r>
      <w:r>
        <w:rPr>
          <w:b/>
        </w:rPr>
        <w:t>β-bloquant</w:t>
      </w:r>
      <w:r>
        <w:t xml:space="preserve"> (propranolol, bisoprolol, métoprolol, etc.) : </w:t>
      </w:r>
      <w:r>
        <w:rPr>
          <w:b/>
        </w:rPr>
        <w:t>CI absolue</w:t>
      </w:r>
      <w:r>
        <w:t xml:space="preserve"> — risque de BAV complet, bradycardie sévère, asystolie, collapsus cardiovasculaire. Particulièrement dangereux en IV (forme IV vérapamil + β-bloquant IV → asystolie). Le patient sous β-bloquant oral doit attendre 24–48 h après l'arrêt du β-bloquant avant d'initier le vérapamil (et inversement).</w:t>
      </w:r>
    </w:p>
    <w:p>
      <w:pPr>
        <w:pStyle w:val="ListBullet"/>
      </w:pPr>
      <w:r>
        <w:t xml:space="preserve">Vérapamil + </w:t>
      </w:r>
      <w:r>
        <w:rPr>
          <w:b/>
        </w:rPr>
        <w:t>Digoxine</w:t>
      </w:r>
      <w:r>
        <w:t xml:space="preserve"> : le vérapamil </w:t>
      </w:r>
      <w:r>
        <w:rPr>
          <w:b/>
        </w:rPr>
        <w:t>inhibe la P-gp</w:t>
      </w:r>
      <w:r>
        <w:t xml:space="preserve"> → baisse de la clairance de la digoxine → </w:t>
      </w:r>
      <w:r>
        <w:rPr>
          <w:b/>
        </w:rPr>
        <w:t>augmentation de la digoxinémie de 50 à 100 %</w:t>
      </w:r>
      <w:r>
        <w:t xml:space="preserve"> → risque de digoxinémie toxique (nausées, troubles visuels, extrasystoles ventriculaires, bigéminisme, BAV). </w:t>
      </w:r>
      <w:r>
        <w:rPr>
          <w:b/>
        </w:rPr>
        <w:t>Réduire la dose de digoxine de moitié</w:t>
      </w:r>
      <w:r>
        <w:t xml:space="preserve"> lors de l'initiation du vérapamil, surveillance de la digoxinémie à 5–7 jours.</w:t>
      </w:r>
    </w:p>
    <w:p>
      <w:pPr>
        <w:pStyle w:val="ListBullet"/>
      </w:pPr>
      <w:r>
        <w:t xml:space="preserve">Vérapamil + </w:t>
      </w:r>
      <w:r>
        <w:rPr>
          <w:b/>
        </w:rPr>
        <w:t>Statines</w:t>
      </w:r>
      <w:r>
        <w:t xml:space="preserve"> (simvastatine, atorvastatine, lovastatine) : </w:t>
      </w:r>
      <w:r>
        <w:rPr>
          <w:b/>
        </w:rPr>
        <w:t>inhibition du CYP3A4</w:t>
      </w:r>
      <w:r>
        <w:t xml:space="preserve"> → augmentation des concentrations des statines → </w:t>
      </w:r>
      <w:r>
        <w:rPr>
          <w:b/>
        </w:rPr>
        <w:t>risque de rhabdomyolyse</w:t>
      </w:r>
      <w:r>
        <w:t>. CI avec la simvastatine à forte dose (selon ANSM, ne pas dépasser 20 mg/jour de simvastatine en association avec vérapamil). Préférer pravastatine, rosuvastatine, fluvastatine (non métabolisées par CYP3A4).</w:t>
      </w:r>
    </w:p>
    <w:p>
      <w:pPr>
        <w:pStyle w:val="ListBullet"/>
      </w:pPr>
      <w:r>
        <w:t xml:space="preserve">Vérapamil + </w:t>
      </w:r>
      <w:r>
        <w:rPr>
          <w:b/>
        </w:rPr>
        <w:t>Doxazosine, prazosine, térazosine</w:t>
      </w:r>
      <w:r>
        <w:t xml:space="preserve"> (α1-bloquants) : inhibition de leur métabolisme hépatique → hypotension orthostatique majorée. Surveillance, adaptation.</w:t>
      </w:r>
    </w:p>
    <w:p>
      <w:pPr>
        <w:pStyle w:val="ListBullet"/>
      </w:pPr>
      <w:r>
        <w:t xml:space="preserve">Vérapamil + </w:t>
      </w:r>
      <w:r>
        <w:rPr>
          <w:b/>
        </w:rPr>
        <w:t>Ciclosporine, tacrolimus</w:t>
      </w:r>
      <w:r>
        <w:t xml:space="preserve"> : inhibition de la P-gp → augmentation des concentrations de l'immunosuppresseur → risque de néphrotoxicité. Surveillance taux résiduel, adaptation posologique (-25 à -50 %).</w:t>
      </w:r>
    </w:p>
    <w:p>
      <w:pPr>
        <w:pStyle w:val="ListBullet"/>
      </w:pPr>
      <w:r>
        <w:t xml:space="preserve">Vérapamil + </w:t>
      </w:r>
      <w:r>
        <w:rPr>
          <w:b/>
        </w:rPr>
        <w:t>Carbamazépine</w:t>
      </w:r>
      <w:r>
        <w:t xml:space="preserve"> : augmentation des concentrations de carbamazépine (toxicité neurologique — ataxie, diplopie, somnolence). Surveillance clinique et dosage plasmatique.</w:t>
      </w:r>
    </w:p>
    <w:p>
      <w:pPr>
        <w:pStyle w:val="ListBullet"/>
      </w:pPr>
      <w:r>
        <w:t xml:space="preserve">Vérapamil + </w:t>
      </w:r>
      <w:r>
        <w:rPr>
          <w:b/>
        </w:rPr>
        <w:t>Inhibiteurs du CYP3A4</w:t>
      </w:r>
      <w:r>
        <w:t xml:space="preserve"> (itraconazole, kétoconazole, clarithromycine, érythromycine, ritonavir) : majoration des concentrations du vérapamil → hypotension, bradycardie.</w:t>
      </w:r>
    </w:p>
    <w:p>
      <w:pPr>
        <w:pStyle w:val="ListBullet"/>
      </w:pPr>
      <w:r>
        <w:t xml:space="preserve">Vérapamil + </w:t>
      </w:r>
      <w:r>
        <w:rPr>
          <w:b/>
        </w:rPr>
        <w:t>Inducteurs du CYP3A4</w:t>
      </w:r>
      <w:r>
        <w:t xml:space="preserve"> (rifampicine — CI absolue, inefficacité ; phénytoïne, phénobarbital, millepertuis) : baisse d'efficacité.</w:t>
      </w:r>
    </w:p>
    <w:p>
      <w:pPr>
        <w:pStyle w:val="ListBullet"/>
      </w:pPr>
      <w:r>
        <w:t xml:space="preserve">Vérapamil + </w:t>
      </w:r>
      <w:r>
        <w:rPr>
          <w:b/>
        </w:rPr>
        <w:t>Pamplemousse (jus)</w:t>
      </w:r>
      <w:r>
        <w:t xml:space="preserve"> : interaction possible — éviter.</w:t>
      </w:r>
    </w:p>
    <w:p>
      <w:pPr>
        <w:pStyle w:val="ListBullet"/>
      </w:pPr>
      <w:r>
        <w:t xml:space="preserve">Vérapamil + </w:t>
      </w:r>
      <w:r>
        <w:rPr>
          <w:b/>
        </w:rPr>
        <w:t>Colchicine</w:t>
      </w:r>
      <w:r>
        <w:t xml:space="preserve"> : CI absolue — augmentation des concentrations de colchicine → toxicité grave (insuffisance médullaire, rhabdomyolyse, décès).</w:t>
      </w:r>
    </w:p>
    <w:p>
      <w:pPr>
        <w:pStyle w:val="ListBullet"/>
      </w:pPr>
      <w:r>
        <w:t xml:space="preserve">Vérapamil + </w:t>
      </w:r>
      <w:r>
        <w:rPr>
          <w:b/>
        </w:rPr>
        <w:t>Dabigatran</w:t>
      </w:r>
      <w:r>
        <w:t xml:space="preserve"> : augmentation des concentrations de dabigatran (P-gp) → risque hémorragique. Surveillance, adaptation.</w:t>
      </w:r>
    </w:p>
    <w:p>
      <w:pPr>
        <w:pStyle w:val="ListBullet"/>
      </w:pPr>
      <w:r>
        <w:t xml:space="preserve">Vérapamil + </w:t>
      </w:r>
      <w:r>
        <w:rPr>
          <w:b/>
        </w:rPr>
        <w:t>Alcool</w:t>
      </w:r>
      <w:r>
        <w:t xml:space="preserve"> : potentialisation hypotensive.</w:t>
      </w:r>
    </w:p>
    <w:p>
      <w:pPr>
        <w:pStyle w:val="ListBullet"/>
      </w:pPr>
      <w:r>
        <w:t xml:space="preserve">Vérapamil IV + </w:t>
      </w:r>
      <w:r>
        <w:rPr>
          <w:b/>
        </w:rPr>
        <w:t>Magnésium IV</w:t>
      </w:r>
      <w:r>
        <w:t xml:space="preserve"> : potentialisation de la bradycardie et du BAV.</w:t>
      </w:r>
    </w:p>
    <w:p>
      <w:pPr>
        <w:pStyle w:val="ListBullet"/>
      </w:pPr>
      <w:r>
        <w:t xml:space="preserve">Vérapamil + </w:t>
      </w:r>
      <w:r>
        <w:rPr>
          <w:b/>
        </w:rPr>
        <w:t>Lithium</w:t>
      </w:r>
      <w:r>
        <w:t xml:space="preserve"> : neurotoxicité accrue (rare mais décrite).</w:t>
      </w:r>
    </w:p>
    <w:p>
      <w:r/>
      <w:r>
        <w:rPr>
          <w:b/>
        </w:rPr>
        <w:t>Grossesse et Allaitement :</w:t>
      </w:r>
      <w:r/>
    </w:p>
    <w:p>
      <w:pPr>
        <w:pStyle w:val="ListBullet"/>
      </w:pPr>
      <w:r>
        <w:t xml:space="preserve">Grossesse : selon le CRAT, le vérapamil est </w:t>
      </w:r>
      <w:r>
        <w:rPr>
          <w:b/>
        </w:rPr>
        <w:t>compatible avec la grossesse</w:t>
      </w:r>
      <w:r>
        <w:t xml:space="preserve"> aux 2e et 3e trimestres (données humaines rassurantes — recul important). Au 1er trimestre, à éviter par prudence (données animales évocatrices). La forme IV peut être utilisée pour le ralentissement aigu de la FA gravidique (alternative à la digoxine ou au β-bloquant). Le passage transplacentaire est partiel (~50 % de la concentration maternelle) — surveillance du RCF. Le vérapamil passe la barrière placentaire et peut entraîner une bradycardie fœtale (à surveiller au monitoring).</w:t>
      </w:r>
    </w:p>
    <w:p>
      <w:pPr>
        <w:pStyle w:val="ListBullet"/>
      </w:pPr>
      <w:r>
        <w:t xml:space="preserve">Allaitement : selon le CRAT, </w:t>
      </w:r>
      <w:r>
        <w:rPr>
          <w:b/>
        </w:rPr>
        <w:t>compatible</w:t>
      </w:r>
      <w:r>
        <w:t xml:space="preserve"> — passage lacté très faible (rapport lait/plasma ≈ 0,2), doses ingérées par le nourrisson estimées à &lt; 0,1 % de la dose maternelle pondérée. Surveillance de la FC du nourrisson (risque théorique de bradycardie, en pratique rare).</w:t>
      </w:r>
    </w:p>
    <w:p>
      <w:pPr>
        <w:pStyle w:val="ListBullet"/>
      </w:pPr>
      <w:r>
        <w:t>Précisions : le vérapamil est une alternative au β-bloquant pour le ralentissement de la FA pendant la grossesse (surtout si asthme). Utilisable aussi dans l'HTA gravidique en 2e intention (alternative à la nifédipine LP).</w:t>
      </w:r>
    </w:p>
    <w:p>
      <w:r/>
      <w:r>
        <w:rPr>
          <w:b/>
        </w:rPr>
        <w:t>Posologie et Mode d'administration (Standard) :</w:t>
      </w:r>
      <w:r/>
    </w:p>
    <w:p>
      <w:pPr>
        <w:pStyle w:val="ListBullet"/>
      </w:pPr>
      <w:r>
        <w:t>Adulte : Forme orale LP 240 mg/jour en une prise, augmentable à LP 240 mg × 2/jour (480 mg/j) si HTA sévère. Forme orale immédiate 40 mg × 3/jour (antiarythmique — indication de la FA en chronique, ou migraine — posologie classique 40 mg × 3–4/j). Dose maximale : 480 mg/jour. Forme IV (non disponible en Algérie) : 5 mg (1 ampoule) en IVL sur 2 min, à répéter après 10 min si échec — pour ralentissement aigu de la FA.</w:t>
      </w:r>
    </w:p>
    <w:p>
      <w:pPr>
        <w:pStyle w:val="ListBullet"/>
      </w:pPr>
      <w:r>
        <w:t>Sujet âgé : démarrer à LP 120 mg/jour, titration prudente à LP 240 mg/jour.</w:t>
      </w:r>
    </w:p>
    <w:p>
      <w:pPr>
        <w:pStyle w:val="ListBullet"/>
      </w:pPr>
      <w:r>
        <w:t>Enfant : 1–5 mg/kg/jour en 3 prises (forme immédiate), avec surveillance ECG. Forme LP non recommandée chez l'enfant.</w:t>
      </w:r>
    </w:p>
    <w:p>
      <w:pPr>
        <w:pStyle w:val="ListBullet"/>
      </w:pPr>
      <w:r>
        <w:t>Insuffisant hépatique : réduction de 50 % de la dose (le vérapamil est métabolisé par le foie — Child-Pugh B ou C : démarrer à LP 120 mg/jour, surveillance ECG).</w:t>
      </w:r>
    </w:p>
    <w:p>
      <w:pPr>
        <w:pStyle w:val="ListBullet"/>
      </w:pPr>
      <w:r>
        <w:t>Insuffisant rénal : pas d'adaptation posologique stricte (métabolites hépatiques — prudence en cas de DFG &lt; 30 mL/min, surveillance ECG).</w:t>
      </w:r>
    </w:p>
    <w:p>
      <w:pPr>
        <w:pStyle w:val="ListBullet"/>
      </w:pPr>
      <w:r>
        <w:t>Durée : au long cours pour HTA, angor, prophylaxie de la FA. Aigu pour la FA paroxystique (forme IV).</w:t>
      </w:r>
    </w:p>
    <w:p>
      <w:pPr>
        <w:pStyle w:val="ListBullet"/>
      </w:pPr>
      <w:r>
        <w:t>Moment de prise : forme LP le matin à heure fixe, pendant ou en dehors des repas (peu d'influence alimentaire). Forme immédiate : 3 prises/jour, à répartir sur la journée (matin, midi, soir) à heures fixes. Ne pas croquer ni écraser les gélules LP.</w:t>
      </w:r>
    </w:p>
    <w:p>
      <w:r/>
      <w:r>
        <w:rPr>
          <w:b/>
        </w:rPr>
        <w:t>Arbitrage et Bénéfices des Formes Galéniques :</w:t>
      </w:r>
      <w:r/>
    </w:p>
    <w:p>
      <w:r>
        <w:t>Le vérapamil illustre l'importance de la galénique : la forme immédiate 40 mg (VASOMIL-40 — Retirée) impose 3 à 4 prises par jour et présente une variabilité tensionnelle importante entre les prises ; la forme LP 240 mg (VERAPAMIL BIOGARAN LP — Retirée) autorise une prise unique quotidienne avec une couverture tensionnelle continue et une meilleure observance. Pour l'indication chronique (HTA, angor stable, prophylaxie de la FA chronique), la forme LP est supérieure. Pour l'indication aiguë (ralentissement d'une FA paroxystique), la forme IV (non disponible) est nécessaire — elle doit être administrée en milieu hospitalier (ECG continu, chariot d'urgence). En Algérie, l'absence de vérapamil actif oblige le clinicien à recourir au diltiazem (LP 300 mg, MONO-TILDIEM — disponible), au β-bloquant, à la digoxine ou à l'amiodarone. Le pharmacien d'officine doit informer le patient de cette indisponibilité et proposer une consultation médicale pour substitution.</w:t>
      </w:r>
    </w:p>
    <w:p>
      <w:r/>
      <w:r>
        <w:rPr>
          <w:b/>
        </w:rPr>
        <w:t>Instructions et Conseils au Patient :</w:t>
      </w:r>
      <w:r/>
    </w:p>
    <w:p>
      <w:pPr>
        <w:pStyle w:val="ListBullet"/>
      </w:pPr>
      <w:r>
        <w:t>Communication au comptoir : « Cette molécule n'est plus disponible en Algérie. Votre médecin vous prescrira un médicament équivalent. Selon votre indication (HTA, angor, troubles du rythme), le médecin pourra choisir un autre inhibiteur calcique (comme le diltiazem), un bêta-bloquant, ou un autre médicament. Ne paniquez pas, mais prenez rendez-vous rapidement pour la substitution. »</w:t>
      </w:r>
    </w:p>
    <w:p>
      <w:pPr>
        <w:pStyle w:val="ListBullet"/>
      </w:pPr>
      <w:r>
        <w:t>Mode d'utilisation pratique (historique) : (a) Forme LP : une prise par jour, le matin à heure fixe, sans croquer ; (b) Forme immédiate : 3 prises par jour à heures fixes ; (c) Surveillance de la fréquence cardiaque (prendre le pouls 2 fois par jour — si &lt; 50 bpm, contacter le médecin) ; (d) Constipation : prévention par hydratation, fibres, macrogol si besoin ; (e) Prévenir tout médecin (notamment anesthésiste) que vous preniez ce traitement.</w:t>
      </w:r>
    </w:p>
    <w:p>
      <w:r/>
      <w:r>
        <w:rPr>
          <w:b/>
        </w:rPr>
        <w:t>Notes, Règles d'Or &amp; Pièges au Comptoir :</w:t>
      </w:r>
      <w:r/>
    </w:p>
    <w:p>
      <w:pPr>
        <w:pStyle w:val="ListBullet"/>
      </w:pPr>
      <w:r/>
      <w:r>
        <w:rPr>
          <w:b/>
        </w:rPr>
        <w:t>Piège classique — Association au β-bloquant</w:t>
      </w:r>
      <w:r>
        <w:t xml:space="preserve"> : CI absolue. Le pharmacien doit vérifier l'ordonnance et refuser la dispensation si le patient reçoit simultanément vérapamil + β-bloquant, ou alerter le médecin prescripteur. Le risque est vital — asystolie, BAV complet.</w:t>
      </w:r>
    </w:p>
    <w:p>
      <w:pPr>
        <w:pStyle w:val="ListBullet"/>
      </w:pPr>
      <w:r/>
      <w:r>
        <w:rPr>
          <w:b/>
        </w:rPr>
        <w:t>Piège — Surveillance digoxinémie</w:t>
      </w:r>
      <w:r>
        <w:t xml:space="preserve"> : en cas d'association vérapamil + digoxine, diviser la dose de digoxine par 2 et surveiller la digoxinémie à 5–7 jours (objectif 0,8–1,2 ng/mL).</w:t>
      </w:r>
    </w:p>
    <w:p>
      <w:pPr>
        <w:pStyle w:val="ListBullet"/>
      </w:pPr>
      <w:r/>
      <w:r>
        <w:rPr>
          <w:b/>
        </w:rPr>
        <w:t>Piège — Simvastatine</w:t>
      </w:r>
      <w:r>
        <w:t xml:space="preserve"> : ne pas dépasser 20 mg/jour de simvastatine en association avec le vérapamil (risque de rhabdomyolyse). Préférer pravastatine ou rosuvastatine.</w:t>
      </w:r>
    </w:p>
    <w:p>
      <w:pPr>
        <w:pStyle w:val="ListBullet"/>
      </w:pPr>
      <w:r/>
      <w:r>
        <w:rPr>
          <w:b/>
        </w:rPr>
        <w:t>Piège — Colchicine</w:t>
      </w:r>
      <w:r>
        <w:t xml:space="preserve"> : CI absolue avec le vérapamil (toxicité grave, décès rapportés).</w:t>
      </w:r>
    </w:p>
    <w:p>
      <w:pPr>
        <w:pStyle w:val="ListBullet"/>
      </w:pPr>
      <w:r/>
      <w:r>
        <w:rPr>
          <w:b/>
        </w:rPr>
        <w:t>Piège — Substitution par diltiazem</w:t>
      </w:r>
      <w:r>
        <w:t xml:space="preserve"> : en cas d'indisponibilité du vérapamil, le diltiazem LP 300 mg (MONO-TILDIEM) est l'alternative de choix pour la FA chronique (profil similaire : bradycardisant, dromotrope négatif, vasodilatateur coronarien).</w:t>
      </w:r>
    </w:p>
    <w:p>
      <w:pPr>
        <w:pStyle w:val="ListBullet"/>
      </w:pPr>
      <w:r/>
      <w:r>
        <w:rPr>
          <w:b/>
        </w:rPr>
        <w:t>Piège — Arrêt brutal</w:t>
      </w:r>
      <w:r>
        <w:t xml:space="preserve"> : ne jamais arrêter brutalement le vérapamil (risque de rebond hypertensif et de tachycardie réflexe, voire d'angor). Décroissance sur 1–2 semaines.</w:t>
      </w:r>
    </w:p>
    <w:p>
      <w:pPr>
        <w:pStyle w:val="ListBullet"/>
      </w:pPr>
      <w:r/>
      <w:r>
        <w:rPr>
          <w:b/>
        </w:rPr>
        <w:t>Règle de prise</w:t>
      </w:r>
      <w:r>
        <w:t xml:space="preserve"> : une prise LP par jour, à heure fixe, à vie (HTA, angor).</w:t>
      </w:r>
    </w:p>
    <w:p>
      <w:pPr>
        <w:pStyle w:val="ListBullet"/>
      </w:pPr>
      <w:r/>
      <w:r>
        <w:rPr>
          <w:b/>
        </w:rPr>
        <w:t>Préparation et Conservation</w:t>
      </w:r>
      <w:r>
        <w:t xml:space="preserve"> : conserver à &lt; 25 °C, à l'abri de l'humidité et de la lumière.</w:t>
      </w:r>
    </w:p>
    <w:p>
      <w:pPr>
        <w:pStyle w:val="ListBullet"/>
      </w:pPr>
      <w:r/>
      <w:r>
        <w:rPr>
          <w:b/>
        </w:rPr>
        <w:t>Piège du surdosage</w:t>
      </w:r>
      <w:r>
        <w:t xml:space="preserve"> : surdosage massif → bradycardie sévère, BAV complet, hypotension, asystolie, hyperglycémie, acidose métabolique. </w:t>
      </w:r>
      <w:r>
        <w:rPr>
          <w:b/>
        </w:rPr>
        <w:t>Traitement spécifique</w:t>
      </w:r>
      <w:r>
        <w:t xml:space="preserve"> : calcium IV (gluconate 10 % — 10 à 20 mL IVL, à répéter toutes les 10–20 min jusqu'à 4 prises) — élève la calcémie et "débloque" les canaux ; adrénaline (1 mg IV, à répéter, ou 0,05–0,1 µg/kg/min perfusion) ; glucagon (5–10 mg IV bolus, puis 1–5 mg/h perfusion) — stimule l'adénylate cyclase indépendamment des canaux calciques ; insuline + glucose (high-dose insulin therapy — 0,5–1 UI/kg/h avec glucose 50 % pour maintenir la glycémie 5–10 mmol/L) — améliore l'inotropie indépendamment des canaux calciques ; pacing temporaire si BAV complet ; assistance circulatoire (ECMO) en cas d'échec. Hémoperfusion inefficace.</w:t>
      </w:r>
    </w:p>
    <w:p>
      <w:pPr>
        <w:pStyle w:val="Heading3"/>
      </w:pPr>
      <w:r>
        <w:t>8. DCI : Diltiazem (Seule)</w:t>
      </w:r>
    </w:p>
    <w:p>
      <w:r/>
      <w:r>
        <w:rPr>
          <w:b/>
        </w:rPr>
        <w:t>Liste des Catégories :</w:t>
      </w:r>
      <w:r>
        <w:t xml:space="preserve"> Inhibiteurs calciques — Non dihydropyridines (benzothiazépines) ; Antihypertenseur ; Antiangoreux ; Antiarythmique (classe IV).</w:t>
      </w:r>
    </w:p>
    <w:p>
      <w:r>
        <w:t xml:space="preserve">Le diltiazem (chlorhydrate de (2S,3S)-3-(acétyloxy)-5-[2-(diméthylamino)éthyl]-2,3-dihydro-2-(4-méthoxyphényl)-1,5-benzothiazépin-4(5H)-one) est le chef de file des ICA benzothiazépines. Synthétisé en 1969 par Tanabe Seiyaku (Japon) à partir d'un alcaloïde naturel de la digitale, il a été commercialisé dès 1972 en France sous le nom de Tildiem® (Sanofi). Sa structure chimique — une 1,5-benzothiazépine substituée — n'a aucune parenté structurale avec les DHP ni avec les phénylalkylamines. Le diltiazem se lie à un site du canal Cav1.2 distinct du site DHP, avec un chevauchement partiel avec le site du vérapamil (domaine IV, segment S6). Son profil pharmacologique est </w:t>
      </w:r>
      <w:r>
        <w:rPr>
          <w:b/>
        </w:rPr>
        <w:t>intermédiaire</w:t>
      </w:r>
      <w:r>
        <w:t xml:space="preserve"> entre les DHP (vasodilatation artériolaire prédominante, pas d'effet cardiaque dépressif marqué) et le vérapamil (effet cardiaque dépressif marqué : bradycardie, BAV, inotrope négatif). Le diltiazem partage avec le vérapamil l'effet bradycardisant et dromotrope négatif (blocage des cellules nodales sinale et AV), mais avec une intensité moindre, et un effet inotrope négatif plus atténué. Sa vasodilatation coronarienne est marquée, et sa vasodilatation artérielle systémique est moindre que celle des DHP (donc moins d'œdèmes périphériques et moins d'activation sympathique réflexe). Ce profil mixte en fait un médicament de choix dans l'angor stable, dans la FA/Flutter pour le ralentissement ventriculaire (alternative au vérapamil ou aux β-bloquants), et dans l'HTA du coronarien stable. Le diltiazem est classé comme </w:t>
      </w:r>
      <w:r>
        <w:rPr>
          <w:b/>
        </w:rPr>
        <w:t>antiarythmique de classe IV</w:t>
      </w:r>
      <w:r>
        <w:t xml:space="preserve"> selon la classification de Vaughan-Williams. En Algérie, le diltiazem est disponible en deux spécialités actives (TILDIEM 60 mg comprimé, MONO-TILDIEM LP 300 mg gélule), assurant la continuité thérapeutique pour les coronariens stables et les patients en FA chronique.</w:t>
      </w:r>
    </w:p>
    <w:p>
      <w:r/>
      <w:r>
        <w:rPr>
          <w:b/>
        </w:rPr>
        <w:t>Médicaments disponibles en Algérie (Marques, Laboratoires, Formes et Dosages) :</w:t>
      </w:r>
      <w:r/>
    </w:p>
    <w:p>
      <w:r>
        <w:t>Spécialités Actives :</w:t>
      </w:r>
    </w:p>
    <w:p>
      <w:pPr>
        <w:pStyle w:val="ListBullet"/>
      </w:pPr>
      <w:r/>
      <w:r>
        <w:rPr>
          <w:b/>
        </w:rPr>
        <w:t>TILDIEM</w:t>
      </w:r>
      <w:r>
        <w:t xml:space="preserve"> (SANOFI AVENTIS FRANCE) — Comprimé 60 mg, B/30 — Liste I — Actif (princeps, forme immédiate)</w:t>
      </w:r>
    </w:p>
    <w:p>
      <w:pPr>
        <w:pStyle w:val="ListBullet"/>
      </w:pPr>
      <w:r/>
      <w:r>
        <w:rPr>
          <w:b/>
        </w:rPr>
        <w:t>MONO-TILDIEM LP</w:t>
      </w:r>
      <w:r>
        <w:t xml:space="preserve"> (SANOFI AVENTIS ALGERIE) — Microgranules en gélule LP 300 mg, B/28 — Liste I — Actif (princeps, forme LP)</w:t>
      </w:r>
    </w:p>
    <w:p>
      <w:r>
        <w:t>Spécialités Non Renouvelables :</w:t>
      </w:r>
    </w:p>
    <w:p>
      <w:pPr>
        <w:pStyle w:val="ListBullet"/>
      </w:pPr>
      <w:r/>
      <w:r>
        <w:rPr>
          <w:b/>
        </w:rPr>
        <w:t>CORZEM</w:t>
      </w:r>
      <w:r>
        <w:t xml:space="preserve"> (UNITED PHARMACEUTICAL MANUFACTURING — UPM) — Comprimé 60 mg, B/30 — Non Renouvelable</w:t>
      </w:r>
    </w:p>
    <w:p>
      <w:pPr>
        <w:pStyle w:val="ListBullet"/>
      </w:pPr>
      <w:r/>
      <w:r>
        <w:rPr>
          <w:b/>
        </w:rPr>
        <w:t>DILTIAL</w:t>
      </w:r>
      <w:r>
        <w:t xml:space="preserve"> (EIPICO) — Comprimé 60 mg, B/20 — Non Renouvelable</w:t>
      </w:r>
    </w:p>
    <w:p>
      <w:pPr>
        <w:pStyle w:val="ListBullet"/>
      </w:pPr>
      <w:r/>
      <w:r>
        <w:rPr>
          <w:b/>
        </w:rPr>
        <w:t>CITIZEN LP</w:t>
      </w:r>
      <w:r>
        <w:t xml:space="preserve"> (LIFEPHARMA) — Comprimé LP 300 mg, B/30 — Non Renouvelable</w:t>
      </w:r>
    </w:p>
    <w:p>
      <w:pPr>
        <w:pStyle w:val="ListBullet"/>
      </w:pPr>
      <w:r/>
      <w:r>
        <w:rPr>
          <w:b/>
        </w:rPr>
        <w:t>ZALAXAN LP 300MG</w:t>
      </w:r>
      <w:r>
        <w:t xml:space="preserve"> (GROUPE SAIDAL) — Microgranules en gélule LP 300 mg, B/30 — Non Renouvelable</w:t>
      </w:r>
    </w:p>
    <w:p>
      <w:pPr>
        <w:pStyle w:val="ListBullet"/>
      </w:pPr>
      <w:r/>
      <w:r>
        <w:rPr>
          <w:b/>
        </w:rPr>
        <w:t>DILTIAZEM - BAYER LP</w:t>
      </w:r>
      <w:r>
        <w:t xml:space="preserve"> (BAYER CLASSICS) — Gélule LP 90 mg et 120 mg, B/28 — Non Renouvelable</w:t>
      </w:r>
    </w:p>
    <w:p>
      <w:pPr>
        <w:pStyle w:val="ListBullet"/>
      </w:pPr>
      <w:r/>
      <w:r>
        <w:rPr>
          <w:b/>
        </w:rPr>
        <w:t>ZALAXAN LP</w:t>
      </w:r>
      <w:r>
        <w:t xml:space="preserve"> (GROUPE SAIDAL) — Microgranules en gélule LP 90 mg, 120 mg et 180 mg, B/30 — Non Renouvelable</w:t>
      </w:r>
    </w:p>
    <w:p>
      <w:r>
        <w:t>Spécialités Retirées (R) :</w:t>
      </w:r>
    </w:p>
    <w:p>
      <w:pPr>
        <w:pStyle w:val="ListBullet"/>
      </w:pPr>
      <w:r/>
      <w:r>
        <w:rPr>
          <w:b/>
        </w:rPr>
        <w:t>DILTIAZEM MEDO</w:t>
      </w:r>
      <w:r>
        <w:t xml:space="preserve"> (MEDOCHEMIE LTD) — Comprimé 60 mg, B/30 — Retiré (R)</w:t>
      </w:r>
    </w:p>
    <w:p>
      <w:pPr>
        <w:pStyle w:val="ListBullet"/>
      </w:pPr>
      <w:r/>
      <w:r>
        <w:rPr>
          <w:b/>
        </w:rPr>
        <w:t>DIAZEM</w:t>
      </w:r>
      <w:r>
        <w:t xml:space="preserve"> (PHARMALLIANCE) — Comprimé 60 mg, gélule LP 90/120/180 mg, B/30 — Retiré (R)</w:t>
      </w:r>
    </w:p>
    <w:p>
      <w:pPr>
        <w:pStyle w:val="ListBullet"/>
      </w:pPr>
      <w:r/>
      <w:r>
        <w:rPr>
          <w:b/>
        </w:rPr>
        <w:t>DILTIAZEM - BIOGARAN</w:t>
      </w:r>
      <w:r>
        <w:t xml:space="preserve"> (BIOGARAN) — Comprimé 60 mg, B/30 — Retiré (R)</w:t>
      </w:r>
    </w:p>
    <w:p>
      <w:pPr>
        <w:pStyle w:val="ListBullet"/>
      </w:pPr>
      <w:r/>
      <w:r>
        <w:rPr>
          <w:b/>
        </w:rPr>
        <w:t>DILTIAZEM - RATIOPHARM</w:t>
      </w:r>
      <w:r>
        <w:t xml:space="preserve"> (LAFON RATIOPHARM) — Comprimé 60 mg, B/30 — Retiré (R)</w:t>
      </w:r>
    </w:p>
    <w:p>
      <w:pPr>
        <w:pStyle w:val="ListBullet"/>
      </w:pPr>
      <w:r/>
      <w:r>
        <w:rPr>
          <w:b/>
        </w:rPr>
        <w:t>ZILDEM</w:t>
      </w:r>
      <w:r>
        <w:t xml:space="preserve"> (ASIA PHARMACEUTICALS) — Comprimé 60 mg, B/20 — Retiré (R)</w:t>
      </w:r>
    </w:p>
    <w:p>
      <w:pPr>
        <w:pStyle w:val="ListBullet"/>
      </w:pPr>
      <w:r/>
      <w:r>
        <w:rPr>
          <w:b/>
        </w:rPr>
        <w:t>DILTIAZOR</w:t>
      </w:r>
      <w:r>
        <w:t xml:space="preserve"> (MEDI PHARMA INTERNATIONAL — AVENZOR SYRIE) — Gélule LP 90 mg, B/20 — Retiré (R)</w:t>
      </w:r>
    </w:p>
    <w:p>
      <w:r/>
      <w:r>
        <w:rPr>
          <w:b/>
        </w:rPr>
        <w:t>Sous-classe et Mécanisme d'action :</w:t>
      </w:r>
      <w:r/>
    </w:p>
    <w:p>
      <w:pPr>
        <w:pStyle w:val="ListBullet"/>
      </w:pPr>
      <w:r>
        <w:t>Sous-classe : benzothiazépine (non-DHP), ICA de classe IV selon Vaughan-Williams, à action cardiaque modérée et vasodilatation coronarienne marquée.</w:t>
      </w:r>
    </w:p>
    <w:p>
      <w:pPr>
        <w:pStyle w:val="ListBullet"/>
      </w:pPr>
      <w:r>
        <w:t xml:space="preserve">Mécanisme d'action : le diltiazem se lie à un site du canal Cav1.2 distinct du site DHP (domaine IV, segment S6), avec une affinité préférentielle pour l'état inactivé fréquence-dépendant (comme le vérapamil, mais avec une affinité moindre). Effets : (a) </w:t>
      </w:r>
      <w:r>
        <w:rPr>
          <w:b/>
        </w:rPr>
        <w:t>blocage des canaux L des cellules nodales sinale et AV</w:t>
      </w:r>
      <w:r>
        <w:t xml:space="preserve"> → ralentissement de la conduction AV (allongement du PR), bradycardie sinusale (moindre que le vérapamil) ; (b) </w:t>
      </w:r>
      <w:r>
        <w:rPr>
          <w:b/>
        </w:rPr>
        <w:t>blocage modéré des canaux L du myocyte ventriculaire</w:t>
      </w:r>
      <w:r>
        <w:t xml:space="preserve"> → effet inotrope négatif atténué (comparable au vérapamil mais moins marqué) ; (c) </w:t>
      </w:r>
      <w:r>
        <w:rPr>
          <w:b/>
        </w:rPr>
        <w:t>vasodilatation artériolaire coronarienne et systémique</w:t>
      </w:r>
      <w:r>
        <w:t xml:space="preserve"> → augmentation du débit coronaire, baisse de la post-charge (moindre que les DHP, supérieure au vérapamil). Le diltiazem occupe une position intermédiaire DHP-vérapamil, ce qui en fait une option polyvalente. Comme le vérapamil, le diltiazem est </w:t>
      </w:r>
      <w:r>
        <w:rPr>
          <w:b/>
        </w:rPr>
        <w:t>inhibiteur du CYP3A4 et de la P-gp</w:t>
      </w:r>
      <w:r>
        <w:t xml:space="preserve"> — d'où de nombreuses interactions médicamenteuses.</w:t>
      </w:r>
    </w:p>
    <w:p>
      <w:r/>
      <w:r>
        <w:rPr>
          <w:b/>
        </w:rPr>
        <w:t>Profil Pharmacologique :</w:t>
      </w:r>
      <w:r/>
    </w:p>
    <w:p>
      <w:pPr>
        <w:pStyle w:val="ListBullet"/>
      </w:pPr>
      <w:r>
        <w:t xml:space="preserve">Indications : (1) </w:t>
      </w:r>
      <w:r>
        <w:rPr>
          <w:b/>
        </w:rPr>
        <w:t>Angor stable chronique</w:t>
      </w:r>
      <w:r>
        <w:t xml:space="preserve"> — en monothérapie ou en association avec les dérivés nitrés (alternative aux β-bloquants ou aux DHP). Indication de choix si composante vasospastique associée (Prinzmetal) ou si CI aux β-bloquants. Forme LP 200–300 mg/jour. (2) </w:t>
      </w:r>
      <w:r>
        <w:rPr>
          <w:b/>
        </w:rPr>
        <w:t>HTA modérée à sévère</w:t>
      </w:r>
      <w:r>
        <w:t xml:space="preserve"> — en monothérapie (surtout chez le coronarien stable) ou association. Forme LP 200–300 mg/jour. (3) </w:t>
      </w:r>
      <w:r>
        <w:rPr>
          <w:b/>
        </w:rPr>
        <w:t>Ralentissement de la fréquence ventriculaire dans la FA/Flutter</w:t>
      </w:r>
      <w:r>
        <w:t xml:space="preserve"> — alternative au vérapamil ou aux β-bloquants, en chronique (forme LP) ou en aigu (forme IV — non disponible en Algérie). (4) </w:t>
      </w:r>
      <w:r>
        <w:rPr>
          <w:b/>
        </w:rPr>
        <w:t>Angor vasospastique de Prinzmetal</w:t>
      </w:r>
      <w:r>
        <w:t xml:space="preserve"> — traitement de référence (avec DHP et dérivés nitrés). (5) </w:t>
      </w:r>
      <w:r>
        <w:rPr>
          <w:b/>
        </w:rPr>
        <w:t>Cardiomyopathie hypertrophique</w:t>
      </w:r>
      <w:r>
        <w:t xml:space="preserve"> — alternative au vérapamil (amélioration du remplissage diastolique, du gradient intraventriculaire). (6) </w:t>
      </w:r>
      <w:r>
        <w:rPr>
          <w:b/>
        </w:rPr>
        <w:t>Prévention secondaire après infarctus</w:t>
      </w:r>
      <w:r>
        <w:t xml:space="preserve"> si CI aux β-bloquants (alternative, moins documentée que les β-bloquants). (7) </w:t>
      </w:r>
      <w:r>
        <w:rPr>
          <w:b/>
        </w:rPr>
        <w:t>Alternative au vérapamil</w:t>
      </w:r>
      <w:r>
        <w:t xml:space="preserve"> en cas d'indisponibilité de ce dernier (situation algérienne actuelle).</w:t>
      </w:r>
    </w:p>
    <w:p>
      <w:pPr>
        <w:pStyle w:val="ListBullet"/>
      </w:pPr>
      <w:r>
        <w:t xml:space="preserve">Contre-indications : (1) </w:t>
      </w:r>
      <w:r>
        <w:rPr>
          <w:b/>
        </w:rPr>
        <w:t>Insuffisance cardiaque avec dysfonction systolique</w:t>
      </w:r>
      <w:r>
        <w:t xml:space="preserve"> (FEVG &lt; 40 %) — effet inotrope négatif délétère (moindre que le vérapamil mais présent) ; (2) </w:t>
      </w:r>
      <w:r>
        <w:rPr>
          <w:b/>
        </w:rPr>
        <w:t>Bloc auriculo-ventriculaire de 2e ou 3e degré non appareillé</w:t>
      </w:r>
      <w:r>
        <w:t xml:space="preserve"> ; (3) </w:t>
      </w:r>
      <w:r>
        <w:rPr>
          <w:b/>
        </w:rPr>
        <w:t>Maladie du sinus non appareillée</w:t>
      </w:r>
      <w:r>
        <w:t xml:space="preserve"> (bradycardie sinusale sévère, pauses sinusales) ; (4) </w:t>
      </w:r>
      <w:r>
        <w:rPr>
          <w:b/>
        </w:rPr>
        <w:t>Bradycardie &lt; 50 bpm</w:t>
      </w:r>
      <w:r>
        <w:t xml:space="preserve"> ; (5) </w:t>
      </w:r>
      <w:r>
        <w:rPr>
          <w:b/>
        </w:rPr>
        <w:t>Association aux β-bloquants</w:t>
      </w:r>
      <w:r>
        <w:t xml:space="preserve"> (CI — risque de BAV, bradycardie sévère, hypotension — moins critique qu'avec le vérapamil mais à éviter) ; (6) </w:t>
      </w:r>
      <w:r>
        <w:rPr>
          <w:b/>
        </w:rPr>
        <w:t>Phase aiguë de l'infarctus du myocarde</w:t>
      </w:r>
      <w:r>
        <w:t xml:space="preserve"> avec dysfonction VG ; (7) Hypersensibilité aux benzothiazépines ; (8) Hypotension sévère (PAS &lt; 90 mmHg) ; (9) Flutter ou FA avec syndrome de pré-excitation (WPW) ; (10) Grossesse au 1er trimestre (par prudence) ; (11) Porphyrie (rarement rapportée).</w:t>
      </w:r>
    </w:p>
    <w:p>
      <w:pPr>
        <w:pStyle w:val="ListBullet"/>
      </w:pPr>
      <w:r>
        <w:t xml:space="preserve">Effets Indésirables : (1) </w:t>
      </w:r>
      <w:r>
        <w:rPr>
          <w:b/>
        </w:rPr>
        <w:t>Bradycardie sinusale</w:t>
      </w:r>
      <w:r>
        <w:t xml:space="preserve"> (5–10 %, moins marquée qu'avec le vérapamil) ; (2) </w:t>
      </w:r>
      <w:r>
        <w:rPr>
          <w:b/>
        </w:rPr>
        <w:t>BAV de haut degré</w:t>
      </w:r>
      <w:r>
        <w:t xml:space="preserve"> (rare) ; (3) </w:t>
      </w:r>
      <w:r>
        <w:rPr>
          <w:b/>
        </w:rPr>
        <w:t>Hypotension orthostatique</w:t>
      </w:r>
      <w:r>
        <w:t xml:space="preserve"> (5 %) ; (4) </w:t>
      </w:r>
      <w:r>
        <w:rPr>
          <w:b/>
        </w:rPr>
        <w:t>Œdèmes malléoles</w:t>
      </w:r>
      <w:r>
        <w:t xml:space="preserve"> (3–5 %, moins marqués qu'avec les DHP) ; (5) </w:t>
      </w:r>
      <w:r>
        <w:rPr>
          <w:b/>
        </w:rPr>
        <w:t>Céphalées</w:t>
      </w:r>
      <w:r>
        <w:t xml:space="preserve"> (5 %, moins marquées qu'avec les DHP) ; (6) </w:t>
      </w:r>
      <w:r>
        <w:rPr>
          <w:b/>
        </w:rPr>
        <w:t>Constipation</w:t>
      </w:r>
      <w:r>
        <w:t xml:space="preserve"> (5 %, beaucoup moins marquée qu'avec le vérapamil — c'est un avantage du diltiazem) ; (7) Flush facial (3 %) ; (8) </w:t>
      </w:r>
      <w:r>
        <w:rPr>
          <w:b/>
        </w:rPr>
        <w:t>Élévation des transaminases</w:t>
      </w:r>
      <w:r>
        <w:t xml:space="preserve"> (rare, hépatotoxicité cholestatique décrite) ; (9) Rash cutané (4–8 %, photosensibilité possible) ; (10) Hyperplasie gingivale (rare) ; (11) Asthénie, somnolence, vertiges (3–5 %) ; (12) Galactorrhée (rare) ; (13) Impuissance (rare).</w:t>
      </w:r>
    </w:p>
    <w:p>
      <w:r/>
      <w:r>
        <w:rPr>
          <w:b/>
        </w:rPr>
        <w:t>Prévention et Gestion des Effets Indésirables :</w:t>
      </w:r>
      <w:r/>
    </w:p>
    <w:p>
      <w:pPr>
        <w:pStyle w:val="ListBullet"/>
      </w:pPr>
      <w:r>
        <w:t>Mesures Préventives : (a) ECG avant prescription (vérifier l'absence de BAV, bradycardie sinusale, allongement du PR &gt; 240 ms) ; (b) Démarrer à dose faible (LP 200 mg/jour, ou forme immédiate 60 mg × 3/jour), titration progressive sur 2 semaines ; (c) Surveillance de la FC, de la PA, et ECG régulier ; (d) Surveillance de la digoxinémie si association (le diltiazem augmente aussi la digoxinémie, mais moins que le vérapamil — réduction de 25–50 % de la dose de digoxine) ; (e) Surveillance des transaminases à 1 mois, 3 mois, 6 mois ; (f) Vérifier l'absence de β-bloquant associé (CI) ; (g) Photoprotection solaire (crème solaire SPF 50) en cas de traitement au long cours — photosensibilité possible.</w:t>
      </w:r>
    </w:p>
    <w:p>
      <w:pPr>
        <w:pStyle w:val="ListBullet"/>
      </w:pPr>
      <w:r>
        <w:t>Conduite à Tenir : (a) Bradycardie symptomatique → arrêt immédiat, atropine IV si bradycardie sévère, isoprénaline, pacing temporaire si BAV complet ; (b) Hypotension sévère → arrêt transitoire, remplissage, adrénaline si collapsus ; (c) Rash cutané → arrêt, antihistaminique ; (d) Élévation des transaminases → arrêt, bilan hépatique ; (e) Œdèmes → association à IEC/ARA2 ou relais par lercanidipine.</w:t>
      </w:r>
    </w:p>
    <w:p>
      <w:r/>
      <w:r>
        <w:rPr>
          <w:b/>
        </w:rPr>
        <w:t>Interactions Importantes :</w:t>
      </w:r>
      <w:r/>
    </w:p>
    <w:p>
      <w:pPr>
        <w:pStyle w:val="ListBullet"/>
      </w:pPr>
      <w:r>
        <w:t xml:space="preserve">Diltiazem + </w:t>
      </w:r>
      <w:r>
        <w:rPr>
          <w:b/>
        </w:rPr>
        <w:t>β-bloquant</w:t>
      </w:r>
      <w:r>
        <w:t xml:space="preserve"> : CI relative (à éviter — risque de bradycardie, BAV, hypotension — moins critique qu'avec le vérapamil mais reste à proscrire). Si association nécessaire (rare), surveillance ECG stricte en milieu hospitalier.</w:t>
      </w:r>
    </w:p>
    <w:p>
      <w:pPr>
        <w:pStyle w:val="ListBullet"/>
      </w:pPr>
      <w:r>
        <w:t xml:space="preserve">Diltiazem + </w:t>
      </w:r>
      <w:r>
        <w:rPr>
          <w:b/>
        </w:rPr>
        <w:t>Digoxine</w:t>
      </w:r>
      <w:r>
        <w:t xml:space="preserve"> : augmentation de la digoxinémie de 20 à 50 % (inhibition P-gp — moins marquée qu'avec le vérapamil). Surveillance digoxinémie, adaptation posologique.</w:t>
      </w:r>
    </w:p>
    <w:p>
      <w:pPr>
        <w:pStyle w:val="ListBullet"/>
      </w:pPr>
      <w:r>
        <w:t xml:space="preserve">Diltiazem + </w:t>
      </w:r>
      <w:r>
        <w:rPr>
          <w:b/>
        </w:rPr>
        <w:t>Statines</w:t>
      </w:r>
      <w:r>
        <w:t xml:space="preserve"> (simvastatine, atorvastatine, lovastatine) : inhibition du CYP3A4 → augmentation des concentrations → </w:t>
      </w:r>
      <w:r>
        <w:rPr>
          <w:b/>
        </w:rPr>
        <w:t>risque de rhabdomyolyse</w:t>
      </w:r>
      <w:r>
        <w:t>. CI avec simvastatine &gt; 40 mg/jour en association (selon ANSM). Préférer pravastatine, rosuvastatine.</w:t>
      </w:r>
    </w:p>
    <w:p>
      <w:pPr>
        <w:pStyle w:val="ListBullet"/>
      </w:pPr>
      <w:r>
        <w:t xml:space="preserve">Diltiazem + </w:t>
      </w:r>
      <w:r>
        <w:rPr>
          <w:b/>
        </w:rPr>
        <w:t>Ciclosporine, tacrolimus</w:t>
      </w:r>
      <w:r>
        <w:t xml:space="preserve"> : inhibition de la P-gp → augmentation des concentrations → risque de néphrotoxicité. Surveillance taux résiduel, adaptation.</w:t>
      </w:r>
    </w:p>
    <w:p>
      <w:pPr>
        <w:pStyle w:val="ListBullet"/>
      </w:pPr>
      <w:r>
        <w:t xml:space="preserve">Diltiazem + </w:t>
      </w:r>
      <w:r>
        <w:rPr>
          <w:b/>
        </w:rPr>
        <w:t>Carbamazépine</w:t>
      </w:r>
      <w:r>
        <w:t xml:space="preserve"> : augmentation des concentrations de carbamazépine (toxicité neurologique).</w:t>
      </w:r>
    </w:p>
    <w:p>
      <w:pPr>
        <w:pStyle w:val="ListBullet"/>
      </w:pPr>
      <w:r>
        <w:t xml:space="preserve">Diltiazem + </w:t>
      </w:r>
      <w:r>
        <w:rPr>
          <w:b/>
        </w:rPr>
        <w:t>Inhibiteurs du CYP3A4</w:t>
      </w:r>
      <w:r>
        <w:t xml:space="preserve"> (itraconazole, kétoconazole, clarithromycine, érythromycine, ritonavir) : majoration des concentrations du diltiazem → hypotension, bradycardie.</w:t>
      </w:r>
    </w:p>
    <w:p>
      <w:pPr>
        <w:pStyle w:val="ListBullet"/>
      </w:pPr>
      <w:r>
        <w:t xml:space="preserve">Diltiazem + </w:t>
      </w:r>
      <w:r>
        <w:rPr>
          <w:b/>
        </w:rPr>
        <w:t>Inducteurs du CYP3A4</w:t>
      </w:r>
      <w:r>
        <w:t xml:space="preserve"> (rifampicine, phénytoïne, phénobarbital, millepertuis) : baisse d'efficacité.</w:t>
      </w:r>
    </w:p>
    <w:p>
      <w:pPr>
        <w:pStyle w:val="ListBullet"/>
      </w:pPr>
      <w:r>
        <w:t xml:space="preserve">Diltiazem + </w:t>
      </w:r>
      <w:r>
        <w:rPr>
          <w:b/>
        </w:rPr>
        <w:t>Dabigatran</w:t>
      </w:r>
      <w:r>
        <w:t xml:space="preserve"> : augmentation des concentrations (P-gp) → risque hémorragique.</w:t>
      </w:r>
    </w:p>
    <w:p>
      <w:pPr>
        <w:pStyle w:val="ListBullet"/>
      </w:pPr>
      <w:r>
        <w:t xml:space="preserve">Diltiazem + </w:t>
      </w:r>
      <w:r>
        <w:rPr>
          <w:b/>
        </w:rPr>
        <w:t>Midazolam, triazolam</w:t>
      </w:r>
      <w:r>
        <w:t xml:space="preserve"> : augmentation des concentrations → sédation excessive.</w:t>
      </w:r>
    </w:p>
    <w:p>
      <w:pPr>
        <w:pStyle w:val="ListBullet"/>
      </w:pPr>
      <w:r>
        <w:t xml:space="preserve">Diltiazem + </w:t>
      </w:r>
      <w:r>
        <w:rPr>
          <w:b/>
        </w:rPr>
        <w:t>Pamplemousse (jus)</w:t>
      </w:r>
      <w:r>
        <w:t xml:space="preserve"> : interaction possible — éviter.</w:t>
      </w:r>
    </w:p>
    <w:p>
      <w:pPr>
        <w:pStyle w:val="ListBullet"/>
      </w:pPr>
      <w:r>
        <w:t xml:space="preserve">Diltiazem + </w:t>
      </w:r>
      <w:r>
        <w:rPr>
          <w:b/>
        </w:rPr>
        <w:t>Sildénafil, tadalafil</w:t>
      </w:r>
      <w:r>
        <w:t xml:space="preserve"> : potentialisation hypotensive.</w:t>
      </w:r>
    </w:p>
    <w:p>
      <w:pPr>
        <w:pStyle w:val="ListBullet"/>
      </w:pPr>
      <w:r>
        <w:t xml:space="preserve">Diltiazem + </w:t>
      </w:r>
      <w:r>
        <w:rPr>
          <w:b/>
        </w:rPr>
        <w:t>Colchicine</w:t>
      </w:r>
      <w:r>
        <w:t xml:space="preserve"> : augmentation des concentrations de colchicine → toxicité. CI ou surveillance stricte, adaptation posologique de la colchicine.</w:t>
      </w:r>
    </w:p>
    <w:p>
      <w:pPr>
        <w:pStyle w:val="ListBullet"/>
      </w:pPr>
      <w:r>
        <w:t xml:space="preserve">Diltiazem IV + </w:t>
      </w:r>
      <w:r>
        <w:rPr>
          <w:b/>
        </w:rPr>
        <w:t>Magnésium IV</w:t>
      </w:r>
      <w:r>
        <w:t xml:space="preserve"> : potentialisation de la bradycardie.</w:t>
      </w:r>
    </w:p>
    <w:p>
      <w:r/>
      <w:r>
        <w:rPr>
          <w:b/>
        </w:rPr>
        <w:t>Grossesse et Allaitement :</w:t>
      </w:r>
      <w:r/>
    </w:p>
    <w:p>
      <w:pPr>
        <w:pStyle w:val="ListBullet"/>
      </w:pPr>
      <w:r>
        <w:t xml:space="preserve">Grossesse : selon le CRAT, le diltiazem est </w:t>
      </w:r>
      <w:r>
        <w:rPr>
          <w:b/>
        </w:rPr>
        <w:t>acceptable aux 2e et 3e trimestres</w:t>
      </w:r>
      <w:r>
        <w:t xml:space="preserve"> (données humaines limitées mais rassurantes). Au 1er trimestre, à éviter par prudence (données animales évocatrices de tératogénicité à doses élevées). Préférer méthyldopa, labétalol, nifédipine LP pour l'HTA gravidique. Le diltiazem peut être utilisé en 2e intention dans la FA chronique gravidique.</w:t>
      </w:r>
    </w:p>
    <w:p>
      <w:pPr>
        <w:pStyle w:val="ListBullet"/>
      </w:pPr>
      <w:r>
        <w:t xml:space="preserve">Allaitement : selon le CRAT, </w:t>
      </w:r>
      <w:r>
        <w:rPr>
          <w:b/>
        </w:rPr>
        <w:t>compatible</w:t>
      </w:r>
      <w:r>
        <w:t xml:space="preserve"> — passage lacté faible (rapport lait/plasma ≈ 1), doses ingérées par le nourrisson estimées à environ 1 % de la dose maternelle pondérée. Surveillance de la FC du nourrisson (risque théorique de bradycardie).</w:t>
      </w:r>
    </w:p>
    <w:p>
      <w:pPr>
        <w:pStyle w:val="ListBullet"/>
      </w:pPr>
      <w:r>
        <w:t>Précisions : Le diltiazem n'est pas un antihypertenseur de première intention pendant la grossesse.</w:t>
      </w:r>
    </w:p>
    <w:p>
      <w:r/>
      <w:r>
        <w:rPr>
          <w:b/>
        </w:rPr>
        <w:t>Posologie et Mode d'administration (Standard) :</w:t>
      </w:r>
      <w:r/>
    </w:p>
    <w:p>
      <w:pPr>
        <w:pStyle w:val="ListBullet"/>
      </w:pPr>
      <w:r>
        <w:t>Adulte : Forme LP 300 mg/jour (MONO-TILDIEM LP 300) en une prise unique (matin), augmentable à LP 200–300 mg/jour en deux prises si nécessaire (la forme LP 300 mg/jour en une prise est la plus pratique). Forme immédiate 60 mg × 3/jour (TILDIEM 60 mg) pour les indications antiarythmiques (FA chronique) ou en phase d'attaque. Dose maximale : 480 mg/jour. Forme IV (non disponible en Algérie) : 0,25 mg/kg en IVL sur 2 min, à répéter après 15 min si échec (0,35 mg/kg) — pour ralentissement aigu de la FA.</w:t>
      </w:r>
    </w:p>
    <w:p>
      <w:pPr>
        <w:pStyle w:val="ListBullet"/>
      </w:pPr>
      <w:r>
        <w:t>Sujet âgé : démarrer à LP 200 mg/jour, titration prudente à LP 300 mg/jour. Surveillance ECG.</w:t>
      </w:r>
    </w:p>
    <w:p>
      <w:pPr>
        <w:pStyle w:val="ListBullet"/>
      </w:pPr>
      <w:r>
        <w:t>Enfant : non recommandé (peu d'études).</w:t>
      </w:r>
    </w:p>
    <w:p>
      <w:pPr>
        <w:pStyle w:val="ListBullet"/>
      </w:pPr>
      <w:r>
        <w:t>Insuffisant hépatique : démarrer à LP 120 mg/jour, surveillance.</w:t>
      </w:r>
    </w:p>
    <w:p>
      <w:pPr>
        <w:pStyle w:val="ListBullet"/>
      </w:pPr>
      <w:r>
        <w:t>Insuffisant rénal : pas d'adaptation stricte.</w:t>
      </w:r>
    </w:p>
    <w:p>
      <w:pPr>
        <w:pStyle w:val="ListBullet"/>
      </w:pPr>
      <w:r>
        <w:t>Durée : au long cours (HTA, angor, FA chronique).</w:t>
      </w:r>
    </w:p>
    <w:p>
      <w:pPr>
        <w:pStyle w:val="ListBullet"/>
      </w:pPr>
      <w:r>
        <w:t>Moment de prise : forme LP le matin à heure fixe, pendant ou en dehors des repas (peu d'influence alimentaire). Forme immédiate : 3 prises/jour à heures fixes. Ne pas croquer ni écraser les gélules LP à microgranules (MONO-TILDIEM LP).</w:t>
      </w:r>
    </w:p>
    <w:p>
      <w:r/>
      <w:r>
        <w:rPr>
          <w:b/>
        </w:rPr>
        <w:t>Arbitrage et Bénéfices des Formes Galéniques :</w:t>
      </w:r>
      <w:r/>
    </w:p>
    <w:p>
      <w:r>
        <w:t xml:space="preserve">Le diltiazem illustre également l'importance de la galénique : (1) </w:t>
      </w:r>
      <w:r>
        <w:rPr>
          <w:b/>
        </w:rPr>
        <w:t>Forme immédiate 60 mg comprimé</w:t>
      </w:r>
      <w:r>
        <w:t xml:space="preserve"> (TILDIEM 60 mg) — à prendre 3 fois par jour, utile pour les indications antiarythmiques chroniques où l'on souhaite un effet biquotidien ou triquotidien précis (FA chronique, angor instable en cours de stabilisation). (2) </w:t>
      </w:r>
      <w:r>
        <w:rPr>
          <w:b/>
        </w:rPr>
        <w:t>Forme LP 300 mg en microgranules dans une gélule</w:t>
      </w:r>
      <w:r>
        <w:t xml:space="preserve"> (MONO-TILDIEM LP 300 mg) — une prise unique par jour, pour la couverture tensionnelle 24 h de l'HTA chronique et de l'angor stable. Cette forme permet une meilleure observance et une couverture tensionnelle continue. La microgranulation assure une libération prolongée stable, sans pic de concentration. Le conditionnement en boîte de 28 gélules correspond à un mois de traitement (1 prise/jour). Pour les patients nécessitant une dose intermédiaire (LP 90, 120, 180 mg), il n'y a plus de spécialité active en Algérie — seules les formes 60 mg (immédiate) et 300 mg (LP) sont disponibles. Le pharmacien doit informer le patient de la nécessité d'une dose unique quotidienne (LP) et de l'écueil de ne pas croquer les gélules LP.</w:t>
      </w:r>
    </w:p>
    <w:p>
      <w:r/>
      <w:r>
        <w:rPr>
          <w:b/>
        </w:rPr>
        <w:t>Instructions et Conseils au Patient :</w:t>
      </w:r>
      <w:r/>
    </w:p>
    <w:p>
      <w:pPr>
        <w:pStyle w:val="ListBullet"/>
      </w:pPr>
      <w:r>
        <w:t xml:space="preserve">Communication au comptoir : « Ce médicament est un antihypertenseur / antiangoreux / antiarythmique de la famille des inhibiteurs calciques. Si c'est la forme LP (gélule "à libération prolongée"), prenez-la </w:t>
      </w:r>
      <w:r>
        <w:rPr>
          <w:b/>
        </w:rPr>
        <w:t>une fois par jour, le matin, à heure fixe</w:t>
      </w:r>
      <w:r>
        <w:t xml:space="preserve">, sans la croquer ni l'écraser — avalez-la entière avec un verre d'eau. Si c'est la forme immédiate (comprimé 60 mg), prenez-le </w:t>
      </w:r>
      <w:r>
        <w:rPr>
          <w:b/>
        </w:rPr>
        <w:t>3 fois par jour</w:t>
      </w:r>
      <w:r>
        <w:t xml:space="preserve"> à heures fixes. Vous pouvez ressentir une </w:t>
      </w:r>
      <w:r>
        <w:rPr>
          <w:b/>
        </w:rPr>
        <w:t>légère baisse du pouls</w:t>
      </w:r>
      <w:r>
        <w:t xml:space="preserve"> (c'est attendu), des </w:t>
      </w:r>
      <w:r>
        <w:rPr>
          <w:b/>
        </w:rPr>
        <w:t>vertiges</w:t>
      </w:r>
      <w:r>
        <w:t xml:space="preserve"> en se levant vite (levez-vous doucement), des </w:t>
      </w:r>
      <w:r>
        <w:rPr>
          <w:b/>
        </w:rPr>
        <w:t>maux de tête</w:t>
      </w:r>
      <w:r>
        <w:t xml:space="preserve"> ou des </w:t>
      </w:r>
      <w:r>
        <w:rPr>
          <w:b/>
        </w:rPr>
        <w:t>bouffées de chaleur</w:t>
      </w:r>
      <w:r>
        <w:t xml:space="preserve">. Prévenez votre médecin si vous êtes </w:t>
      </w:r>
      <w:r>
        <w:rPr>
          <w:b/>
        </w:rPr>
        <w:t>constipé</w:t>
      </w:r>
      <w:r>
        <w:t xml:space="preserve"> ou si vous avez des </w:t>
      </w:r>
      <w:r>
        <w:rPr>
          <w:b/>
        </w:rPr>
        <w:t>douleurs musculaires</w:t>
      </w:r>
      <w:r>
        <w:t xml:space="preserve"> (surtout si vous prenez aussi un médicament pour le cholestérol, type simvastatine). Ne l'arrêtez pas sans avis médical. »</w:t>
      </w:r>
    </w:p>
    <w:p>
      <w:pPr>
        <w:pStyle w:val="ListBullet"/>
      </w:pPr>
      <w:r>
        <w:t>Mode d'utilisation pratique : (a) Forme LP : une prise par jour, le matin à heure fixe, sans croquer ; (b) Forme immédiate : 3 prises par jour à heures fixes (matin, midi, soir) ; (c) En cas d'oubli : ne pas doubler la dose, prendre la dose oubliée si l'écart avec l'heure habituelle est &lt; 4 h (forme immédiate) ou &lt; 8 h (forme LP) ; (d) Surveillance du pouls (prendre le pouls 2 fois par jour — si &lt; 50 bpm, contacter le médecin) ; (e) Automesure tensionnelle et carnet de suivi ; (f) Prévenir tout médecin (notamment anesthésiste, dentiste) que vous prenez ce traitement.</w:t>
      </w:r>
    </w:p>
    <w:p>
      <w:r/>
      <w:r>
        <w:rPr>
          <w:b/>
        </w:rPr>
        <w:t>Notes, Règles d'Or &amp; Pièges au Comptoir :</w:t>
      </w:r>
      <w:r/>
    </w:p>
    <w:p>
      <w:pPr>
        <w:pStyle w:val="ListBullet"/>
      </w:pPr>
      <w:r/>
      <w:r>
        <w:rPr>
          <w:b/>
        </w:rPr>
        <w:t>Piège classique — Association au β-bloquant</w:t>
      </w:r>
      <w:r>
        <w:t xml:space="preserve"> : à éviter (CI relative — risque de bradycardie, BAV, hypotension). Vérifier l'ordonnance et alerter le médecin prescripteur si association. Le risque est moins grave qu'avec le vérapamil mais reste réel.</w:t>
      </w:r>
    </w:p>
    <w:p>
      <w:pPr>
        <w:pStyle w:val="ListBullet"/>
      </w:pPr>
      <w:r/>
      <w:r>
        <w:rPr>
          <w:b/>
        </w:rPr>
        <w:t>Piège — Surveillance digoxinémie</w:t>
      </w:r>
      <w:r>
        <w:t xml:space="preserve"> : en cas d'association diltiazem + digoxine, surveiller la digoxinémie (le diltiazem augmente la digoxinémie de 20 à 50 %). Adapter la dose de digoxine.</w:t>
      </w:r>
    </w:p>
    <w:p>
      <w:pPr>
        <w:pStyle w:val="ListBullet"/>
      </w:pPr>
      <w:r/>
      <w:r>
        <w:rPr>
          <w:b/>
        </w:rPr>
        <w:t>Piège — Simvastatine</w:t>
      </w:r>
      <w:r>
        <w:t xml:space="preserve"> : ne pas dépasser 40 mg/jour de simvastatine en association avec le diltiazem (risque de rhabdomyolyse). Préférer pravastatine ou rosuvastatine.</w:t>
      </w:r>
    </w:p>
    <w:p>
      <w:pPr>
        <w:pStyle w:val="ListBullet"/>
      </w:pPr>
      <w:r/>
      <w:r>
        <w:rPr>
          <w:b/>
        </w:rPr>
        <w:t>Piège — Forme LP vs immédiate</w:t>
      </w:r>
      <w:r>
        <w:t xml:space="preserve"> : la substitution entre forme LP (300 mg/jour en une prise) et forme immédiate (60 mg × 3/jour) doit être soigneusement évaluée — la forme LP assure une couverture continue, la forme immédiate impose 3 prises/jour et peut générer des pics de concentration (risque accru d'effets indésirables transitoires).</w:t>
      </w:r>
    </w:p>
    <w:p>
      <w:pPr>
        <w:pStyle w:val="ListBullet"/>
      </w:pPr>
      <w:r/>
      <w:r>
        <w:rPr>
          <w:b/>
        </w:rPr>
        <w:t>Piège — Substitution par le vérapamil</w:t>
      </w:r>
      <w:r>
        <w:t xml:space="preserve"> : le vérapamil n'est plus disponible en Algérie. Pour un patient venant d'un pays où il était prescrit, le diltiazem LP 300 mg est l'alternative de choix (profil similaire).</w:t>
      </w:r>
    </w:p>
    <w:p>
      <w:pPr>
        <w:pStyle w:val="ListBullet"/>
      </w:pPr>
      <w:r/>
      <w:r>
        <w:rPr>
          <w:b/>
        </w:rPr>
        <w:t>Piège — Arrêt brutal</w:t>
      </w:r>
      <w:r>
        <w:t xml:space="preserve"> : ne jamais arrêter brutalement le diltiazem (risque de rebond hypertensif, d'angor, de tachycardie). Décroissance sur 1–2 semaines.</w:t>
      </w:r>
    </w:p>
    <w:p>
      <w:pPr>
        <w:pStyle w:val="ListBullet"/>
      </w:pPr>
      <w:r/>
      <w:r>
        <w:rPr>
          <w:b/>
        </w:rPr>
        <w:t>Règle de prise</w:t>
      </w:r>
      <w:r>
        <w:t xml:space="preserve"> : une prise LP par jour, à heure fixe, à vie (HTA, angor, FA chronique).</w:t>
      </w:r>
    </w:p>
    <w:p>
      <w:pPr>
        <w:pStyle w:val="ListBullet"/>
      </w:pPr>
      <w:r/>
      <w:r>
        <w:rPr>
          <w:b/>
        </w:rPr>
        <w:t>Préparation et Conservation</w:t>
      </w:r>
      <w:r>
        <w:t xml:space="preserve"> : conserver à &lt; 25 °C, à l'abri de l'humidité et de la lumière.</w:t>
      </w:r>
    </w:p>
    <w:p>
      <w:pPr>
        <w:pStyle w:val="ListBullet"/>
      </w:pPr>
      <w:r/>
      <w:r>
        <w:rPr>
          <w:b/>
        </w:rPr>
        <w:t>Piège du surdosage</w:t>
      </w:r>
      <w:r>
        <w:t xml:space="preserve"> : surdosage massif → bradycardie sévère, BAV complet, hypotension, hyperglycémie. </w:t>
      </w:r>
      <w:r>
        <w:rPr>
          <w:b/>
        </w:rPr>
        <w:t>Traitement spécifique</w:t>
      </w:r>
      <w:r>
        <w:t xml:space="preserve"> : calcium IV (gluconate 10 % — 10 à 20 mL IVL, à répéter) ; adrénaline ; glucagon (5–10 mg IV bolus puis 1–5 mg/h perfusion) ; insuline + glucose (high-dose insulin therapy) ; pacing temporaire si BAV complet.</w:t>
      </w:r>
    </w:p>
    <w:p>
      <w:pPr>
        <w:pStyle w:val="Heading3"/>
      </w:pPr>
      <w:r>
        <w:t>9. DCI : Clonidine (Seule)</w:t>
      </w:r>
    </w:p>
    <w:p>
      <w:r/>
      <w:r>
        <w:rPr>
          <w:b/>
        </w:rPr>
        <w:t>Liste des Catégories :</w:t>
      </w:r>
      <w:r>
        <w:t xml:space="preserve"> Antihypertenseurs centraux ; Liste II des substances vénéneuses ; Traitement du sevrage opioïde (hors AMM) ; Prophylaxie de la migraine (hors AMM) ; Trouble déficit de l'attention avec hyperactivité (hors AMM, pédiatrie) ; Anesthésie locorégionale (adjuvant, hors AMM) ; Analgésie péridurale (association).</w:t>
      </w:r>
    </w:p>
    <w:p>
      <w:r>
        <w:t xml:space="preserve">La clonidine (chlorhydrate de 2-(2,6-dichlorophényl)-2-imidazoline) est un antihypertenseur central de première génération, synthétisé en 1962 par Boehringer Ingelheim dans le cadre d'un programme de recherche sur les vasoconstricteurs nasaux (agonistes α-adrénergiques). Sa structure chimique — une imidazoline substituée par un groupement 2,6-dichlorophényl — lui confère une affinité élevée pour les récepteurs α2-adrénergiques (subtypes α2A prédominant — ciblé par la clonidine ; α2B, α2C) et, dans une moindre mesure, pour les récepteurs imidazoliniques I1 du bulbe rachidien. La découverte fortuite de son effet </w:t>
      </w:r>
      <w:r>
        <w:rPr>
          <w:b/>
        </w:rPr>
        <w:t>hypotenseur central</w:t>
      </w:r>
      <w:r>
        <w:t xml:space="preserve"> (et non vasoconstricteur périphérique) a conduit à son développement comme antihypertenseur, commercialisé dès 1966 sous le nom de Catapressan®. La clonidine traverse la barrière hémato-encéphalique (BHE) — d'où son action centrale (sédation, analgésie, modification du tonus sympathique) en plus de son effet hypotenseur. Sa puissance et son efficacité en font un antihypertenseur de référence dans l'HTA réfractaire ou en cas d'urgence hypertensive (forme IV/IM). Mais son profil d'effets indésirables centraux (sédation, sécheresse buccale, syndrome dépressif) et surtout le risque de </w:t>
      </w:r>
      <w:r>
        <w:rPr>
          <w:b/>
        </w:rPr>
        <w:t>rebond hypertensif à l'arrêt brutal</w:t>
      </w:r>
      <w:r>
        <w:t xml:space="preserve"> en limitent l'usage chronique. La clonidine a aussi des indications hors cardiologie : sevrage opioïde et alcoolique (réduction des signes sympathiques du sevrage — sueurs, mydriase, hypertension, tachycardie), prophylaxie de la migraine, traitement du trouble déficit de l'attention avec hyperactivité (TDAH) chez l'enfant (indication FDA mais hors AMM en Europe), analgésie péridurale en association avec les opioïdes (mécanisme α2 spinal), anesthésie locorégionale (adjuvant). En Algérie, la clonidine est classée </w:t>
      </w:r>
      <w:r>
        <w:rPr>
          <w:b/>
        </w:rPr>
        <w:t>Liste II</w:t>
      </w:r>
      <w:r>
        <w:t xml:space="preserve"> des substances vénéneuses (prescription médicale valable 12 mois, en raison de son usage dans le sevrage opioïde). Elle est disponible en spécialités injectables (150 µg/mL, IM/IV) actives et en forme orale (CRONIDINE 0,15 mg) — mais la forme orale princeps (CATAPRESSAN, Boehringer) est non renouvelée.</w:t>
      </w:r>
    </w:p>
    <w:p>
      <w:r/>
      <w:r>
        <w:rPr>
          <w:b/>
        </w:rPr>
        <w:t>Médicaments disponibles en Algérie (Marques, Laboratoires, Formes et Dosages) :</w:t>
      </w:r>
      <w:r/>
    </w:p>
    <w:p>
      <w:r>
        <w:t>Spécialités Actives :</w:t>
      </w:r>
    </w:p>
    <w:p>
      <w:pPr>
        <w:pStyle w:val="ListBullet"/>
      </w:pPr>
      <w:r/>
      <w:r>
        <w:rPr>
          <w:b/>
        </w:rPr>
        <w:t>CLONIDEX</w:t>
      </w:r>
      <w:r>
        <w:t xml:space="preserve"> (LES LABORATOIRES FRATER RAZES) — Solution injectable IM/IV ou perfusion 150 µg/mL (0,15 mg/mL), B/30 ampoules de 1 mL et B/30 ampoules de 2 mL — Liste II — Actif</w:t>
      </w:r>
    </w:p>
    <w:p>
      <w:pPr>
        <w:pStyle w:val="ListBullet"/>
      </w:pPr>
      <w:r/>
      <w:r>
        <w:rPr>
          <w:b/>
        </w:rPr>
        <w:t>CLONIDINA CLORIDRATO</w:t>
      </w:r>
      <w:r>
        <w:t xml:space="preserve"> (BIO INDUSTRIA L.I.M S.P.A) — Solution injectable IM/IV 150 µg/mL, B/10 ampoules de 1 mL — Liste II — Actif</w:t>
      </w:r>
    </w:p>
    <w:p>
      <w:pPr>
        <w:pStyle w:val="ListBullet"/>
      </w:pPr>
      <w:r/>
      <w:r>
        <w:rPr>
          <w:b/>
        </w:rPr>
        <w:t>CRONIDINE</w:t>
      </w:r>
      <w:r>
        <w:t xml:space="preserve"> (FARMACEUTICI CROVIS PH.I.L.COM) — Comprimé 0,15 mg, B/20 — Liste II — Actif</w:t>
      </w:r>
    </w:p>
    <w:p>
      <w:pPr>
        <w:pStyle w:val="ListBullet"/>
      </w:pPr>
      <w:r/>
      <w:r>
        <w:rPr>
          <w:b/>
        </w:rPr>
        <w:t>CLONIDEX</w:t>
      </w:r>
      <w:r>
        <w:t xml:space="preserve"> (LES LABORATOIRES FRATER RAZES) — Solution injectable pour perfusion IM/IV 150 µg/mL, B/30 ampoules de 2 mL en verre type I transparent contenant 1 mL de solution — Liste II — Actif (note : conditionnement spécifique, 30 ampoules "de 2 mL contenant 1 mL" — formulation ambiguë, à vérifier à la dispensation)</w:t>
      </w:r>
    </w:p>
    <w:p>
      <w:r>
        <w:t>Spécialités Non Renouvelables :</w:t>
      </w:r>
    </w:p>
    <w:p>
      <w:pPr>
        <w:pStyle w:val="ListBullet"/>
      </w:pPr>
      <w:r/>
      <w:r>
        <w:rPr>
          <w:b/>
        </w:rPr>
        <w:t>CATAPRESSAN</w:t>
      </w:r>
      <w:r>
        <w:t xml:space="preserve"> (BOEHRINGER INGELHEIM) — Solution injectable 0,15 mg/mL, B/30 — Liste II — Non Renouvelable (princeps historique)</w:t>
      </w:r>
    </w:p>
    <w:p>
      <w:pPr>
        <w:pStyle w:val="ListBullet"/>
      </w:pPr>
      <w:r/>
      <w:r>
        <w:rPr>
          <w:b/>
        </w:rPr>
        <w:t>CATAPRESSAN</w:t>
      </w:r>
      <w:r>
        <w:t xml:space="preserve"> (BOEHRINGER INGELHEIM) — Comprimé 0,15 mg, B/20 — Liste II — Non Renouvelable</w:t>
      </w:r>
    </w:p>
    <w:p>
      <w:r>
        <w:t>Spécialité Retirée (R) :</w:t>
      </w:r>
    </w:p>
    <w:p>
      <w:pPr>
        <w:pStyle w:val="ListBullet"/>
      </w:pPr>
      <w:r/>
      <w:r>
        <w:rPr>
          <w:b/>
        </w:rPr>
        <w:t>BARCLYD</w:t>
      </w:r>
      <w:r>
        <w:t xml:space="preserve"> (BIOGALENIQUE) — Comprimé 0,15 mg, B/30 — Liste II — Retiré (R)</w:t>
      </w:r>
    </w:p>
    <w:p>
      <w:r/>
      <w:r>
        <w:rPr>
          <w:b/>
        </w:rPr>
        <w:t>Sous-classe et Mécanisme d'action :</w:t>
      </w:r>
      <w:r/>
    </w:p>
    <w:p>
      <w:pPr>
        <w:pStyle w:val="ListBullet"/>
      </w:pPr>
      <w:r>
        <w:t>Sous-classe : antihypertenseur central agoniste α2-adrénergique (et accessoirement des récepteurs imidazoliniques I1).</w:t>
      </w:r>
    </w:p>
    <w:p>
      <w:pPr>
        <w:pStyle w:val="ListBullet"/>
      </w:pPr>
      <w:r>
        <w:t xml:space="preserve">Mécanisme d'action : la clonidine traverse la BHE et stimule les récepteurs α2-adrénergiques (sous-type α2A prédominant) du </w:t>
      </w:r>
      <w:r>
        <w:rPr>
          <w:b/>
        </w:rPr>
        <w:t>noyau du tractus solitaire</w:t>
      </w:r>
      <w:r>
        <w:t xml:space="preserve"> (NTS) dans le tronc cérébral. Le NTS est le relais principal des afférences baroréflexes (glossopharyngien IX et vague X). La stimulation des α2 postsynaptiques du NTS inhibe les neurones excitateurs descendants vers les centres vasomoteurs du bulbe (rostral ventrolateral medulla, RVLM), réduisant le tonus sympathique périphérique. Effets : (a) </w:t>
      </w:r>
      <w:r>
        <w:rPr>
          <w:b/>
        </w:rPr>
        <w:t>baisse de la pression artérielle</w:t>
      </w:r>
      <w:r>
        <w:t xml:space="preserve"> (vasodilatation artérielle et veineuse par baisse du tonus sympathique) ; (b) </w:t>
      </w:r>
      <w:r>
        <w:rPr>
          <w:b/>
        </w:rPr>
        <w:t>bradycardie</w:t>
      </w:r>
      <w:r>
        <w:t xml:space="preserve"> (baisse du tonus sympathique cardiaque + potentialisation du tonus parasympathique vagal) ; (c) </w:t>
      </w:r>
      <w:r>
        <w:rPr>
          <w:b/>
        </w:rPr>
        <w:t>baisse de la libération de rénine</w:t>
      </w:r>
      <w:r>
        <w:t xml:space="preserve"> (inhibition de l'activité β1-adrénergique des cellules juxtaglomérulaires rénales) ; (d) </w:t>
      </w:r>
      <w:r>
        <w:rPr>
          <w:b/>
        </w:rPr>
        <w:t>baisse de la libération de noradrénaline</w:t>
      </w:r>
      <w:r>
        <w:t xml:space="preserve"> des terminaisons sympathiques périphériques (les α2 présynaptiques inhibent la libération de NE par rétrocontrôle négatif) ; (e) </w:t>
      </w:r>
      <w:r>
        <w:rPr>
          <w:b/>
        </w:rPr>
        <w:t>sédation centrale, analgésie</w:t>
      </w:r>
      <w:r>
        <w:t xml:space="preserve"> (action sur les récepteurs α2 du locus coeruleus et de la corne postérieure de la moelle) ; (f) </w:t>
      </w:r>
      <w:r>
        <w:rPr>
          <w:b/>
        </w:rPr>
        <w:t>sécheresse buccale</w:t>
      </w:r>
      <w:r>
        <w:t xml:space="preserve"> (action parasympatholytique centrale). Le passage transBHE explique aussi la somnolence, la confusion, la dépression. La clonidine a aussi une action périphérique α2B sur les récepteurs vasculaires (vasoconstriction transitoire initiale à l'administration IV — d'où la phase d'hypertension transitoire courte avant l'effet hypotenseur central) — ce phénomène explique l'administration prudente en IVL.</w:t>
      </w:r>
    </w:p>
    <w:p>
      <w:r/>
      <w:r>
        <w:rPr>
          <w:b/>
        </w:rPr>
        <w:t>Profil Pharmacologique :</w:t>
      </w:r>
      <w:r/>
    </w:p>
    <w:p>
      <w:pPr>
        <w:pStyle w:val="ListBullet"/>
      </w:pPr>
      <w:r>
        <w:t xml:space="preserve">Indications : (1) </w:t>
      </w:r>
      <w:r>
        <w:rPr>
          <w:b/>
        </w:rPr>
        <w:t>HTA réfractaire</w:t>
      </w:r>
      <w:r>
        <w:t xml:space="preserve"> — en 4e ligne, en association à plusieurs antihypertenseurs (avec diurétique, IEC/ARA2, ICA), notamment en cas d'HTA résistante avec hyperactivité sympathique. (2) </w:t>
      </w:r>
      <w:r>
        <w:rPr>
          <w:b/>
        </w:rPr>
        <w:t>Crise hypertensive</w:t>
      </w:r>
      <w:r>
        <w:t xml:space="preserve"> (urgence) — clonidine 150 µg IM ou IV lente (rarement utilisée en urgence aujourd'hui, en raison du risque d'hypotension excessive et de rebond — la nicardipine IV ou le labétalol IV sont préférés). (3) </w:t>
      </w:r>
      <w:r>
        <w:rPr>
          <w:b/>
        </w:rPr>
        <w:t>Sevrage opioïde</w:t>
      </w:r>
      <w:r>
        <w:t xml:space="preserve"> (hors AMM en cardiologie mais indication historique) — réduction des signes sympathiques (sueurs, mydriase, hypertension, tachycardie, diarrhée). (4) </w:t>
      </w:r>
      <w:r>
        <w:rPr>
          <w:b/>
        </w:rPr>
        <w:t>Sevrage alcoolique</w:t>
      </w:r>
      <w:r>
        <w:t xml:space="preserve"> (hors AMM) — réduction de l'hyperactivité sympathique. (5) </w:t>
      </w:r>
      <w:r>
        <w:rPr>
          <w:b/>
        </w:rPr>
        <w:t>Prophylaxie de la migraine</w:t>
      </w:r>
      <w:r>
        <w:t xml:space="preserve"> hors AMM (alternative si CI aux β-bloquants). (6) </w:t>
      </w:r>
      <w:r>
        <w:rPr>
          <w:b/>
        </w:rPr>
        <w:t>TDAH chez l'enfant</w:t>
      </w:r>
      <w:r>
        <w:t xml:space="preserve"> hors AMM en Europe (indication FDA, forme transdermique — non disponible en Algérie). (7) </w:t>
      </w:r>
      <w:r>
        <w:rPr>
          <w:b/>
        </w:rPr>
        <w:t>Analgésie péridurale</w:t>
      </w:r>
      <w:r>
        <w:t xml:space="preserve"> en association avec les opioïdes (adjunct — augmente l'effet analgésique, réduit la dose d'opioïde). (8) </w:t>
      </w:r>
      <w:r>
        <w:rPr>
          <w:b/>
        </w:rPr>
        <w:t>Anesthésie locorégionale</w:t>
      </w:r>
      <w:r>
        <w:t xml:space="preserve"> — adjuvant des anesthésiques locaux (augmente la durée du bloc). (9) </w:t>
      </w:r>
      <w:r>
        <w:rPr>
          <w:b/>
        </w:rPr>
        <w:t>Bouffées de chaleur de la ménopause</w:t>
      </w:r>
      <w:r>
        <w:t xml:space="preserve"> hors AMM. (10) </w:t>
      </w:r>
      <w:r>
        <w:rPr>
          <w:b/>
        </w:rPr>
        <w:t>Tremblement essentiel</w:t>
      </w:r>
      <w:r>
        <w:t xml:space="preserve"> hors AMM. (11) </w:t>
      </w:r>
      <w:r>
        <w:rPr>
          <w:b/>
        </w:rPr>
        <w:t>Dystonie neuroleptique</w:t>
      </w:r>
      <w:r>
        <w:t xml:space="preserve"> hors AMM.</w:t>
      </w:r>
    </w:p>
    <w:p>
      <w:pPr>
        <w:pStyle w:val="ListBullet"/>
      </w:pPr>
      <w:r>
        <w:t xml:space="preserve">Contre-indications : (1) </w:t>
      </w:r>
      <w:r>
        <w:rPr>
          <w:b/>
        </w:rPr>
        <w:t>Hypersensibilité à la clonidine</w:t>
      </w:r>
      <w:r>
        <w:t xml:space="preserve"> ; (2) </w:t>
      </w:r>
      <w:r>
        <w:rPr>
          <w:b/>
        </w:rPr>
        <w:t>Bradycardie sévère</w:t>
      </w:r>
      <w:r>
        <w:t xml:space="preserve"> (&lt; 50 bpm) ; (3) </w:t>
      </w:r>
      <w:r>
        <w:rPr>
          <w:b/>
        </w:rPr>
        <w:t>Maladie du sinus non appareillée</w:t>
      </w:r>
      <w:r>
        <w:t xml:space="preserve"> (pauses sinusales) ; (4) </w:t>
      </w:r>
      <w:r>
        <w:rPr>
          <w:b/>
        </w:rPr>
        <w:t>BAV de 2e ou 3e degré non appareillé</w:t>
      </w:r>
      <w:r>
        <w:t xml:space="preserve"> ; (5) </w:t>
      </w:r>
      <w:r>
        <w:rPr>
          <w:b/>
        </w:rPr>
        <w:t>Insuffisance cardiaque décompensée</w:t>
      </w:r>
      <w:r>
        <w:t xml:space="preserve"> — la bradycardie et la baisse du débit cardiaque peuvent aggraver ; (6) </w:t>
      </w:r>
      <w:r>
        <w:rPr>
          <w:b/>
        </w:rPr>
        <w:t>Syndrome de Raynaud sévère, artériopathie oblitérante des membres inférieurs sévère</w:t>
      </w:r>
      <w:r>
        <w:t xml:space="preserve"> (baisse du débit par bradycardie) ; (7) </w:t>
      </w:r>
      <w:r>
        <w:rPr>
          <w:b/>
        </w:rPr>
        <w:t>Phéochromocytome</w:t>
      </w:r>
      <w:r>
        <w:t xml:space="preserve"> (la clonidine n'inhibe pas la libération de catécholamines par la tumeur et peut même la paradoxalement augmenter via action α2 présynaptique — diagnostic par test de suppression à la clonidine) ; (8) </w:t>
      </w:r>
      <w:r>
        <w:rPr>
          <w:b/>
        </w:rPr>
        <w:t>Dépression grave</w:t>
      </w:r>
      <w:r>
        <w:t xml:space="preserve"> (la clonidine peut aggraver) ; (9) </w:t>
      </w:r>
      <w:r>
        <w:rPr>
          <w:b/>
        </w:rPr>
        <w:t>Allaitement</w:t>
      </w:r>
      <w:r>
        <w:t xml:space="preserve"> (CI — passage lacté important, hypotension et bradycardie chez le nourrisson) ; (10) </w:t>
      </w:r>
      <w:r>
        <w:rPr>
          <w:b/>
        </w:rPr>
        <w:t>Grossesse</w:t>
      </w:r>
      <w:r>
        <w:t xml:space="preserve"> — à éviter sauf nécessité absolue (hypotension maternelle → hypoperfusion fœto-placentaire) ; (11) </w:t>
      </w:r>
      <w:r>
        <w:rPr>
          <w:b/>
        </w:rPr>
        <w:t>Sujets âgés fragiles</w:t>
      </w:r>
      <w:r>
        <w:t xml:space="preserve"> (risque de bradycardie sévère, hypotension, confusion) ; (12) </w:t>
      </w:r>
      <w:r>
        <w:rPr>
          <w:b/>
        </w:rPr>
        <w:t>Insuffisance rénale sévère</w:t>
      </w:r>
      <w:r>
        <w:t xml:space="preserve"> (DFG &lt; 30 mL/min — la clonidine est éliminée par le rein).</w:t>
      </w:r>
    </w:p>
    <w:p>
      <w:pPr>
        <w:pStyle w:val="ListBullet"/>
      </w:pPr>
      <w:r>
        <w:t xml:space="preserve">Effets Indésirables : (1) </w:t>
      </w:r>
      <w:r>
        <w:rPr>
          <w:b/>
        </w:rPr>
        <w:t>Sécheresse buccale</w:t>
      </w:r>
      <w:r>
        <w:t xml:space="preserve"> (30–50 % — liée à l'action parasympatholytique centrale — fréquente et gênante) ; (2) </w:t>
      </w:r>
      <w:r>
        <w:rPr>
          <w:b/>
        </w:rPr>
        <w:t>Sédation, somnolence</w:t>
      </w:r>
      <w:r>
        <w:t xml:space="preserve"> (20–30 % — liée à l'action sur le locus coeruleus) ; (3) </w:t>
      </w:r>
      <w:r>
        <w:rPr>
          <w:b/>
        </w:rPr>
        <w:t>Constipation</w:t>
      </w:r>
      <w:r>
        <w:t xml:space="preserve"> (15–25 % — hypotonie digestive) ; (4) </w:t>
      </w:r>
      <w:r>
        <w:rPr>
          <w:b/>
        </w:rPr>
        <w:t>Bradycardie sinusale</w:t>
      </w:r>
      <w:r>
        <w:t xml:space="preserve"> (10–15 %) ; (5) </w:t>
      </w:r>
      <w:r>
        <w:rPr>
          <w:b/>
        </w:rPr>
        <w:t>Hypotension orthostatique</w:t>
      </w:r>
      <w:r>
        <w:t xml:space="preserve"> (10–15 %, surtout en début de traitement) ; (6) </w:t>
      </w:r>
      <w:r>
        <w:rPr>
          <w:b/>
        </w:rPr>
        <w:t>Syndrome dépressif</w:t>
      </w:r>
      <w:r>
        <w:t xml:space="preserve"> (5–10 % — à surveiller, surtout chez les patients aux antécédents psychiatriques) ; (7) </w:t>
      </w:r>
      <w:r>
        <w:rPr>
          <w:b/>
        </w:rPr>
        <w:t>Impuissance, troubles sexuels</w:t>
      </w:r>
      <w:r>
        <w:t xml:space="preserve"> (5–10 %) ; (8) </w:t>
      </w:r>
      <w:r>
        <w:rPr>
          <w:b/>
        </w:rPr>
        <w:t>Rétention hydrosodée</w:t>
      </w:r>
      <w:r>
        <w:t xml:space="preserve"> (nécessité d'associer un diurétique) ; (9) </w:t>
      </w:r>
      <w:r>
        <w:rPr>
          <w:b/>
        </w:rPr>
        <w:t>Rébound hypertensif à l'arrêt brutal</w:t>
      </w:r>
      <w:r>
        <w:t xml:space="preserve"> (effet classe, particulièrement marqué avec la clonidine — voir plus bas) ; (10) Rougeur du visage, flush ; (11) Rash, prurit, éruptions cutanées (5 %, surtout avec la forme transdermique — non disponible en Algérie) ; (12) Nausées, vomissements (5 %) ; (13) </w:t>
      </w:r>
      <w:r>
        <w:rPr>
          <w:b/>
        </w:rPr>
        <w:t>Confusion, cauchemars</w:t>
      </w:r>
      <w:r>
        <w:t xml:space="preserve"> (sujet âgé) ; (14) Galactorrhée (rare — hyperprolactinémie) ; (15) Phénomène de Raynaud aggravé.</w:t>
      </w:r>
    </w:p>
    <w:p>
      <w:r/>
      <w:r>
        <w:rPr>
          <w:b/>
        </w:rPr>
        <w:t>Prévention et Gestion des Effets Indésirables :</w:t>
      </w:r>
      <w:r/>
    </w:p>
    <w:p>
      <w:pPr>
        <w:pStyle w:val="ListBullet"/>
      </w:pPr>
      <w:r>
        <w:t xml:space="preserve">Mesures Préventives : (a) Démarrer à dose faible (0,075 mg × 2 à 3/jour, soit 0,15–0,225 mg/jour), titration progressive sur 2–4 semaines ; (b) </w:t>
      </w:r>
      <w:r>
        <w:rPr>
          <w:b/>
        </w:rPr>
        <w:t>Surveillance de la PA orthostatique</w:t>
      </w:r>
      <w:r>
        <w:t xml:space="preserve"> (mesure couché et debout) en début de traitement ; (c) Surveillance ECG (FC) ; (d) </w:t>
      </w:r>
      <w:r>
        <w:rPr>
          <w:b/>
        </w:rPr>
        <w:t>Prévention du rebond hypertensif à l'arrêt</w:t>
      </w:r>
      <w:r>
        <w:t xml:space="preserve"> : décroissance progressive sur 4 à 7 jours (réduction de 25 % tous les 2 jours), surtout après usage prolongé ; (e) Prévention de la sécheresse buccale : hydratation, salive artificielle, sucer des bonbons sans sucre ; (f) Prévention de la constipation : régime riche en fibres, hydratation, laxatif osmotique si besoin ; (g) Association à un diurétique pour neutraliser la rétention hydrosodée ; (h) Information du patient : ne jamais arrêter brutalement, signaler tout symptôme dépressif.</w:t>
      </w:r>
    </w:p>
    <w:p>
      <w:pPr>
        <w:pStyle w:val="ListBullet"/>
      </w:pPr>
      <w:r>
        <w:t xml:space="preserve">Conduite à Tenir : (a) </w:t>
      </w:r>
      <w:r>
        <w:rPr>
          <w:b/>
        </w:rPr>
        <w:t>Rébound hypertensif</w:t>
      </w:r>
      <w:r>
        <w:t xml:space="preserve"> (PA &gt; 180/120, sueurs, agitation, tremblements, palpitations) → hospitalisation, réadministration immédiate de clonidine 0,15 mg PO ou IVL, surveillance continue en USI/soins intensifs, contrôle par nicardipine IV ou labétalol IV si clonidine inefficace ; (b) Bradycardie symptomatique → arrêt, atropine 0,5–1 mg IV si nécessaire ; (c) Dépression → arrêt, substitution par autre antihypertenseur, prise en charge psychiatrique ; (d) Hypotension orthostatique → surveillance, adaptation de dose, lever progressif (3 minutes assis avant de se lever) ; (e) Confusion chez le sujet âgé → arrêt, substitution.</w:t>
      </w:r>
    </w:p>
    <w:p>
      <w:r/>
      <w:r>
        <w:rPr>
          <w:b/>
        </w:rPr>
        <w:t>Interactions Importantes :</w:t>
      </w:r>
      <w:r/>
    </w:p>
    <w:p>
      <w:pPr>
        <w:pStyle w:val="ListBullet"/>
      </w:pPr>
      <w:r>
        <w:t xml:space="preserve">Clonidine + </w:t>
      </w:r>
      <w:r>
        <w:rPr>
          <w:b/>
        </w:rPr>
        <w:t>β-bloquant</w:t>
      </w:r>
      <w:r>
        <w:t xml:space="preserve"> : à éviter — l'association potentialise la bradycardie et le risque de BAV. De plus, l'arrêt brutal de la clonidine chez un patient sous β-bloquant provoque un </w:t>
      </w:r>
      <w:r>
        <w:rPr>
          <w:b/>
        </w:rPr>
        <w:t>rebond hypertensif majoré</w:t>
      </w:r>
      <w:r>
        <w:t xml:space="preserve"> par le β-bloquant (qui empêche la compensation par vasodilatation β2). Si on doit arrêter la clonidine chez un patient sous β-bloquant : arrêter D'ABORD le β-bloquant (de façon progressive), puis la clonidine (de façon progressive).</w:t>
      </w:r>
    </w:p>
    <w:p>
      <w:pPr>
        <w:pStyle w:val="ListBullet"/>
      </w:pPr>
      <w:r>
        <w:t xml:space="preserve">Clonidine + </w:t>
      </w:r>
      <w:r>
        <w:rPr>
          <w:b/>
        </w:rPr>
        <w:t>Antidépresseurs tricycliques</w:t>
      </w:r>
      <w:r>
        <w:t xml:space="preserve"> (amitriptyline, clomipramine, imipramine) : antagonisme pharmacologique (les ATC bloquent les α2) → perte d'efficacité de la clonidine.</w:t>
      </w:r>
    </w:p>
    <w:p>
      <w:pPr>
        <w:pStyle w:val="ListBullet"/>
      </w:pPr>
      <w:r>
        <w:t xml:space="preserve">Clonidine + </w:t>
      </w:r>
      <w:r>
        <w:rPr>
          <w:b/>
        </w:rPr>
        <w:t>Inhibiteurs de la recapture de la noradrénaline</w:t>
      </w:r>
      <w:r>
        <w:t xml:space="preserve"> (venlafaxine, duloxétine) : interaction théorique, à surveiller.</w:t>
      </w:r>
    </w:p>
    <w:p>
      <w:pPr>
        <w:pStyle w:val="ListBullet"/>
      </w:pPr>
      <w:r>
        <w:t xml:space="preserve">Clonidine + </w:t>
      </w:r>
      <w:r>
        <w:rPr>
          <w:b/>
        </w:rPr>
        <w:t>Alcool, benzodiazépines, opioïdes, autres dépresseurs centraux</w:t>
      </w:r>
      <w:r>
        <w:t xml:space="preserve"> : majoration de la sédation, hypotension.</w:t>
      </w:r>
    </w:p>
    <w:p>
      <w:pPr>
        <w:pStyle w:val="ListBullet"/>
      </w:pPr>
      <w:r>
        <w:t xml:space="preserve">Clonidine + </w:t>
      </w:r>
      <w:r>
        <w:rPr>
          <w:b/>
        </w:rPr>
        <w:t>Halothane, anesthésiques volatils halogénés</w:t>
      </w:r>
      <w:r>
        <w:t xml:space="preserve"> : potentialisation de la bradycardie et de l'hypotension. Prévenir l'anesthésiste.</w:t>
      </w:r>
    </w:p>
    <w:p>
      <w:pPr>
        <w:pStyle w:val="ListBullet"/>
      </w:pPr>
      <w:r>
        <w:t xml:space="preserve">Clonidine + </w:t>
      </w:r>
      <w:r>
        <w:rPr>
          <w:b/>
        </w:rPr>
        <w:t>INS, AINS</w:t>
      </w:r>
      <w:r>
        <w:t xml:space="preserve"> : baisse d'efficacité (les AINS inhibent les prostaglandines vasodilatatrices rénales, neutralisant l'effet antihypertenseur).</w:t>
      </w:r>
    </w:p>
    <w:p>
      <w:pPr>
        <w:pStyle w:val="ListBullet"/>
      </w:pPr>
      <w:r>
        <w:t xml:space="preserve">Clonidine + </w:t>
      </w:r>
      <w:r>
        <w:rPr>
          <w:b/>
        </w:rPr>
        <w:t>Itraconazole, kétoconazole</w:t>
      </w:r>
      <w:r>
        <w:t xml:space="preserve"> (inhibiteurs du CYP3A4) : augmentation modérée des concentrations de clonidine.</w:t>
      </w:r>
    </w:p>
    <w:p>
      <w:pPr>
        <w:pStyle w:val="ListBullet"/>
      </w:pPr>
      <w:r>
        <w:t xml:space="preserve">Clonidine + </w:t>
      </w:r>
      <w:r>
        <w:rPr>
          <w:b/>
        </w:rPr>
        <w:t>Lévodopa</w:t>
      </w:r>
      <w:r>
        <w:t xml:space="preserve"> : potentialisation de la bradycardie et de l'hypotension orthostatique (effet additif sur le tonus sympathique).</w:t>
      </w:r>
    </w:p>
    <w:p>
      <w:pPr>
        <w:pStyle w:val="ListBullet"/>
      </w:pPr>
      <w:r>
        <w:t xml:space="preserve">Clonidine + </w:t>
      </w:r>
      <w:r>
        <w:rPr>
          <w:b/>
        </w:rPr>
        <w:t>Insuline, antidiabétiques</w:t>
      </w:r>
      <w:r>
        <w:t xml:space="preserve"> : la clonidine peut masquer les signes adrénergiques de l'hypoglycémie (sueurs, palpitations, tremblements) — surveillance glycémique accrue chez le diabétique.</w:t>
      </w:r>
    </w:p>
    <w:p>
      <w:pPr>
        <w:pStyle w:val="ListBullet"/>
      </w:pPr>
      <w:r>
        <w:t xml:space="preserve">Clonidine + </w:t>
      </w:r>
      <w:r>
        <w:rPr>
          <w:b/>
        </w:rPr>
        <w:t>Médicaments bradycardisants</w:t>
      </w:r>
      <w:r>
        <w:t xml:space="preserve"> (digoxine, amiodarone, diltiazem, vérapamil) : risque de bradycardie sévère.</w:t>
      </w:r>
    </w:p>
    <w:p>
      <w:pPr>
        <w:pStyle w:val="ListBullet"/>
      </w:pPr>
      <w:r>
        <w:t xml:space="preserve">Clonidine + </w:t>
      </w:r>
      <w:r>
        <w:rPr>
          <w:b/>
        </w:rPr>
        <w:t>Médicaments allongeant le QT</w:t>
      </w:r>
      <w:r>
        <w:t xml:space="preserve"> : potentialisation (rare mais possible).</w:t>
      </w:r>
    </w:p>
    <w:p>
      <w:r/>
      <w:r>
        <w:rPr>
          <w:b/>
        </w:rPr>
        <w:t>Grossesse et Allaitement :</w:t>
      </w:r>
      <w:r/>
    </w:p>
    <w:p>
      <w:pPr>
        <w:pStyle w:val="ListBullet"/>
      </w:pPr>
      <w:r>
        <w:t xml:space="preserve">Grossesse : selon le CRAT, la clonidine est </w:t>
      </w:r>
      <w:r>
        <w:rPr>
          <w:b/>
        </w:rPr>
        <w:t>à éviter pendant la grossesse</w:t>
      </w:r>
      <w:r>
        <w:t xml:space="preserve"> en raison du risque d'hypotension maternelle responsable d'hypoperfusion fœto-placentaire (retard de croissance in utero, mort fœtale). Données animales évocatrices de tératogénicité à doses élevées. En cas de nécessité absolue (HTA réfractaire gravidique sévère), la clonidine peut être prescrite au 2e et 3e trimestre en milieu spécialisé (maternité de type 3) avec surveillance continue. La clonidine passe la barrière placentaire et peut entraîner une hypotension, une bradycardie et une hypoglycémie néonatale (surveillance néonatale à la naissance). Au 1er trimestre : CI par prudence.</w:t>
      </w:r>
    </w:p>
    <w:p>
      <w:pPr>
        <w:pStyle w:val="ListBullet"/>
      </w:pPr>
      <w:r>
        <w:t xml:space="preserve">Allaitement : </w:t>
      </w:r>
      <w:r>
        <w:rPr>
          <w:b/>
        </w:rPr>
        <w:t>CI</w:t>
      </w:r>
      <w:r>
        <w:t xml:space="preserve"> selon le CRAT — passage lacté important (rapport lait/plasma ≈ 1,5), la clonidine s'accumule dans le lait et expose le nourrisson à un risque d'hypotension, de bradycardie, d'hypoglycémie et d'apnée. Une suspension de l'allaitement pendant 24 h après la dernière dose est nécessaire si administration ponctuelle ; pour un traitement au long cours, arrêt de l'allaitement.</w:t>
      </w:r>
    </w:p>
    <w:p>
      <w:pPr>
        <w:pStyle w:val="ListBullet"/>
      </w:pPr>
      <w:r>
        <w:t>Précisions : La clonidine n'est pas un antihypertenseur de choix pendant la grossesse. Préférer méthyldopa, labétalol, nifédipine LP. La clonidine reste un traitement du sevrage opioïde chez la femme enceinte dépendante (alternative à la méthadone ou buprénorphine).</w:t>
      </w:r>
    </w:p>
    <w:p>
      <w:r/>
      <w:r>
        <w:rPr>
          <w:b/>
        </w:rPr>
        <w:t>Posologie et Mode d'administration (Standard) :</w:t>
      </w:r>
      <w:r/>
    </w:p>
    <w:p>
      <w:pPr>
        <w:pStyle w:val="ListBullet"/>
      </w:pPr>
      <w:r>
        <w:t xml:space="preserve">Adulte : </w:t>
      </w:r>
      <w:r>
        <w:rPr>
          <w:b/>
        </w:rPr>
        <w:t>Forme orale</w:t>
      </w:r>
      <w:r>
        <w:t xml:space="preserve"> (CRONIDINE 0,15 mg comprimé) : 0,075 mg × 2 à 3/jour (soit 0,15–0,225 mg/jour), titration progressive par paliers de 0,075 mg/jour tous les 3–7 jours selon la réponse tensionnelle. Dose maximale : 0,9 mg/jour (soit 6 comprimés de 0,15 mg). </w:t>
      </w:r>
      <w:r>
        <w:rPr>
          <w:b/>
        </w:rPr>
        <w:t>Forme injectable</w:t>
      </w:r>
      <w:r>
        <w:t xml:space="preserve"> (CLONIDEX 150 µg/mL) : 150 µg (1 mL) IM ou IV lente (sur 5–10 min), à répéter après 30–60 min si nécessaire, max 600 µg/24 h. En perfusion continue : 0,5–2 µg/kg/h. La voie IV doit être administrée en milieu hospitalier (USI/soins intensifs) avec monitoring de la PA et de la FC.</w:t>
      </w:r>
    </w:p>
    <w:p>
      <w:pPr>
        <w:pStyle w:val="ListBullet"/>
      </w:pPr>
      <w:r>
        <w:t>Sujet âgé : démarrer à 0,075 mg/jour (1/2 comprimé), titration très prudente, surveillance de la PA orthostatique et de la FC.</w:t>
      </w:r>
    </w:p>
    <w:p>
      <w:pPr>
        <w:pStyle w:val="ListBullet"/>
      </w:pPr>
      <w:r>
        <w:t>Enfant (TDAH hors AMM Europe) : 3–5 µg/kg/jour en 3 prises, augmentation progressive. Non recommandé en Algérie pour cette indication.</w:t>
      </w:r>
    </w:p>
    <w:p>
      <w:pPr>
        <w:pStyle w:val="ListBullet"/>
      </w:pPr>
      <w:r>
        <w:t>Insuffisant rénal (DFG &lt; 30 mL/min) : réduction posologique à 0,075 mg/jour, surveillance.</w:t>
      </w:r>
    </w:p>
    <w:p>
      <w:pPr>
        <w:pStyle w:val="ListBullet"/>
      </w:pPr>
      <w:r>
        <w:t>Insuffisant hépatique : pas d'adaptation stricte.</w:t>
      </w:r>
    </w:p>
    <w:p>
      <w:pPr>
        <w:pStyle w:val="ListBullet"/>
      </w:pPr>
      <w:r>
        <w:t>Durée : au long cours pour l'HTA réfractaire ; ponctuel pour la crise hypertensive ; 5–10 jours pour le sevrage opioïde.</w:t>
      </w:r>
    </w:p>
    <w:p>
      <w:pPr>
        <w:pStyle w:val="ListBullet"/>
      </w:pPr>
      <w:r>
        <w:t>Moment de prise : à heure fixe, en 2 à 3 prises par jour (matin, midi, soir — la dernière prise à éviter le soir pour limiter l'hypotension nocturne, mais la sédation peut être utile pour le sommeil). La prise au cours du repas réduit les nausées.</w:t>
      </w:r>
    </w:p>
    <w:p>
      <w:r/>
      <w:r>
        <w:rPr>
          <w:b/>
        </w:rPr>
        <w:t>Arbitrage et Bénéfices des Formes Galéniques :</w:t>
      </w:r>
      <w:r/>
    </w:p>
    <w:p>
      <w:r>
        <w:t xml:space="preserve">La clonidine est disponible en Algérie en deux formes : (1) </w:t>
      </w:r>
      <w:r>
        <w:rPr>
          <w:b/>
        </w:rPr>
        <w:t>forme orale</w:t>
      </w:r>
      <w:r>
        <w:t xml:space="preserve"> (CRONIDINE 0,15 mg comprimé) — pour le traitement chronique de l'HTA réfractaire et pour le sevrage opioïde ; la dose 0,15 mg impose de casser le comprimé pour les doses initiales (0,075 mg = 1/2 comprimé) ; le conditionnement en boîte de 20 comprimés correspond à 7–10 jours de traitement. (2) </w:t>
      </w:r>
      <w:r>
        <w:rPr>
          <w:b/>
        </w:rPr>
        <w:t>forme injectable</w:t>
      </w:r>
      <w:r>
        <w:t xml:space="preserve"> (CLONIDEX 150 µg/mL, CLONIDINA CLORIDRATO) — pour l'urgence hypertensive et l'analgésie péridurale ; 1 mL = 150 µg, conditionnée en ampoules de 1 mL ou 2 mL, en boîte de 10 à 30 ampoules. La forme injectable permet une titration précise mais doit être réservée à l'usage hospitalier. La forme transdermique (Catapres-TTS® — patch hebdomadaire, existante à l'étranger) n'est pas disponible en Algérie. Cette forme transdermique présente l'avantage d'une libération continue et d'une réduction de la fréquence du rebond à l'arrêt (le réservoir cutané assure un déclin progressif). La forme orale princeps CATAPRESSAN (Boehringer Ingelheim) est non renouvelée — les génériques actifs (CRONIDINE) assurent la continuité. La substitution par CATAPRESSAN ne pose pas de problème (même DCI, même dosage).</w:t>
      </w:r>
    </w:p>
    <w:p>
      <w:r/>
      <w:r>
        <w:rPr>
          <w:b/>
        </w:rPr>
        <w:t>Instructions et Conseils au Patient :</w:t>
      </w:r>
      <w:r/>
    </w:p>
    <w:p>
      <w:pPr>
        <w:pStyle w:val="ListBullet"/>
      </w:pPr>
      <w:r>
        <w:t xml:space="preserve">Communication au comptoir : « Ce médicament est un antihypertenseur central. Il agit en réduisant le tonus nerveux sympathique. Il faut le prendre </w:t>
      </w:r>
      <w:r>
        <w:rPr>
          <w:b/>
        </w:rPr>
        <w:t>à heure fixe, plusieurs fois par jour</w:t>
      </w:r>
      <w:r>
        <w:t xml:space="preserve">. </w:t>
      </w:r>
      <w:r>
        <w:rPr>
          <w:b/>
        </w:rPr>
        <w:t>Ne l'arrêtez JAMAIS brutalement</w:t>
      </w:r>
      <w:r>
        <w:t xml:space="preserve"> — il y a un risque de </w:t>
      </w:r>
      <w:r>
        <w:rPr>
          <w:b/>
        </w:rPr>
        <w:t>crise hypertensive grave</w:t>
      </w:r>
      <w:r>
        <w:t xml:space="preserve"> (rebond). Si vous devez l'arrêter, votre médecin vous expliquera comment le réduire progressivement. Les effets indésirables possibles sont une </w:t>
      </w:r>
      <w:r>
        <w:rPr>
          <w:b/>
        </w:rPr>
        <w:t>sécheresse de la bouche</w:t>
      </w:r>
      <w:r>
        <w:t xml:space="preserve"> (très fréquente — buvez de l'eau, sucez des bonbons), une </w:t>
      </w:r>
      <w:r>
        <w:rPr>
          <w:b/>
        </w:rPr>
        <w:t>somnolence</w:t>
      </w:r>
      <w:r>
        <w:t xml:space="preserve"> (ne pas conduire les premiers jours), une </w:t>
      </w:r>
      <w:r>
        <w:rPr>
          <w:b/>
        </w:rPr>
        <w:t>baisse du pouls</w:t>
      </w:r>
      <w:r>
        <w:t xml:space="preserve">, une </w:t>
      </w:r>
      <w:r>
        <w:rPr>
          <w:b/>
        </w:rPr>
        <w:t>constipation</w:t>
      </w:r>
      <w:r>
        <w:t xml:space="preserve">, parfois une </w:t>
      </w:r>
      <w:r>
        <w:rPr>
          <w:b/>
        </w:rPr>
        <w:t>tristesse</w:t>
      </w:r>
      <w:r>
        <w:t xml:space="preserve"> ou des </w:t>
      </w:r>
      <w:r>
        <w:rPr>
          <w:b/>
        </w:rPr>
        <w:t>cauchemars</w:t>
      </w:r>
      <w:r>
        <w:t xml:space="preserve"> — prévenez votre médecin si cela vous arrive. Si vous êtes enceinte ou allaitez, prévenez votre médecin (à éviter). Évitez l'alcool. Si vous êtes diabétique, surveillez votre glycémie de plus près (le médicament peut masquer les signes d'hypoglycémie). »</w:t>
      </w:r>
    </w:p>
    <w:p>
      <w:pPr>
        <w:pStyle w:val="ListBullet"/>
      </w:pPr>
      <w:r>
        <w:t>Mode d'utilisation pratique : (a) Prendre à heures fixes (matin, midi, soir) ; (b) En cas d'oubli : si l'écart est &lt; 4 h, prendre la dose oubliée ; sinon sauter ; (c) Ne jamais doubler la dose ; (d) Mesurer la TA et le pouls régulièrement, noter dans un carnet ; (e) Si TA &lt; 100/60 ou pouls &lt; 50, contacter le médecin ; (f) Si vous avez oublié plusieurs doses, ne pas reprendre à dose normale — contacter le médecin pour adapter ; (g) Si vous devez avoir une opération, prévenir le médecin anesthésiste ; (h) Prévenir tout médecin consulté que vous prenez ce traitement.</w:t>
      </w:r>
    </w:p>
    <w:p>
      <w:r/>
      <w:r>
        <w:rPr>
          <w:b/>
        </w:rPr>
        <w:t>Notes, Règles d'Or &amp; Pièges au Comptoir :</w:t>
      </w:r>
      <w:r/>
    </w:p>
    <w:p>
      <w:pPr>
        <w:pStyle w:val="ListBullet"/>
      </w:pPr>
      <w:r/>
      <w:r>
        <w:rPr>
          <w:b/>
        </w:rPr>
        <w:t>Piège classique — Arrêt brutal</w:t>
      </w:r>
      <w:r>
        <w:t xml:space="preserve"> : la clonidine est l'antihypertenseur à plus haut risque de rebond à l'arrêt brutal. Le risque est maximal après 1–2 semaines de traitement. Le mécanisme est une désensibilisation des α2 centraux pendant le traitement, levée brutale à l'arrêt → surge de noradrénaline → HTA paroxystique. Le tableau associe : PA &gt; 180/120, sueurs, agitation, tremblements, palpitations, anxiété, nausées, parfois encéphalopathie hypertensive, AVC hémorragique, infarctus du myocarde. </w:t>
      </w:r>
      <w:r>
        <w:rPr>
          <w:b/>
        </w:rPr>
        <w:t>Traitement</w:t>
      </w:r>
      <w:r>
        <w:t xml:space="preserve"> : réadministration immédiate de clonidine 0,15 mg PO ou IVL, surveillance USI, nicardipine IV ou labétalol IV si clonidine inefficace. Prévention : décroissance progressive sur 4–7 jours, surtout après usage prolongé.</w:t>
      </w:r>
    </w:p>
    <w:p>
      <w:pPr>
        <w:pStyle w:val="ListBullet"/>
      </w:pPr>
      <w:r/>
      <w:r>
        <w:rPr>
          <w:b/>
        </w:rPr>
        <w:t>Piège — Association au β-bloquant</w:t>
      </w:r>
      <w:r>
        <w:t xml:space="preserve"> : à éviter (bradycardie, BAV, hypotension). Si association nécessaire, surveillance ECG stricte. Si arrêt de la clonidine chez un patient sous β-bloquant : arrêter D'ABORD le β-bloquant (de façon progressive), puis la clonidine.</w:t>
      </w:r>
    </w:p>
    <w:p>
      <w:pPr>
        <w:pStyle w:val="ListBullet"/>
      </w:pPr>
      <w:r/>
      <w:r>
        <w:rPr>
          <w:b/>
        </w:rPr>
        <w:t>Piège — Sevrage opioïde</w:t>
      </w:r>
      <w:r>
        <w:t xml:space="preserve"> : la clonidine est utile dans le sevrage opioïde mais ne traite pas la composante analgésique (le patient reste en douleur). À associer à un antalgique palier II/III.</w:t>
      </w:r>
    </w:p>
    <w:p>
      <w:pPr>
        <w:pStyle w:val="ListBullet"/>
      </w:pPr>
      <w:r/>
      <w:r>
        <w:rPr>
          <w:b/>
        </w:rPr>
        <w:t>Piège — Masquage de l'hypoglycémie</w:t>
      </w:r>
      <w:r>
        <w:t xml:space="preserve"> : chez le diabétique, surveiller la glycémie (les signes adrénergiques de l'hypoglycémie peuvent être masqués).</w:t>
      </w:r>
    </w:p>
    <w:p>
      <w:pPr>
        <w:pStyle w:val="ListBullet"/>
      </w:pPr>
      <w:r/>
      <w:r>
        <w:rPr>
          <w:b/>
        </w:rPr>
        <w:t>Piège — Forme injectable IV</w:t>
      </w:r>
      <w:r>
        <w:t xml:space="preserve"> : administration en IVL stricte sur 5–10 min (effet hypotenseur brutal si IV directe). Surveillance continue PA, FC, ECG en milieu hospitalier.</w:t>
      </w:r>
    </w:p>
    <w:p>
      <w:pPr>
        <w:pStyle w:val="ListBullet"/>
      </w:pPr>
      <w:r/>
      <w:r>
        <w:rPr>
          <w:b/>
        </w:rPr>
        <w:t>Piège — Substitution CATAPRESSAN → CRONIDINE</w:t>
      </w:r>
      <w:r>
        <w:t xml:space="preserve"> : équivalence posologique stricte (même dosage 0,15 mg).</w:t>
      </w:r>
    </w:p>
    <w:p>
      <w:pPr>
        <w:pStyle w:val="ListBullet"/>
      </w:pPr>
      <w:r/>
      <w:r>
        <w:rPr>
          <w:b/>
        </w:rPr>
        <w:t>Règle de prise</w:t>
      </w:r>
      <w:r>
        <w:t xml:space="preserve"> : 2 à 3 prises par jour à heures fixes, à vie (HTA). Ne jamais arrêter brutalement.</w:t>
      </w:r>
    </w:p>
    <w:p>
      <w:pPr>
        <w:pStyle w:val="ListBullet"/>
      </w:pPr>
      <w:r/>
      <w:r>
        <w:rPr>
          <w:b/>
        </w:rPr>
        <w:t>Préparation et Conservation</w:t>
      </w:r>
      <w:r>
        <w:t xml:space="preserve"> : conserver à &lt; 25 °C, à l'abri de la lumière. Forme injectable : ne pas congeler, ne pas mélanger avec d'autres médicaments dans la même seringue.</w:t>
      </w:r>
    </w:p>
    <w:p>
      <w:pPr>
        <w:pStyle w:val="ListBullet"/>
      </w:pPr>
      <w:r/>
      <w:r>
        <w:rPr>
          <w:b/>
        </w:rPr>
        <w:t>Piège du surdosage</w:t>
      </w:r>
      <w:r>
        <w:t xml:space="preserve"> : surdosage massif → hypotension sévère, bradycardie, BAV, dépression respiratoire, somnolence, coma, hypothermie, myosis. </w:t>
      </w:r>
      <w:r>
        <w:rPr>
          <w:b/>
        </w:rPr>
        <w:t>Traitement</w:t>
      </w:r>
      <w:r>
        <w:t xml:space="preserve"> : arrêt immédiat, remplissage vasculaire prudent (attention à l'insuffisance cardiaque), adrénaline IV si collapsus, atropine IV si bradycardie symptomatique, naloxone si dépression respiratoire (peut partiellement inverser l'effet central de la clonidine — à utiliser avec prudence), assistance respiratoire si coma.</w:t>
      </w:r>
    </w:p>
    <w:p>
      <w:pPr>
        <w:pStyle w:val="Heading3"/>
      </w:pPr>
      <w:r>
        <w:t>10. DCI : Méthyldopa (Seule)</w:t>
      </w:r>
    </w:p>
    <w:p>
      <w:r/>
      <w:r>
        <w:rPr>
          <w:b/>
        </w:rPr>
        <w:t>Liste des Catégories :</w:t>
      </w:r>
      <w:r>
        <w:t xml:space="preserve"> Antihypertenseurs centraux ; Traitement de l'HTA gravidique (référence).</w:t>
      </w:r>
    </w:p>
    <w:p>
      <w:r>
        <w:t xml:space="preserve">L'α-méthyldopa (L-3-(3,4-dihydroxyphényl)-2-méthylalanine sesquihydratée) est un antihypertenseur central historique, synthétisé en 1960 par Karl Pfister chez Merck et commercialisé dès 1963 sous le nom d'Aldomet®. C'est un </w:t>
      </w:r>
      <w:r>
        <w:rPr>
          <w:b/>
        </w:rPr>
        <w:t>acide aminé aromatique de synthèse</w:t>
      </w:r>
      <w:r>
        <w:t xml:space="preserve">, analogue structural de la DOPA (3,4-dihydroxyphénylalanine) — son groupement méthyle en position 2 de la chaîne latérale en fait un faux neurotransmetteur. Sa structure et son mécanisme d'action sont remarquables : la méthyldopa est une </w:t>
      </w:r>
      <w:r>
        <w:rPr>
          <w:b/>
        </w:rPr>
        <w:t>prodrogue</w:t>
      </w:r>
      <w:r>
        <w:t xml:space="preserve"> qui doit être convertie en métabolite actif pour exercer son effet. Elle traverse la barrière hémato-encéphalique (BHE) par transport actif (LAT1 — L-type amino acid transporter), puis est décarboxylée par la L-aromatique acide aminé décarboxylase (AADC) en </w:t>
      </w:r>
      <w:r>
        <w:rPr>
          <w:b/>
        </w:rPr>
        <w:t>α-méthyldopamine</w:t>
      </w:r>
      <w:r>
        <w:t xml:space="preserve">, puis β-hydroxylée par la dopamine β-hydroxylase (DBH) en </w:t>
      </w:r>
      <w:r>
        <w:rPr>
          <w:b/>
        </w:rPr>
        <w:t>α-méthylnorépinéphrine (α-MNE)</w:t>
      </w:r>
      <w:r>
        <w:t xml:space="preserve">. Cet analogue structural de la norépinéphrine se lie aux récepteurs α2 centraux (subtype α2A) du noyau du tractus solitaire, mimant l'action inhibitrice de la norépinéphrine → réduction du tonus sympathique → baisse de la PA. La α-MNE est appelée </w:t>
      </w:r>
      <w:r>
        <w:rPr>
          <w:b/>
        </w:rPr>
        <w:t>faux neurotransmetteur</w:t>
      </w:r>
      <w:r>
        <w:t xml:space="preserve"> car elle se substitue à la norépinéphrine dans les vésicules présynaptiques mais n'active que faiblement les récepteurs α1 périphériques (vasoconstricteurs) — d'où son effet hypotenseur prédominant sur l'effet vasoconstricteur. La méthyldopa reste le </w:t>
      </w:r>
      <w:r>
        <w:rPr>
          <w:b/>
        </w:rPr>
        <w:t>traitement de référence de l'HTA gravidique</w:t>
      </w:r>
      <w:r>
        <w:t xml:space="preserve"> selon les recommandations ESC 2018, AHA 2017, HAS 2016 et CNGOF 2018, en raison de son innocuité fœtale (recul de plus de 60 ans d'utilisation), de son efficacité, de son faible passage dans le lait maternel et de son coût modéré. En Algérie, la méthyldopa est disponible en 3 spécialités actives à 250 mg.</w:t>
      </w:r>
    </w:p>
    <w:p>
      <w:r/>
      <w:r>
        <w:rPr>
          <w:b/>
        </w:rPr>
        <w:t>Médicaments disponibles en Algérie (Marques, Laboratoires, Formes et Dosages) :</w:t>
      </w:r>
      <w:r/>
    </w:p>
    <w:p>
      <w:r>
        <w:t>Spécialités Actives :</w:t>
      </w:r>
    </w:p>
    <w:p>
      <w:pPr>
        <w:pStyle w:val="ListBullet"/>
      </w:pPr>
      <w:r/>
      <w:r>
        <w:rPr>
          <w:b/>
        </w:rPr>
        <w:t>ALDOMET</w:t>
      </w:r>
      <w:r>
        <w:t xml:space="preserve"> (LABORATOIRES MERINAL) — Comprimé pelliculé 250 mg, B/30 — Liste I — Actif (princeps)</w:t>
      </w:r>
    </w:p>
    <w:p>
      <w:pPr>
        <w:pStyle w:val="ListBullet"/>
      </w:pPr>
      <w:r/>
      <w:r>
        <w:rPr>
          <w:b/>
        </w:rPr>
        <w:t>DOPAMET</w:t>
      </w:r>
      <w:r>
        <w:t xml:space="preserve"> (HUPP PHARMA) — Comprimé pelliculé 250 mg, B/30 — Liste I — Actif</w:t>
      </w:r>
    </w:p>
    <w:p>
      <w:pPr>
        <w:pStyle w:val="ListBullet"/>
      </w:pPr>
      <w:r/>
      <w:r>
        <w:rPr>
          <w:b/>
        </w:rPr>
        <w:t>METHYCARE</w:t>
      </w:r>
      <w:r>
        <w:t xml:space="preserve"> (BIOCARE) — Comprimé pelliculé 250 mg, B/30 — Liste I — Actif</w:t>
      </w:r>
    </w:p>
    <w:p>
      <w:r>
        <w:t>Spécialités Retirées (R) :</w:t>
      </w:r>
    </w:p>
    <w:p>
      <w:pPr>
        <w:pStyle w:val="ListBullet"/>
      </w:pPr>
      <w:r/>
      <w:r>
        <w:rPr>
          <w:b/>
        </w:rPr>
        <w:t>DOPAMET</w:t>
      </w:r>
      <w:r>
        <w:t xml:space="preserve"> (MEDOCHEMIE LTD) — Comprimé 250 mg, B/30 — Retiré (R)</w:t>
      </w:r>
    </w:p>
    <w:p>
      <w:pPr>
        <w:pStyle w:val="ListBullet"/>
      </w:pPr>
      <w:r/>
      <w:r>
        <w:rPr>
          <w:b/>
        </w:rPr>
        <w:t>METHYL DOPA SOLUPHARM</w:t>
      </w:r>
      <w:r>
        <w:t xml:space="preserve"> (SOLUPHARM SARL) — Comprimé pelliculé sécable 250 mg, B/20 — Retiré (R)</w:t>
      </w:r>
    </w:p>
    <w:p>
      <w:pPr>
        <w:pStyle w:val="ListBullet"/>
      </w:pPr>
      <w:r/>
      <w:r>
        <w:rPr>
          <w:b/>
        </w:rPr>
        <w:t>ALDOMETHYL</w:t>
      </w:r>
      <w:r>
        <w:t xml:space="preserve"> (ASIA PHARMACEUTICALS) — Comprimé 250 mg, B/30 — Retiré (R)</w:t>
      </w:r>
    </w:p>
    <w:p>
      <w:pPr>
        <w:pStyle w:val="ListBullet"/>
      </w:pPr>
      <w:r/>
      <w:r>
        <w:rPr>
          <w:b/>
        </w:rPr>
        <w:t>DOPANORE</w:t>
      </w:r>
      <w:r>
        <w:t xml:space="preserve"> (JORDANIAN PHARMACEUTICAL MANIFACTURING) — Comprimé 250 mg, B/30 — Retiré (R)</w:t>
      </w:r>
    </w:p>
    <w:p>
      <w:pPr>
        <w:pStyle w:val="ListBullet"/>
      </w:pPr>
      <w:r/>
      <w:r>
        <w:rPr>
          <w:b/>
        </w:rPr>
        <w:t>EQUIBAR</w:t>
      </w:r>
      <w:r>
        <w:t xml:space="preserve"> (BIOGALENIQUE) — Comprimé 250 mg et 500 mg, B/30 — Retiré (R)</w:t>
      </w:r>
    </w:p>
    <w:p>
      <w:pPr>
        <w:pStyle w:val="ListBullet"/>
      </w:pPr>
      <w:r/>
      <w:r>
        <w:rPr>
          <w:b/>
        </w:rPr>
        <w:t>HY-PO-TONE 250</w:t>
      </w:r>
      <w:r>
        <w:t xml:space="preserve"> (PHARMACARE LIMITED) — Comprimé 250 mg, B/100 — Retiré (R)</w:t>
      </w:r>
    </w:p>
    <w:p>
      <w:pPr>
        <w:pStyle w:val="ListBullet"/>
      </w:pPr>
      <w:r/>
      <w:r>
        <w:rPr>
          <w:b/>
        </w:rPr>
        <w:t>DOPEGYT</w:t>
      </w:r>
      <w:r>
        <w:t xml:space="preserve"> (EGIS S.A.) — Comprimé enrobé 250 mg et 500 mg, B/30 — Retiré (R)</w:t>
      </w:r>
    </w:p>
    <w:p>
      <w:r/>
      <w:r>
        <w:rPr>
          <w:b/>
        </w:rPr>
        <w:t>Sous-classe et Mécanisme d'action :</w:t>
      </w:r>
      <w:r/>
    </w:p>
    <w:p>
      <w:pPr>
        <w:pStyle w:val="ListBullet"/>
      </w:pPr>
      <w:r>
        <w:t>Sous-classe : antihypertenseur central, agoniste α2 indirect (prodrogue).</w:t>
      </w:r>
    </w:p>
    <w:p>
      <w:pPr>
        <w:pStyle w:val="ListBullet"/>
      </w:pPr>
      <w:r>
        <w:t xml:space="preserve">Mécanisme d'action : la méthyldopa est une prodrogue qui doit être métabolisée en métabolite actif pour exercer son effet. Étapes : (1) Absorption intestinale (biodisponibilité ≈ 25 %, variable — effet de premier passage métabolique important). (2) Transport actif transBHE via le transporteur LAT1 des acides aminés neutres. (3) Décarboxylation par l'AADC en α-méthyldopamine (dans les neurones catécholaminergiques centraux). (4) β-hydroxylation par la DBH en </w:t>
      </w:r>
      <w:r>
        <w:rPr>
          <w:b/>
        </w:rPr>
        <w:t>α-méthylnorépinéphrine (α-MNE)</w:t>
      </w:r>
      <w:r>
        <w:t xml:space="preserve">. (5) Stockage dans les vésicules présynaptiques (substrat du transporteur VMAT2) et libération lors de l'influx nerveux, en se substituant à la norépinéphrine. (6) Activation des récepteurs </w:t>
      </w:r>
      <w:r>
        <w:rPr>
          <w:b/>
        </w:rPr>
        <w:t>α2A du noyau du tractus solitaire</w:t>
      </w:r>
      <w:r>
        <w:t xml:space="preserve"> (NTS) — le NTS est le relais principal des afférences baroréflexes (glossopharyngien IX et vague X). La stimulation des α2 postsynaptiques du NTS inhibe les neurones excitateurs descendants vers les centres vasomoteurs du bulbe (RVLM), réduisant le tonus sympathique périphérique. Effets : (a) baisse de la PA (vasodilatation artérielle et veineuse par baisse du tonus sympathique) ; (b) bradycardie (baisse du tonus sympathique cardiaque) ; (c) baisse de la libération de rénine. La α-MNE active faiblement les récepteurs α1 périphériques vasculaires (vasoconstricteurs) — d'où son effet hypotenseur central prédominant. La méthyldopa ne traverse pas la BHE en quantité suffisante chez tous les patients — d'où une réponse variable et parfois faible. Elle nécessite 4–6 heures pour atteindre son pic d'effet (délai d'activation métabolique).</w:t>
      </w:r>
    </w:p>
    <w:p>
      <w:r/>
      <w:r>
        <w:rPr>
          <w:b/>
        </w:rPr>
        <w:t>Profil Pharmacologique :</w:t>
      </w:r>
      <w:r/>
    </w:p>
    <w:p>
      <w:pPr>
        <w:pStyle w:val="ListBullet"/>
      </w:pPr>
      <w:r>
        <w:t xml:space="preserve">Indications : (1) </w:t>
      </w:r>
      <w:r>
        <w:rPr>
          <w:b/>
        </w:rPr>
        <w:t>HTA gravidique</w:t>
      </w:r>
      <w:r>
        <w:t xml:space="preserve"> — traitement de référence selon ESC 2018, AHA 2017, HAS 2016, CNGOF 2018 — à tous les trimestres (données humaines rassurantes sur l'innocuité fœtale, recul &gt; 60 ans). Indication de 1re intention chez la femme enceinte hypertendue (HTA chronique gravidique, HTA gestationnelle, prééclampsie légère à modérée). (2) </w:t>
      </w:r>
      <w:r>
        <w:rPr>
          <w:b/>
        </w:rPr>
        <w:t>HTA chronique du sujet jeune</w:t>
      </w:r>
      <w:r>
        <w:t xml:space="preserve"> — alternative historique, aujourd'hui supplantée par les IEC, ARA2 et ICA. (3) </w:t>
      </w:r>
      <w:r>
        <w:rPr>
          <w:b/>
        </w:rPr>
        <w:t>HTA réfractaire</w:t>
      </w:r>
      <w:r>
        <w:t xml:space="preserve"> — en association, en particulier dans l'HTA résistante avec hyperactivité sympathique.</w:t>
      </w:r>
    </w:p>
    <w:p>
      <w:pPr>
        <w:pStyle w:val="ListBullet"/>
      </w:pPr>
      <w:r>
        <w:t xml:space="preserve">Contre-indications : (1) </w:t>
      </w:r>
      <w:r>
        <w:rPr>
          <w:b/>
        </w:rPr>
        <w:t>Hypersensibilité à la méthyldopa</w:t>
      </w:r>
      <w:r>
        <w:t xml:space="preserve"> ; (2) </w:t>
      </w:r>
      <w:r>
        <w:rPr>
          <w:b/>
        </w:rPr>
        <w:t>Insuffisance hépatique active</w:t>
      </w:r>
      <w:r>
        <w:t xml:space="preserve"> (hépatite aiguë, cirrhose décompensée) — risque d'hépatite médicamenteuse ; (3) </w:t>
      </w:r>
      <w:r>
        <w:rPr>
          <w:b/>
        </w:rPr>
        <w:t>Antécédent d'hépatite à la méthyldopa</w:t>
      </w:r>
      <w:r>
        <w:t xml:space="preserve"> (CI absolue — récidive) ; (4) </w:t>
      </w:r>
      <w:r>
        <w:rPr>
          <w:b/>
        </w:rPr>
        <w:t>Porphyrie aiguë intermittente</w:t>
      </w:r>
      <w:r>
        <w:t xml:space="preserve"> (la méthyldopa peut déclencher une crise) ; (5) </w:t>
      </w:r>
      <w:r>
        <w:rPr>
          <w:b/>
        </w:rPr>
        <w:t>Dépression grave</w:t>
      </w:r>
      <w:r>
        <w:t xml:space="preserve"> (la méthyldopa peut aggraver — le métabolite α-MNE a une action sédative centrale) ; (6) </w:t>
      </w:r>
      <w:r>
        <w:rPr>
          <w:b/>
        </w:rPr>
        <w:t>Maladie de Parkinson</w:t>
      </w:r>
      <w:r>
        <w:t xml:space="preserve"> (la méthyldopa peut aggraver — compétition avec la L-DOPA au niveau du transporteur LAT1 et de l'AADC) ; (7) </w:t>
      </w:r>
      <w:r>
        <w:rPr>
          <w:b/>
        </w:rPr>
        <w:t>Phéochromocytome</w:t>
      </w:r>
      <w:r>
        <w:t xml:space="preserve"> (la méthyldopa ne contrôle pas la libération de catécholamines par la tumeur) ; (8) </w:t>
      </w:r>
      <w:r>
        <w:rPr>
          <w:b/>
        </w:rPr>
        <w:t>Association aux IMAO</w:t>
      </w:r>
      <w:r>
        <w:t xml:space="preserve"> (risque de poussée hypertensive) ; (9) </w:t>
      </w:r>
      <w:r>
        <w:rPr>
          <w:b/>
        </w:rPr>
        <w:t>Hémolyse auto-immune connue</w:t>
      </w:r>
      <w:r>
        <w:t xml:space="preserve"> (test de Coombs positif préexistant) ; (10) </w:t>
      </w:r>
      <w:r>
        <w:rPr>
          <w:b/>
        </w:rPr>
        <w:t>Tremblement essentiel</w:t>
      </w:r>
      <w:r>
        <w:t xml:space="preserve"> (peut aggraver).</w:t>
      </w:r>
    </w:p>
    <w:p>
      <w:pPr>
        <w:pStyle w:val="ListBullet"/>
      </w:pPr>
      <w:r>
        <w:t xml:space="preserve">Effets Indésirables : (1) </w:t>
      </w:r>
      <w:r>
        <w:rPr>
          <w:b/>
        </w:rPr>
        <w:t>Sécheresse buccale</w:t>
      </w:r>
      <w:r>
        <w:t xml:space="preserve"> (10–20 %) ; (2) </w:t>
      </w:r>
      <w:r>
        <w:rPr>
          <w:b/>
        </w:rPr>
        <w:t>Sédation, somnolence</w:t>
      </w:r>
      <w:r>
        <w:t xml:space="preserve"> (10–15 %, surtout en début de traitement — liée à l'action centrale de la α-MNE) ; (3) </w:t>
      </w:r>
      <w:r>
        <w:rPr>
          <w:b/>
        </w:rPr>
        <w:t>Asthenie</w:t>
      </w:r>
      <w:r>
        <w:t xml:space="preserve"> (5–10 %) ; (4) </w:t>
      </w:r>
      <w:r>
        <w:rPr>
          <w:b/>
        </w:rPr>
        <w:t>Bradycardie sinusale</w:t>
      </w:r>
      <w:r>
        <w:t xml:space="preserve"> (5 %) ; (5) </w:t>
      </w:r>
      <w:r>
        <w:rPr>
          <w:b/>
        </w:rPr>
        <w:t>Hypotension orthostatique</w:t>
      </w:r>
      <w:r>
        <w:t xml:space="preserve"> (5–10 %) ; (6) </w:t>
      </w:r>
      <w:r>
        <w:rPr>
          <w:b/>
        </w:rPr>
        <w:t>Dépression, cauchemars</w:t>
      </w:r>
      <w:r>
        <w:t xml:space="preserve"> (3–5 %) ; (7) </w:t>
      </w:r>
      <w:r>
        <w:rPr>
          <w:b/>
        </w:rPr>
        <w:t>Test de Coombs direct positif</w:t>
      </w:r>
      <w:r>
        <w:t xml:space="preserve"> (10–20 % des patients traités au long cours — sans hémolyse dans la majorité des cas, mais anémie hémolytique auto-immune dans 0,5–1 % des cas — surveillance NFS, haptoglobine, LDH, bilirubine totale) ; (8) </w:t>
      </w:r>
      <w:r>
        <w:rPr>
          <w:b/>
        </w:rPr>
        <w:t>Hépatite cytolytique ou cholestatique</w:t>
      </w:r>
      <w:r>
        <w:t xml:space="preserve"> (rare, &lt; 1 %, mais potentiellement grave — surveillance transaminases à 1 mois, 3 mois, 6 mois) ; (9) </w:t>
      </w:r>
      <w:r>
        <w:rPr>
          <w:b/>
        </w:rPr>
        <w:t>Drug-induced lupus erythematosus</w:t>
      </w:r>
      <w:r>
        <w:t xml:space="preserve"> (rare — anticorps antinucléaires positifs) ; (10) </w:t>
      </w:r>
      <w:r>
        <w:rPr>
          <w:b/>
        </w:rPr>
        <w:t>Rétention hydrosodée</w:t>
      </w:r>
      <w:r>
        <w:t xml:space="preserve"> (nécessité d'associer un diurétique) ; (11) </w:t>
      </w:r>
      <w:r>
        <w:rPr>
          <w:b/>
        </w:rPr>
        <w:t>Galactorrhée</w:t>
      </w:r>
      <w:r>
        <w:t xml:space="preserve"> (hyperprolactinémie par action sur la libération hypothalamique de dopamine) ; (12) </w:t>
      </w:r>
      <w:r>
        <w:rPr>
          <w:b/>
        </w:rPr>
        <w:t>Impuissance, troubles sexuels</w:t>
      </w:r>
      <w:r>
        <w:t xml:space="preserve"> (5–10 %) ; (13) </w:t>
      </w:r>
      <w:r>
        <w:rPr>
          <w:b/>
        </w:rPr>
        <w:t>Coloration noire des urines à l'air</w:t>
      </w:r>
      <w:r>
        <w:t xml:space="preserve"> (bénin — oxydation de la α-méthyldopamine) ; (14) </w:t>
      </w:r>
      <w:r>
        <w:rPr>
          <w:b/>
        </w:rPr>
        <w:t>Rébound hypertensif à l'arrêt brutal</w:t>
      </w:r>
      <w:r>
        <w:t xml:space="preserve"> (moins marqué qu'avec la clonidine mais présent) ; (15) </w:t>
      </w:r>
      <w:r>
        <w:rPr>
          <w:b/>
        </w:rPr>
        <w:t>Signes extrapyramidaux</w:t>
      </w:r>
      <w:r>
        <w:t xml:space="preserve"> (rares — parkinsonisme) ; (16) </w:t>
      </w:r>
      <w:r>
        <w:rPr>
          <w:b/>
        </w:rPr>
        <w:t>Élévation de la température centrale</w:t>
      </w:r>
      <w:r>
        <w:t xml:space="preserve"> (rare — fièvre médicamenteuse) ; (17) Rash, prurit (3 %) ; (18) Syndrome pseudo-grippal.</w:t>
      </w:r>
    </w:p>
    <w:p>
      <w:r/>
      <w:r>
        <w:rPr>
          <w:b/>
        </w:rPr>
        <w:t>Prévention et Gestion des Effets Indésirables :</w:t>
      </w:r>
      <w:r/>
    </w:p>
    <w:p>
      <w:pPr>
        <w:pStyle w:val="ListBullet"/>
      </w:pPr>
      <w:r>
        <w:t xml:space="preserve">Mesures Préventives : (a) Démarrer à 250 mg × 2/jour (matin et soir), titration progressive à 250 mg × 3–4/jour (max 2 g/jour) ; (b) </w:t>
      </w:r>
      <w:r>
        <w:rPr>
          <w:b/>
        </w:rPr>
        <w:t>Surveillance NFS, plaquettes, réticulocytes, haptoglobine, LDH, bilirubine totale, test de Coombs direct</w:t>
      </w:r>
      <w:r>
        <w:t xml:space="preserve"> à l'initiation puis tous les 6 mois pendant le traitement au long cours (dépistage de l'anémie hémolytique auto-immune) ; (c) </w:t>
      </w:r>
      <w:r>
        <w:rPr>
          <w:b/>
        </w:rPr>
        <w:t>Surveillance transaminases (ALAT, ASAT), phosphatases alcalines, GGT, bilirubine totale</w:t>
      </w:r>
      <w:r>
        <w:t xml:space="preserve"> à l'initiation, à 1 mois, 3 mois, 6 mois puis tous les 6 mois (dépistage de l'hépatite médicamenteuse) ; (d) Surveillance de la PA et de la FC ; (e) Prévention de la rétention hydrosodée : association à un diurétique thiazidique (hydrochlorothiazide 12,5–25 mg/jour) ; (f) Prévention de la sécheresse buccale : hydratation, salive artificielle ; (g) Prévention de la constipation : fibres, hydratation ; (h) Prévention du rebond : décroissance progressive sur 4–7 jours en cas d'arrêt.</w:t>
      </w:r>
    </w:p>
    <w:p>
      <w:pPr>
        <w:pStyle w:val="ListBullet"/>
      </w:pPr>
      <w:r>
        <w:t xml:space="preserve">Conduite à Tenir : (a) </w:t>
      </w:r>
      <w:r>
        <w:rPr>
          <w:b/>
        </w:rPr>
        <w:t>Test de Coombs positif sans hémolyse</w:t>
      </w:r>
      <w:r>
        <w:t xml:space="preserve"> → poursuivre le traitement avec surveillance ; (b) </w:t>
      </w:r>
      <w:r>
        <w:rPr>
          <w:b/>
        </w:rPr>
        <w:t>Anémie hémolytique auto-immune</w:t>
      </w:r>
      <w:r>
        <w:t xml:space="preserve"> (Hb &lt; 10 g/dL, haptoglobine effondrée, LDH élevées, bilirubine élevée, réticulocytes élevés) → </w:t>
      </w:r>
      <w:r>
        <w:rPr>
          <w:b/>
        </w:rPr>
        <w:t>arrêt immédiat de la méthyldopa</w:t>
      </w:r>
      <w:r>
        <w:t xml:space="preserve">, consultation hématologique, transfusion si nécessaire (l'anémie se corrige habituellement en 1–2 semaines après l'arrêt) ; (c) </w:t>
      </w:r>
      <w:r>
        <w:rPr>
          <w:b/>
        </w:rPr>
        <w:t>Hépatite médicamenteuse</w:t>
      </w:r>
      <w:r>
        <w:t xml:space="preserve"> (ALAT &gt; 3 × LSN) → </w:t>
      </w:r>
      <w:r>
        <w:rPr>
          <w:b/>
        </w:rPr>
        <w:t>arrêt immédiat</w:t>
      </w:r>
      <w:r>
        <w:t xml:space="preserve">, bilan hépatique complet, consultation hépatologique (risque de formes fulminantes — ne pas réintroduire) ; (d) </w:t>
      </w:r>
      <w:r>
        <w:rPr>
          <w:b/>
        </w:rPr>
        <w:t>Dépression</w:t>
      </w:r>
      <w:r>
        <w:t xml:space="preserve"> → arrêt, substitution par labétalol ou nifédipine LP, prise en charge psychiatrique ; (e) Bradycardie symptomatique → arrêt, atropine si nécessaire ; (f) Rébound hypertensif → réadministration, surveillance.</w:t>
      </w:r>
    </w:p>
    <w:p>
      <w:r/>
      <w:r>
        <w:rPr>
          <w:b/>
        </w:rPr>
        <w:t>Interactions Importantes :</w:t>
      </w:r>
      <w:r/>
    </w:p>
    <w:p>
      <w:pPr>
        <w:pStyle w:val="ListBullet"/>
      </w:pPr>
      <w:r>
        <w:t xml:space="preserve">Méthyldopa + </w:t>
      </w:r>
      <w:r>
        <w:rPr>
          <w:b/>
        </w:rPr>
        <w:t>IMAO</w:t>
      </w:r>
      <w:r>
        <w:t xml:space="preserve"> (phenelzine, tranylcypromine, iproniazide, moclobémide) : </w:t>
      </w:r>
      <w:r>
        <w:rPr>
          <w:b/>
        </w:rPr>
        <w:t>CI absolue</w:t>
      </w:r>
      <w:r>
        <w:t xml:space="preserve"> — risque de poussée hypertensive (compétition métabolique et potentialisation des effets noradrénergiques). Respecter un délai de 14 jours entre IMAO et méthyldopa.</w:t>
      </w:r>
    </w:p>
    <w:p>
      <w:pPr>
        <w:pStyle w:val="ListBullet"/>
      </w:pPr>
      <w:r>
        <w:t xml:space="preserve">Méthyldopa + </w:t>
      </w:r>
      <w:r>
        <w:rPr>
          <w:b/>
        </w:rPr>
        <w:t>L-DOPA</w:t>
      </w:r>
      <w:r>
        <w:t xml:space="preserve"> (Parkinson) : compétition au niveau du transporteur LAT1 et de l'AADC — baisse d'efficacité de la L-DOPA (aggravation du parkinsonisme) et baisse d'efficacité de la méthyldopa.</w:t>
      </w:r>
    </w:p>
    <w:p>
      <w:pPr>
        <w:pStyle w:val="ListBullet"/>
      </w:pPr>
      <w:r>
        <w:t xml:space="preserve">Méthyldopa + </w:t>
      </w:r>
      <w:r>
        <w:rPr>
          <w:b/>
        </w:rPr>
        <w:t>Antidépresseurs tricycliques</w:t>
      </w:r>
      <w:r>
        <w:t xml:space="preserve"> (amitriptyline, clomipramine, imipramine) : antagonisme pharmacologique (les ATC bloquent les α2) → perte d'efficacité de la méthyldopa.</w:t>
      </w:r>
    </w:p>
    <w:p>
      <w:pPr>
        <w:pStyle w:val="ListBullet"/>
      </w:pPr>
      <w:r>
        <w:t xml:space="preserve">Méthyldopa + </w:t>
      </w:r>
      <w:r>
        <w:rPr>
          <w:b/>
        </w:rPr>
        <w:t>Fer oral</w:t>
      </w:r>
      <w:r>
        <w:t xml:space="preserve"> : baisse de l'absorption de la méthyldopa (formation de complexes chélates) — espacer de 2 heures.</w:t>
      </w:r>
    </w:p>
    <w:p>
      <w:pPr>
        <w:pStyle w:val="ListBullet"/>
      </w:pPr>
      <w:r>
        <w:t xml:space="preserve">Méthyldopa + </w:t>
      </w:r>
      <w:r>
        <w:rPr>
          <w:b/>
        </w:rPr>
        <w:t>Alcool</w:t>
      </w:r>
      <w:r>
        <w:t xml:space="preserve"> : potentialisation de la sédation et de l'hypotension.</w:t>
      </w:r>
    </w:p>
    <w:p>
      <w:pPr>
        <w:pStyle w:val="ListBullet"/>
      </w:pPr>
      <w:r>
        <w:t xml:space="preserve">Méthyldopa + </w:t>
      </w:r>
      <w:r>
        <w:rPr>
          <w:b/>
        </w:rPr>
        <w:t>Halothane, anesthésiques volatils halogénés</w:t>
      </w:r>
      <w:r>
        <w:t xml:space="preserve"> : potentialisation de la bradycardie et de l'hypotension.</w:t>
      </w:r>
    </w:p>
    <w:p>
      <w:pPr>
        <w:pStyle w:val="ListBullet"/>
      </w:pPr>
      <w:r>
        <w:t xml:space="preserve">Méthyldopa + </w:t>
      </w:r>
      <w:r>
        <w:rPr>
          <w:b/>
        </w:rPr>
        <w:t>Lithium</w:t>
      </w:r>
      <w:r>
        <w:t xml:space="preserve"> : neurotoxicité accrue (rare mais décrite).</w:t>
      </w:r>
    </w:p>
    <w:p>
      <w:pPr>
        <w:pStyle w:val="ListBullet"/>
      </w:pPr>
      <w:r>
        <w:t xml:space="preserve">Méthyldopa + </w:t>
      </w:r>
      <w:r>
        <w:rPr>
          <w:b/>
        </w:rPr>
        <w:t>Amphétamines, cocaine</w:t>
      </w:r>
      <w:r>
        <w:t xml:space="preserve"> : baisse d'efficacité de la méthyldopa.</w:t>
      </w:r>
    </w:p>
    <w:p>
      <w:pPr>
        <w:pStyle w:val="ListBullet"/>
      </w:pPr>
      <w:r>
        <w:t xml:space="preserve">Méthyldopa + </w:t>
      </w:r>
      <w:r>
        <w:rPr>
          <w:b/>
        </w:rPr>
        <w:t>β-bloquant</w:t>
      </w:r>
      <w:r>
        <w:t xml:space="preserve"> : association possible mais surveillance (bradycardie, hypotension).</w:t>
      </w:r>
    </w:p>
    <w:p>
      <w:pPr>
        <w:pStyle w:val="ListBullet"/>
      </w:pPr>
      <w:r>
        <w:t xml:space="preserve">Méthyldopa + </w:t>
      </w:r>
      <w:r>
        <w:rPr>
          <w:b/>
        </w:rPr>
        <w:t>AINS</w:t>
      </w:r>
      <w:r>
        <w:t xml:space="preserve"> : baisse d'efficacité de la méthyldopa.</w:t>
      </w:r>
    </w:p>
    <w:p>
      <w:pPr>
        <w:pStyle w:val="ListBullet"/>
      </w:pPr>
      <w:r>
        <w:t xml:space="preserve">Méthyldopa + </w:t>
      </w:r>
      <w:r>
        <w:rPr>
          <w:b/>
        </w:rPr>
        <w:t>Médicaments allongeant le QT</w:t>
      </w:r>
      <w:r>
        <w:t xml:space="preserve"> : potentialisation (rare mais possible).</w:t>
      </w:r>
    </w:p>
    <w:p>
      <w:pPr>
        <w:pStyle w:val="ListBullet"/>
      </w:pPr>
      <w:r>
        <w:t xml:space="preserve">Méthyldopa + </w:t>
      </w:r>
      <w:r>
        <w:rPr>
          <w:b/>
        </w:rPr>
        <w:t>Digoxine</w:t>
      </w:r>
      <w:r>
        <w:t xml:space="preserve"> : augmentation modérée de la digoxinémie (rare).</w:t>
      </w:r>
    </w:p>
    <w:p>
      <w:r/>
      <w:r>
        <w:rPr>
          <w:b/>
        </w:rPr>
        <w:t>Grossesse et Allaitement :</w:t>
      </w:r>
      <w:r/>
    </w:p>
    <w:p>
      <w:pPr>
        <w:pStyle w:val="ListBullet"/>
      </w:pPr>
      <w:r>
        <w:t xml:space="preserve">Grossesse : selon le CRAT, l'ESC 2018, la HAS 2016 et le CNGOF 2018, la </w:t>
      </w:r>
      <w:r>
        <w:rPr>
          <w:b/>
        </w:rPr>
        <w:t>méthyldopa est le traitement de référence de l'HTA gravidique</w:t>
      </w:r>
      <w:r>
        <w:t xml:space="preserve"> à tous les trimestres de la grossesse. Recul de plus de 60 ans d'utilisation, innocuité fœtale démontrée (pas d'augmentation du risque de malformations, de mort fœtale, de retard de croissance in utero, de prématurité). La méthyldopa traverse la barrière placentaire mais n'a pas d'effet délétère fœtal (légère hypotension et bradycardie fœtale possible — surveillance du RCF). Indications : (1) HTA chronique gravidique (femme hypertendue connue avant la grossesse) ; (2) HTA gestationnelle (HTA apparaissant après 20 SA, sans protéinurie) ; (3) prééclampsie légère à modérée (PA &gt; 140/90 + protéinurie &gt; 0,3 g/24 h) — en cas de prééclampsie sévère (PA &gt; 160/110, signes neurologiques, biologiques), nicardipine IV en urgence. Posologie gravidique : 250 mg × 2 à 4/jour (max 2 g/jour). L'effet hypotenseur apparaît en 4–6 h (délai d'activation métabolique), ce qui en fait un antihypertenseur pour HTA chronique (pas d'urgence).</w:t>
      </w:r>
    </w:p>
    <w:p>
      <w:pPr>
        <w:pStyle w:val="ListBullet"/>
      </w:pPr>
      <w:r>
        <w:t xml:space="preserve">Allaitement : </w:t>
      </w:r>
      <w:r>
        <w:rPr>
          <w:b/>
        </w:rPr>
        <w:t>compatible</w:t>
      </w:r>
      <w:r>
        <w:t xml:space="preserve"> selon le CRAT — passage lacté faible (rapport lait/plasma ≈ 0,2), doses ingérées par le nourrisson estimées à &lt; 1 % de la dose maternelle pondérée. Surveillance de la PA et de la FC du nourrisson (risque théorique d'hypotension et de bradycardie, en pratique rare). La méthyldopa est un antihypertenseur de choix pendant l'allaitement.</w:t>
      </w:r>
    </w:p>
    <w:p>
      <w:pPr>
        <w:pStyle w:val="ListBullet"/>
      </w:pPr>
      <w:r>
        <w:t>Précisions : La méthyldopa est le seul antihypertenseur qui dispose d'un recul d'utilisation supérieur à 50 ans chez la femme enceinte, ce qui en fait la molécule "par défaut" en cas de doute. La surveillance hématologique (test de Coombs) et hépatique (transaminases) s'impose même pendant la grossesse.</w:t>
      </w:r>
    </w:p>
    <w:p>
      <w:r/>
      <w:r>
        <w:rPr>
          <w:b/>
        </w:rPr>
        <w:t>Posologie et Mode d'administration (Standard) :</w:t>
      </w:r>
      <w:r/>
    </w:p>
    <w:p>
      <w:pPr>
        <w:pStyle w:val="ListBullet"/>
      </w:pPr>
      <w:r>
        <w:t>Adulte : 250 mg × 2 à 4/jour (matin, midi, soir, coucher), soit 500 mg à 2 g/jour. Dose initiale : 250 mg × 2/jour. Titration par paliers de 250 mg/jour tous les 2 jours. Dose maximale : 2 g/jour (8 comprimés de 250 mg). L'effet hypotenseur apparaît en 4–6 h, pic à 6–8 h, durée 12–24 h.</w:t>
      </w:r>
    </w:p>
    <w:p>
      <w:pPr>
        <w:pStyle w:val="ListBullet"/>
      </w:pPr>
      <w:r>
        <w:t>Femme enceinte : 250 mg × 2 à 4/jour (max 2 g/jour). Démarrer à 250 mg × 2/jour, titration selon réponse tensionnelle (objectif PA &lt; 140/90 mmHg). Surveillance du RCF.</w:t>
      </w:r>
    </w:p>
    <w:p>
      <w:pPr>
        <w:pStyle w:val="ListBullet"/>
      </w:pPr>
      <w:r>
        <w:t>Sujet âgé : démarrer à 250 mg/jour, titration prudente.</w:t>
      </w:r>
    </w:p>
    <w:p>
      <w:pPr>
        <w:pStyle w:val="ListBullet"/>
      </w:pPr>
      <w:r>
        <w:t>Enfant : 10 mg/kg/jour en 2 à 4 prises, max 65 mg/kg/jour ou 3 g/jour.</w:t>
      </w:r>
    </w:p>
    <w:p>
      <w:pPr>
        <w:pStyle w:val="ListBullet"/>
      </w:pPr>
      <w:r>
        <w:t>Insuffisant rénal (DFG &lt; 30 mL/min) : espacer les prises à 12 h, surveillance.</w:t>
      </w:r>
    </w:p>
    <w:p>
      <w:pPr>
        <w:pStyle w:val="ListBullet"/>
      </w:pPr>
      <w:r>
        <w:t>Insuffisant hépatique : CI absolue si hépatite active ou cirrhose décompensée. Sinon, prudence, surveillance transaminases.</w:t>
      </w:r>
    </w:p>
    <w:p>
      <w:pPr>
        <w:pStyle w:val="ListBullet"/>
      </w:pPr>
      <w:r>
        <w:t>Durée : au long cours. Pour l'HTA gravidique : jusqu'à l'accouchement et 6 semaines du post-partum (en cas d'HTA persistante). Décroissance progressive à l'arrêt.</w:t>
      </w:r>
    </w:p>
    <w:p>
      <w:pPr>
        <w:pStyle w:val="ListBullet"/>
      </w:pPr>
      <w:r>
        <w:t>Moment de prise : à heure fixe, en 2 à 4 prises par jour. La prise au cours du repas réduit les nausées.</w:t>
      </w:r>
    </w:p>
    <w:p>
      <w:r/>
      <w:r>
        <w:rPr>
          <w:b/>
        </w:rPr>
        <w:t>Arbitrage et Bénéfices des Formes Galéniques :</w:t>
      </w:r>
      <w:r/>
    </w:p>
    <w:p>
      <w:r>
        <w:t>La méthyldopa est disponible en Algérie exclusivement en forme orale 250 mg (comprimé pelliculé). Les 3 spécialités actives (ALDOMET, DOPAMET, METHYCARE) sont bioéquivalentes — la substitution est possible. Le conditionnement en boîte de 30 comprimés correspond à 7–15 jours de traitement. Les anciens dosages 500 mg (DOPEGYT, EQUIBAR — retirés) ne sont plus disponibles — pour les doses &gt; 2 g/jour, le patient doit prendre plusieurs comprimés de 250 mg. La forme injectable (méthyldopate) n'est pas disponible en Algérie. La méthyldopa n'a pas de forme LP — sa demi-vie d'élimination courte (1–2 h) imposerait une formulation LP pour une couverture 24 h en une prise, mais la cinétique d'action lente (effet maximum à 6–8 h après la prise, par activation métabolique) "lisse" l'effet, autorisant 2 à 4 prises/jour. Avantage pratique : la prise au cours des repas et le faible coût (génériques nombreux). Inconvénient : la multiplicité des prises (2 à 4/jour) et la surveillance biologique (NFS, transaminases) régulière.</w:t>
      </w:r>
    </w:p>
    <w:p>
      <w:r/>
      <w:r>
        <w:rPr>
          <w:b/>
        </w:rPr>
        <w:t>Instructions et Conseils au Patient :</w:t>
      </w:r>
      <w:r/>
    </w:p>
    <w:p>
      <w:pPr>
        <w:pStyle w:val="ListBullet"/>
      </w:pPr>
      <w:r>
        <w:t xml:space="preserve">Communication au comptoir : « Ce médicament est un antihypertenseur central. Il agit en réduisant le tonus nerveux sympathique. Il faut le prendre </w:t>
      </w:r>
      <w:r>
        <w:rPr>
          <w:b/>
        </w:rPr>
        <w:t>2 à 4 fois par jour à heure fixe</w:t>
      </w:r>
      <w:r>
        <w:t xml:space="preserve">. C'est un médicament particulièrement adapté à la femme enceinte hypertendue. Les effets indésirables possibles sont : une </w:t>
      </w:r>
      <w:r>
        <w:rPr>
          <w:b/>
        </w:rPr>
        <w:t>sécheresse de la bouche</w:t>
      </w:r>
      <w:r>
        <w:t xml:space="preserve">, une </w:t>
      </w:r>
      <w:r>
        <w:rPr>
          <w:b/>
        </w:rPr>
        <w:t>somnolence</w:t>
      </w:r>
      <w:r>
        <w:t xml:space="preserve"> (surtout en début), une </w:t>
      </w:r>
      <w:r>
        <w:rPr>
          <w:b/>
        </w:rPr>
        <w:t>baisse du pouls</w:t>
      </w:r>
      <w:r>
        <w:t xml:space="preserve">, une </w:t>
      </w:r>
      <w:r>
        <w:rPr>
          <w:b/>
        </w:rPr>
        <w:t>fatigue</w:t>
      </w:r>
      <w:r>
        <w:t xml:space="preserve">, parfois une </w:t>
      </w:r>
      <w:r>
        <w:rPr>
          <w:b/>
        </w:rPr>
        <w:t>tristesse</w:t>
      </w:r>
      <w:r>
        <w:t xml:space="preserve"> — prévenez votre médecin si cela vous arrive. Une surveillance de la </w:t>
      </w:r>
      <w:r>
        <w:rPr>
          <w:b/>
        </w:rPr>
        <w:t>formule sanguine</w:t>
      </w:r>
      <w:r>
        <w:t xml:space="preserve"> (NFS) et du </w:t>
      </w:r>
      <w:r>
        <w:rPr>
          <w:b/>
        </w:rPr>
        <w:t>foie</w:t>
      </w:r>
      <w:r>
        <w:t xml:space="preserve"> (transaminases) sera réalisée tous les 6 mois. Prévenez immédiatement votre médecin si vous avez une </w:t>
      </w:r>
      <w:r>
        <w:rPr>
          <w:b/>
        </w:rPr>
        <w:t>coloration jaune des yeux</w:t>
      </w:r>
      <w:r>
        <w:t xml:space="preserve"> (jaunisse), une </w:t>
      </w:r>
      <w:r>
        <w:rPr>
          <w:b/>
        </w:rPr>
        <w:t>fatigue intense et inexpliquée</w:t>
      </w:r>
      <w:r>
        <w:t xml:space="preserve"> avec pâleur (anémie), une </w:t>
      </w:r>
      <w:r>
        <w:rPr>
          <w:b/>
        </w:rPr>
        <w:t>fièvre inexpliquée</w:t>
      </w:r>
      <w:r>
        <w:t xml:space="preserve">. Vos urines peuvent devenir </w:t>
      </w:r>
      <w:r>
        <w:rPr>
          <w:b/>
        </w:rPr>
        <w:t>noirâtres</w:t>
      </w:r>
      <w:r>
        <w:t xml:space="preserve"> à l'air libre (c'est normal, sans gravité). Évitez l'alcool. »</w:t>
      </w:r>
    </w:p>
    <w:p>
      <w:pPr>
        <w:pStyle w:val="ListBullet"/>
      </w:pPr>
      <w:r>
        <w:t>Mode d'utilisation pratique : (a) Prendre à heures fixes (matin, midi, soir, coucher éventuel) ; (b) En cas d'oubli : si l'écart est &lt; 4 h, prendre la dose oubliée ; sinon sauter ; (c) Ne jamais doubler la dose ; (d) Mesurer la TA et le pouls régulièrement, noter dans un carnet ; (e) Consulter le médecin si TA &gt; 140/90 ou pouls &lt; 50 ; (f) Surveiller les signes d'anémie (pâleur, fatigue, essoufflement) et de jaunisse (urines foncées, selles décolorées, jaunisse des yeux) ; (g) Si vous devez avoir une opération, prévenir le médecin anesthésiste.</w:t>
      </w:r>
    </w:p>
    <w:p>
      <w:r/>
      <w:r>
        <w:rPr>
          <w:b/>
        </w:rPr>
        <w:t>Notes, Règles d'Or &amp; Pièges au Comptoir :</w:t>
      </w:r>
      <w:r/>
    </w:p>
    <w:p>
      <w:pPr>
        <w:pStyle w:val="ListBullet"/>
      </w:pPr>
      <w:r/>
      <w:r>
        <w:rPr>
          <w:b/>
        </w:rPr>
        <w:t>Piège classique — Test de Coombs positif</w:t>
      </w:r>
      <w:r>
        <w:t xml:space="preserve"> : la méthyldopa induit un test de Coombs direct positif chez 10–20 % des patients traités au long cours. Sans hémolyse, ce n'est pas une CI à la poursuite — mais il faut l'anticiper (par exemple si le patient a besoin d'une transfusion sanguine, la compatibilité pourra être plus difficile à établir). En cas d'anémie hémolytique avérée, </w:t>
      </w:r>
      <w:r>
        <w:rPr>
          <w:b/>
        </w:rPr>
        <w:t>arrêt immédiat de la méthyldopa</w:t>
      </w:r>
      <w:r>
        <w:t xml:space="preserve"> et consultation hématologique.</w:t>
      </w:r>
    </w:p>
    <w:p>
      <w:pPr>
        <w:pStyle w:val="ListBullet"/>
      </w:pPr>
      <w:r/>
      <w:r>
        <w:rPr>
          <w:b/>
        </w:rPr>
        <w:t>Piège — Hépatite médicamenteuse</w:t>
      </w:r>
      <w:r>
        <w:t xml:space="preserve"> : rare (&lt; 1 %) mais potentiellement grave (formes fulminantes décrites). Surveillance des transaminases systématique à 1 mois, 3 mois, 6 mois, puis tous les 6 mois. Devant une cytolyse &gt; 3 × LSN : arrêt immédiat, bilan hépatique complet. Ne jamais réintroduire la méthyldopa chez un patient ayant présenté une hépatite médicamenteuse.</w:t>
      </w:r>
    </w:p>
    <w:p>
      <w:pPr>
        <w:pStyle w:val="ListBullet"/>
      </w:pPr>
      <w:r/>
      <w:r>
        <w:rPr>
          <w:b/>
        </w:rPr>
        <w:t>Piège — Association à la L-DOPA</w:t>
      </w:r>
      <w:r>
        <w:t xml:space="preserve"> : à éviter chez le patient parkinsonien (compétition métabolique). Préférer un autre antihypertenseur (ICA, IEC si non enceinte).</w:t>
      </w:r>
    </w:p>
    <w:p>
      <w:pPr>
        <w:pStyle w:val="ListBullet"/>
      </w:pPr>
      <w:r/>
      <w:r>
        <w:rPr>
          <w:b/>
        </w:rPr>
        <w:t>Piège — Grossesse</w:t>
      </w:r>
      <w:r>
        <w:t xml:space="preserve"> : la méthyldopa est le traitement de choix de l'HTA gravidique — son utilisation ne doit pas être interrompue sans avis médical.</w:t>
      </w:r>
    </w:p>
    <w:p>
      <w:pPr>
        <w:pStyle w:val="ListBullet"/>
      </w:pPr>
      <w:r/>
      <w:r>
        <w:rPr>
          <w:b/>
        </w:rPr>
        <w:t>Piège — Coloration des urines</w:t>
      </w:r>
      <w:r>
        <w:t xml:space="preserve"> : information à donner au patient pour éviter l'inquiétude.</w:t>
      </w:r>
    </w:p>
    <w:p>
      <w:pPr>
        <w:pStyle w:val="ListBullet"/>
      </w:pPr>
      <w:r/>
      <w:r>
        <w:rPr>
          <w:b/>
        </w:rPr>
        <w:t>Piège — Substitution générique</w:t>
      </w:r>
      <w:r>
        <w:t xml:space="preserve"> : ALDOMET, DOPAMET, METHYCARE sont bioéquivalents — la substitution est possible sans surveillance supplémentaire.</w:t>
      </w:r>
    </w:p>
    <w:p>
      <w:pPr>
        <w:pStyle w:val="ListBullet"/>
      </w:pPr>
      <w:r/>
      <w:r>
        <w:rPr>
          <w:b/>
        </w:rPr>
        <w:t>Règle de prise</w:t>
      </w:r>
      <w:r>
        <w:t xml:space="preserve"> : 2 à 4 prises par jour à heures fixes, à vie (HTA chronique) ou jusqu'à 6 semaines du post-partum (HTA gravidique).</w:t>
      </w:r>
    </w:p>
    <w:p>
      <w:pPr>
        <w:pStyle w:val="ListBullet"/>
      </w:pPr>
      <w:r/>
      <w:r>
        <w:rPr>
          <w:b/>
        </w:rPr>
        <w:t>Préparation et Conservation</w:t>
      </w:r>
      <w:r>
        <w:t xml:space="preserve"> : conserver à &lt; 25 °C, à l'abri de l'humidité. Les comprimés pelliculés ne doivent pas être écrasés.</w:t>
      </w:r>
    </w:p>
    <w:p>
      <w:pPr>
        <w:pStyle w:val="ListBullet"/>
      </w:pPr>
      <w:r/>
      <w:r>
        <w:rPr>
          <w:b/>
        </w:rPr>
        <w:t>Piège du surdosage</w:t>
      </w:r>
      <w:r>
        <w:t xml:space="preserve"> : surdosage massif → hypotension sévère, bradycardie, somnolence, coma. </w:t>
      </w:r>
      <w:r>
        <w:rPr>
          <w:b/>
        </w:rPr>
        <w:t>Traitement</w:t>
      </w:r>
      <w:r>
        <w:t xml:space="preserve"> : arrêt immédiat, remplissage vasculaire prudent, adrénaline IV si collapsus, atropine si bradycardie symptomatique. Dialyse inefficace. La dopa-décarboxylase périphérique (carbidopa, bensérazide) pourrait théoriquement bloquer l'activation mais n'est pas utilisée en pratique.</w:t>
      </w:r>
    </w:p>
    <w:p>
      <w:pPr>
        <w:pStyle w:val="Heading3"/>
      </w:pPr>
      <w:r>
        <w:t>11. DCI : Moxonidine (Seule)</w:t>
      </w:r>
    </w:p>
    <w:p>
      <w:r/>
      <w:r>
        <w:rPr>
          <w:b/>
        </w:rPr>
        <w:t>Liste des Catégories :</w:t>
      </w:r>
      <w:r>
        <w:t xml:space="preserve"> Antihypertenseurs centraux ; Agoniste des récepteurs imidazoliniques I1.</w:t>
      </w:r>
    </w:p>
    <w:p>
      <w:r>
        <w:t xml:space="preserve">La moxonidine (4-chloro-5-(imidazolidin-2-ylamino)-6-méthoxypyrimidine) est un antihypertenseur central de 2e génération, commercialisée dès 1991 par Solvay puis Abbott sous le nom de Physiotens®. Elle a été synthétisée dans le cadre d'un programme de recherche sur les imidazolines, visant à développer une alternative à la clonidine avec une meilleure tolérance centrale et un moindre risque de rebond. Sa caractéristique distinctive est sa </w:t>
      </w:r>
      <w:r>
        <w:rPr>
          <w:b/>
        </w:rPr>
        <w:t>sélectivité pour les récepteurs imidazoliniques I1</w:t>
      </w:r>
      <w:r>
        <w:t xml:space="preserve"> du bulbe rachidien (RVLM — rostral ventrolateral medulla), plus de 30 fois supérieure à son affinité pour les récepteurs α2-adrénergiques. Cette sélectivité relative est cruciale car les récepteurs I1 contrôlent spécifiquement le tonus sympathique vasculaire, tandis que les α2 contrôlent en plus la sédation, la bradycardie et l'effet parasympathique. La moxonidine réduit ainsi la PA avec </w:t>
      </w:r>
      <w:r>
        <w:rPr>
          <w:b/>
        </w:rPr>
        <w:t>moins de sédation, moins de sécheresse buccale et moins de bradycardie</w:t>
      </w:r>
      <w:r>
        <w:t xml:space="preserve"> que la clonidine. Le </w:t>
      </w:r>
      <w:r>
        <w:rPr>
          <w:b/>
        </w:rPr>
        <w:t>risque de rebond à l'arrêt</w:t>
      </w:r>
      <w:r>
        <w:t xml:space="preserve"> est également moindre (mais reste présent et impose une décroissance progressive). La moxonidine a également des effets métaboliques favorables : amélioration discrète de la sensibilité à l'insuline (effet favorable chez le diabétique de type 2 et le syndrome métabolique), réduction modeste de l'insulinémie et de la glycémie à jeun, profil lipidique neutre. En Algérie, la moxonidine est largement disponible sous 7 spécialités actives (BIOTENS, HEDIMEN, MOXONIDINE BEKER, MOXONORM, MOXOTENS, PHYSIOTENS, XONITENS) aux dosages 0,2 mg et 0,4 mg — un marché concurrentiel dynamique.</w:t>
      </w:r>
    </w:p>
    <w:p>
      <w:r/>
      <w:r>
        <w:rPr>
          <w:b/>
        </w:rPr>
        <w:t>Médicaments disponibles en Algérie (Marques, Laboratoires, Formes et Dosages) :</w:t>
      </w:r>
      <w:r/>
    </w:p>
    <w:p>
      <w:r>
        <w:t>Forme orale 0,2 mg :</w:t>
      </w:r>
    </w:p>
    <w:p>
      <w:pPr>
        <w:pStyle w:val="ListBullet"/>
      </w:pPr>
      <w:r/>
      <w:r>
        <w:rPr>
          <w:b/>
        </w:rPr>
        <w:t>BIOTENS</w:t>
      </w:r>
      <w:r>
        <w:t xml:space="preserve"> (BIOCARE) — Comprimé pelliculé 0,2 mg, B/30 — Liste I — Actif</w:t>
      </w:r>
    </w:p>
    <w:p>
      <w:pPr>
        <w:pStyle w:val="ListBullet"/>
      </w:pPr>
      <w:r/>
      <w:r>
        <w:rPr>
          <w:b/>
        </w:rPr>
        <w:t>HEDIMEN</w:t>
      </w:r>
      <w:r>
        <w:t xml:space="preserve"> (EL KENDI INDUSTRIE DU MEDICAMENT) — Comprimé pelliculé 0,2 mg, B/30 — Liste I — Actif</w:t>
      </w:r>
    </w:p>
    <w:p>
      <w:pPr>
        <w:pStyle w:val="ListBullet"/>
      </w:pPr>
      <w:r/>
      <w:r>
        <w:rPr>
          <w:b/>
        </w:rPr>
        <w:t>MOXONIDINE BEKER</w:t>
      </w:r>
      <w:r>
        <w:t xml:space="preserve"> (LABORATOIRES BEKER) — Comprimé pelliculé 0,2 mg, B/30 et B/90 — Liste I — Actif</w:t>
      </w:r>
    </w:p>
    <w:p>
      <w:pPr>
        <w:pStyle w:val="ListBullet"/>
      </w:pPr>
      <w:r/>
      <w:r>
        <w:rPr>
          <w:b/>
        </w:rPr>
        <w:t>MOXONORM</w:t>
      </w:r>
      <w:r>
        <w:t xml:space="preserve"> (BIOGALENIC) — Comprimé pelliculé 0,2 mg, B/30 — Liste I — Actif</w:t>
      </w:r>
    </w:p>
    <w:p>
      <w:pPr>
        <w:pStyle w:val="ListBullet"/>
      </w:pPr>
      <w:r/>
      <w:r>
        <w:rPr>
          <w:b/>
        </w:rPr>
        <w:t>MOXOTENS</w:t>
      </w:r>
      <w:r>
        <w:t xml:space="preserve"> (BIOPHARM) — Comprimé pelliculé 0,2 mg, B/30 — Liste I — Actif</w:t>
      </w:r>
    </w:p>
    <w:p>
      <w:pPr>
        <w:pStyle w:val="ListBullet"/>
      </w:pPr>
      <w:r/>
      <w:r>
        <w:rPr>
          <w:b/>
        </w:rPr>
        <w:t>PHYSIOTENS 0,2</w:t>
      </w:r>
      <w:r>
        <w:t xml:space="preserve"> (ABBOTT PRODUCTS SAS) — Comprimé pelliculé 0,2 mg, B/30 — Liste I — Actif (princeps)</w:t>
      </w:r>
    </w:p>
    <w:p>
      <w:pPr>
        <w:pStyle w:val="ListBullet"/>
      </w:pPr>
      <w:r/>
      <w:r>
        <w:rPr>
          <w:b/>
        </w:rPr>
        <w:t>XONITENS</w:t>
      </w:r>
      <w:r>
        <w:t xml:space="preserve"> (FRATER-RAZES FORME SECHE) — Comprimé pelliculé 0,2 mg, B/30 — Liste I — Actif</w:t>
      </w:r>
    </w:p>
    <w:p>
      <w:r>
        <w:t>Forme orale 0,4 mg :</w:t>
      </w:r>
    </w:p>
    <w:p>
      <w:pPr>
        <w:pStyle w:val="ListBullet"/>
      </w:pPr>
      <w:r/>
      <w:r>
        <w:rPr>
          <w:b/>
        </w:rPr>
        <w:t>BIOTENS</w:t>
      </w:r>
      <w:r>
        <w:t xml:space="preserve"> (BIOCARE) — Comprimé pelliculé 0,4 mg, B/30 — Liste I — Actif</w:t>
      </w:r>
    </w:p>
    <w:p>
      <w:pPr>
        <w:pStyle w:val="ListBullet"/>
      </w:pPr>
      <w:r/>
      <w:r>
        <w:rPr>
          <w:b/>
        </w:rPr>
        <w:t>HEDIMEN</w:t>
      </w:r>
      <w:r>
        <w:t xml:space="preserve"> (EL KENDI INDUSTRIE DU MEDICAMENT) — Comprimé pelliculé 0,4 mg, B/30 — Liste I — Actif</w:t>
      </w:r>
    </w:p>
    <w:p>
      <w:pPr>
        <w:pStyle w:val="ListBullet"/>
      </w:pPr>
      <w:r/>
      <w:r>
        <w:rPr>
          <w:b/>
        </w:rPr>
        <w:t>MOXONIDINE BEKER</w:t>
      </w:r>
      <w:r>
        <w:t xml:space="preserve"> (LABORATOIRES BEKER) — Comprimé pelliculé 0,4 mg, B/30 et B/90 — Liste I — Actif</w:t>
      </w:r>
    </w:p>
    <w:p>
      <w:pPr>
        <w:pStyle w:val="ListBullet"/>
      </w:pPr>
      <w:r/>
      <w:r>
        <w:rPr>
          <w:b/>
        </w:rPr>
        <w:t>MOXONORM</w:t>
      </w:r>
      <w:r>
        <w:t xml:space="preserve"> (BIOGALENIC) — Comprimé pelliculé 0,4 mg, B/30 — Liste I — Actif</w:t>
      </w:r>
    </w:p>
    <w:p>
      <w:pPr>
        <w:pStyle w:val="ListBullet"/>
      </w:pPr>
      <w:r/>
      <w:r>
        <w:rPr>
          <w:b/>
        </w:rPr>
        <w:t>MOXOTENS</w:t>
      </w:r>
      <w:r>
        <w:t xml:space="preserve"> (BIOPHARM) — Comprimé pelliculé 0,4 mg, B/30 — Liste I — Actif</w:t>
      </w:r>
    </w:p>
    <w:p>
      <w:pPr>
        <w:pStyle w:val="ListBullet"/>
      </w:pPr>
      <w:r/>
      <w:r>
        <w:rPr>
          <w:b/>
        </w:rPr>
        <w:t>PHYSIOTENS 0,4</w:t>
      </w:r>
      <w:r>
        <w:t xml:space="preserve"> (ABBOTT PRODUCTS SAS) — Comprimé pelliculé 0,4 mg, B/30 — Liste I — Actif (princeps)</w:t>
      </w:r>
    </w:p>
    <w:p>
      <w:pPr>
        <w:pStyle w:val="ListBullet"/>
      </w:pPr>
      <w:r/>
      <w:r>
        <w:rPr>
          <w:b/>
        </w:rPr>
        <w:t>XONITENS</w:t>
      </w:r>
      <w:r>
        <w:t xml:space="preserve"> (FRATER-RAZES FORME SECHE) — Comprimé pelliculé 0,4 mg, B/30 — Liste I — Actif</w:t>
      </w:r>
    </w:p>
    <w:p>
      <w:r/>
      <w:r>
        <w:rPr>
          <w:b/>
        </w:rPr>
        <w:t>Sous-classe et Mécanisme d'action :</w:t>
      </w:r>
      <w:r/>
    </w:p>
    <w:p>
      <w:pPr>
        <w:pStyle w:val="ListBullet"/>
      </w:pPr>
      <w:r>
        <w:t>Sous-classe : antihypertenseur central agoniste sélectif des récepteurs imidazoliniques I1 (faible affinité α2).</w:t>
      </w:r>
    </w:p>
    <w:p>
      <w:pPr>
        <w:pStyle w:val="ListBullet"/>
      </w:pPr>
      <w:r>
        <w:t xml:space="preserve">Mécanisme d'action : la moxonidine traverse la BHE et se lie aux </w:t>
      </w:r>
      <w:r>
        <w:rPr>
          <w:b/>
        </w:rPr>
        <w:t>récepteurs imidazoliniques I1</w:t>
      </w:r>
      <w:r>
        <w:t xml:space="preserve"> du </w:t>
      </w:r>
      <w:r>
        <w:rPr>
          <w:b/>
        </w:rPr>
        <w:t>bulbe rachidien (RVLM — rostral ventrolateral medulla)</w:t>
      </w:r>
      <w:r>
        <w:t xml:space="preserve"> — région clé du contrôle sympathique descendant. Les récepteurs I1 sont couplés à la protéine Gi/Go et inhibent l'adénylate cyclase. Leur stimulation réduit l'activité des neurones sympatho-excitateurs du RVLM → baisse du tonus sympathique périphérique → vasodilatation artérielle et veineuse → baisse de la PA. La moxonidine a également une </w:t>
      </w:r>
      <w:r>
        <w:rPr>
          <w:b/>
        </w:rPr>
        <w:t>faible affinité pour les α2A</w:t>
      </w:r>
      <w:r>
        <w:t xml:space="preserve"> (≈ 1/30 de la clonidine), ce qui explique : (a) une légère bradycardie (moins marquée que la clonidine) ; (b) une sédation modérée (moins marquée que la clonidine) ; (c) un effet analgésique et préventif de la migraine moins marqué. La sélectivité I1 prédominante confère à la moxonidine un profil d'effets indésirables centraux atténué par rapport à la clonidine. Effets métaboliques : (a) </w:t>
      </w:r>
      <w:r>
        <w:rPr>
          <w:b/>
        </w:rPr>
        <w:t>amélioration de la sensibilité à l'insuline</w:t>
      </w:r>
      <w:r>
        <w:t xml:space="preserve"> (effet favorable chez le diabétique de type 2 — mécanisme via réduction du tonus sympathique qui améliore la captation musculaire du glucose) ; (b) réduction modeste de l'insulinémie et de la glycémie à jeun ; (c) profil lipidique neutre (ou discret effet favorable sur les triglycérides). Effet natriurétique discret (action rénale directe sur les récepteurs I1 rénaux).</w:t>
      </w:r>
    </w:p>
    <w:p>
      <w:r/>
      <w:r>
        <w:rPr>
          <w:b/>
        </w:rPr>
        <w:t>Profil Pharmacologique :</w:t>
      </w:r>
      <w:r/>
    </w:p>
    <w:p>
      <w:pPr>
        <w:pStyle w:val="ListBullet"/>
      </w:pPr>
      <w:r>
        <w:t xml:space="preserve">Indications : (1) </w:t>
      </w:r>
      <w:r>
        <w:rPr>
          <w:b/>
        </w:rPr>
        <w:t>HTA essentielle modérée à sévère</w:t>
      </w:r>
      <w:r>
        <w:t xml:space="preserve"> — en monothérapie (alternative aux IEC, ARA2, ICA — surtout chez le sujet avec hyperactivité sympathique et syndrome métabolique) ou en association. Indication privilégiée : HTA du sujet jeune avec hyperactivité sympathique, HTA du syndrome métabolique, HTA du diabétique de type 2 avec insulinorésistance. (2) </w:t>
      </w:r>
      <w:r>
        <w:rPr>
          <w:b/>
        </w:rPr>
        <w:t>HTA réfractaire</w:t>
      </w:r>
      <w:r>
        <w:t xml:space="preserve"> — en 4e ligne. (3) </w:t>
      </w:r>
      <w:r>
        <w:rPr>
          <w:b/>
        </w:rPr>
        <w:t>Insuffisance cardiaque avec hyperactivité sympathique</w:t>
      </w:r>
      <w:r>
        <w:t xml:space="preserve"> — études expérimentales (effet bénéfique possible, à confirmer).</w:t>
      </w:r>
    </w:p>
    <w:p>
      <w:pPr>
        <w:pStyle w:val="ListBullet"/>
      </w:pPr>
      <w:r>
        <w:t xml:space="preserve">Contre-indications : (1) </w:t>
      </w:r>
      <w:r>
        <w:rPr>
          <w:b/>
        </w:rPr>
        <w:t>Hypersensibilité à la moxonidine</w:t>
      </w:r>
      <w:r>
        <w:t xml:space="preserve"> ; (2) </w:t>
      </w:r>
      <w:r>
        <w:rPr>
          <w:b/>
        </w:rPr>
        <w:t>Insuffisance rénale sévère</w:t>
      </w:r>
      <w:r>
        <w:t xml:space="preserve"> (DFG &lt; 30 mL/min — la moxonidine est éliminée par le rein — accumulation → hypotension sévère) ; (3) </w:t>
      </w:r>
      <w:r>
        <w:rPr>
          <w:b/>
        </w:rPr>
        <w:t>Insuffisance hépatique sévère</w:t>
      </w:r>
      <w:r>
        <w:t xml:space="preserve"> (Child-Pugh C — données insuffisantes) ; (4) </w:t>
      </w:r>
      <w:r>
        <w:rPr>
          <w:b/>
        </w:rPr>
        <w:t>Bradycardie sévère</w:t>
      </w:r>
      <w:r>
        <w:t xml:space="preserve"> (&lt; 50 bpm) ; (5) </w:t>
      </w:r>
      <w:r>
        <w:rPr>
          <w:b/>
        </w:rPr>
        <w:t>Maladie du sinus non appareillée</w:t>
      </w:r>
      <w:r>
        <w:t xml:space="preserve"> ; (6) </w:t>
      </w:r>
      <w:r>
        <w:rPr>
          <w:b/>
        </w:rPr>
        <w:t>BAV de 2e ou 3e degré non appareillé</w:t>
      </w:r>
      <w:r>
        <w:t xml:space="preserve"> ; (7) </w:t>
      </w:r>
      <w:r>
        <w:rPr>
          <w:b/>
        </w:rPr>
        <w:t>Insuffisance cardiaque décompensée</w:t>
      </w:r>
      <w:r>
        <w:t xml:space="preserve"> (la bradycardie peut aggraver) ; (8) </w:t>
      </w:r>
      <w:r>
        <w:rPr>
          <w:b/>
        </w:rPr>
        <w:t>Syndrome de Raynaud sévère, artériopathie oblitérante des membres inférieurs sévère</w:t>
      </w:r>
      <w:r>
        <w:t xml:space="preserve"> ; (9) </w:t>
      </w:r>
      <w:r>
        <w:rPr>
          <w:b/>
        </w:rPr>
        <w:t>Dépression grave</w:t>
      </w:r>
      <w:r>
        <w:t xml:space="preserve"> (à surveiller) ; (10) </w:t>
      </w:r>
      <w:r>
        <w:rPr>
          <w:b/>
        </w:rPr>
        <w:t>Grossesse</w:t>
      </w:r>
      <w:r>
        <w:t xml:space="preserve"> (CI par prudence — données animales évocatrices, données humaines insuffisantes) ; (11) </w:t>
      </w:r>
      <w:r>
        <w:rPr>
          <w:b/>
        </w:rPr>
        <w:t>Allaitement</w:t>
      </w:r>
      <w:r>
        <w:t xml:space="preserve"> (CI — passage lacté non évalué) ; (12) </w:t>
      </w:r>
      <w:r>
        <w:rPr>
          <w:b/>
        </w:rPr>
        <w:t>Enfant &lt; 18 ans</w:t>
      </w:r>
      <w:r>
        <w:t xml:space="preserve"> (absence d'études pédiatriques) ; (13) </w:t>
      </w:r>
      <w:r>
        <w:rPr>
          <w:b/>
        </w:rPr>
        <w:t>Association aux IMAO</w:t>
      </w:r>
      <w:r>
        <w:t xml:space="preserve"> (CI) ; (14) </w:t>
      </w:r>
      <w:r>
        <w:rPr>
          <w:b/>
        </w:rPr>
        <w:t>Association à d'autres antihypertenseurs centraux</w:t>
      </w:r>
      <w:r>
        <w:t xml:space="preserve"> (clonidine, méthyldopa, α-méthylnorépinéphrine — potentialisation) ; (15) </w:t>
      </w:r>
      <w:r>
        <w:rPr>
          <w:b/>
        </w:rPr>
        <w:t>Association aux β-bloquants</w:t>
      </w:r>
      <w:r>
        <w:t xml:space="preserve"> (à éviter — voir interactions).</w:t>
      </w:r>
    </w:p>
    <w:p>
      <w:pPr>
        <w:pStyle w:val="ListBullet"/>
      </w:pPr>
      <w:r>
        <w:t xml:space="preserve">Effets Indésirables : (1) </w:t>
      </w:r>
      <w:r>
        <w:rPr>
          <w:b/>
        </w:rPr>
        <w:t>Sécheresse buccale</w:t>
      </w:r>
      <w:r>
        <w:t xml:space="preserve"> (10–15 %, moins marquée que la clonidine) ; (2) </w:t>
      </w:r>
      <w:r>
        <w:rPr>
          <w:b/>
        </w:rPr>
        <w:t>Sédation, somnolence</w:t>
      </w:r>
      <w:r>
        <w:t xml:space="preserve"> (5–10 %, moins marquée que la clonidine) ; (3) </w:t>
      </w:r>
      <w:r>
        <w:rPr>
          <w:b/>
        </w:rPr>
        <w:t>Asthenie</w:t>
      </w:r>
      <w:r>
        <w:t xml:space="preserve"> (5 %) ; (4) </w:t>
      </w:r>
      <w:r>
        <w:rPr>
          <w:b/>
        </w:rPr>
        <w:t>Bradycardie sinusale</w:t>
      </w:r>
      <w:r>
        <w:t xml:space="preserve"> (3–5 %) ; (5) </w:t>
      </w:r>
      <w:r>
        <w:rPr>
          <w:b/>
        </w:rPr>
        <w:t>Hypotension orthostatique</w:t>
      </w:r>
      <w:r>
        <w:t xml:space="preserve"> (5 %, surtout en début de traitement) ; (6) </w:t>
      </w:r>
      <w:r>
        <w:rPr>
          <w:b/>
        </w:rPr>
        <w:t>Céphalées</w:t>
      </w:r>
      <w:r>
        <w:t xml:space="preserve"> (3–5 %) ; (7) </w:t>
      </w:r>
      <w:r>
        <w:rPr>
          <w:b/>
        </w:rPr>
        <w:t>Vertiges</w:t>
      </w:r>
      <w:r>
        <w:t xml:space="preserve"> (3 %) ; (8) </w:t>
      </w:r>
      <w:r>
        <w:rPr>
          <w:b/>
        </w:rPr>
        <w:t>Troubles du sommeil</w:t>
      </w:r>
      <w:r>
        <w:t xml:space="preserve"> (insomnie ou cauchemars) — rares ; (9) </w:t>
      </w:r>
      <w:r>
        <w:rPr>
          <w:b/>
        </w:rPr>
        <w:t>Rébound hypertensif à l'arrêt brutal</w:t>
      </w:r>
      <w:r>
        <w:t xml:space="preserve"> (moins marqué que la clonidine mais présent — décroissance progressive nécessaire) ; (10) </w:t>
      </w:r>
      <w:r>
        <w:rPr>
          <w:b/>
        </w:rPr>
        <w:t>Rétention hydrosodée</w:t>
      </w:r>
      <w:r>
        <w:t xml:space="preserve"> (modeste, parfois nécessité d'associer un diurétique) ; (11) </w:t>
      </w:r>
      <w:r>
        <w:rPr>
          <w:b/>
        </w:rPr>
        <w:t>Rash cutané</w:t>
      </w:r>
      <w:r>
        <w:t xml:space="preserve"> (1–3 %, allergique — arrêt si rash étendu) ; (12) </w:t>
      </w:r>
      <w:r>
        <w:rPr>
          <w:b/>
        </w:rPr>
        <w:t>Élévation des transaminases</w:t>
      </w:r>
      <w:r>
        <w:t xml:space="preserve"> (rare) ; (13) </w:t>
      </w:r>
      <w:r>
        <w:rPr>
          <w:b/>
        </w:rPr>
        <w:t>Galactorrhée</w:t>
      </w:r>
      <w:r>
        <w:t xml:space="preserve"> (très rare — hyperprolactinémie) ; (14) </w:t>
      </w:r>
      <w:r>
        <w:rPr>
          <w:b/>
        </w:rPr>
        <w:t>Œdèmes périphériques</w:t>
      </w:r>
      <w:r>
        <w:t xml:space="preserve"> (rare).</w:t>
      </w:r>
    </w:p>
    <w:p>
      <w:r/>
      <w:r>
        <w:rPr>
          <w:b/>
        </w:rPr>
        <w:t>Prévention et Gestion des Effets Indésirables :</w:t>
      </w:r>
      <w:r/>
    </w:p>
    <w:p>
      <w:pPr>
        <w:pStyle w:val="ListBullet"/>
      </w:pPr>
      <w:r>
        <w:t xml:space="preserve">Mesures Préventives : (a) Démarrer à 0,2 mg/jour en une prise (matin), titration progressive à 0,4 mg/jour après 2 semaines si réponse insuffisante. Dose maximale : 0,6 mg/jour (3 comprimés de 0,2 mg) ; (b) Surveillance de la PA et de la FC en début de traitement ; (c) </w:t>
      </w:r>
      <w:r>
        <w:rPr>
          <w:b/>
        </w:rPr>
        <w:t>Surveillance de la fonction rénale</w:t>
      </w:r>
      <w:r>
        <w:t xml:space="preserve"> (créatinine, DFG) à l'initiation puis tous les 6 mois — adapter la posologie si DFG &lt; 60 mL/min (max 0,4 mg/jour) et CI si DFG &lt; 30 mL/min ; (d) Prévention de la sécheresse buccale : hydratation ; (e) Prévention du rebond : décroissance progressive sur 1–2 semaines en cas d'arrêt ; (f) Association à un diurétique si rétention hydrosodée.</w:t>
      </w:r>
    </w:p>
    <w:p>
      <w:pPr>
        <w:pStyle w:val="ListBullet"/>
      </w:pPr>
      <w:r>
        <w:t>Conduite à Tenir : (a) Bradycardie symptomatique → arrêt, atropine si nécessaire ; (b) Hypotension sévère → arrêt transitoire, remplissage ; (c) Rash cutané → arrêt, antihistaminique ; (d) Rébound hypertensif → réadministration, surveillance.</w:t>
      </w:r>
    </w:p>
    <w:p>
      <w:r/>
      <w:r>
        <w:rPr>
          <w:b/>
        </w:rPr>
        <w:t>Interactions Importantes :</w:t>
      </w:r>
      <w:r/>
    </w:p>
    <w:p>
      <w:pPr>
        <w:pStyle w:val="ListBullet"/>
      </w:pPr>
      <w:r>
        <w:t xml:space="preserve">Moxonidine + </w:t>
      </w:r>
      <w:r>
        <w:rPr>
          <w:b/>
        </w:rPr>
        <w:t>β-bloquant</w:t>
      </w:r>
      <w:r>
        <w:t xml:space="preserve"> : à éviter (bradycardie, BAV, hypotension). Si on doit arrêter la moxonidine chez un patient sous β-bloquant : arrêter D'ABORD le β-bloquant (de façon progressive), puis la moxonidine (de façon progressive) — mécanisme similaire à la clonidine.</w:t>
      </w:r>
    </w:p>
    <w:p>
      <w:pPr>
        <w:pStyle w:val="ListBullet"/>
      </w:pPr>
      <w:r>
        <w:t xml:space="preserve">Moxonidine + </w:t>
      </w:r>
      <w:r>
        <w:rPr>
          <w:b/>
        </w:rPr>
        <w:t>Autres antihypertenseurs centraux</w:t>
      </w:r>
      <w:r>
        <w:t xml:space="preserve"> (clonidine, méthyldopa, α-méthylnorépinéphrine, guanfacine, guanabenz) : CI relative — potentialisation des effets (bradycardie, hypotension, sédation).</w:t>
      </w:r>
    </w:p>
    <w:p>
      <w:pPr>
        <w:pStyle w:val="ListBullet"/>
      </w:pPr>
      <w:r>
        <w:t xml:space="preserve">Moxonidine + </w:t>
      </w:r>
      <w:r>
        <w:rPr>
          <w:b/>
        </w:rPr>
        <w:t>IMAO</w:t>
      </w:r>
      <w:r>
        <w:t xml:space="preserve"> : CI absolue — risque de poussée hypertensive. Respecter un délai de 14 jours.</w:t>
      </w:r>
    </w:p>
    <w:p>
      <w:pPr>
        <w:pStyle w:val="ListBullet"/>
      </w:pPr>
      <w:r>
        <w:t xml:space="preserve">Moxonidine + </w:t>
      </w:r>
      <w:r>
        <w:rPr>
          <w:b/>
        </w:rPr>
        <w:t>Alcool, benzodiazépines, opioïdes, autres dépresseurs centraux</w:t>
      </w:r>
      <w:r>
        <w:t xml:space="preserve"> : majoration de la sédation, hypotension.</w:t>
      </w:r>
    </w:p>
    <w:p>
      <w:pPr>
        <w:pStyle w:val="ListBullet"/>
      </w:pPr>
      <w:r>
        <w:t xml:space="preserve">Moxonidine + </w:t>
      </w:r>
      <w:r>
        <w:rPr>
          <w:b/>
        </w:rPr>
        <w:t>Médicaments bradycardisants</w:t>
      </w:r>
      <w:r>
        <w:t xml:space="preserve"> (digoxine, amiodarone, diltiazem, vérapamil) : risque de bradycardie sévère.</w:t>
      </w:r>
    </w:p>
    <w:p>
      <w:pPr>
        <w:pStyle w:val="ListBullet"/>
      </w:pPr>
      <w:r>
        <w:t xml:space="preserve">Moxonidine + </w:t>
      </w:r>
      <w:r>
        <w:rPr>
          <w:b/>
        </w:rPr>
        <w:t>Moxonidine</w:t>
      </w:r>
      <w:r>
        <w:t xml:space="preserve"> (surdosage) : accumulation → hypotension sévère, bradycardie.</w:t>
      </w:r>
    </w:p>
    <w:p>
      <w:pPr>
        <w:pStyle w:val="ListBullet"/>
      </w:pPr>
      <w:r>
        <w:t xml:space="preserve">Moxonidine + </w:t>
      </w:r>
      <w:r>
        <w:rPr>
          <w:b/>
        </w:rPr>
        <w:t>Loratadine</w:t>
      </w:r>
      <w:r>
        <w:t xml:space="preserve"> (antihistaminique H1) : pas d'interaction cliniquement significative.</w:t>
      </w:r>
    </w:p>
    <w:p>
      <w:pPr>
        <w:pStyle w:val="ListBullet"/>
      </w:pPr>
      <w:r>
        <w:t xml:space="preserve">Moxonidine + </w:t>
      </w:r>
      <w:r>
        <w:rPr>
          <w:b/>
        </w:rPr>
        <w:t>AINS</w:t>
      </w:r>
      <w:r>
        <w:t xml:space="preserve"> : baisse d'efficacité (modeste).</w:t>
      </w:r>
    </w:p>
    <w:p>
      <w:pPr>
        <w:pStyle w:val="ListBullet"/>
      </w:pPr>
      <w:r>
        <w:t xml:space="preserve">Moxonidine + </w:t>
      </w:r>
      <w:r>
        <w:rPr>
          <w:b/>
        </w:rPr>
        <w:t>Lithium</w:t>
      </w:r>
      <w:r>
        <w:t xml:space="preserve"> : potentialisation de la neurotoxicité (rare).</w:t>
      </w:r>
    </w:p>
    <w:p>
      <w:r/>
      <w:r>
        <w:rPr>
          <w:b/>
        </w:rPr>
        <w:t>Grossesse et Allaitement :</w:t>
      </w:r>
      <w:r/>
    </w:p>
    <w:p>
      <w:pPr>
        <w:pStyle w:val="ListBullet"/>
      </w:pPr>
      <w:r>
        <w:t xml:space="preserve">Grossesse : </w:t>
      </w:r>
      <w:r>
        <w:rPr>
          <w:b/>
        </w:rPr>
        <w:t>CI par prudence</w:t>
      </w:r>
      <w:r>
        <w:t xml:space="preserve"> — données animales évocatrices (foetotoxicité à doses maternotoxiques), données humaines insuffisantes. Préférer la méthyldopa, le labétalol, la nifédipine LP, ou la nicardipine IV en urgence.</w:t>
      </w:r>
    </w:p>
    <w:p>
      <w:pPr>
        <w:pStyle w:val="ListBullet"/>
      </w:pPr>
      <w:r>
        <w:t xml:space="preserve">Allaitement : </w:t>
      </w:r>
      <w:r>
        <w:rPr>
          <w:b/>
        </w:rPr>
        <w:t>CI</w:t>
      </w:r>
      <w:r>
        <w:t xml:space="preserve"> par prudence — passage lacté non évalué, la moxonidine est lipophile et susceptible de s'accumuler dans le lait. Préférer la méthyldopa ou l'amlodipine pendant l'allaitement.</w:t>
      </w:r>
    </w:p>
    <w:p>
      <w:pPr>
        <w:pStyle w:val="ListBullet"/>
      </w:pPr>
      <w:r>
        <w:t>Précisions : La moxonidine n'a pas d'indication pendant la grossesse ou l'allaitement. Sa prescription chez une femme en âge de procréer nécessite une contraception efficace.</w:t>
      </w:r>
    </w:p>
    <w:p>
      <w:r/>
      <w:r>
        <w:rPr>
          <w:b/>
        </w:rPr>
        <w:t>Posologie et Mode d'administration (Standard) :</w:t>
      </w:r>
      <w:r/>
    </w:p>
    <w:p>
      <w:pPr>
        <w:pStyle w:val="ListBullet"/>
      </w:pPr>
      <w:r>
        <w:t>Adulte : 0,2 mg/jour en une prise (matin), augmentable à 0,4 mg/jour après 2 semaines si réponse insuffisante. Dose maximale : 0,6 mg/jour (3 comprimés de 0,2 mg), en 2 prises (0,4 mg le matin + 0,2 mg le soir). Dose unique maximale : 0,4 mg.</w:t>
      </w:r>
    </w:p>
    <w:p>
      <w:pPr>
        <w:pStyle w:val="ListBullet"/>
      </w:pPr>
      <w:r>
        <w:t>Sujet âgé (&gt; 65 ans) : démarrer à 0,2 mg/jour, titration prudente. Surveillance de la fonction rénale.</w:t>
      </w:r>
    </w:p>
    <w:p>
      <w:pPr>
        <w:pStyle w:val="ListBullet"/>
      </w:pPr>
      <w:r>
        <w:t>Sujet très âgé (&gt; 75 ans) : démarrer à 0,2 mg/jour (et non augmenter si fonction rénale altérée).</w:t>
      </w:r>
    </w:p>
    <w:p>
      <w:pPr>
        <w:pStyle w:val="ListBullet"/>
      </w:pPr>
      <w:r>
        <w:t xml:space="preserve">Enfant &lt; 18 ans : </w:t>
      </w:r>
      <w:r>
        <w:rPr>
          <w:b/>
        </w:rPr>
        <w:t>CI</w:t>
      </w:r>
      <w:r>
        <w:t xml:space="preserve"> (absence d'études pédiatriques).</w:t>
      </w:r>
    </w:p>
    <w:p>
      <w:pPr>
        <w:pStyle w:val="ListBullet"/>
      </w:pPr>
      <w:r>
        <w:t>Insuffisant rénal modéré (DFG 30–60 mL/min) : démarrer à 0,2 mg/jour, max 0,4 mg/jour.</w:t>
      </w:r>
    </w:p>
    <w:p>
      <w:pPr>
        <w:pStyle w:val="ListBullet"/>
      </w:pPr>
      <w:r>
        <w:t xml:space="preserve">Insuffisant rénal sévère (DFG &lt; 30 mL/min) : </w:t>
      </w:r>
      <w:r>
        <w:rPr>
          <w:b/>
        </w:rPr>
        <w:t>CI</w:t>
      </w:r>
      <w:r>
        <w:t xml:space="preserve"> absolue.</w:t>
      </w:r>
    </w:p>
    <w:p>
      <w:pPr>
        <w:pStyle w:val="ListBullet"/>
      </w:pPr>
      <w:r>
        <w:t>Insuffisant hépatique modéré : pas d'adaptation posologique stricte. CI absolue si insuffisance hépatique sévère (Child-Pugh C).</w:t>
      </w:r>
    </w:p>
    <w:p>
      <w:pPr>
        <w:pStyle w:val="ListBullet"/>
      </w:pPr>
      <w:r>
        <w:t>Durée : au long cours. Décroissance progressive à l'arrêt.</w:t>
      </w:r>
    </w:p>
    <w:p>
      <w:pPr>
        <w:pStyle w:val="ListBullet"/>
      </w:pPr>
      <w:r>
        <w:t>Moment de prise : à heure fixe, le matin de préférence (la prise vespérale peut favoriser l'hypotension nocturne — à éviter). Pendant ou en dehors des repas (peu d'influence alimentaire).</w:t>
      </w:r>
    </w:p>
    <w:p>
      <w:r/>
      <w:r>
        <w:rPr>
          <w:b/>
        </w:rPr>
        <w:t>Arbitrage et Bénéfices des Formes Galéniques :</w:t>
      </w:r>
      <w:r/>
    </w:p>
    <w:p>
      <w:r>
        <w:t>La moxonidine est disponible en Algérie en deux dosages : 0,2 mg et 0,4 mg, en comprimés pelliculés. Sept spécialités actives concurrentielles assurent un marché dynamique et des prix modérés. La longue demi-vie d'élimination (2–3 h en apparence, mais effet prolongé 24 h par accumulation dans le SNC) autorise une prise unique quotidienne — la forme 0,4 mg en une prise est pratique. Pour les patients nécessitant une dose intermédiaire (0,3 mg), il n'existe pas de dosage intermédiaire — on utilise 1 comprimé et demi de 0,2 mg. La forme n'est pas sécable (comprimés pelliculés — ne pas écraser). La moxonidine n'a pas de forme LP ni de forme injectable. Avantage pratique : 7 spécialités actives concurrentielles, prix modéré, observance facilitée par la prise unique. Inconvénient : pas de forme injectable pour l'urgence hypertensive. La substitution entre les marques est possible sans surveillance supplémentaire (bioéquivalence démontrée).</w:t>
      </w:r>
    </w:p>
    <w:p>
      <w:r/>
      <w:r>
        <w:rPr>
          <w:b/>
        </w:rPr>
        <w:t>Instructions et Conseils au Patient :</w:t>
      </w:r>
      <w:r/>
    </w:p>
    <w:p>
      <w:pPr>
        <w:pStyle w:val="ListBullet"/>
      </w:pPr>
      <w:r>
        <w:t xml:space="preserve">Communication au comptoir : « Ce médicament est un antihypertenseur central. Il agit en réduisant le tonus nerveux sympathique. Il faut le prendre </w:t>
      </w:r>
      <w:r>
        <w:rPr>
          <w:b/>
        </w:rPr>
        <w:t>une fois par jour, le matin, à heure fixe</w:t>
      </w:r>
      <w:r>
        <w:t xml:space="preserve">. </w:t>
      </w:r>
      <w:r>
        <w:rPr>
          <w:b/>
        </w:rPr>
        <w:t>Ne l'arrêtez pas brutalement</w:t>
      </w:r>
      <w:r>
        <w:t xml:space="preserve"> — il y a un risque de </w:t>
      </w:r>
      <w:r>
        <w:rPr>
          <w:b/>
        </w:rPr>
        <w:t>crise hypertensive</w:t>
      </w:r>
      <w:r>
        <w:t xml:space="preserve"> (rebond). Si vous devez l'arrêter, votre médecin vous expliquera comment le réduire progressivement. Les effets indésirables possibles sont : une </w:t>
      </w:r>
      <w:r>
        <w:rPr>
          <w:b/>
        </w:rPr>
        <w:t>sécheresse de la bouche</w:t>
      </w:r>
      <w:r>
        <w:t xml:space="preserve">, une </w:t>
      </w:r>
      <w:r>
        <w:rPr>
          <w:b/>
        </w:rPr>
        <w:t>somnolence</w:t>
      </w:r>
      <w:r>
        <w:t xml:space="preserve"> (surtout en début), une </w:t>
      </w:r>
      <w:r>
        <w:rPr>
          <w:b/>
        </w:rPr>
        <w:t>baisse du pouls</w:t>
      </w:r>
      <w:r>
        <w:t xml:space="preserve">, une </w:t>
      </w:r>
      <w:r>
        <w:rPr>
          <w:b/>
        </w:rPr>
        <w:t>fatigue</w:t>
      </w:r>
      <w:r>
        <w:t>. Évitez l'alcool. Si vous êtes enceinte ou allaitez, n'en prenez pas sans avis médical. Prévenez tout médecin (notamment anesthésiste) que vous prenez ce traitement. »</w:t>
      </w:r>
    </w:p>
    <w:p>
      <w:pPr>
        <w:pStyle w:val="ListBullet"/>
      </w:pPr>
      <w:r>
        <w:t>Mode d'utilisation pratique : (a) Prendre à heure fixe le matin ; (b) En cas d'oubli : si l'écart est &lt; 8 h, prendre la dose oubliée ; sinon sauter ; (c) Ne jamais doubler la dose ; (d) Mesurer la TA et le pouls régulièrement, noter dans un carnet ; (e) Consulter le médecin si TA &gt; 140/90 ou pouls &lt; 50 ; (f) Si vous devez avoir une opération, prévenir le médecin anesthésiste.</w:t>
      </w:r>
    </w:p>
    <w:p>
      <w:r/>
      <w:r>
        <w:rPr>
          <w:b/>
        </w:rPr>
        <w:t>Notes, Règles d'Or &amp; Pièges au Comptoir :</w:t>
      </w:r>
      <w:r/>
    </w:p>
    <w:p>
      <w:pPr>
        <w:pStyle w:val="ListBullet"/>
      </w:pPr>
      <w:r/>
      <w:r>
        <w:rPr>
          <w:b/>
        </w:rPr>
        <w:t>Piège classique — Insuffisance rénale</w:t>
      </w:r>
      <w:r>
        <w:t xml:space="preserve"> : la moxonidine est éliminée par le rein — CI absolue si DFG &lt; 30 mL/min. Toujours vérifier la fonction rénale avant prescription et pendant le traitement. En cas de dégradation de la fonction rénale pendant le traitement (DFG &lt; 30 mL/min), arrêt immédiat.</w:t>
      </w:r>
    </w:p>
    <w:p>
      <w:pPr>
        <w:pStyle w:val="ListBullet"/>
      </w:pPr>
      <w:r/>
      <w:r>
        <w:rPr>
          <w:b/>
        </w:rPr>
        <w:t>Piège — Arrêt brutal</w:t>
      </w:r>
      <w:r>
        <w:t xml:space="preserve"> : comme pour la clonidine, le rebond hypertensif à l'arrêt brutal est possible (moins marqué mais réel). Décroissance progressive sur 1–2 semaines.</w:t>
      </w:r>
    </w:p>
    <w:p>
      <w:pPr>
        <w:pStyle w:val="ListBullet"/>
      </w:pPr>
      <w:r/>
      <w:r>
        <w:rPr>
          <w:b/>
        </w:rPr>
        <w:t>Piège — Association au β-bloquant</w:t>
      </w:r>
      <w:r>
        <w:t xml:space="preserve"> : à éviter. Si arrêt nécessaire, arrêter D'ABORD le β-bloquant puis la moxonidine.</w:t>
      </w:r>
    </w:p>
    <w:p>
      <w:pPr>
        <w:pStyle w:val="ListBullet"/>
      </w:pPr>
      <w:r/>
      <w:r>
        <w:rPr>
          <w:b/>
        </w:rPr>
        <w:t>Piège — Substitution par la clonidine</w:t>
      </w:r>
      <w:r>
        <w:t xml:space="preserve"> : la moxonidine ne doit pas être substituée par la clonidine sans surveillance médicale stricte (différence d'affinité I1 vs α2). En cas de passage de moxonidine à clonidine : démarrer à dose faible et titrer. En cas de passage de clonidine à moxonidine : décroissance de la clonidine sur 4–7 jours, démarrage de la moxonidine en parallèle.</w:t>
      </w:r>
    </w:p>
    <w:p>
      <w:pPr>
        <w:pStyle w:val="ListBullet"/>
      </w:pPr>
      <w:r/>
      <w:r>
        <w:rPr>
          <w:b/>
        </w:rPr>
        <w:t>Piège — Femme enceinte</w:t>
      </w:r>
      <w:r>
        <w:t xml:space="preserve"> : la moxonidine est CI pendant la grossesse. Chez une femme en âge de procréer, s'assurer d'une contraception efficace.</w:t>
      </w:r>
    </w:p>
    <w:p>
      <w:pPr>
        <w:pStyle w:val="ListBullet"/>
      </w:pPr>
      <w:r/>
      <w:r>
        <w:rPr>
          <w:b/>
        </w:rPr>
        <w:t>Piège — Sujet diabétique</w:t>
      </w:r>
      <w:r>
        <w:t xml:space="preserve"> : la moxonidine a un effet favorable sur la sensibilité à l'insuline — mais ne doit pas être utilisée pour traiter le diabète. La surveillance glycémique reste nécessaire.</w:t>
      </w:r>
    </w:p>
    <w:p>
      <w:pPr>
        <w:pStyle w:val="ListBullet"/>
      </w:pPr>
      <w:r/>
      <w:r>
        <w:rPr>
          <w:b/>
        </w:rPr>
        <w:t>Piège — Substitution entre marques</w:t>
      </w:r>
      <w:r>
        <w:t xml:space="preserve"> : les 7 spécialités actives sont bioéquivalentes. La substitution est possible sans surveillance supplémentaire.</w:t>
      </w:r>
    </w:p>
    <w:p>
      <w:pPr>
        <w:pStyle w:val="ListBullet"/>
      </w:pPr>
      <w:r/>
      <w:r>
        <w:rPr>
          <w:b/>
        </w:rPr>
        <w:t>Règle de prise</w:t>
      </w:r>
      <w:r>
        <w:t xml:space="preserve"> : une prise par jour, le matin à heure fixe, à vie.</w:t>
      </w:r>
    </w:p>
    <w:p>
      <w:pPr>
        <w:pStyle w:val="ListBullet"/>
      </w:pPr>
      <w:r/>
      <w:r>
        <w:rPr>
          <w:b/>
        </w:rPr>
        <w:t>Préparation et Conservation</w:t>
      </w:r>
      <w:r>
        <w:t xml:space="preserve"> : conserver à &lt; 25 °C, à l'abri de l'humidité.</w:t>
      </w:r>
    </w:p>
    <w:p>
      <w:pPr>
        <w:pStyle w:val="ListBullet"/>
      </w:pPr>
      <w:r/>
      <w:r>
        <w:rPr>
          <w:b/>
        </w:rPr>
        <w:t>Piège du surdosage</w:t>
      </w:r>
      <w:r>
        <w:t xml:space="preserve"> : surdosage massif → hypotension sévère, bradycardie, somnolence, coma. </w:t>
      </w:r>
      <w:r>
        <w:rPr>
          <w:b/>
        </w:rPr>
        <w:t>Traitement</w:t>
      </w:r>
      <w:r>
        <w:t xml:space="preserve"> : arrêt immédiat, remplissage vasculaire prudent, adrénaline IV si collapsus, atropine si bradycardie symptomatique. Dialyse inefficace. Antagoniste spécifique : idazoxan (antagoniste I1/α2 — disponible en recherche, pas en clinique).</w:t>
      </w:r>
    </w:p>
    <w:p>
      <w:pPr>
        <w:pStyle w:val="Heading3"/>
      </w:pPr>
      <w:r>
        <w:t>12. DCI : Doxazosine (Seule)</w:t>
      </w:r>
    </w:p>
    <w:p>
      <w:r/>
      <w:r>
        <w:rPr>
          <w:b/>
        </w:rPr>
        <w:t>Liste des Catégories :</w:t>
      </w:r>
      <w:r>
        <w:t xml:space="preserve"> Alpha-bloquants postsynaptiques (vasculaires) ; Traitement de l'hypertrophie bénigne de la prostate (HBP) ; Antihypertenseur (seconde intention).</w:t>
      </w:r>
    </w:p>
    <w:p>
      <w:r>
        <w:t xml:space="preserve">La doxazosine (mésylate de 1-(4-amino-6,7-diméthoxy-2-quinazolinyl)-4-[(2,3-dihydro-1,4-benzodioxin-2-yl)carbonyl]pipérazine) est un alpha-bloquant postsynaptique sélectif α1, dérivé des quinazolines, proche parente structurale de la prazosine et de la térazosine. Synthétisée par Pfizer et commercialisée dès 1988 sous le nom de Cardura®, elle a d'abord été développée comme antihypertenseur. Sa caractéristique pharmacologique principale est sa </w:t>
      </w:r>
      <w:r>
        <w:rPr>
          <w:b/>
        </w:rPr>
        <w:t>longue demi-vie d'élimination (22 h)</w:t>
      </w:r>
      <w:r>
        <w:t xml:space="preserve">, autorisant une prise unique quotidienne — avantage majeur par rapport à la prazosine (4 h, 3 prises/jour) et la térazosine (12 h, 2 prises/jour). Cette propriété, combinée à une affinité équilibrée pour les sous-types α1A (prostatique), α1B (vasculaire) et α1D (vessie détrusor), explique sa double indication dans l'HTA et dans l'HBP. Le mécanisme d'action — </w:t>
      </w:r>
      <w:r>
        <w:rPr>
          <w:b/>
        </w:rPr>
        <w:t>blocage compétitif et sélectif des récepteurs α1 postsynaptiques vasculaires</w:t>
      </w:r>
      <w:r>
        <w:t xml:space="preserve"> — produit une vasodilatation artérielle (baisse des résistances périphériques) et veineuse (baisse du retour veineux). Cette double action explique l'</w:t>
      </w:r>
      <w:r>
        <w:rPr>
          <w:b/>
        </w:rPr>
        <w:t>hypotension orthostatique de première dose</w:t>
      </w:r>
      <w:r>
        <w:t xml:space="preserve">, qui est la principale limitation des alpha-bloquants vasculaires : la vasodilatation veineuse prédominante provoque un appel sanguin vers le territoire splanchnique et membres inférieurs, réduisant le retour veineux et donc le débit cardiaque lors du lever. La doxazosine, par sa longue demi-vie, provoque moins d'hypotension orthostatique que la prazosine. Une </w:t>
      </w:r>
      <w:r>
        <w:rPr>
          <w:b/>
        </w:rPr>
        <w:t>forme LP à 4 et 8 mg</w:t>
      </w:r>
      <w:r>
        <w:t xml:space="preserve"> a été développée pour minimiser cet effet. Le statut des alpha-bloquants dans l'HTA a été profondément modifié par l'essai </w:t>
      </w:r>
      <w:r>
        <w:rPr>
          <w:b/>
        </w:rPr>
        <w:t>ALLHAT (2002)</w:t>
      </w:r>
      <w:r>
        <w:t xml:space="preserve"> : la branche doxazosine a été interrompue prématurément en raison d'une surmortalité cardiovasculaire (notamment d'insuffisance cardiaque multipliée par 2) comparativement à la chlortalidone. Depuis, les alpha-bloquants ne sont plus recommandés en </w:t>
      </w:r>
      <w:r>
        <w:rPr>
          <w:b/>
        </w:rPr>
        <w:t>1re intention</w:t>
      </w:r>
      <w:r>
        <w:t xml:space="preserve"> dans l'HTA essentielle non compliquée ; ils gardent une place en </w:t>
      </w:r>
      <w:r>
        <w:rPr>
          <w:b/>
        </w:rPr>
        <w:t>seconde intention</w:t>
      </w:r>
      <w:r>
        <w:t xml:space="preserve"> ou en association (en particulier chez le sujet présentant une HBP associée — double indication) et dans l'HTA réfractaire (4e ligne). En Algérie, la doxazosine est largement disponible sous plusieurs spécialités actives, en dosages 1, 2, 4 et 8 mg, formes immédiate et LP — principale indication actuelle : HBP symptomatique, accessoirement HTA en seconde intention.</w:t>
      </w:r>
    </w:p>
    <w:p>
      <w:r/>
      <w:r>
        <w:rPr>
          <w:b/>
        </w:rPr>
        <w:t>Médicaments disponibles en Algérie (Marques, Laboratoires, Formes et Dosages) :</w:t>
      </w:r>
      <w:r/>
    </w:p>
    <w:p>
      <w:r>
        <w:t>Forme orale à libération immédiate :</w:t>
      </w:r>
    </w:p>
    <w:p>
      <w:pPr>
        <w:pStyle w:val="ListBullet"/>
      </w:pPr>
      <w:r/>
      <w:r>
        <w:rPr>
          <w:b/>
        </w:rPr>
        <w:t>DOXALAR</w:t>
      </w:r>
      <w:r>
        <w:t xml:space="preserve"> (FRATER-RAZES FORME SECHE) — Comprimé 1 mg, B/30 — Liste I — Actif</w:t>
      </w:r>
    </w:p>
    <w:p>
      <w:pPr>
        <w:pStyle w:val="ListBullet"/>
      </w:pPr>
      <w:r/>
      <w:r>
        <w:rPr>
          <w:b/>
        </w:rPr>
        <w:t>CARDOX</w:t>
      </w:r>
      <w:r>
        <w:t xml:space="preserve"> (HIKMA PHARMA ALGERIA) — Comprimé sécable 2 mg, B/30 — Liste I — Actif</w:t>
      </w:r>
    </w:p>
    <w:p>
      <w:pPr>
        <w:pStyle w:val="ListBullet"/>
      </w:pPr>
      <w:r/>
      <w:r>
        <w:rPr>
          <w:b/>
        </w:rPr>
        <w:t>CARDULAR</w:t>
      </w:r>
      <w:r>
        <w:t xml:space="preserve"> (UPJOHN SAIDAL PHARMA) — Comprimé sécable 2 mg, B/20 — Liste I — Actif</w:t>
      </w:r>
    </w:p>
    <w:p>
      <w:pPr>
        <w:pStyle w:val="ListBullet"/>
      </w:pPr>
      <w:r/>
      <w:r>
        <w:rPr>
          <w:b/>
        </w:rPr>
        <w:t>DOXACARD</w:t>
      </w:r>
      <w:r>
        <w:t xml:space="preserve"> (NOVAPHARM TRADING) — Comprimé sécable 2 mg, B/20 — Liste I — Actif</w:t>
      </w:r>
    </w:p>
    <w:p>
      <w:pPr>
        <w:pStyle w:val="ListBullet"/>
      </w:pPr>
      <w:r/>
      <w:r>
        <w:rPr>
          <w:b/>
        </w:rPr>
        <w:t>DOXALAR</w:t>
      </w:r>
      <w:r>
        <w:t xml:space="preserve"> (FRATER-RAZES FORME SECHE) — Comprimé 2 mg, B/30 — Liste I — Actif</w:t>
      </w:r>
    </w:p>
    <w:p>
      <w:pPr>
        <w:pStyle w:val="ListBullet"/>
      </w:pPr>
      <w:r/>
      <w:r>
        <w:rPr>
          <w:b/>
        </w:rPr>
        <w:t>DOXAZOSINE BEKER</w:t>
      </w:r>
      <w:r>
        <w:t xml:space="preserve"> (LABORATOIRES BEKER) — Comprimé sécable 2 mg, B/30 — Liste I — Actif</w:t>
      </w:r>
    </w:p>
    <w:p>
      <w:pPr>
        <w:pStyle w:val="ListBullet"/>
      </w:pPr>
      <w:r/>
      <w:r>
        <w:rPr>
          <w:b/>
        </w:rPr>
        <w:t>ZODURA</w:t>
      </w:r>
      <w:r>
        <w:t xml:space="preserve"> (EL KENDI INDUSTRIE DU MEDICAMENT) — Comprimé 2 mg, B/20 — Liste I — Actif</w:t>
      </w:r>
    </w:p>
    <w:p>
      <w:pPr>
        <w:pStyle w:val="ListBullet"/>
      </w:pPr>
      <w:r/>
      <w:r>
        <w:rPr>
          <w:b/>
        </w:rPr>
        <w:t>DOXAZOSINE BEKER</w:t>
      </w:r>
      <w:r>
        <w:t xml:space="preserve"> (LABORATOIRES BEKER) — Comprimé 4 mg, B/30 — Liste I — Actif</w:t>
      </w:r>
    </w:p>
    <w:p>
      <w:r>
        <w:t>Forme orale à libération prolongée (LP) — recommandée pour minimiser l'hypotension orthostatique :</w:t>
      </w:r>
    </w:p>
    <w:p>
      <w:pPr>
        <w:pStyle w:val="ListBullet"/>
      </w:pPr>
      <w:r/>
      <w:r>
        <w:rPr>
          <w:b/>
        </w:rPr>
        <w:t>DOXALAR LP</w:t>
      </w:r>
      <w:r>
        <w:t xml:space="preserve"> (FRATER-RAZES FORME SECHE) — Comprimé LP 4 mg, B/30 — Liste I — Actif</w:t>
      </w:r>
    </w:p>
    <w:p>
      <w:pPr>
        <w:pStyle w:val="ListBullet"/>
      </w:pPr>
      <w:r/>
      <w:r>
        <w:rPr>
          <w:b/>
        </w:rPr>
        <w:t>DOXAMEX LP</w:t>
      </w:r>
      <w:r>
        <w:t xml:space="preserve"> (KPMA BIOTIC) — Comprimé LP 4 mg, B/20 — Liste I — Actif</w:t>
      </w:r>
    </w:p>
    <w:p>
      <w:pPr>
        <w:pStyle w:val="ListBullet"/>
      </w:pPr>
      <w:r/>
      <w:r>
        <w:rPr>
          <w:b/>
        </w:rPr>
        <w:t>ZOXAN LP</w:t>
      </w:r>
      <w:r>
        <w:t xml:space="preserve"> (PFIZER HOLDING FRANCE) — Comprimé LP 4 mg, B/28 — Liste I — Actif</w:t>
      </w:r>
    </w:p>
    <w:p>
      <w:pPr>
        <w:pStyle w:val="ListBullet"/>
      </w:pPr>
      <w:r/>
      <w:r>
        <w:rPr>
          <w:b/>
        </w:rPr>
        <w:t>ZOXAN LP</w:t>
      </w:r>
      <w:r>
        <w:t xml:space="preserve"> (PFIZER HOLDING FRANCE) — Comprimé LP 8 mg, B/28 — Liste I — Actif (princeps Cardura XL — Pfizer)</w:t>
      </w:r>
    </w:p>
    <w:p>
      <w:r>
        <w:t>Spécialités Non Renouvelables :</w:t>
      </w:r>
    </w:p>
    <w:p>
      <w:pPr>
        <w:pStyle w:val="ListBullet"/>
      </w:pPr>
      <w:r/>
      <w:r>
        <w:rPr>
          <w:b/>
        </w:rPr>
        <w:t>CARDULAR</w:t>
      </w:r>
      <w:r>
        <w:t xml:space="preserve"> (PFIZER) — Comprimé 1 mg et 4 mg, B/20 — Non Renouvelable (ancien princeps Cardura)</w:t>
      </w:r>
    </w:p>
    <w:p>
      <w:pPr>
        <w:pStyle w:val="ListBullet"/>
      </w:pPr>
      <w:r/>
      <w:r>
        <w:rPr>
          <w:b/>
        </w:rPr>
        <w:t>CARDOX</w:t>
      </w:r>
      <w:r>
        <w:t xml:space="preserve"> (HIKMA PHARMACEUTICALS) — Comprimé 1 mg et 4 mg, B/30 — Non Renouvelable</w:t>
      </w:r>
    </w:p>
    <w:p>
      <w:r>
        <w:t>Spécialités Retirées (R) :</w:t>
      </w:r>
    </w:p>
    <w:p>
      <w:pPr>
        <w:pStyle w:val="ListBullet"/>
      </w:pPr>
      <w:r/>
      <w:r>
        <w:rPr>
          <w:b/>
        </w:rPr>
        <w:t>ZODURA</w:t>
      </w:r>
      <w:r>
        <w:t xml:space="preserve"> (EL KENDI) — Comprimé 1 mg et 4 mg, B/20 — Retiré (R)</w:t>
      </w:r>
    </w:p>
    <w:p>
      <w:pPr>
        <w:pStyle w:val="ListBullet"/>
      </w:pPr>
      <w:r/>
      <w:r>
        <w:rPr>
          <w:b/>
        </w:rPr>
        <w:t>CARDULAR</w:t>
      </w:r>
      <w:r>
        <w:t xml:space="preserve"> (PFIZER) — Comprimé 1 mg, B/20 — Retiré (R)</w:t>
      </w:r>
    </w:p>
    <w:p>
      <w:pPr>
        <w:pStyle w:val="ListBullet"/>
      </w:pPr>
      <w:r/>
      <w:r>
        <w:rPr>
          <w:b/>
        </w:rPr>
        <w:t>DOXINE</w:t>
      </w:r>
      <w:r>
        <w:t xml:space="preserve"> (GEOPHARM) — Comprimé 2 mg, B/20 — Retiré (R)</w:t>
      </w:r>
    </w:p>
    <w:p>
      <w:r/>
      <w:r>
        <w:rPr>
          <w:b/>
        </w:rPr>
        <w:t>Sous-classe et Mécanisme d'action :</w:t>
      </w:r>
      <w:r/>
    </w:p>
    <w:p>
      <w:pPr>
        <w:pStyle w:val="ListBullet"/>
      </w:pPr>
      <w:r>
        <w:t>Sous-classe : alpha-bloquant postsynaptique vasculaire, dérivé quinazolines, sélectif α1 (A/B/D équilibré), longue durée d'action.</w:t>
      </w:r>
    </w:p>
    <w:p>
      <w:pPr>
        <w:pStyle w:val="ListBullet"/>
      </w:pPr>
      <w:r>
        <w:t xml:space="preserve">Mécanisme d'action : la doxazosine se lie compétitivement et sélectivement aux récepteurs </w:t>
      </w:r>
      <w:r>
        <w:rPr>
          <w:b/>
        </w:rPr>
        <w:t>α1 postsynaptiques vasculaires</w:t>
      </w:r>
      <w:r>
        <w:t xml:space="preserve"> (couplés à la protéine Gq — activation de la phospholipase C → IP3 → relargage du Ca2+ du réticulum sarcoplasmique → contraction). Le blocage de ces récepteurs abolit la vasoconstriction adrénergique médiée par la noradrénaline circulante et la libération des terminaisons sympathiques. Effets : (a) </w:t>
      </w:r>
      <w:r>
        <w:rPr>
          <w:b/>
        </w:rPr>
        <w:t>vasodilatation artérielle</w:t>
      </w:r>
      <w:r>
        <w:t xml:space="preserve"> → baisse des résistances périphériques systémiques → baisse de la PA (effet antihypertenseur modéré, similaire aux autres antihypertenseurs de 1re intention) ; (b) </w:t>
      </w:r>
      <w:r>
        <w:rPr>
          <w:b/>
        </w:rPr>
        <w:t>vasodilatation veineuse</w:t>
      </w:r>
      <w:r>
        <w:t xml:space="preserve"> → baisse du retour veineux → hypotension orthostatique (surtout en début de traitement — effet de première dose) ; (c) </w:t>
      </w:r>
      <w:r>
        <w:rPr>
          <w:b/>
        </w:rPr>
        <w:t>relâchement du muscle lisse prostatique</w:t>
      </w:r>
      <w:r>
        <w:t xml:space="preserve"> (stroma, capsule, col vésical) → amélioration de la dysurie de l'HBP (effet bénéfique en 1–2 semaines — les α1A prédominent dans la prostate) ; (d) </w:t>
      </w:r>
      <w:r>
        <w:rPr>
          <w:b/>
        </w:rPr>
        <w:t>relaxation du trigone vésical et de l'uretère distal</w:t>
      </w:r>
      <w:r>
        <w:t xml:space="preserve"> → amélioration de la vidange vésicale. La doxazosine ne modifie pas la glycémie, le profil lipidique, ni l'acide urique — avantage chez le diabétique et le dyslipidémique. Elle a même un effet favorable discret sur le profil lipidique (baisse modeste du LDL-cholestérol, hausse modeste du HDL-cholestérol, baisse des triglycérides — effet non confirmé à grande échelle). Effet pléiotrope possible sur la sensibilité à l'insuline (à confirmer).</w:t>
      </w:r>
    </w:p>
    <w:p>
      <w:r/>
      <w:r>
        <w:rPr>
          <w:b/>
        </w:rPr>
        <w:t>Profil Pharmacologique :</w:t>
      </w:r>
      <w:r/>
    </w:p>
    <w:p>
      <w:pPr>
        <w:pStyle w:val="ListBullet"/>
      </w:pPr>
      <w:r>
        <w:t xml:space="preserve">Indications : (1) </w:t>
      </w:r>
      <w:r>
        <w:rPr>
          <w:b/>
        </w:rPr>
        <w:t>Hypertrophie bénigne de la prostate (HBP) symptomatique</w:t>
      </w:r>
      <w:r>
        <w:t xml:space="preserve"> — score IPSS &gt; 8 — soulagement rapide (1–2 semaines) de la dysurie, du jet faible, de la pollakiurie, des mictions impérieuses. Indication de choix de la doxazosine aujourd'hui. La doxazosine ne réduit pas le volume prostatique et n'a pas d'effet préventif sur la progression de l'HBP ou la rétention urinaire (contrairement aux inhibiteurs de la 5α-réductase — finastéride, dutastéride). L'association doxazosine + finastéride ou dutastéride est utilisée dans l'HBP volumineuse (essai MTOPS, 2003). (2) </w:t>
      </w:r>
      <w:r>
        <w:rPr>
          <w:b/>
        </w:rPr>
        <w:t>HTA modérée à sévère</w:t>
      </w:r>
      <w:r>
        <w:t xml:space="preserve"> — en seconde intention (après l'essai ALLHAT 2002 — surmortalité cardiovasculaire et IC en 1re intention). Indication actuelle : HTA réfractaire (4e ligne), HTA avec HBP associée (double indication), HTA du sujet avec dyslipidémie ou diabète (profil métabolique favorable). En association aux IEC, ARA2, diurétiques thiazidiques ou ICA. </w:t>
      </w:r>
      <w:r>
        <w:rPr>
          <w:b/>
        </w:rPr>
        <w:t>À éviter en monothérapie de 1re intention</w:t>
      </w:r>
      <w:r>
        <w:t xml:space="preserve"> chez le sujet non compliqué. (3) </w:t>
      </w:r>
      <w:r>
        <w:rPr>
          <w:b/>
        </w:rPr>
        <w:t>HBP + HTA associées</w:t>
      </w:r>
      <w:r>
        <w:t xml:space="preserve"> — la doxazosine a un double effet bénéfique sur les deux pathologies (double indication de choix).</w:t>
      </w:r>
    </w:p>
    <w:p>
      <w:pPr>
        <w:pStyle w:val="ListBullet"/>
      </w:pPr>
      <w:r>
        <w:t xml:space="preserve">Contre-indications : (1) </w:t>
      </w:r>
      <w:r>
        <w:rPr>
          <w:b/>
        </w:rPr>
        <w:t>Hypersensibilité aux quinazolines</w:t>
      </w:r>
      <w:r>
        <w:t xml:space="preserve"> (prazosine, térazosine, doxazosine) ; (2) </w:t>
      </w:r>
      <w:r>
        <w:rPr>
          <w:b/>
        </w:rPr>
        <w:t>Hypotension orthostatique</w:t>
      </w:r>
      <w:r>
        <w:t xml:space="preserve"> actuelle ou antécédents de malaise lipothymique à l'orthostatisme ; (3) </w:t>
      </w:r>
      <w:r>
        <w:rPr>
          <w:b/>
        </w:rPr>
        <w:t>Insuffisance cardiaque décompensée</w:t>
      </w:r>
      <w:r>
        <w:t xml:space="preserve"> — la doxazosine ne doit pas être utilisée en 1re intention (surmortalité IC dans ALLHAT) ; (4) </w:t>
      </w:r>
      <w:r>
        <w:rPr>
          <w:b/>
        </w:rPr>
        <w:t>Anévrisme aortique</w:t>
      </w:r>
      <w:r>
        <w:t xml:space="preserve"> ou histoire familiale d'anévrisme (la doxazosine majore le risque de dissection — données ALLHAT) ; (5) </w:t>
      </w:r>
      <w:r>
        <w:rPr>
          <w:b/>
        </w:rPr>
        <w:t>Antécédent de syncope</w:t>
      </w:r>
      <w:r>
        <w:t xml:space="preserve"> (à évaluer) ; (6) </w:t>
      </w:r>
      <w:r>
        <w:rPr>
          <w:b/>
        </w:rPr>
        <w:t>Sténose aortique serrée, péricardite constrictive</w:t>
      </w:r>
      <w:r>
        <w:t xml:space="preserve"> (la vasodilatation ne peut être compensée) ; (7) </w:t>
      </w:r>
      <w:r>
        <w:rPr>
          <w:b/>
        </w:rPr>
        <w:t>Grossesse</w:t>
      </w:r>
      <w:r>
        <w:t xml:space="preserve"> (CI par prudence — données animales et humaines insuffisantes, hypotension maternelle → hypoperfusion fœto-placentaire) ; (8) </w:t>
      </w:r>
      <w:r>
        <w:rPr>
          <w:b/>
        </w:rPr>
        <w:t>Allaitement</w:t>
      </w:r>
      <w:r>
        <w:t xml:space="preserve"> (CI par prudence — passage lacté non évalué) ; (9) </w:t>
      </w:r>
      <w:r>
        <w:rPr>
          <w:b/>
        </w:rPr>
        <w:t>Enfant</w:t>
      </w:r>
      <w:r>
        <w:t xml:space="preserve"> (peu d'études) ; (10) </w:t>
      </w:r>
      <w:r>
        <w:rPr>
          <w:b/>
        </w:rPr>
        <w:t>Insuffisance hépatique sévère</w:t>
      </w:r>
      <w:r>
        <w:t xml:space="preserve"> (métabolisme hépatique — Child-Pugh C : CI relative, prudence) ; (11) </w:t>
      </w:r>
      <w:r>
        <w:rPr>
          <w:b/>
        </w:rPr>
        <w:t>Patients âgés fragiles</w:t>
      </w:r>
      <w:r>
        <w:t xml:space="preserve"> (risque d'hypotension orthostatique avec chute et fracture du col du fémur — à évaluer soigneusement) ; (12) </w:t>
      </w:r>
      <w:r>
        <w:rPr>
          <w:b/>
        </w:rPr>
        <w:t>Cataracte programmée</w:t>
      </w:r>
      <w:r>
        <w:t xml:space="preserve"> (à évaluer — syndrome "floppy iris" similaire à la tamsulosine mais moins marqué).</w:t>
      </w:r>
    </w:p>
    <w:p>
      <w:pPr>
        <w:pStyle w:val="ListBullet"/>
      </w:pPr>
      <w:r>
        <w:t xml:space="preserve">Effets Indésirables : (1) </w:t>
      </w:r>
      <w:r>
        <w:rPr>
          <w:b/>
        </w:rPr>
        <w:t>Hypotension orthostatique de première dose</w:t>
      </w:r>
      <w:r>
        <w:t xml:space="preserve"> (5–10 % — surtout avec la forme immédiate ; moindre avec la forme LP) — se manifeste dans les 2–6 heures après la première prise, par des vertiges, lipothymies, voire syncopes (surtout si le patient se lève rapidement) — </w:t>
      </w:r>
      <w:r>
        <w:rPr>
          <w:b/>
        </w:rPr>
        <w:t>prévention : prendre la première dose le soir au coucher, à jeun, et rester allongé 6–8 heures</w:t>
      </w:r>
      <w:r>
        <w:t xml:space="preserve"> ; (2) </w:t>
      </w:r>
      <w:r>
        <w:rPr>
          <w:b/>
        </w:rPr>
        <w:t>Vertiges, sensations vertigineuses</w:t>
      </w:r>
      <w:r>
        <w:t xml:space="preserve"> (10–15 %, surtout en début de traitement) ; (3) </w:t>
      </w:r>
      <w:r>
        <w:rPr>
          <w:b/>
        </w:rPr>
        <w:t>Céphalées</w:t>
      </w:r>
      <w:r>
        <w:t xml:space="preserve"> (5–10 %) ; (4) </w:t>
      </w:r>
      <w:r>
        <w:rPr>
          <w:b/>
        </w:rPr>
        <w:t>Asthenie, fatigue</w:t>
      </w:r>
      <w:r>
        <w:t xml:space="preserve"> (5–10 %) ; (5) </w:t>
      </w:r>
      <w:r>
        <w:rPr>
          <w:b/>
        </w:rPr>
        <w:t>Œdèmes périphériques</w:t>
      </w:r>
      <w:r>
        <w:t xml:space="preserve"> (5 %) ; (6) </w:t>
      </w:r>
      <w:r>
        <w:rPr>
          <w:b/>
        </w:rPr>
        <w:t>Palpitations</w:t>
      </w:r>
      <w:r>
        <w:t xml:space="preserve"> (5 %, tachycardie réflexe à la vasodilatation) ; (7) </w:t>
      </w:r>
      <w:r>
        <w:rPr>
          <w:b/>
        </w:rPr>
        <w:t>Nausées, troubles digestifs</w:t>
      </w:r>
      <w:r>
        <w:t xml:space="preserve"> (3–5 %) ; (8) </w:t>
      </w:r>
      <w:r>
        <w:rPr>
          <w:b/>
        </w:rPr>
        <w:t>Sécheresse buccale</w:t>
      </w:r>
      <w:r>
        <w:t xml:space="preserve"> (5 %) ; (9) </w:t>
      </w:r>
      <w:r>
        <w:rPr>
          <w:b/>
        </w:rPr>
        <w:t>Éjaculation rétrograde</w:t>
      </w:r>
      <w:r>
        <w:t xml:space="preserve"> (2–5 % — moins marquée qu'avec la tamsulosine — le relâchement du col vésical permet au sperme de refluer dans la vessie) ; (10) </w:t>
      </w:r>
      <w:r>
        <w:rPr>
          <w:b/>
        </w:rPr>
        <w:t>Syndrome de l'iris flasque peropératoire (IFIS)</w:t>
      </w:r>
      <w:r>
        <w:t xml:space="preserve"> (observé en chirurgie de la cataracte — moins marqué qu'avec la tamsulosine mais présent — information au chirurgien ophtalmologiste) ; (11) </w:t>
      </w:r>
      <w:r>
        <w:rPr>
          <w:b/>
        </w:rPr>
        <w:t>Priapisme</w:t>
      </w:r>
      <w:r>
        <w:t xml:space="preserve"> (rare, &lt; 1 % — urgence urologique — risque de dysfonction érectile définitive) ; (12) </w:t>
      </w:r>
      <w:r>
        <w:rPr>
          <w:b/>
        </w:rPr>
        <w:t>Rash cutané, prurit</w:t>
      </w:r>
      <w:r>
        <w:t xml:space="preserve"> (1–2 %) ; (13) </w:t>
      </w:r>
      <w:r>
        <w:rPr>
          <w:b/>
        </w:rPr>
        <w:t>Hypersensibilité</w:t>
      </w:r>
      <w:r>
        <w:t xml:space="preserve"> (rare — angio-oedème, éruption) ; (14) </w:t>
      </w:r>
      <w:r>
        <w:rPr>
          <w:b/>
        </w:rPr>
        <w:t>Insuffisance cardiaque</w:t>
      </w:r>
      <w:r>
        <w:t xml:space="preserve"> (déclenchée ou aggravée — selon ALLHAT, surtout en monothérapie chez le sujet à risque) ; (15) </w:t>
      </w:r>
      <w:r>
        <w:rPr>
          <w:b/>
        </w:rPr>
        <w:t>Tachycardie réflexe</w:t>
      </w:r>
      <w:r>
        <w:t xml:space="preserve"> (en début de traitement) ; (16) </w:t>
      </w:r>
      <w:r>
        <w:rPr>
          <w:b/>
        </w:rPr>
        <w:t>Hypotension</w:t>
      </w:r>
      <w:r>
        <w:t xml:space="preserve"> (en cas de surdosage ou d'association à d'autres vasodilatateurs).</w:t>
      </w:r>
    </w:p>
    <w:p>
      <w:r/>
      <w:r>
        <w:rPr>
          <w:b/>
        </w:rPr>
        <w:t>Prévention et Gestion des Effets Indésirables :</w:t>
      </w:r>
      <w:r/>
    </w:p>
    <w:p>
      <w:pPr>
        <w:pStyle w:val="ListBullet"/>
      </w:pPr>
      <w:r>
        <w:t xml:space="preserve">Mesures Préventives : (a) </w:t>
      </w:r>
      <w:r>
        <w:rPr>
          <w:b/>
        </w:rPr>
        <w:t>Première dose au coucher</w:t>
      </w:r>
      <w:r>
        <w:t xml:space="preserve"> : démarrer à 1 mg le soir au coucher (et non le matin), rester allongé 6–8 heures après la première prise — prévention de l'hypotension orthostatique de première dose ; (b) </w:t>
      </w:r>
      <w:r>
        <w:rPr>
          <w:b/>
        </w:rPr>
        <w:t>Titration progressive</w:t>
      </w:r>
      <w:r>
        <w:t xml:space="preserve"> : augmenter par paliers de 1 mg toutes les 1–2 semaines selon la réponse (1 mg → 2 mg → 4 mg → 8 mg) ; (c) </w:t>
      </w:r>
      <w:r>
        <w:rPr>
          <w:b/>
        </w:rPr>
        <w:t>Préférer la forme LP à 4 ou 8 mg</w:t>
      </w:r>
      <w:r>
        <w:t xml:space="preserve"> (Cardura XL — ZOXAN LP) qui minimise l'hypotension orthostatique — administration à jeun ou en dehors des repas (l'alimentation augmente le pic de concentration — à éviter) ; (d) </w:t>
      </w:r>
      <w:r>
        <w:rPr>
          <w:b/>
        </w:rPr>
        <w:t>Surveillance de la PA orthostatique</w:t>
      </w:r>
      <w:r>
        <w:t xml:space="preserve"> (mesure couché et debout) en début de traitement et après chaque augmentation de dose ; (e) </w:t>
      </w:r>
      <w:r>
        <w:rPr>
          <w:b/>
        </w:rPr>
        <w:t>Information du patient</w:t>
      </w:r>
      <w:r>
        <w:t xml:space="preserve"> sur les symptômes de l'hypotension orthostatique (vertiges, lipothymies en se levant) et la conduite à tenir (se rasseoir ou s'allonger immédiatement, remonter lentement les jambes) ; (f) </w:t>
      </w:r>
      <w:r>
        <w:rPr>
          <w:b/>
        </w:rPr>
        <w:t>Information du chirurgien ophtalmologiste</w:t>
      </w:r>
      <w:r>
        <w:t xml:space="preserve"> si chirurgie de la cataracte prévue (risque d'IFIS) ; (g) </w:t>
      </w:r>
      <w:r>
        <w:rPr>
          <w:b/>
        </w:rPr>
        <w:t>Information du patient sur le priapisme</w:t>
      </w:r>
      <w:r>
        <w:t xml:space="preserve"> — consulter en urgence en cas d'érection prolongée (&gt; 4 heures) sans stimulation sexuelle.</w:t>
      </w:r>
    </w:p>
    <w:p>
      <w:pPr>
        <w:pStyle w:val="ListBullet"/>
      </w:pPr>
      <w:r>
        <w:t xml:space="preserve">Conduite à Tenir : (a) </w:t>
      </w:r>
      <w:r>
        <w:rPr>
          <w:b/>
        </w:rPr>
        <w:t>Hypotension orthostatique symptomatique</w:t>
      </w:r>
      <w:r>
        <w:t xml:space="preserve"> → revoir la dose (réduire), passer à la forme LP, conseiller le lever progressif (3 minutes assis avant de se lever), enrichir l'alimentation en sel si nécessaire, bas de contention ; (b) </w:t>
      </w:r>
      <w:r>
        <w:rPr>
          <w:b/>
        </w:rPr>
        <w:t>Syncope</w:t>
      </w:r>
      <w:r>
        <w:t xml:space="preserve"> → arrêt transitoire, réévaluation médicale ; (c) </w:t>
      </w:r>
      <w:r>
        <w:rPr>
          <w:b/>
        </w:rPr>
        <w:t>Priapisme</w:t>
      </w:r>
      <w:r>
        <w:t xml:space="preserve"> → urgence urologique — consultation immédiate aux urgences (drainage, aspiration, phényléphrine intracaverneuse) ; (d) </w:t>
      </w:r>
      <w:r>
        <w:rPr>
          <w:b/>
        </w:rPr>
        <w:t>Éjaculation rétrograde</w:t>
      </w:r>
      <w:r>
        <w:t xml:space="preserve"> → information du patient (bénin mais pouvant être mal vécu), pas d'arrêt si bien toléré ; (e) </w:t>
      </w:r>
      <w:r>
        <w:rPr>
          <w:b/>
        </w:rPr>
        <w:t>IFIS</w:t>
      </w:r>
      <w:r>
        <w:t xml:space="preserve"> → information préopératoire du chirurgien (techniques anesthésiques et chirurgicales adaptées) ; (f) </w:t>
      </w:r>
      <w:r>
        <w:rPr>
          <w:b/>
        </w:rPr>
        <w:t>Rash cutané</w:t>
      </w:r>
      <w:r>
        <w:t xml:space="preserve"> → arrêt, antihistaminique si prurigineux.</w:t>
      </w:r>
    </w:p>
    <w:p>
      <w:r/>
      <w:r>
        <w:rPr>
          <w:b/>
        </w:rPr>
        <w:t>Interactions Importantes :</w:t>
      </w:r>
      <w:r/>
    </w:p>
    <w:p>
      <w:pPr>
        <w:pStyle w:val="ListBullet"/>
      </w:pPr>
      <w:r>
        <w:t xml:space="preserve">Doxazosine + </w:t>
      </w:r>
      <w:r>
        <w:rPr>
          <w:b/>
        </w:rPr>
        <w:t>Inhibiteurs de la PDE5</w:t>
      </w:r>
      <w:r>
        <w:t xml:space="preserve"> (sildénafil, tadalafil, vardenafil) : potentialisation hypotensive (les deux classes sont vasodilatatrices) — risque d'hypotension orthostatique sévère. Démarrer la PDE5 à dose minimale (sildénafil 25 mg), surveillance.</w:t>
      </w:r>
    </w:p>
    <w:p>
      <w:pPr>
        <w:pStyle w:val="ListBullet"/>
      </w:pPr>
      <w:r>
        <w:t xml:space="preserve">Doxazosine + </w:t>
      </w:r>
      <w:r>
        <w:rPr>
          <w:b/>
        </w:rPr>
        <w:t>Vérapamil, diltiazem</w:t>
      </w:r>
      <w:r>
        <w:t xml:space="preserve"> (non-DHP) : majoration des concentrations de doxazosine par inhibition du CYP3A4 → hypotension orthostatique majorée. Surveillance, adaptation.</w:t>
      </w:r>
    </w:p>
    <w:p>
      <w:pPr>
        <w:pStyle w:val="ListBullet"/>
      </w:pPr>
      <w:r>
        <w:t xml:space="preserve">Doxazosine + </w:t>
      </w:r>
      <w:r>
        <w:rPr>
          <w:b/>
        </w:rPr>
        <w:t>Inhibiteurs puissants du CYP3A4</w:t>
      </w:r>
      <w:r>
        <w:t xml:space="preserve"> (itraconazole, kétoconazole, clarithromycine, érythromycine, ritonavir) : majoration des concentrations de doxazosine → hypotension. Surveillance, adaptation.</w:t>
      </w:r>
    </w:p>
    <w:p>
      <w:pPr>
        <w:pStyle w:val="ListBullet"/>
      </w:pPr>
      <w:r>
        <w:t xml:space="preserve">Doxazosine + </w:t>
      </w:r>
      <w:r>
        <w:rPr>
          <w:b/>
        </w:rPr>
        <w:t>Inducteurs du CYP3A4</w:t>
      </w:r>
      <w:r>
        <w:t xml:space="preserve"> (rifampicine, phénytoïne, carbamazépine, millepertuis) : baisse d'efficacité (concentrations réduites).</w:t>
      </w:r>
    </w:p>
    <w:p>
      <w:pPr>
        <w:pStyle w:val="ListBullet"/>
      </w:pPr>
      <w:r>
        <w:t xml:space="preserve">Doxazosine + </w:t>
      </w:r>
      <w:r>
        <w:rPr>
          <w:b/>
        </w:rPr>
        <w:t>Antihypertenseurs</w:t>
      </w:r>
      <w:r>
        <w:t xml:space="preserve"> (IEC, ARA2, diurétiques thiazidiques, ICA, β-bloquants) : potentialisation hypotensive — association utile mais surveillance orthostatique.</w:t>
      </w:r>
    </w:p>
    <w:p>
      <w:pPr>
        <w:pStyle w:val="ListBullet"/>
      </w:pPr>
      <w:r>
        <w:t xml:space="preserve">Doxazosine + </w:t>
      </w:r>
      <w:r>
        <w:rPr>
          <w:b/>
        </w:rPr>
        <w:t>AINS</w:t>
      </w:r>
      <w:r>
        <w:t xml:space="preserve"> : baisse d'efficacité de la doxazosine (modeste).</w:t>
      </w:r>
    </w:p>
    <w:p>
      <w:pPr>
        <w:pStyle w:val="ListBullet"/>
      </w:pPr>
      <w:r>
        <w:t xml:space="preserve">Doxazosine + </w:t>
      </w:r>
      <w:r>
        <w:rPr>
          <w:b/>
        </w:rPr>
        <w:t>Alcool</w:t>
      </w:r>
      <w:r>
        <w:t xml:space="preserve"> : potentialisation hypotensive — éviter.</w:t>
      </w:r>
    </w:p>
    <w:p>
      <w:pPr>
        <w:pStyle w:val="ListBullet"/>
      </w:pPr>
      <w:r>
        <w:t xml:space="preserve">Doxazosine + </w:t>
      </w:r>
      <w:r>
        <w:rPr>
          <w:b/>
        </w:rPr>
        <w:t>β-bloquant</w:t>
      </w:r>
      <w:r>
        <w:t xml:space="preserve"> : association possible (effet synergique), mais surveillance de la PA orthostatique et de la FC (le β-bloquant masque la tachycardie réflexe à la vasodilatation).</w:t>
      </w:r>
    </w:p>
    <w:p>
      <w:pPr>
        <w:pStyle w:val="ListBullet"/>
      </w:pPr>
      <w:r>
        <w:t xml:space="preserve">Doxazosine + </w:t>
      </w:r>
      <w:r>
        <w:rPr>
          <w:b/>
        </w:rPr>
        <w:t>Digoxine</w:t>
      </w:r>
      <w:r>
        <w:t xml:space="preserve"> : pas d'effet significatif.</w:t>
      </w:r>
    </w:p>
    <w:p>
      <w:pPr>
        <w:pStyle w:val="ListBullet"/>
      </w:pPr>
      <w:r>
        <w:t xml:space="preserve">Doxazosine + </w:t>
      </w:r>
      <w:r>
        <w:rPr>
          <w:b/>
        </w:rPr>
        <w:t>Warfarine, AVK</w:t>
      </w:r>
      <w:r>
        <w:t xml:space="preserve"> : pas d'effet significatif (mais surveillance INR).</w:t>
      </w:r>
    </w:p>
    <w:p>
      <w:r/>
      <w:r>
        <w:rPr>
          <w:b/>
        </w:rPr>
        <w:t>Grossesse et Allaitement :</w:t>
      </w:r>
      <w:r/>
    </w:p>
    <w:p>
      <w:pPr>
        <w:pStyle w:val="ListBullet"/>
      </w:pPr>
      <w:r>
        <w:t xml:space="preserve">Grossesse : </w:t>
      </w:r>
      <w:r>
        <w:rPr>
          <w:b/>
        </w:rPr>
        <w:t>CI par prudence</w:t>
      </w:r>
      <w:r>
        <w:t xml:space="preserve"> — données animales évocatrices (hypotension maternelle → hypoperfusion fœto-placentaire), données humaines limitées. Préférer méthyldopa, labétalol, nifédipine LP pour l'HTA gravidique. La doxazosine n'a pas d'indication pendant la grossesse (pas d'effet tocolytique connu, pas d'intérêt dans la prééclampsie).</w:t>
      </w:r>
    </w:p>
    <w:p>
      <w:pPr>
        <w:pStyle w:val="ListBullet"/>
      </w:pPr>
      <w:r>
        <w:t xml:space="preserve">Allaitement : </w:t>
      </w:r>
      <w:r>
        <w:rPr>
          <w:b/>
        </w:rPr>
        <w:t>CI par prudence</w:t>
      </w:r>
      <w:r>
        <w:t xml:space="preserve"> — passage lacté non évalué. Préférer les antihypertenseurs compatibles avec l'allaitement (méthyldopa, labétalol, amlodipine).</w:t>
      </w:r>
    </w:p>
    <w:p>
      <w:pPr>
        <w:pStyle w:val="ListBullet"/>
      </w:pPr>
      <w:r>
        <w:t>Précisions : La doxazosine n'a pas d'indication pendant la grossesse ou l'allaitement.</w:t>
      </w:r>
    </w:p>
    <w:p>
      <w:r/>
      <w:r>
        <w:rPr>
          <w:b/>
        </w:rPr>
        <w:t>Posologie et Mode d'administration (Standard) :</w:t>
      </w:r>
      <w:r/>
    </w:p>
    <w:p>
      <w:pPr>
        <w:pStyle w:val="ListBullet"/>
      </w:pPr>
      <w:r>
        <w:t xml:space="preserve">Adulte (HBP) : </w:t>
      </w:r>
      <w:r>
        <w:rPr>
          <w:b/>
        </w:rPr>
        <w:t>Forme immédiate</w:t>
      </w:r>
      <w:r>
        <w:t xml:space="preserve"> : démarrer à 1 mg le soir au coucher (et non le matin), titration à 2 mg après 1–2 semaines, puis 4 mg après 1–2 semaines, dose d'entretien habituelle 4 mg/jour. Dose maximale : 8 mg/jour. </w:t>
      </w:r>
      <w:r>
        <w:rPr>
          <w:b/>
        </w:rPr>
        <w:t>Forme LP</w:t>
      </w:r>
      <w:r>
        <w:t xml:space="preserve"> : démarrer à 4 mg LP le matin (ou le soir au coucher pour minimiser l'hypotension orthostatique), augmentable à 8 mg LP après 1–2 semaines. Dose maximale : 8 mg LP/jour.</w:t>
      </w:r>
    </w:p>
    <w:p>
      <w:pPr>
        <w:pStyle w:val="ListBullet"/>
      </w:pPr>
      <w:r>
        <w:t>Adulte (HTA en seconde intention) : posologie identique — démarrer à 1 mg le soir au coucher, titration à 2, 4, 8 mg/jour. Dose d'entretien habituelle : 4 mg/jour (immédiate) ou 4–8 mg LP/jour.</w:t>
      </w:r>
    </w:p>
    <w:p>
      <w:pPr>
        <w:pStyle w:val="ListBullet"/>
      </w:pPr>
      <w:r>
        <w:t>Sujet âgé : démarrer à 0,5 mg le soir (1/2 comprimé sécable 1 mg) — surveillance stricte de la PA orthostatique. Préférer la forme LP.</w:t>
      </w:r>
    </w:p>
    <w:p>
      <w:pPr>
        <w:pStyle w:val="ListBullet"/>
      </w:pPr>
      <w:r>
        <w:t>Enfant : non recommandé.</w:t>
      </w:r>
    </w:p>
    <w:p>
      <w:pPr>
        <w:pStyle w:val="ListBullet"/>
      </w:pPr>
      <w:r>
        <w:t>Insuffisant hépatique modéré : démarrer à 0,5 mg, surveillance. CI absolue si insuffisance hépatique sévère.</w:t>
      </w:r>
    </w:p>
    <w:p>
      <w:pPr>
        <w:pStyle w:val="ListBullet"/>
      </w:pPr>
      <w:r>
        <w:t>Insuffisant rénal : pas d'adaptation posologique (métabolisme hépatique).</w:t>
      </w:r>
    </w:p>
    <w:p>
      <w:pPr>
        <w:pStyle w:val="ListBullet"/>
      </w:pPr>
      <w:r>
        <w:t>Durée : au long cours pour l'HBP chronique et l'HTA. Ne jamais arrêter brutalement (rebond hypertensif possible, surtout HTA).</w:t>
      </w:r>
    </w:p>
    <w:p>
      <w:pPr>
        <w:pStyle w:val="ListBullet"/>
      </w:pPr>
      <w:r>
        <w:t xml:space="preserve">Moment de prise : </w:t>
      </w:r>
      <w:r>
        <w:rPr>
          <w:b/>
        </w:rPr>
        <w:t>première dose le soir au coucher</w:t>
      </w:r>
      <w:r>
        <w:t xml:space="preserve"> (essentiel — prévention de l'hypotension orthostatique de première dose), à jeun (et non au cours d'un repas — la forme LP doit être prise à distance des repas). Forme immédiate : 1 prise/jour à heure fixe (le soir au coucher). Forme LP : 1 prise/jour le matin ou le soir au coucher (à jeun).</w:t>
      </w:r>
    </w:p>
    <w:p>
      <w:r/>
      <w:r>
        <w:rPr>
          <w:b/>
        </w:rPr>
        <w:t>Arbitrage et Bénéfices des Formes Galéniques :</w:t>
      </w:r>
      <w:r/>
    </w:p>
    <w:p>
      <w:r>
        <w:t xml:space="preserve">La doxazosine est disponible en Algérie en deux formulations : (1) </w:t>
      </w:r>
      <w:r>
        <w:rPr>
          <w:b/>
        </w:rPr>
        <w:t>forme immédiate</w:t>
      </w:r>
      <w:r>
        <w:t xml:space="preserve"> (1, 2, 4 mg comprimés sécables ou non) — pour la titration progressive (démarrage à 1 mg le soir au coucher, augmentation par paliers) et pour l'entretien à doses modérées (2–4 mg/jour) ; (2) </w:t>
      </w:r>
      <w:r>
        <w:rPr>
          <w:b/>
        </w:rPr>
        <w:t>forme LP</w:t>
      </w:r>
      <w:r>
        <w:t xml:space="preserve"> (4 et 8 mg comprimés LP — DOXALAR LP, DOXAMEX LP, ZOXAN LP) — pour l'entretien à long terme, en une prise unique quotidienne. La forme LP minimise l'hypotension orthostatique de première dose (libération lente sur 24 h, sans pic de concentration) — recommandée chez le sujet âgé fragile et en cas d'intolérance à la forme immédiate. La forme LP doit être prise à jeun (l'alimentation augmente le pic de concentration, majorant l'hypotension orthostatique — paradoxalement, à éviter avec la forme LP). Le comprimé LP ne doit pas être croqué ni écrasé (libération prolongée altérée). Avantage pratique : la titration est simple (1 → 2 → 4 mg/jour en immédiate, puis 4 → 8 mg LP/jour en LP). Inconvénient : l'hypotension orthostatique de première dose impose une période d'adaptation (première dose au coucher, surveillance 6–8 h). La substitution entre les marques (DOXALAR, CARDOX, CARDULAR, DOXACARD, DOXAZOSINE BEKER, ZODURA, ZOXAN LP) est possible sans surveillance supplémentaire (bioéquivalence démontrée). Le pharmacien doit vérifier que le patient a bien reçu la consigne de "première dose au coucher".</w:t>
      </w:r>
    </w:p>
    <w:p>
      <w:r/>
      <w:r>
        <w:rPr>
          <w:b/>
        </w:rPr>
        <w:t>Instructions et Conseils au Patient :</w:t>
      </w:r>
      <w:r/>
    </w:p>
    <w:p>
      <w:pPr>
        <w:pStyle w:val="ListBullet"/>
      </w:pPr>
      <w:r>
        <w:t xml:space="preserve">Communication au comptoir : « Ce médicament est un alpha-bloquant. Il est prescrit pour traiter votre </w:t>
      </w:r>
      <w:r>
        <w:rPr>
          <w:b/>
        </w:rPr>
        <w:t>hypertrophie bénigne de la prostate</w:t>
      </w:r>
      <w:r>
        <w:t xml:space="preserve"> (HBP) — il relâche les muscles de la prostate et améliore la miction. Il peut aussi faire baisser la tension. </w:t>
      </w:r>
      <w:r>
        <w:rPr>
          <w:b/>
        </w:rPr>
        <w:t>Pour la première prise, prenez le comprimé le soir au coucher, et restez allongé 6 à 8 heures</w:t>
      </w:r>
      <w:r>
        <w:t xml:space="preserve"> — il y a un risque de </w:t>
      </w:r>
      <w:r>
        <w:rPr>
          <w:b/>
        </w:rPr>
        <w:t>vertiges</w:t>
      </w:r>
      <w:r>
        <w:t xml:space="preserve"> ou de </w:t>
      </w:r>
      <w:r>
        <w:rPr>
          <w:b/>
        </w:rPr>
        <w:t>malaise</w:t>
      </w:r>
      <w:r>
        <w:t xml:space="preserve"> en se levant (hypotension orthostatique), surtout au début. Quand vous vous levez (du lit, d'un fauteuil), levez-vous </w:t>
      </w:r>
      <w:r>
        <w:rPr>
          <w:b/>
        </w:rPr>
        <w:t>doucement, en restant assis 3 minutes avant de vous mettre debout</w:t>
      </w:r>
      <w:r>
        <w:t xml:space="preserve">. Évitez de changer de position brutalement. Les autres effets possibles sont : </w:t>
      </w:r>
      <w:r>
        <w:rPr>
          <w:b/>
        </w:rPr>
        <w:t>maux de tête</w:t>
      </w:r>
      <w:r>
        <w:t xml:space="preserve">, </w:t>
      </w:r>
      <w:r>
        <w:rPr>
          <w:b/>
        </w:rPr>
        <w:t>fatigue</w:t>
      </w:r>
      <w:r>
        <w:t xml:space="preserve">, </w:t>
      </w:r>
      <w:r>
        <w:rPr>
          <w:b/>
        </w:rPr>
        <w:t>palpitations</w:t>
      </w:r>
      <w:r>
        <w:t xml:space="preserve">, parfois </w:t>
      </w:r>
      <w:r>
        <w:rPr>
          <w:b/>
        </w:rPr>
        <w:t>éjaculation rétrograde</w:t>
      </w:r>
      <w:r>
        <w:t xml:space="preserve"> (sperme qui remonte dans la vessie — bénin mais à signaler). En cas d'</w:t>
      </w:r>
      <w:r>
        <w:rPr>
          <w:b/>
        </w:rPr>
        <w:t>érection prolongée</w:t>
      </w:r>
      <w:r>
        <w:t xml:space="preserve"> douloureuse sans stimulation (plus de 4 heures), </w:t>
      </w:r>
      <w:r>
        <w:rPr>
          <w:b/>
        </w:rPr>
        <w:t>consultez immédiatement aux urgences</w:t>
      </w:r>
      <w:r>
        <w:t xml:space="preserve"> (risque de lésion définitive). Si vous devez avoir une </w:t>
      </w:r>
      <w:r>
        <w:rPr>
          <w:b/>
        </w:rPr>
        <w:t>opération de la cataracte</w:t>
      </w:r>
      <w:r>
        <w:t>, prévenez votre ophtalmologiste. Évitez l'alcool. »</w:t>
      </w:r>
    </w:p>
    <w:p>
      <w:pPr>
        <w:pStyle w:val="ListBullet"/>
      </w:pPr>
      <w:r>
        <w:t>Mode d'utilisation pratique : (a) Première dose le soir au coucher (essentiel), rester allongé 6–8 h ; (b) Aux doses suivantes, prendre à heure fixe (le soir au coucher de préférence pour la forme immédiate ; le matin ou le soir pour la forme LP — mais à jeun) ; (c) En cas d'oubli : ne pas doubler la dose ; (d) Se lever doucement (3 minutes assis avant de se mettre debout) ; (e) Mesurer la TA et le pouls régulièrement ; (f) Consulter le médecin si vertiges persistants, malaises, ou si TA &lt; 100/60.</w:t>
      </w:r>
    </w:p>
    <w:p>
      <w:r/>
      <w:r>
        <w:rPr>
          <w:b/>
        </w:rPr>
        <w:t>Notes, Règles d'Or &amp; Pièges au Comptoir :</w:t>
      </w:r>
      <w:r/>
    </w:p>
    <w:p>
      <w:pPr>
        <w:pStyle w:val="ListBullet"/>
      </w:pPr>
      <w:r/>
      <w:r>
        <w:rPr>
          <w:b/>
        </w:rPr>
        <w:t>Piège classique — Hypotension orthostatique de première dose</w:t>
      </w:r>
      <w:r>
        <w:t xml:space="preserve"> : la doxazosine (comme tous les alpha-bloquants vasculaires) provoque une hypotension orthostatique marquée à la première prise. La prévention repose sur : (a) première dose au coucher le soir ; (b) titration progressive (1 mg → 2 mg → 4 mg → 8 mg) ; (c) forme LP à privilégier ; (d) surveillance de la PA orthostatique. Chez le sujet âgé fragile, ce risque peut entraîner des chutes avec fracture du col du fémur — à évaluer soigneusement.</w:t>
      </w:r>
    </w:p>
    <w:p>
      <w:pPr>
        <w:pStyle w:val="ListBullet"/>
      </w:pPr>
      <w:r/>
      <w:r>
        <w:rPr>
          <w:b/>
        </w:rPr>
        <w:t>Piège — ALLHAT</w:t>
      </w:r>
      <w:r>
        <w:t xml:space="preserve"> : la doxazosine ne doit pas être utilisée en </w:t>
      </w:r>
      <w:r>
        <w:rPr>
          <w:b/>
        </w:rPr>
        <w:t>1re intention</w:t>
      </w:r>
      <w:r>
        <w:t xml:space="preserve"> dans l'HTA non compliquée (surmortalité cardiovasculaire et IC selon ALLHAT). À réserver à l'HTA réfractaire ou au patient avec HBP associée (double indication).</w:t>
      </w:r>
    </w:p>
    <w:p>
      <w:pPr>
        <w:pStyle w:val="ListBullet"/>
      </w:pPr>
      <w:r/>
      <w:r>
        <w:rPr>
          <w:b/>
        </w:rPr>
        <w:t>Piège — Association aux PDE5</w:t>
      </w:r>
      <w:r>
        <w:t xml:space="preserve"> (sildénafil, tadalafil) : risque d'hypotension sévère. Démarrer la PDE5 à dose minimale.</w:t>
      </w:r>
    </w:p>
    <w:p>
      <w:pPr>
        <w:pStyle w:val="ListBullet"/>
      </w:pPr>
      <w:r/>
      <w:r>
        <w:rPr>
          <w:b/>
        </w:rPr>
        <w:t>Piège — Chirurgie de la cataracte</w:t>
      </w:r>
      <w:r>
        <w:t xml:space="preserve"> : risque d'IFIS (moins marqué qu'avec la tamsulosine mais présent). Information préopératoire.</w:t>
      </w:r>
    </w:p>
    <w:p>
      <w:pPr>
        <w:pStyle w:val="ListBullet"/>
      </w:pPr>
      <w:r/>
      <w:r>
        <w:rPr>
          <w:b/>
        </w:rPr>
        <w:t>Piège — Priapisme</w:t>
      </w:r>
      <w:r>
        <w:t xml:space="preserve"> : urgence urologique — consulter immédiatement (&lt; 6 heures pour préserver la fonction érectile).</w:t>
      </w:r>
    </w:p>
    <w:p>
      <w:pPr>
        <w:pStyle w:val="ListBullet"/>
      </w:pPr>
      <w:r/>
      <w:r>
        <w:rPr>
          <w:b/>
        </w:rPr>
        <w:t>Piège — Substitution par tamsulosine ou alfuzosine</w:t>
      </w:r>
      <w:r>
        <w:t xml:space="preserve"> : la doxazosine est moins urosélective que la tamsulosine (effet antihypertenseur plus marqué). La substitution doit être encadrée médicalement.</w:t>
      </w:r>
    </w:p>
    <w:p>
      <w:pPr>
        <w:pStyle w:val="ListBullet"/>
      </w:pPr>
      <w:r/>
      <w:r>
        <w:rPr>
          <w:b/>
        </w:rPr>
        <w:t>Piège — Sujet âgé fragile</w:t>
      </w:r>
      <w:r>
        <w:t xml:space="preserve"> : à éviter en 1re intention (risque de chute et de fracture du col du fémur).</w:t>
      </w:r>
    </w:p>
    <w:p>
      <w:pPr>
        <w:pStyle w:val="ListBullet"/>
      </w:pPr>
      <w:r/>
      <w:r>
        <w:rPr>
          <w:b/>
        </w:rPr>
        <w:t>Piège — Forme LP vs immédiate</w:t>
      </w:r>
      <w:r>
        <w:t xml:space="preserve"> : la forme LP a une cinétique plus lente et minimise l'hypotension orthostatique — à privilégier chez le sujet âgé ou en cas d'intolérance à la forme immédiate. Mais la forme LP doit être prise à jeun (alimentation augmente le pic).</w:t>
      </w:r>
    </w:p>
    <w:p>
      <w:pPr>
        <w:pStyle w:val="ListBullet"/>
      </w:pPr>
      <w:r/>
      <w:r>
        <w:rPr>
          <w:b/>
        </w:rPr>
        <w:t>Règle de prise</w:t>
      </w:r>
      <w:r>
        <w:t xml:space="preserve"> : première dose au coucher, puis à heure fixe à vie.</w:t>
      </w:r>
    </w:p>
    <w:p>
      <w:pPr>
        <w:pStyle w:val="ListBullet"/>
      </w:pPr>
      <w:r/>
      <w:r>
        <w:rPr>
          <w:b/>
        </w:rPr>
        <w:t>Préparation et Conservation</w:t>
      </w:r>
      <w:r>
        <w:t xml:space="preserve"> : conserver à &lt; 25 °C, à l'abri de l'humidité. Comprimés LP à ne pas croquer.</w:t>
      </w:r>
    </w:p>
    <w:p>
      <w:pPr>
        <w:pStyle w:val="ListBullet"/>
      </w:pPr>
      <w:r/>
      <w:r>
        <w:rPr>
          <w:b/>
        </w:rPr>
        <w:t>Piège du surdosage</w:t>
      </w:r>
      <w:r>
        <w:t xml:space="preserve"> : surdosage massif → hypotension sévère, tachycardie réflexe, vertiges, syncope. </w:t>
      </w:r>
      <w:r>
        <w:rPr>
          <w:b/>
        </w:rPr>
        <w:t>Traitement</w:t>
      </w:r>
      <w:r>
        <w:t xml:space="preserve"> : arrêt immédiat, position allongée jambes surélevées, remplissage vasculaire (NaCl 0,9 %), adrénaline IV si collapsus. Ne pas utiliser d'α-agonistes (phényléphrine) en première intention (rétention urinaire aiguë possible chez le sujet avec HBP).</w:t>
      </w:r>
    </w:p>
    <w:p>
      <w:pPr>
        <w:pStyle w:val="Heading3"/>
      </w:pPr>
      <w:r>
        <w:t>13. DCI : Alfuzosine (Seule)</w:t>
      </w:r>
    </w:p>
    <w:p>
      <w:r/>
      <w:r>
        <w:rPr>
          <w:b/>
        </w:rPr>
        <w:t>Liste des Catégories :</w:t>
      </w:r>
      <w:r>
        <w:t xml:space="preserve"> Alpha-bloquants postsynaptiques (urologie) ; Traitement de l'hypertrophie bénigne de la prostate (HBP).</w:t>
      </w:r>
    </w:p>
    <w:p>
      <w:r>
        <w:t xml:space="preserve">L'alfuzosine (chlorhydrate de N-[3-[(4-amino-6,7-diméthoxyquinazolin-2-yl)méthylamino]propyl]tétrahydrofuran-2-carboxamide) est un alpha-bloquant urologique dérivé des quinazolines, commercialisée dès 1988 par Synthélabo (devenu Sanofi) sous le nom de Xatral®. Sa structure chimique — une tétrahydrofuran-2-carboxamide substituée par une quinazoline — diffère de la prazosine et de la doxazosine par la chaîne latérale. Elle présente une </w:t>
      </w:r>
      <w:r>
        <w:rPr>
          <w:b/>
        </w:rPr>
        <w:t>sélectivité α1 postsynaptique pour les récepteurs prostatiques</w:t>
      </w:r>
      <w:r>
        <w:t xml:space="preserve"> (α1A prédominant — représentant 75 % des récepteurs prostatiques), avec une moindre affinité pour les α1B vasculaires. Cette sélectivité relative — appelée "urosélectivité" — explique son effet bénéfique sur la dysurie de l'HBP avec un moindre retentissement tensionnel que la doxazosine. L'alfuzosine n'est pas aussi sélective que la tamsulosine (α1A haute affinité), mais reste nettement moins hypotenseur que la prazosine ou la doxazosine. La forme LP à 10 mg en une prise unique (Xatral LP, Fraxal LP, Prostax LP, etc.) a supplanté les formes 5 mg (à prendre 2 fois/jour). La prise est recommandée </w:t>
      </w:r>
      <w:r>
        <w:rPr>
          <w:b/>
        </w:rPr>
        <w:t>au cours d'un repas du soir</w:t>
      </w:r>
      <w:r>
        <w:t>, pour minimiser l'hypotension orthostatique et optimiser la biodisponibilité (absorption augmentée par la nourriture). L'alfuzosine a un avantage par rapport à la tamsulosine : moins d'éjaculation rétrograde (parce que moins sélective α1A sur le col vésical). Elle ne pose pas le problème du syndrome "floppy iris" (IFIS) en chirurgie de la cataracte de manière aussi marquée que la tamsulosine (mais ce syndrome est décrit avec tous les alpha-bloquants, à un moindre degré). En Algérie, l'alfuzosine est largement disponible sous plusieurs spécialités actives, en dosages 5 mg et 10 mg LP — principale indication : HBP symptomatique.</w:t>
      </w:r>
    </w:p>
    <w:p>
      <w:r/>
      <w:r>
        <w:rPr>
          <w:b/>
        </w:rPr>
        <w:t>Médicaments disponibles en Algérie (Marques, Laboratoires, Formes et Dosages) :</w:t>
      </w:r>
      <w:r/>
    </w:p>
    <w:p>
      <w:r>
        <w:t>Forme orale 5 mg LP (comprimé pelliculé LP — 2 prises/jour, ancienne forme) :</w:t>
      </w:r>
    </w:p>
    <w:p>
      <w:pPr>
        <w:pStyle w:val="ListBullet"/>
      </w:pPr>
      <w:r/>
      <w:r>
        <w:rPr>
          <w:b/>
        </w:rPr>
        <w:t>FRAXAL LP</w:t>
      </w:r>
      <w:r>
        <w:t xml:space="preserve"> (FRATER-RAZES FORME SECHE) — Comprimé pelliculé LP 5 mg, B/60 — Liste I — Actif</w:t>
      </w:r>
    </w:p>
    <w:p>
      <w:pPr>
        <w:pStyle w:val="ListBullet"/>
      </w:pPr>
      <w:r/>
      <w:r>
        <w:rPr>
          <w:b/>
        </w:rPr>
        <w:t>XATRAL LP</w:t>
      </w:r>
      <w:r>
        <w:t xml:space="preserve"> (SANOFI AVENTIS FRANCE) — Comprimé pelliculé LP 5 mg, B/56 — Liste I (vide pour la liste — non précisée) — Actif (princeps)</w:t>
      </w:r>
    </w:p>
    <w:p>
      <w:pPr>
        <w:pStyle w:val="ListBullet"/>
      </w:pPr>
      <w:r/>
      <w:r>
        <w:rPr>
          <w:b/>
        </w:rPr>
        <w:t>ZAPRAL</w:t>
      </w:r>
      <w:r>
        <w:t xml:space="preserve"> (LABORATOIRE MOBEN) — Comprimé pelliculé LP 5 mg, B/56 — Liste I — Actif</w:t>
      </w:r>
    </w:p>
    <w:p>
      <w:r>
        <w:t>Forme orale 10 mg LP (comprimé pelliculé LP — 1 prise/jour au cours d'un repas du soir, forme moderne) :</w:t>
      </w:r>
    </w:p>
    <w:p>
      <w:pPr>
        <w:pStyle w:val="ListBullet"/>
      </w:pPr>
      <w:r/>
      <w:r>
        <w:rPr>
          <w:b/>
        </w:rPr>
        <w:t>ALFUZOX LP</w:t>
      </w:r>
      <w:r>
        <w:t xml:space="preserve"> (SPA UNION PHARMACEUTIQUE CONSTANTINOISE PRODUCTION) — Comprimé pelliculé LP 10 mg, B/30 — Liste I — Actif</w:t>
      </w:r>
    </w:p>
    <w:p>
      <w:pPr>
        <w:pStyle w:val="ListBullet"/>
      </w:pPr>
      <w:r/>
      <w:r>
        <w:rPr>
          <w:b/>
        </w:rPr>
        <w:t>FRAXAL</w:t>
      </w:r>
      <w:r>
        <w:t xml:space="preserve"> (LES LABORATOIRES FRATER RAZES) — Comprimé pelliculé LP 10 mg, B/30 — Liste I — Actif</w:t>
      </w:r>
    </w:p>
    <w:p>
      <w:pPr>
        <w:pStyle w:val="ListBullet"/>
      </w:pPr>
      <w:r/>
      <w:r>
        <w:rPr>
          <w:b/>
        </w:rPr>
        <w:t>FRAXAL LP</w:t>
      </w:r>
      <w:r>
        <w:t xml:space="preserve"> (FRATER-RAZES FORME SECHE) — Comprimé pelliculé LP 10 mg, B/30 — Liste I — Actif</w:t>
      </w:r>
    </w:p>
    <w:p>
      <w:pPr>
        <w:pStyle w:val="ListBullet"/>
      </w:pPr>
      <w:r/>
      <w:r>
        <w:rPr>
          <w:b/>
        </w:rPr>
        <w:t>PROSTAX LP</w:t>
      </w:r>
      <w:r>
        <w:t xml:space="preserve"> (EL KENDI INDUSTRIE DU MEDICAMENT) — Comprimé pelliculé LP 10 mg, B/30 — Liste I — Actif</w:t>
      </w:r>
    </w:p>
    <w:p>
      <w:pPr>
        <w:pStyle w:val="ListBullet"/>
      </w:pPr>
      <w:r/>
      <w:r>
        <w:rPr>
          <w:b/>
        </w:rPr>
        <w:t>PROSTAZINE</w:t>
      </w:r>
      <w:r>
        <w:t xml:space="preserve"> (BIOGALENIC) — Comprimé pelliculé LP 10 mg, B/30 — Liste I — Actif</w:t>
      </w:r>
    </w:p>
    <w:p>
      <w:pPr>
        <w:pStyle w:val="ListBullet"/>
      </w:pPr>
      <w:r/>
      <w:r>
        <w:rPr>
          <w:b/>
        </w:rPr>
        <w:t>XAPROST LP</w:t>
      </w:r>
      <w:r>
        <w:t xml:space="preserve"> (HUPP PHARMA) — Comprimé pelliculé LP 10 mg, B/30 — Liste I — Actif</w:t>
      </w:r>
    </w:p>
    <w:p>
      <w:pPr>
        <w:pStyle w:val="ListBullet"/>
      </w:pPr>
      <w:r/>
      <w:r>
        <w:rPr>
          <w:b/>
        </w:rPr>
        <w:t>ZAPRAL LP</w:t>
      </w:r>
      <w:r>
        <w:t xml:space="preserve"> (LABORATOIRE MOBEN) — Comprimé pelliculé LP 10 mg, B/30 — Liste I — Actif</w:t>
      </w:r>
    </w:p>
    <w:p>
      <w:r>
        <w:t>Spécialité Retirée (R) :</w:t>
      </w:r>
    </w:p>
    <w:p>
      <w:pPr>
        <w:pStyle w:val="ListBullet"/>
      </w:pPr>
      <w:r/>
      <w:r>
        <w:rPr>
          <w:b/>
        </w:rPr>
        <w:t>XATRAL LP</w:t>
      </w:r>
      <w:r>
        <w:t xml:space="preserve"> (SANOFI AVENTIS) — Comprimé LP 10 mg, B/30 — Retiré (R) — ancien princeps 10 mg</w:t>
      </w:r>
    </w:p>
    <w:p>
      <w:r/>
      <w:r>
        <w:rPr>
          <w:b/>
        </w:rPr>
        <w:t>Sous-classe et Mécanisme d'action :</w:t>
      </w:r>
      <w:r/>
    </w:p>
    <w:p>
      <w:pPr>
        <w:pStyle w:val="ListBullet"/>
      </w:pPr>
      <w:r>
        <w:t>Sous-classe : alpha-bloquant postsynaptique urologique, dérivé quinazolines, sélectif α1 (avec urosélectivité relative — affinité prédominante pour les α1A prostatiques).</w:t>
      </w:r>
    </w:p>
    <w:p>
      <w:pPr>
        <w:pStyle w:val="ListBullet"/>
      </w:pPr>
      <w:r>
        <w:t xml:space="preserve">Mécanisme d'action : l'alfuzosine se lie compétitivement aux récepteurs </w:t>
      </w:r>
      <w:r>
        <w:rPr>
          <w:b/>
        </w:rPr>
        <w:t>α1 postsynaptiques</w:t>
      </w:r>
      <w:r>
        <w:t xml:space="preserve"> du muscle lisse prostatique (stroma, capsule, col vésical, urètre prostatique). La sélectivité pour les α1A prédominants dans la prostate (75 % des récepteurs prostatiques) explique son effet bénéfique sur la dysurie de l'HBP. Le blocage de ces récepteurs abolit la contraction adrénergique du stroma et de la capsule prostatique → relâchement → amélioration du débit urinaire, réduction de la pression intraurétrale et de la résistance à l'écoulement. Effets : (a) </w:t>
      </w:r>
      <w:r>
        <w:rPr>
          <w:b/>
        </w:rPr>
        <w:t>amélioration du score IPSS</w:t>
      </w:r>
      <w:r>
        <w:t xml:space="preserve"> (International Prostate Symptom Score) en 1–2 semaines — baisse de 30–40 % du score ; (b) </w:t>
      </w:r>
      <w:r>
        <w:rPr>
          <w:b/>
        </w:rPr>
        <w:t>augmentation du Qmax</w:t>
      </w:r>
      <w:r>
        <w:t xml:space="preserve"> (débit urinaire maximum) de 20–30 % en 2–4 semaines ; (c) </w:t>
      </w:r>
      <w:r>
        <w:rPr>
          <w:b/>
        </w:rPr>
        <w:t>effet antihypertenseur modéré</w:t>
      </w:r>
      <w:r>
        <w:t xml:space="preserve"> (baisse de 5–10 mmHg de la PAS, moindre que la doxazosine en raison de la urosélectivité) — pas d'indication pour l'HTA. L'alfuzosine ne modifie pas le volume prostatique et n'a pas d'effet préventif sur la progression de l'HBP (contrairement aux inhibiteurs de la 5α-réductase — finastéride, dutastéride — qui réduisent le volume mais agissent en 6 mois). L'association alfuzosine + finastéride ou dutastéride est utilisée dans l'HBP volumineuse (essai MTOPS, 2003 — réduction de la progression clinique).</w:t>
      </w:r>
    </w:p>
    <w:p>
      <w:r/>
      <w:r>
        <w:rPr>
          <w:b/>
        </w:rPr>
        <w:t>Profil Pharmacologique :</w:t>
      </w:r>
      <w:r/>
    </w:p>
    <w:p>
      <w:pPr>
        <w:pStyle w:val="ListBullet"/>
      </w:pPr>
      <w:r>
        <w:t xml:space="preserve">Indications : (1) </w:t>
      </w:r>
      <w:r>
        <w:rPr>
          <w:b/>
        </w:rPr>
        <w:t>Traitement symptomatique de l'hypertrophie bénigne de la prostate (HBP) modérée à sévère</w:t>
      </w:r>
      <w:r>
        <w:t xml:space="preserve"> — score IPSS &gt; 8 — soulagement rapide (1–2 semaines) de la dysurie, du jet faible, de la pollakiurie, des mictions impérieuses. Indication de choix de l'alfuzosine aujourd'hui. (2) </w:t>
      </w:r>
      <w:r>
        <w:rPr>
          <w:b/>
        </w:rPr>
        <w:t>HBP + HTA associées</w:t>
      </w:r>
      <w:r>
        <w:t xml:space="preserve"> — l'alfuzosine a un effet antihypertenseur trop modéré pour traiter l'HTA seule, mais peut contribuer à la baisse tensionnelle chez le patient hypertendu présentant une HBP (alternative à la doxazosine qui a un effet antihypertenseur plus marqué mais aussi plus d'effets indésirables vasculaires). (3) </w:t>
      </w:r>
      <w:r>
        <w:rPr>
          <w:b/>
        </w:rPr>
        <w:t>Traitement adjuvant de l'hypertrophie prostatique volumineuse</w:t>
      </w:r>
      <w:r>
        <w:t xml:space="preserve"> — en association avec un inhibiteur de la 5α-réductase (finastéride, dutastéride) — l'alfuzosine agit sur les symptômes en 1–2 semaines, le finastéride/dutastéride réduit le volume en 6 mois.</w:t>
      </w:r>
    </w:p>
    <w:p>
      <w:pPr>
        <w:pStyle w:val="ListBullet"/>
      </w:pPr>
      <w:r>
        <w:t xml:space="preserve">Contre-indications : (1) </w:t>
      </w:r>
      <w:r>
        <w:rPr>
          <w:b/>
        </w:rPr>
        <w:t>Hypersensibilité aux quinazolines</w:t>
      </w:r>
      <w:r>
        <w:t xml:space="preserve"> (alfuzosine, prazosine, térazosine, doxazosine) ; (2) </w:t>
      </w:r>
      <w:r>
        <w:rPr>
          <w:b/>
        </w:rPr>
        <w:t>Hypotension orthostatique</w:t>
      </w:r>
      <w:r>
        <w:t xml:space="preserve"> actuelle ou antécédents de malaise lipothymique à l'orthostatisme ; (3) </w:t>
      </w:r>
      <w:r>
        <w:rPr>
          <w:b/>
        </w:rPr>
        <w:t>Insuffisance hépatique sévère</w:t>
      </w:r>
      <w:r>
        <w:t xml:space="preserve"> (CI absolue — l'alfuzosine est métabolisée par le foie — Child-Pugh C) ; (4) </w:t>
      </w:r>
      <w:r>
        <w:rPr>
          <w:b/>
        </w:rPr>
        <w:t>Insuffisance rénale sévère</w:t>
      </w:r>
      <w:r>
        <w:t xml:space="preserve"> (DFG &lt; 30 mL/min — adaptation posologique nécessaire) ; (5) </w:t>
      </w:r>
      <w:r>
        <w:rPr>
          <w:b/>
        </w:rPr>
        <w:t>Antécédent d'hypotension sévère</w:t>
      </w:r>
      <w:r>
        <w:t xml:space="preserve"> sous alpha-bloquants ; (6) </w:t>
      </w:r>
      <w:r>
        <w:rPr>
          <w:b/>
        </w:rPr>
        <w:t>Association à d'autres alpha-bloquants</w:t>
      </w:r>
      <w:r>
        <w:t xml:space="preserve"> (CI absolue — potentialisation) ; (7) </w:t>
      </w:r>
      <w:r>
        <w:rPr>
          <w:b/>
        </w:rPr>
        <w:t>Grossesse</w:t>
      </w:r>
      <w:r>
        <w:t xml:space="preserve"> (CI par prudence — pas d'indication chez la femme) ; (8) </w:t>
      </w:r>
      <w:r>
        <w:rPr>
          <w:b/>
        </w:rPr>
        <w:t>Allaitement</w:t>
      </w:r>
      <w:r>
        <w:t xml:space="preserve"> (CI par prudence — pas d'indication chez la femme) ; (9) </w:t>
      </w:r>
      <w:r>
        <w:rPr>
          <w:b/>
        </w:rPr>
        <w:t>Enfant</w:t>
      </w:r>
      <w:r>
        <w:t xml:space="preserve"> (pas d'indication pédiatrique) ; (10) </w:t>
      </w:r>
      <w:r>
        <w:rPr>
          <w:b/>
        </w:rPr>
        <w:t>Cataracte programmée</w:t>
      </w:r>
      <w:r>
        <w:t xml:space="preserve"> (à évaluer — syndrome "floppy iris" possible en chirurgie de la cataracte, moins marqué qu'avec la tamsulosine mais présent).</w:t>
      </w:r>
    </w:p>
    <w:p>
      <w:pPr>
        <w:pStyle w:val="ListBullet"/>
      </w:pPr>
      <w:r>
        <w:t xml:space="preserve">Effets Indésirables : (1) </w:t>
      </w:r>
      <w:r>
        <w:rPr>
          <w:b/>
        </w:rPr>
        <w:t>Hypotension orthostatique</w:t>
      </w:r>
      <w:r>
        <w:t xml:space="preserve"> (3–5 % — moins marquée qu'avec la doxazosine, mais présente — surtout en début de traitement et chez le sujet âgé) ; (2) </w:t>
      </w:r>
      <w:r>
        <w:rPr>
          <w:b/>
        </w:rPr>
        <w:t>Vertiges, sensations vertigineuses</w:t>
      </w:r>
      <w:r>
        <w:t xml:space="preserve"> (5–10 %) ; (3) </w:t>
      </w:r>
      <w:r>
        <w:rPr>
          <w:b/>
        </w:rPr>
        <w:t>Céphalées</w:t>
      </w:r>
      <w:r>
        <w:t xml:space="preserve"> (3–5 %) ; (4) </w:t>
      </w:r>
      <w:r>
        <w:rPr>
          <w:b/>
        </w:rPr>
        <w:t>Asthenie, fatigue</w:t>
      </w:r>
      <w:r>
        <w:t xml:space="preserve"> (3–5 %) ; (5) </w:t>
      </w:r>
      <w:r>
        <w:rPr>
          <w:b/>
        </w:rPr>
        <w:t>Palpitations</w:t>
      </w:r>
      <w:r>
        <w:t xml:space="preserve"> (2–3 %, tachycardie réflexe modérée) ; (6) </w:t>
      </w:r>
      <w:r>
        <w:rPr>
          <w:b/>
        </w:rPr>
        <w:t>Nausées, troubles digestifs</w:t>
      </w:r>
      <w:r>
        <w:t xml:space="preserve"> (3 %) ; (7) </w:t>
      </w:r>
      <w:r>
        <w:rPr>
          <w:b/>
        </w:rPr>
        <w:t>Sécheresse buccale</w:t>
      </w:r>
      <w:r>
        <w:t xml:space="preserve"> (2 %) ; (8) </w:t>
      </w:r>
      <w:r>
        <w:rPr>
          <w:b/>
        </w:rPr>
        <w:t>Éjaculation rétrograde</w:t>
      </w:r>
      <w:r>
        <w:t xml:space="preserve"> (1–3 % — moins marquée qu'avec la tamsulosine — le relâchement du col vésical permet au sperme de refluer dans la vessie — bénin mais pouvant être mal vécu) ; (9) </w:t>
      </w:r>
      <w:r>
        <w:rPr>
          <w:b/>
        </w:rPr>
        <w:t>Syndrome de l'iris flasque peropératoire (IFIS)</w:t>
      </w:r>
      <w:r>
        <w:t xml:space="preserve"> (observé en chirurgie de la cataracte — moins marqué qu'avec la tamsulosine mais présent — information au chirurgien ophtalmologiste) ; (10) </w:t>
      </w:r>
      <w:r>
        <w:rPr>
          <w:b/>
        </w:rPr>
        <w:t>Priapisme</w:t>
      </w:r>
      <w:r>
        <w:t xml:space="preserve"> (très rare, &lt; 0,1 % — urgence urologique) ; (11) </w:t>
      </w:r>
      <w:r>
        <w:rPr>
          <w:b/>
        </w:rPr>
        <w:t>Rash cutané, prurit</w:t>
      </w:r>
      <w:r>
        <w:t xml:space="preserve"> (1 %) ; (12) </w:t>
      </w:r>
      <w:r>
        <w:rPr>
          <w:b/>
        </w:rPr>
        <w:t>Hypersensibilité</w:t>
      </w:r>
      <w:r>
        <w:t xml:space="preserve"> (rare — angio-oedème, éruption) ; (13) </w:t>
      </w:r>
      <w:r>
        <w:rPr>
          <w:b/>
        </w:rPr>
        <w:t>Tachycardie réflexe</w:t>
      </w:r>
      <w:r>
        <w:t xml:space="preserve"> (en début de traitement, modérée) ; (14) </w:t>
      </w:r>
      <w:r>
        <w:rPr>
          <w:b/>
        </w:rPr>
        <w:t>Œdèmes périphériques</w:t>
      </w:r>
      <w:r>
        <w:t xml:space="preserve"> (rare).</w:t>
      </w:r>
    </w:p>
    <w:p>
      <w:r/>
      <w:r>
        <w:rPr>
          <w:b/>
        </w:rPr>
        <w:t>Prévention et Gestion des Effets Indésirables :</w:t>
      </w:r>
      <w:r/>
    </w:p>
    <w:p>
      <w:pPr>
        <w:pStyle w:val="ListBullet"/>
      </w:pPr>
      <w:r>
        <w:t xml:space="preserve">Mesures Préventives : (a) </w:t>
      </w:r>
      <w:r>
        <w:rPr>
          <w:b/>
        </w:rPr>
        <w:t>Forme LP 10 mg en une prise unique au cours du repas du soir</w:t>
      </w:r>
      <w:r>
        <w:t xml:space="preserve"> (et non à jeun — l'alimentation augmente la biodisponibilité et minimise la variabilité) ; (b) Surveillance de la PA orthostatique en début de traitement (mesure couché et debout) ; (c) </w:t>
      </w:r>
      <w:r>
        <w:rPr>
          <w:b/>
        </w:rPr>
        <w:t>Information du patient</w:t>
      </w:r>
      <w:r>
        <w:t xml:space="preserve"> sur les symptômes de l'hypotension orthostatique (vertiges, lipothymies en se levant) et la conduite à tenir (se rasseoir ou s'allonger immédiatement, remonter lentement les jambes) ; (d) </w:t>
      </w:r>
      <w:r>
        <w:rPr>
          <w:b/>
        </w:rPr>
        <w:t>Information du chirurgien ophtalmologiste</w:t>
      </w:r>
      <w:r>
        <w:t xml:space="preserve"> si chirurgie de la cataracte prévue (risque d'IFIS) ; (e) </w:t>
      </w:r>
      <w:r>
        <w:rPr>
          <w:b/>
        </w:rPr>
        <w:t>Information du patient sur le priapisme</w:t>
      </w:r>
      <w:r>
        <w:t xml:space="preserve"> — consulter en urgence en cas d'érection prolongée (&gt; 4 heures) sans stimulation sexuelle.</w:t>
      </w:r>
    </w:p>
    <w:p>
      <w:pPr>
        <w:pStyle w:val="ListBullet"/>
      </w:pPr>
      <w:r>
        <w:t xml:space="preserve">Conduite à Tenir : (a) </w:t>
      </w:r>
      <w:r>
        <w:rPr>
          <w:b/>
        </w:rPr>
        <w:t>Hypotension orthostatique symptomatique</w:t>
      </w:r>
      <w:r>
        <w:t xml:space="preserve"> → revoir la dose, conseiller le lever progressif (3 minutes assis avant de se lever), enrichir l'alimentation en sel si nécessaire, bas de contention ; (b) </w:t>
      </w:r>
      <w:r>
        <w:rPr>
          <w:b/>
        </w:rPr>
        <w:t>Syncope</w:t>
      </w:r>
      <w:r>
        <w:t xml:space="preserve"> → arrêt transitoire, réévaluation médicale ; (c) </w:t>
      </w:r>
      <w:r>
        <w:rPr>
          <w:b/>
        </w:rPr>
        <w:t>Priapisme</w:t>
      </w:r>
      <w:r>
        <w:t xml:space="preserve"> → urgence urologique — consultation immédiate aux urgences ; (d) </w:t>
      </w:r>
      <w:r>
        <w:rPr>
          <w:b/>
        </w:rPr>
        <w:t>Éjaculation rétrograde</w:t>
      </w:r>
      <w:r>
        <w:t xml:space="preserve"> → information du patient (bénin mais pouvant être mal vécu), pas d'arrêt si bien toléré ; (e) </w:t>
      </w:r>
      <w:r>
        <w:rPr>
          <w:b/>
        </w:rPr>
        <w:t>IFIS</w:t>
      </w:r>
      <w:r>
        <w:t xml:space="preserve"> → information préopératoire du chirurgien ; (f) </w:t>
      </w:r>
      <w:r>
        <w:rPr>
          <w:b/>
        </w:rPr>
        <w:t>Rash cutané</w:t>
      </w:r>
      <w:r>
        <w:t xml:space="preserve"> → arrêt, antihistaminique si prurigineux.</w:t>
      </w:r>
    </w:p>
    <w:p>
      <w:r/>
      <w:r>
        <w:rPr>
          <w:b/>
        </w:rPr>
        <w:t>Interactions Importantes :</w:t>
      </w:r>
      <w:r/>
    </w:p>
    <w:p>
      <w:pPr>
        <w:pStyle w:val="ListBullet"/>
      </w:pPr>
      <w:r>
        <w:t xml:space="preserve">Alfuzosine + </w:t>
      </w:r>
      <w:r>
        <w:rPr>
          <w:b/>
        </w:rPr>
        <w:t>Autres alpha-bloquants</w:t>
      </w:r>
      <w:r>
        <w:t xml:space="preserve"> (doxazosine, prazosine, térazosine, tamsulosine, silodosine) : </w:t>
      </w:r>
      <w:r>
        <w:rPr>
          <w:b/>
        </w:rPr>
        <w:t>CI absolue</w:t>
      </w:r>
      <w:r>
        <w:t xml:space="preserve"> — potentialisation des effets (hypotension orthostatique, vertiges, syncope).</w:t>
      </w:r>
    </w:p>
    <w:p>
      <w:pPr>
        <w:pStyle w:val="ListBullet"/>
      </w:pPr>
      <w:r>
        <w:t xml:space="preserve">Alfuzosine + </w:t>
      </w:r>
      <w:r>
        <w:rPr>
          <w:b/>
        </w:rPr>
        <w:t>Inhibiteurs de la PDE5</w:t>
      </w:r>
      <w:r>
        <w:t xml:space="preserve"> (sildénafil, tadalafil, vardenafil) : potentialisation hypotensive — risque d'hypotension orthostatique sévère. Démarrer la PDE5 à dose minimale (sildénafil 25 mg), surveillance.</w:t>
      </w:r>
    </w:p>
    <w:p>
      <w:pPr>
        <w:pStyle w:val="ListBullet"/>
      </w:pPr>
      <w:r>
        <w:t xml:space="preserve">Alfuzosine + </w:t>
      </w:r>
      <w:r>
        <w:rPr>
          <w:b/>
        </w:rPr>
        <w:t>Vérapamil, diltiazem</w:t>
      </w:r>
      <w:r>
        <w:t xml:space="preserve"> (non-DHP) : majoration des concentrations d'alfuzosine par inhibition du CYP3A4 → hypotension orthostatique majorée. Surveillance, adaptation.</w:t>
      </w:r>
    </w:p>
    <w:p>
      <w:pPr>
        <w:pStyle w:val="ListBullet"/>
      </w:pPr>
      <w:r>
        <w:t xml:space="preserve">Alfuzosine + </w:t>
      </w:r>
      <w:r>
        <w:rPr>
          <w:b/>
        </w:rPr>
        <w:t>Inhibiteurs puissants du CYP3A4</w:t>
      </w:r>
      <w:r>
        <w:t xml:space="preserve"> (itraconazole, kétoconazole, clarithromycine, érythromycine, ritonavir) : majoration des concentrations d'alfuzosine → hypotension. Surveillance, adaptation.</w:t>
      </w:r>
    </w:p>
    <w:p>
      <w:pPr>
        <w:pStyle w:val="ListBullet"/>
      </w:pPr>
      <w:r>
        <w:t xml:space="preserve">Alfuzosine + </w:t>
      </w:r>
      <w:r>
        <w:rPr>
          <w:b/>
        </w:rPr>
        <w:t>Antihypertenseurs</w:t>
      </w:r>
      <w:r>
        <w:t xml:space="preserve"> (IEC, ARA2, diurétiques thiazidiques, ICA, β-bloquants) : potentialisation hypotensive modérée — surveillance orthostatique.</w:t>
      </w:r>
    </w:p>
    <w:p>
      <w:pPr>
        <w:pStyle w:val="ListBullet"/>
      </w:pPr>
      <w:r>
        <w:t xml:space="preserve">Alfuzosine + </w:t>
      </w:r>
      <w:r>
        <w:rPr>
          <w:b/>
        </w:rPr>
        <w:t>Alcool</w:t>
      </w:r>
      <w:r>
        <w:t xml:space="preserve"> : potentialisation hypotensive — éviter.</w:t>
      </w:r>
    </w:p>
    <w:p>
      <w:pPr>
        <w:pStyle w:val="ListBullet"/>
      </w:pPr>
      <w:r>
        <w:t xml:space="preserve">Alfuzosine + </w:t>
      </w:r>
      <w:r>
        <w:rPr>
          <w:b/>
        </w:rPr>
        <w:t>Anesthésiques généraux</w:t>
      </w:r>
      <w:r>
        <w:t xml:space="preserve"> : potentialisation hypotensive — prévenir l'anesthésiste.</w:t>
      </w:r>
    </w:p>
    <w:p>
      <w:pPr>
        <w:pStyle w:val="ListBullet"/>
      </w:pPr>
      <w:r>
        <w:t xml:space="preserve">Alfuzosine + </w:t>
      </w:r>
      <w:r>
        <w:rPr>
          <w:b/>
        </w:rPr>
        <w:t>Warfarine, AVK</w:t>
      </w:r>
      <w:r>
        <w:t xml:space="preserve"> : pas d'effet significatif (mais surveillance INR).</w:t>
      </w:r>
    </w:p>
    <w:p>
      <w:pPr>
        <w:pStyle w:val="ListBullet"/>
      </w:pPr>
      <w:r>
        <w:t xml:space="preserve">Alfuzosine + </w:t>
      </w:r>
      <w:r>
        <w:rPr>
          <w:b/>
        </w:rPr>
        <w:t>Statines</w:t>
      </w:r>
      <w:r>
        <w:t xml:space="preserve"> : pas d'interaction significative.</w:t>
      </w:r>
    </w:p>
    <w:p>
      <w:r/>
      <w:r>
        <w:rPr>
          <w:b/>
        </w:rPr>
        <w:t>Grossesse et Allaitement :</w:t>
      </w:r>
      <w:r/>
    </w:p>
    <w:p>
      <w:pPr>
        <w:pStyle w:val="ListBullet"/>
      </w:pPr>
      <w:r>
        <w:t xml:space="preserve">Grossesse : </w:t>
      </w:r>
      <w:r>
        <w:rPr>
          <w:b/>
        </w:rPr>
        <w:t>Pas d'indication chez la femme</w:t>
      </w:r>
      <w:r>
        <w:t xml:space="preserve"> (l'alfuzosine est indiquée uniquement dans l'HBP, pathologie masculine). En cas de prise accidentelle chez la femme enceinte, pas de signalement particulier de tératogénicité humaine, mais à éviter par prudence.</w:t>
      </w:r>
    </w:p>
    <w:p>
      <w:pPr>
        <w:pStyle w:val="ListBullet"/>
      </w:pPr>
      <w:r>
        <w:t xml:space="preserve">Allaitement : </w:t>
      </w:r>
      <w:r>
        <w:rPr>
          <w:b/>
        </w:rPr>
        <w:t>Pas d'indication chez la femme</w:t>
      </w:r>
      <w:r>
        <w:t>. En cas de prise accidentelle chez la femme allaitante, suspendre l'allaitement pendant 24 h après la dernière dose.</w:t>
      </w:r>
    </w:p>
    <w:p>
      <w:pPr>
        <w:pStyle w:val="ListBullet"/>
      </w:pPr>
      <w:r>
        <w:t>Précisions : L'alfuzosine est un médicament à usage masculin (HBP). Sa prescription chez la femme est exceptionnelle (rares indications hors AMM en dysurie d'origine neurologique féminine).</w:t>
      </w:r>
    </w:p>
    <w:p>
      <w:r/>
      <w:r>
        <w:rPr>
          <w:b/>
        </w:rPr>
        <w:t>Posologie et Mode d'administration (Standard) :</w:t>
      </w:r>
      <w:r/>
    </w:p>
    <w:p>
      <w:pPr>
        <w:pStyle w:val="ListBullet"/>
      </w:pPr>
      <w:r>
        <w:t xml:space="preserve">Adulte : </w:t>
      </w:r>
      <w:r>
        <w:rPr>
          <w:b/>
        </w:rPr>
        <w:t>Forme LP 10 mg</w:t>
      </w:r>
      <w:r>
        <w:t xml:space="preserve"> (recommandée) : 1 comprimé LP 10 mg/jour en une prise unique, </w:t>
      </w:r>
      <w:r>
        <w:rPr>
          <w:b/>
        </w:rPr>
        <w:t>au cours du repas du soir</w:t>
      </w:r>
      <w:r>
        <w:t xml:space="preserve"> (et non à jeun — l'alimentation augmente la biodisponibilité et minimise la variabilité). Dose maximale : 10 mg/jour. </w:t>
      </w:r>
      <w:r>
        <w:rPr>
          <w:b/>
        </w:rPr>
        <w:t>Forme LP 5 mg</w:t>
      </w:r>
      <w:r>
        <w:t xml:space="preserve"> (ancienne) : 1 comprimé LP 5 mg matin et soir (soit 10 mg/jour en 2 prises), au cours des repas. </w:t>
      </w:r>
      <w:r>
        <w:rPr>
          <w:b/>
        </w:rPr>
        <w:t>Forme immédiate 2,5 mg</w:t>
      </w:r>
      <w:r>
        <w:t xml:space="preserve"> (non disponible en Algérie actuellement) : 1 comprimé 2,5 mg × 3/jour.</w:t>
      </w:r>
    </w:p>
    <w:p>
      <w:pPr>
        <w:pStyle w:val="ListBullet"/>
      </w:pPr>
      <w:r>
        <w:t>Sujet âgé (&gt; 65 ans) : posologie identique (10 mg LP/jour). Surveillance de la PA orthostatique.</w:t>
      </w:r>
    </w:p>
    <w:p>
      <w:pPr>
        <w:pStyle w:val="ListBullet"/>
      </w:pPr>
      <w:r>
        <w:t>Insuffisant hépatique modéré : prudence, surveillance. CI absolue si insuffisance hépatique sévère (Child-Pugh C).</w:t>
      </w:r>
    </w:p>
    <w:p>
      <w:pPr>
        <w:pStyle w:val="ListBullet"/>
      </w:pPr>
      <w:r>
        <w:t>Insuffisant rénal modéré (DFG 30–60 mL/min) : posologie identique. Surveillance.</w:t>
      </w:r>
    </w:p>
    <w:p>
      <w:pPr>
        <w:pStyle w:val="ListBullet"/>
      </w:pPr>
      <w:r>
        <w:t>Insuffisant rénal sévère (DFG &lt; 30 mL/min) : prudence, surveillance. Ne pas dépasser 5 mg/jour en cas d'insuffisance rénale sévère.</w:t>
      </w:r>
    </w:p>
    <w:p>
      <w:pPr>
        <w:pStyle w:val="ListBullet"/>
      </w:pPr>
      <w:r>
        <w:t>Enfant : non recommandé.</w:t>
      </w:r>
    </w:p>
    <w:p>
      <w:pPr>
        <w:pStyle w:val="ListBullet"/>
      </w:pPr>
      <w:r>
        <w:t>Durée : au long cours pour l'HBP chronique. Ne jamais arrêter brutalement (récidive des symptômes en 1–2 semaines).</w:t>
      </w:r>
    </w:p>
    <w:p>
      <w:pPr>
        <w:pStyle w:val="ListBullet"/>
      </w:pPr>
      <w:r>
        <w:t xml:space="preserve">Moment de prise : </w:t>
      </w:r>
      <w:r>
        <w:rPr>
          <w:b/>
        </w:rPr>
        <w:t>au cours du repas du soir</w:t>
      </w:r>
      <w:r>
        <w:t xml:space="preserve"> (et non à jeun — essentiel pour la forme LP 10 mg — l'alimentation augmente la biodisponibilité de 50 % et minimise la variabilité). À heure fixe.</w:t>
      </w:r>
    </w:p>
    <w:p>
      <w:r/>
      <w:r>
        <w:rPr>
          <w:b/>
        </w:rPr>
        <w:t>Arbitrage et Bénéfices des Formes Galéniques :</w:t>
      </w:r>
      <w:r/>
    </w:p>
    <w:p>
      <w:r>
        <w:t xml:space="preserve">L'alfuzosine est disponible en Algérie en deux formulations : (1) </w:t>
      </w:r>
      <w:r>
        <w:rPr>
          <w:b/>
        </w:rPr>
        <w:t>forme LP 5 mg</w:t>
      </w:r>
      <w:r>
        <w:t xml:space="preserve"> (à prendre 2 fois/jour matin et soir, au cours des repas) — ancienne forme, aujourd'hui supplantée par la forme 10 mg LP ; (2) </w:t>
      </w:r>
      <w:r>
        <w:rPr>
          <w:b/>
        </w:rPr>
        <w:t>forme LP 10 mg</w:t>
      </w:r>
      <w:r>
        <w:t xml:space="preserve"> (à prendre 1 fois/jour au cours du repas du soir) — forme moderne, recommandée pour sa simplicité d'usage et sa meilleure biodisponibilité. La forme LP 10 mg en une prise unique au repas du soir assure une couverture 24 h et une observance facilitée. Avantage : la prise au cours du repas du soir optimise l'absorption et minimise la variabilité — instruction clé à donner au comptoir. Inconvénient : la prise au cours du repas peut être oubliée — le patient doit intégrer la prise dans sa routine vespérale (au dîner). Sept spécialités actives concurrentielles (ALFUZOX LP, FRAXAL, FRAXAL LP, PROSTAX LP, PROSTAZINE, XAPROST LP, ZAPRAL LP) assurent un marché dynamique et des prix modérés. La substitution entre les marques est possible sans surveillance supplémentaire (bioéquivalence démontrée). La forme orale immédiate 2,5 mg n'est plus disponible en Algérie. Pour les patients nécessitant une dose réduite (insuffisance rénale sévère ou intolérance), on peut casser le comprimé LP 5 mg (sécable) pour obtenir 2,5 mg (à prendre matin et soir) — mais cette pratique est peu recommandée (la libération prolongée peut être altérée par la cassure). Le pharmacien doit informer le patient de la nécessité d'une prise unique quotidienne au cours du repas du soir.</w:t>
      </w:r>
    </w:p>
    <w:p>
      <w:r/>
      <w:r>
        <w:rPr>
          <w:b/>
        </w:rPr>
        <w:t>Instructions et Conseils au Patient :</w:t>
      </w:r>
      <w:r/>
    </w:p>
    <w:p>
      <w:pPr>
        <w:pStyle w:val="ListBullet"/>
      </w:pPr>
      <w:r>
        <w:t xml:space="preserve">Communication au comptoir : « Ce médicament est un alpha-bloquant. Il est prescrit pour traiter votre </w:t>
      </w:r>
      <w:r>
        <w:rPr>
          <w:b/>
        </w:rPr>
        <w:t>hypertrophie bénigne de la prostate</w:t>
      </w:r>
      <w:r>
        <w:t xml:space="preserve"> (HBP) — il relâche les muscles de la prostate et améliore la miction. Il faut prendre </w:t>
      </w:r>
      <w:r>
        <w:rPr>
          <w:b/>
        </w:rPr>
        <w:t>un comprimé par jour, au cours du repas du soir</w:t>
      </w:r>
      <w:r>
        <w:t xml:space="preserve"> (et non à jeun — l'absorption est meilleure avec la nourriture). Avalez le comprimé entier avec un verre d'eau — ne le croquez pas, ne l'écrasez pas (il est à libération prolongée). Les effets indésirables possibles sont : des </w:t>
      </w:r>
      <w:r>
        <w:rPr>
          <w:b/>
        </w:rPr>
        <w:t>vertiges</w:t>
      </w:r>
      <w:r>
        <w:t xml:space="preserve"> ou des </w:t>
      </w:r>
      <w:r>
        <w:rPr>
          <w:b/>
        </w:rPr>
        <w:t>malaises</w:t>
      </w:r>
      <w:r>
        <w:t xml:space="preserve"> en se levant (surtout au début), des </w:t>
      </w:r>
      <w:r>
        <w:rPr>
          <w:b/>
        </w:rPr>
        <w:t>maux de tête</w:t>
      </w:r>
      <w:r>
        <w:t xml:space="preserve">, de la </w:t>
      </w:r>
      <w:r>
        <w:rPr>
          <w:b/>
        </w:rPr>
        <w:t>fatigue</w:t>
      </w:r>
      <w:r>
        <w:t xml:space="preserve">, parfois une </w:t>
      </w:r>
      <w:r>
        <w:rPr>
          <w:b/>
        </w:rPr>
        <w:t>éjaculation rétrograde</w:t>
      </w:r>
      <w:r>
        <w:t xml:space="preserve"> (le sperme remonte dans la vessie — bénin mais à signaler). Quand vous vous levez (du lit, d'un fauteuil), levez-vous </w:t>
      </w:r>
      <w:r>
        <w:rPr>
          <w:b/>
        </w:rPr>
        <w:t>doucement, en restant assis 3 minutes avant de vous mettre debout</w:t>
      </w:r>
      <w:r>
        <w:t>. En cas d'</w:t>
      </w:r>
      <w:r>
        <w:rPr>
          <w:b/>
        </w:rPr>
        <w:t>érection prolongée</w:t>
      </w:r>
      <w:r>
        <w:t xml:space="preserve"> douloureuse sans stimulation (plus de 4 heures), </w:t>
      </w:r>
      <w:r>
        <w:rPr>
          <w:b/>
        </w:rPr>
        <w:t>consultez immédiatement aux urgences</w:t>
      </w:r>
      <w:r>
        <w:t xml:space="preserve">. Si vous devez avoir une </w:t>
      </w:r>
      <w:r>
        <w:rPr>
          <w:b/>
        </w:rPr>
        <w:t>opération de la cataracte</w:t>
      </w:r>
      <w:r>
        <w:t>, prévenez votre ophtalmologiste. Évitez l'alcool. »</w:t>
      </w:r>
    </w:p>
    <w:p>
      <w:pPr>
        <w:pStyle w:val="ListBullet"/>
      </w:pPr>
      <w:r>
        <w:t>Mode d'utilisation pratique : (a) Prendre au cours du repas du soir (essentiel) ; (b) À heure fixe chaque jour ; (c) En cas d'oubli : si l'écart est &lt; 8 h, prendre la dose oubliée ; sinon sauter ; (d) Ne jamais doubler la dose ; (e) Se lever doucement (3 minutes assis avant de se mettre debout) ; (f) Amélioration des symptômes urinaires en 1–2 semaines.</w:t>
      </w:r>
    </w:p>
    <w:p>
      <w:r/>
      <w:r>
        <w:rPr>
          <w:b/>
        </w:rPr>
        <w:t>Notes, Règles d'Or &amp; Pièges au Comptoir :</w:t>
      </w:r>
      <w:r/>
    </w:p>
    <w:p>
      <w:pPr>
        <w:pStyle w:val="ListBullet"/>
      </w:pPr>
      <w:r/>
      <w:r>
        <w:rPr>
          <w:b/>
        </w:rPr>
        <w:t>Piège classique — Prise à jeun</w:t>
      </w:r>
      <w:r>
        <w:t xml:space="preserve"> : la prise à jeun de la forme LP 10 mg réduit la biodisponibilité de 50 % et augmente la variabilité — inefficacité du traitement. Toujours rappeler au patient de prendre le comprimé </w:t>
      </w:r>
      <w:r>
        <w:rPr>
          <w:b/>
        </w:rPr>
        <w:t>au cours du repas du soir</w:t>
      </w:r>
      <w:r>
        <w:t xml:space="preserve"> (et non avant ou après le repas).</w:t>
      </w:r>
    </w:p>
    <w:p>
      <w:pPr>
        <w:pStyle w:val="ListBullet"/>
      </w:pPr>
      <w:r/>
      <w:r>
        <w:rPr>
          <w:b/>
        </w:rPr>
        <w:t>Piège — Association à un autre alpha-bloquant</w:t>
      </w:r>
      <w:r>
        <w:t xml:space="preserve"> : CI absolue (potentialisation des effets). Vérifier l'ordonnance, refuser la dispensation si association à la doxazosine, prazosine, térazosine, tamsulosine ou silodosine.</w:t>
      </w:r>
    </w:p>
    <w:p>
      <w:pPr>
        <w:pStyle w:val="ListBullet"/>
      </w:pPr>
      <w:r/>
      <w:r>
        <w:rPr>
          <w:b/>
        </w:rPr>
        <w:t>Piège — Association aux PDE5</w:t>
      </w:r>
      <w:r>
        <w:t xml:space="preserve"> (sildénafil, tadalafil) : risque d'hypotension sévère. Démarrer la PDE5 à dose minimale (sildénafil 25 mg).</w:t>
      </w:r>
    </w:p>
    <w:p>
      <w:pPr>
        <w:pStyle w:val="ListBullet"/>
      </w:pPr>
      <w:r/>
      <w:r>
        <w:rPr>
          <w:b/>
        </w:rPr>
        <w:t>Piège — Chirurgie de la cataracte</w:t>
      </w:r>
      <w:r>
        <w:t xml:space="preserve"> : risque d'IFIS (moins marqué qu'avec la tamsulosine mais présent). Information préopérative au chirurgien ophtalmologiste.</w:t>
      </w:r>
    </w:p>
    <w:p>
      <w:pPr>
        <w:pStyle w:val="ListBullet"/>
      </w:pPr>
      <w:r/>
      <w:r>
        <w:rPr>
          <w:b/>
        </w:rPr>
        <w:t>Piège — Priapisme</w:t>
      </w:r>
      <w:r>
        <w:t xml:space="preserve"> : urgence urologique — consulter immédiatement (&lt; 6 heures pour préserver la fonction érectile).</w:t>
      </w:r>
    </w:p>
    <w:p>
      <w:pPr>
        <w:pStyle w:val="ListBullet"/>
      </w:pPr>
      <w:r/>
      <w:r>
        <w:rPr>
          <w:b/>
        </w:rPr>
        <w:t>Piège — Insuffisance hépatique</w:t>
      </w:r>
      <w:r>
        <w:t xml:space="preserve"> : CI absolue si sévère (Child-Pugh C).</w:t>
      </w:r>
    </w:p>
    <w:p>
      <w:pPr>
        <w:pStyle w:val="ListBullet"/>
      </w:pPr>
      <w:r/>
      <w:r>
        <w:rPr>
          <w:b/>
        </w:rPr>
        <w:t>Piège — Substitution par tamsulosine ou doxazosine</w:t>
      </w:r>
      <w:r>
        <w:t xml:space="preserve"> : la substitution doit être encadrée médicalement. L'alfuzosine est intermédiaire entre la doxazosine (plus vasculaire, plus hypotensive) et la tamsulosine (plus urosélective, moins hypotensive, plus d'éjaculation rétrograde et d'IFIS). Le choix dépend du profil patient (HTA associée → doxazosine ; HBP pure → alfuzosine ou tamsulosine).</w:t>
      </w:r>
    </w:p>
    <w:p>
      <w:pPr>
        <w:pStyle w:val="ListBullet"/>
      </w:pPr>
      <w:r/>
      <w:r>
        <w:rPr>
          <w:b/>
        </w:rPr>
        <w:t>Piège — Sujet âgé fragile</w:t>
      </w:r>
      <w:r>
        <w:t xml:space="preserve"> : risque d'hypotension orthostatique avec chute et fracture du col du fémur — à évaluer soigneusement.</w:t>
      </w:r>
    </w:p>
    <w:p>
      <w:pPr>
        <w:pStyle w:val="ListBullet"/>
      </w:pPr>
      <w:r/>
      <w:r>
        <w:rPr>
          <w:b/>
        </w:rPr>
        <w:t>Règle de prise</w:t>
      </w:r>
      <w:r>
        <w:t xml:space="preserve"> : une prise par jour, au cours du repas du soir, à vie.</w:t>
      </w:r>
    </w:p>
    <w:p>
      <w:pPr>
        <w:pStyle w:val="ListBullet"/>
      </w:pPr>
      <w:r/>
      <w:r>
        <w:rPr>
          <w:b/>
        </w:rPr>
        <w:t>Préparation et Conservation</w:t>
      </w:r>
      <w:r>
        <w:t xml:space="preserve"> : conserver à &lt; 25 °C, à l'abri de l'humidité. Comprimés LP à ne pas croquer.</w:t>
      </w:r>
    </w:p>
    <w:p>
      <w:pPr>
        <w:pStyle w:val="ListBullet"/>
      </w:pPr>
      <w:r/>
      <w:r>
        <w:rPr>
          <w:b/>
        </w:rPr>
        <w:t>Piège du surdosage</w:t>
      </w:r>
      <w:r>
        <w:t xml:space="preserve"> : surdosage massif → hypotension sévère, vertiges, syncope. </w:t>
      </w:r>
      <w:r>
        <w:rPr>
          <w:b/>
        </w:rPr>
        <w:t>Traitement</w:t>
      </w:r>
      <w:r>
        <w:t xml:space="preserve"> : arrêt immédiat, position allongée jambes surélevées, remplissage vasculaire, adrénaline IV si collapsus.</w:t>
      </w:r>
    </w:p>
    <w:p>
      <w:pPr>
        <w:pStyle w:val="Heading3"/>
      </w:pPr>
      <w:r>
        <w:t>14. DCI : Tamsulosine (Seule)</w:t>
      </w:r>
    </w:p>
    <w:p>
      <w:r/>
      <w:r>
        <w:rPr>
          <w:b/>
        </w:rPr>
        <w:t>Liste des Catégories :</w:t>
      </w:r>
      <w:r>
        <w:t xml:space="preserve"> Alpha-bloquants sélectifs α1A (urologie) ; Traitement de l'hypertrophie bénigne de la prostate (HBP) ; Facilitateur de l'expulsion lithiasique urétrale basse (hors AMM).</w:t>
      </w:r>
    </w:p>
    <w:p>
      <w:r>
        <w:t xml:space="preserve">La tamsulosine (chlorhydrate de (R)-5-[2-[[2-(2-éthoxyphénoxy)éthyl]amino]propyl]-2-méthoxybenzènesulfonamide) est un alpha-bloquant </w:t>
      </w:r>
      <w:r>
        <w:rPr>
          <w:b/>
        </w:rPr>
        <w:t>sélectif du sous-type α1A</w:t>
      </w:r>
      <w:r>
        <w:t xml:space="preserve">, commercialisée dès 1996 par Yamanouchi (devenu Astellas) sous le nom de Josir® en France et Flomax® aux États-Unis. Sa structure chimique — un benzènesulfonamide substitué, différent des quinazolines (prazosine, doxazosine, térazosine, alfuzosine) — lui confère une </w:t>
      </w:r>
      <w:r>
        <w:rPr>
          <w:b/>
        </w:rPr>
        <w:t>affinité élevée et sélective pour le sous-type α1A</w:t>
      </w:r>
      <w:r>
        <w:t xml:space="preserve"> du récepteur α1 (Ki ≈ 0,4 nM pour α1A vs 8 nM pour α1B et 4 nM pour α1D), soit une sélectivité α1A/α1B d'environ 20. Le sous-type α1A prédomine dans la </w:t>
      </w:r>
      <w:r>
        <w:rPr>
          <w:b/>
        </w:rPr>
        <w:t>prostate</w:t>
      </w:r>
      <w:r>
        <w:t xml:space="preserve"> (75 % des récepteurs prostatiques — stroma et capsule), le </w:t>
      </w:r>
      <w:r>
        <w:rPr>
          <w:b/>
        </w:rPr>
        <w:t>col vésical</w:t>
      </w:r>
      <w:r>
        <w:t xml:space="preserve">, l'urètre prostatique et le trigone vésical. Cette sélectivité haute pour α1A permet une action prostatique à faible dose (0,4 mg/j) avec un risque d'hypotension orthostatique très atténué comparativement aux quinazolines non sélectives (doxazosine) ou à l'alfuzosine. La tamsulosine est devenue le traitement de référence de l'HBP modérée à sévère — première prescription d'alpha-bloquant chez la plupart des urologues. En Algérie, elle est très largement disponible sous 12 spécialités actives, reflétant la forte prévalence de l'HBP dans la population masculine âgée. La forme LP en microgranules dans une gélule à 0,4 mg en une prise unique quotidienne est la forme standard (Josir, Omexel — retirés, et leurs équivalents génériques actifs). La prise se fait après le premier repas de la journée pour optimiser l'absorption et minimiser la variabilité. La tamsulosine a aussi une indication hors AMM dans le </w:t>
      </w:r>
      <w:r>
        <w:rPr>
          <w:b/>
        </w:rPr>
        <w:t>facilitateur de l'expulsion lithiasique urétrale basse</w:t>
      </w:r>
      <w:r>
        <w:t xml:space="preserve"> ("medical expulsive therapy" — MET) — facilitation de l'expulsion spontanée de calculs urétéraux distaux de moins de 10 mm, en complément de l'hydratation et de l'antalgique.</w:t>
      </w:r>
    </w:p>
    <w:p>
      <w:r/>
      <w:r>
        <w:rPr>
          <w:b/>
        </w:rPr>
        <w:t>Médicaments disponibles en Algérie (Marques, Laboratoires, Formes et Dosages) :</w:t>
      </w:r>
      <w:r/>
    </w:p>
    <w:p>
      <w:r>
        <w:t>Forme orale LP 0,4 mg (gélule à microgranules LP — 1 prise/jour après le petit-déjeuner) :</w:t>
      </w:r>
    </w:p>
    <w:p>
      <w:pPr>
        <w:pStyle w:val="ListBullet"/>
      </w:pPr>
      <w:r/>
      <w:r>
        <w:rPr>
          <w:b/>
        </w:rPr>
        <w:t>GAMCET</w:t>
      </w:r>
      <w:r>
        <w:t xml:space="preserve"> (DAR AL DAWA) — Comprimé pelliculé LP 0,4 mg, B/30 — Liste I — Actif</w:t>
      </w:r>
    </w:p>
    <w:p>
      <w:pPr>
        <w:pStyle w:val="ListBullet"/>
      </w:pPr>
      <w:r/>
      <w:r>
        <w:rPr>
          <w:b/>
        </w:rPr>
        <w:t>OLSERAZ</w:t>
      </w:r>
      <w:r>
        <w:t xml:space="preserve"> (CHIMIE PHARMACIE COMMERCE MULTIPLE — CPCM) — Microgranule en gélule LP 0,4 mg, B/30 — Liste I — Actif</w:t>
      </w:r>
    </w:p>
    <w:p>
      <w:pPr>
        <w:pStyle w:val="ListBullet"/>
      </w:pPr>
      <w:r/>
      <w:r>
        <w:rPr>
          <w:b/>
        </w:rPr>
        <w:t>PROSTALOZINE LP</w:t>
      </w:r>
      <w:r>
        <w:t xml:space="preserve"> (ALGERIAN GENERICS DEVELOPMENT PHARMA — AGD PHARMA) — Microgranule en gélule LP 0,4 mg, B/30 — Liste I — Actif</w:t>
      </w:r>
    </w:p>
    <w:p>
      <w:pPr>
        <w:pStyle w:val="ListBullet"/>
      </w:pPr>
      <w:r/>
      <w:r>
        <w:rPr>
          <w:b/>
        </w:rPr>
        <w:t>PROSTAM LP</w:t>
      </w:r>
      <w:r>
        <w:t xml:space="preserve"> (LABORATOIRES PHARMAGHREB) — Microgranule en gélule LP 0,4 mg, B/30 — Liste I — Actif</w:t>
      </w:r>
    </w:p>
    <w:p>
      <w:pPr>
        <w:pStyle w:val="ListBullet"/>
      </w:pPr>
      <w:r/>
      <w:r>
        <w:rPr>
          <w:b/>
        </w:rPr>
        <w:t>PROSTASIR LP</w:t>
      </w:r>
      <w:r>
        <w:t xml:space="preserve"> (FRATER-RAZES FORME SECHE) — Microgranule en gélule LP 0,4 mg, B/30 — Liste I — Actif</w:t>
      </w:r>
    </w:p>
    <w:p>
      <w:pPr>
        <w:pStyle w:val="ListBullet"/>
      </w:pPr>
      <w:r/>
      <w:r>
        <w:rPr>
          <w:b/>
        </w:rPr>
        <w:t>SULOZIR LP</w:t>
      </w:r>
      <w:r>
        <w:t xml:space="preserve"> (PHARMALLIANCE) — Gélule 0,4 mg, B/30 — Liste I — Actif</w:t>
      </w:r>
    </w:p>
    <w:p>
      <w:pPr>
        <w:pStyle w:val="ListBullet"/>
      </w:pPr>
      <w:r/>
      <w:r>
        <w:rPr>
          <w:b/>
        </w:rPr>
        <w:t>TAMSIR LP</w:t>
      </w:r>
      <w:r>
        <w:t xml:space="preserve"> (EL KENDI INDUSTRIE DU MEDICAMENT) — Gélule LP 0,4 mg, B/30 — Liste I — Actif</w:t>
      </w:r>
    </w:p>
    <w:p>
      <w:pPr>
        <w:pStyle w:val="ListBullet"/>
      </w:pPr>
      <w:r/>
      <w:r>
        <w:rPr>
          <w:b/>
        </w:rPr>
        <w:t>TAMSULIX LP</w:t>
      </w:r>
      <w:r>
        <w:t xml:space="preserve"> (NOVAPHARM TRADING) — Microgranule en gélule LP 0,4 mg, B/30 — Liste I — Actif</w:t>
      </w:r>
    </w:p>
    <w:p>
      <w:pPr>
        <w:pStyle w:val="ListBullet"/>
      </w:pPr>
      <w:r/>
      <w:r>
        <w:rPr>
          <w:b/>
        </w:rPr>
        <w:t>TAMSULOSINE BEKER LP</w:t>
      </w:r>
      <w:r>
        <w:t xml:space="preserve"> (LABORATOIRES BEKER) — Microgranule en gélule LP 0,4 mg, B/30 et B/90 — Liste I — Actif</w:t>
      </w:r>
    </w:p>
    <w:p>
      <w:pPr>
        <w:pStyle w:val="ListBullet"/>
      </w:pPr>
      <w:r/>
      <w:r>
        <w:rPr>
          <w:b/>
        </w:rPr>
        <w:t>TAMSULOSINE MM LP</w:t>
      </w:r>
      <w:r>
        <w:t xml:space="preserve"> (LABORATOIRES MM) — Microgranule en gélule LP 0,4 mg, B/30 — Liste I — Actif</w:t>
      </w:r>
    </w:p>
    <w:p>
      <w:pPr>
        <w:pStyle w:val="ListBullet"/>
      </w:pPr>
      <w:r/>
      <w:r>
        <w:rPr>
          <w:b/>
        </w:rPr>
        <w:t>TAMSUMED LP</w:t>
      </w:r>
      <w:r>
        <w:t xml:space="preserve"> (ABDI IBRAHIM REMEDE PHARMA) — Microgranule en gélule LP 0,4 mg, B/30 — Liste I — Actif</w:t>
      </w:r>
    </w:p>
    <w:p>
      <w:pPr>
        <w:pStyle w:val="ListBullet"/>
      </w:pPr>
      <w:r/>
      <w:r>
        <w:rPr>
          <w:b/>
        </w:rPr>
        <w:t>TAMSUPROST</w:t>
      </w:r>
      <w:r>
        <w:t xml:space="preserve"> (WORLD MEDECINE LIMITED) — Microgranule en gélule LP 0,4 mg, B/30 — Liste I — Actif</w:t>
      </w:r>
    </w:p>
    <w:p>
      <w:r>
        <w:t>Spécialités Retirées (R) :</w:t>
      </w:r>
    </w:p>
    <w:p>
      <w:pPr>
        <w:pStyle w:val="ListBullet"/>
      </w:pPr>
      <w:r/>
      <w:r>
        <w:rPr>
          <w:b/>
        </w:rPr>
        <w:t>MECIR LP</w:t>
      </w:r>
      <w:r>
        <w:t xml:space="preserve"> (BOEHRINGER INGELHEIM France) — Comprimé pelliculé LP 0,4 mg, B/30 — Retiré (R)</w:t>
      </w:r>
    </w:p>
    <w:p>
      <w:pPr>
        <w:pStyle w:val="ListBullet"/>
      </w:pPr>
      <w:r/>
      <w:r>
        <w:rPr>
          <w:b/>
        </w:rPr>
        <w:t>OMEXEL LP</w:t>
      </w:r>
      <w:r>
        <w:t xml:space="preserve"> (ASTELLAS PHARMA SAS) — Comprimé pelliculé LP 0,4 mg, B/30 — Retiré (R) — ancien princeps Omexel</w:t>
      </w:r>
    </w:p>
    <w:p>
      <w:pPr>
        <w:pStyle w:val="ListBullet"/>
      </w:pPr>
      <w:r/>
      <w:r>
        <w:rPr>
          <w:b/>
        </w:rPr>
        <w:t>JOSIR LP</w:t>
      </w:r>
      <w:r>
        <w:t xml:space="preserve"> (BOEHRINGER INGELHEIM) — Gélule à microgranules LP 0,4 mg, B/30 — Retiré (R) — princeps historique Josir</w:t>
      </w:r>
    </w:p>
    <w:p>
      <w:pPr>
        <w:pStyle w:val="ListBullet"/>
      </w:pPr>
      <w:r/>
      <w:r>
        <w:rPr>
          <w:b/>
        </w:rPr>
        <w:t>TAMSULOSINE WINTHROP LP</w:t>
      </w:r>
      <w:r>
        <w:t xml:space="preserve"> (SANOFI AVENTIS) — Gélule LP 0,4 mg, B/30 — Retiré (R)</w:t>
      </w:r>
    </w:p>
    <w:p>
      <w:r/>
      <w:r>
        <w:rPr>
          <w:b/>
        </w:rPr>
        <w:t>Sous-classe et Mécanisme d'action :</w:t>
      </w:r>
      <w:r/>
    </w:p>
    <w:p>
      <w:pPr>
        <w:pStyle w:val="ListBullet"/>
      </w:pPr>
      <w:r>
        <w:t>Sous-classe : alpha-bloquant postsynaptique urologique, sélectif α1A (affinité α1A &gt; α1D &gt; α1B).</w:t>
      </w:r>
    </w:p>
    <w:p>
      <w:pPr>
        <w:pStyle w:val="ListBullet"/>
      </w:pPr>
      <w:r>
        <w:t xml:space="preserve">Mécanisme d'action : la tamsulosine se lie compétitivement et sélectivement aux récepteurs </w:t>
      </w:r>
      <w:r>
        <w:rPr>
          <w:b/>
        </w:rPr>
        <w:t>α1A postsynaptiques</w:t>
      </w:r>
      <w:r>
        <w:t xml:space="preserve"> du muscle lisse prostatique (stroma, capsule, col vésical, urètre prostatique). La sélectivité α1A (Ki ≈ 0,4 nM, sélectivité α1A/α1B ≈ 20) explique : (a) un effet bénéfique sur la dysurie de l'HBP à faible dose (0,4 mg/j — dose plus faible que l'alfuzosine 10 mg/j ou la doxazosine 4–8 mg/j) ; (b) un moindre retentissement tensionnel (les α1B vasculaires sont peu bloqués) — la tamsulosine est l'alpha-bloquant le moins hypotenseur de la classe. Effets : (a) </w:t>
      </w:r>
      <w:r>
        <w:rPr>
          <w:b/>
        </w:rPr>
        <w:t>amélioration du score IPSS</w:t>
      </w:r>
      <w:r>
        <w:t xml:space="preserve"> en 1–2 semaines (baisse de 30–50 % du score) ; (b) </w:t>
      </w:r>
      <w:r>
        <w:rPr>
          <w:b/>
        </w:rPr>
        <w:t>augmentation du Qmax</w:t>
      </w:r>
      <w:r>
        <w:t xml:space="preserve"> (débit urinaire maximum) de 20–30 % en 2–4 semaines ; (c) </w:t>
      </w:r>
      <w:r>
        <w:rPr>
          <w:b/>
        </w:rPr>
        <w:t>effet antihypertenseur minimal</w:t>
      </w:r>
      <w:r>
        <w:t xml:space="preserve"> (baisse &lt; 5 mmHg de la PAS) — pas d'indication pour l'HTA ; (d) </w:t>
      </w:r>
      <w:r>
        <w:rPr>
          <w:b/>
        </w:rPr>
        <w:t>relâchement du muscle lisse urétéral distal</w:t>
      </w:r>
      <w:r>
        <w:t xml:space="preserve"> (effet hors AMM — facilitateur de l'expulsion lithiasique). La tamsulosine ne modifie pas le volume prostatique et n'a pas d'effet préventif sur la progression de l'HBP ou la rétention urinaire (contrairement aux inhibiteurs de la 5α-réductase — finastéride, dutastéride — qui réduisent le volume mais agissent en 6 mois). L'association tamsulosine + dutastéride (CORNAL® — non disponible en Algérie en association fixe) est utilisée dans l'HBP volumineuse (essai CombAT, 2008).</w:t>
      </w:r>
    </w:p>
    <w:p>
      <w:r/>
      <w:r>
        <w:rPr>
          <w:b/>
        </w:rPr>
        <w:t>Profil Pharmacologique :</w:t>
      </w:r>
      <w:r/>
    </w:p>
    <w:p>
      <w:pPr>
        <w:pStyle w:val="ListBullet"/>
      </w:pPr>
      <w:r>
        <w:t xml:space="preserve">Indications : (1) </w:t>
      </w:r>
      <w:r>
        <w:rPr>
          <w:b/>
        </w:rPr>
        <w:t>Traitement symptomatique de l'hypertrophie bénigne de la prostate (HBP) modérée à sévère</w:t>
      </w:r>
      <w:r>
        <w:t xml:space="preserve"> — score IPSS &gt; 8 — soulagement rapide (1–2 semaines) de la dysurie, du jet faible, de la pollakiurie, des mictions impérieuses. Indication de choix de la tamsulosine aujourd'hui (première prescription d'alpha-bloquant). (2) </w:t>
      </w:r>
      <w:r>
        <w:rPr>
          <w:b/>
        </w:rPr>
        <w:t>Facilitateur de l'expulsion lithiasique urétrale basse</w:t>
      </w:r>
      <w:r>
        <w:t xml:space="preserve"> ("medical expulsive therapy" — MET) — hors AMM en France mais recommandée par l'AFU (Association Française d'Urologie) et l'EAU (European Association of Urology) — facilitation de l'expulsion spontanée de calculs urétéraux distaux de moins de 10 mm, en complément de l'hydratation et de l'antalgique, pendant 4–6 semaines maximum. (3) </w:t>
      </w:r>
      <w:r>
        <w:rPr>
          <w:b/>
        </w:rPr>
        <w:t>HBP + HTA associées</w:t>
      </w:r>
      <w:r>
        <w:t xml:space="preserve"> — la tamsulosine a un effet antihypertenseur trop minimal pour traiter l'HTA seule, mais peut être associée sans risque d'hypotension excessive à un autre antihypertenseur. (4) </w:t>
      </w:r>
      <w:r>
        <w:rPr>
          <w:b/>
        </w:rPr>
        <w:t>HBP volumineuse</w:t>
      </w:r>
      <w:r>
        <w:t xml:space="preserve"> — en association avec un inhibiteur de la 5α-réductase (dutastéride, finastéride) — la tamsulosine agit sur les symptômes en 1–2 semaines, le dutastéride/finastéride réduit le volume en 6 mois (essai CombAT, 2008).</w:t>
      </w:r>
    </w:p>
    <w:p>
      <w:pPr>
        <w:pStyle w:val="ListBullet"/>
      </w:pPr>
      <w:r>
        <w:t xml:space="preserve">Contre-indications : (1) </w:t>
      </w:r>
      <w:r>
        <w:rPr>
          <w:b/>
        </w:rPr>
        <w:t>Hypersensibilité à la tamsulosine</w:t>
      </w:r>
      <w:r>
        <w:t xml:space="preserve"> ou aux sulfonamides (la tamsulosine contient un radical sulfonamide — prudence en cas d'allergie aux sulfamides antibactériens — toutefois la structure sulfonamide de la tamsulosine ne croise pas avec les sulfamides antibactériens en termes d'allergie) ; (2) </w:t>
      </w:r>
      <w:r>
        <w:rPr>
          <w:b/>
        </w:rPr>
        <w:t>Hypotension orthostatique</w:t>
      </w:r>
      <w:r>
        <w:t xml:space="preserve"> sévère (à évaluer) ; (3) </w:t>
      </w:r>
      <w:r>
        <w:rPr>
          <w:b/>
        </w:rPr>
        <w:t>Insuffisance hépatique sévère</w:t>
      </w:r>
      <w:r>
        <w:t xml:space="preserve"> (CI absolue — la tamsulosine est métabolisée par le foie — Child-Pugh C) ; (4) </w:t>
      </w:r>
      <w:r>
        <w:rPr>
          <w:b/>
        </w:rPr>
        <w:t>Insuffisance rénale sévère</w:t>
      </w:r>
      <w:r>
        <w:t xml:space="preserve"> (DFG &lt; 30 mL/min — prudence, surveillance) ; (5) </w:t>
      </w:r>
      <w:r>
        <w:rPr>
          <w:b/>
        </w:rPr>
        <w:t>Antécédent d'hypotension sévère</w:t>
      </w:r>
      <w:r>
        <w:t xml:space="preserve"> sous alpha-bloquants ; (6) </w:t>
      </w:r>
      <w:r>
        <w:rPr>
          <w:b/>
        </w:rPr>
        <w:t>Association à d'autres alpha-bloquants</w:t>
      </w:r>
      <w:r>
        <w:t xml:space="preserve"> (CI absolue — potentialisation) ; (7) </w:t>
      </w:r>
      <w:r>
        <w:rPr>
          <w:b/>
        </w:rPr>
        <w:t>Grossesse</w:t>
      </w:r>
      <w:r>
        <w:t xml:space="preserve"> (CI par prudence — pas d'indication chez la femme) ; (8) </w:t>
      </w:r>
      <w:r>
        <w:rPr>
          <w:b/>
        </w:rPr>
        <w:t>Allaitement</w:t>
      </w:r>
      <w:r>
        <w:t xml:space="preserve"> (CI par prudence — pas d'indication chez la femme) ; (9) </w:t>
      </w:r>
      <w:r>
        <w:rPr>
          <w:b/>
        </w:rPr>
        <w:t>Enfant</w:t>
      </w:r>
      <w:r>
        <w:t xml:space="preserve"> (pas d'indication pédiatrique) ; (10) </w:t>
      </w:r>
      <w:r>
        <w:rPr>
          <w:b/>
        </w:rPr>
        <w:t>Cataracte programmée</w:t>
      </w:r>
      <w:r>
        <w:t xml:space="preserve"> — à évaluer — </w:t>
      </w:r>
      <w:r>
        <w:rPr>
          <w:b/>
        </w:rPr>
        <w:t>syndrome de l'iris flasque peropératoire (IFIS) — plus marqué qu'avec l'alfuzosine ou la doxazosine</w:t>
      </w:r>
      <w:r>
        <w:t xml:space="preserve"> — information au chirurgien ophtalmologiste indispensable.</w:t>
      </w:r>
    </w:p>
    <w:p>
      <w:pPr>
        <w:pStyle w:val="ListBullet"/>
      </w:pPr>
      <w:r>
        <w:t xml:space="preserve">Effets Indésirables : (1) </w:t>
      </w:r>
      <w:r>
        <w:rPr>
          <w:b/>
        </w:rPr>
        <w:t>Éjaculation rétrograde</w:t>
      </w:r>
      <w:r>
        <w:t xml:space="preserve"> (5–10 % — effet classe des α1A sélectifs — le relâchement du col vésical permet au sperme de refluer dans la vessie lors de l'éjaculation, donnant une "éjaculation sèche" — bénin mais pouvant être mal vécu — lié à la sélectivité α1A du col vésical) ; (2) </w:t>
      </w:r>
      <w:r>
        <w:rPr>
          <w:b/>
        </w:rPr>
        <w:t>Hypotension orthostatique</w:t>
      </w:r>
      <w:r>
        <w:t xml:space="preserve"> (2–5 %, moins marquée qu'avec la doxazosine, mais présente — surtout en début de traitement et chez le sujet âgé) ; (3) </w:t>
      </w:r>
      <w:r>
        <w:rPr>
          <w:b/>
        </w:rPr>
        <w:t>Vertiges, sensations vertigineuses</w:t>
      </w:r>
      <w:r>
        <w:t xml:space="preserve"> (3–5 %) ; (4) </w:t>
      </w:r>
      <w:r>
        <w:rPr>
          <w:b/>
        </w:rPr>
        <w:t>Céphalées</w:t>
      </w:r>
      <w:r>
        <w:t xml:space="preserve"> (3–5 %) ; (5) </w:t>
      </w:r>
      <w:r>
        <w:rPr>
          <w:b/>
        </w:rPr>
        <w:t>Asthenie, fatigue</w:t>
      </w:r>
      <w:r>
        <w:t xml:space="preserve"> (2–3 %) ; (6) </w:t>
      </w:r>
      <w:r>
        <w:rPr>
          <w:b/>
        </w:rPr>
        <w:t>Rhinite, nasopharyngite</w:t>
      </w:r>
      <w:r>
        <w:t xml:space="preserve"> (3–5 % — effet α1A sur la muqueuse nasale) ; (7) </w:t>
      </w:r>
      <w:r>
        <w:rPr>
          <w:b/>
        </w:rPr>
        <w:t>Nausées, troubles digestifs</w:t>
      </w:r>
      <w:r>
        <w:t xml:space="preserve"> (2 %) ; (8) </w:t>
      </w:r>
      <w:r>
        <w:rPr>
          <w:b/>
        </w:rPr>
        <w:t>Sécheresse buccale</w:t>
      </w:r>
      <w:r>
        <w:t xml:space="preserve"> (2 %) ; (9) </w:t>
      </w:r>
      <w:r>
        <w:rPr>
          <w:b/>
        </w:rPr>
        <w:t>Palpitations</w:t>
      </w:r>
      <w:r>
        <w:t xml:space="preserve"> (1 %, tachycardie réflexe modérée) ; (10) </w:t>
      </w:r>
      <w:r>
        <w:rPr>
          <w:b/>
        </w:rPr>
        <w:t>Syndrome de l'iris flasque peropératoire (IFIS — Intraoperative Floppy Iris Syndrome)</w:t>
      </w:r>
      <w:r>
        <w:t xml:space="preserve"> (observé en chirurgie de la cataracte chez les patients sous tamsulosine — rapport initial Chang &amp; Campbell, J Cataract Refract Surg 2005 — l'iris devient flasque, billote pendant la phacoémulsification, avec un risque de prolapsus irien, de rupture capsulaire et de perte de vitré — le risque persiste même après arrêt prolongé de la tamsulosine, jusqu'à plusieurs années — information du patient et de l'ophtalmologiste essentielle — la tamsulosine a un risque d'IFIS plus élevé que l'alfuzosine ou la doxazosine en raison de sa sélectivité α1A plus marquée) ; (11) </w:t>
      </w:r>
      <w:r>
        <w:rPr>
          <w:b/>
        </w:rPr>
        <w:t>Priapisme</w:t>
      </w:r>
      <w:r>
        <w:t xml:space="preserve"> (très rare, &lt; 0,1 % — urgence urologique) ; (12) </w:t>
      </w:r>
      <w:r>
        <w:rPr>
          <w:b/>
        </w:rPr>
        <w:t>Rash cutané, prurit</w:t>
      </w:r>
      <w:r>
        <w:t xml:space="preserve"> (1–2 %) ; (13) </w:t>
      </w:r>
      <w:r>
        <w:rPr>
          <w:b/>
        </w:rPr>
        <w:t>Hypersensibilité</w:t>
      </w:r>
      <w:r>
        <w:t xml:space="preserve"> (rare — angio-oedème, éruption) ; (14) </w:t>
      </w:r>
      <w:r>
        <w:rPr>
          <w:b/>
        </w:rPr>
        <w:t>Hypotension</w:t>
      </w:r>
      <w:r>
        <w:t xml:space="preserve"> (en cas de surdosage ou d'association à d'autres vasodilatateurs).</w:t>
      </w:r>
    </w:p>
    <w:p>
      <w:r/>
      <w:r>
        <w:rPr>
          <w:b/>
        </w:rPr>
        <w:t>Prévention et Gestion des Effets Indésirables :</w:t>
      </w:r>
      <w:r/>
    </w:p>
    <w:p>
      <w:pPr>
        <w:pStyle w:val="ListBullet"/>
      </w:pPr>
      <w:r>
        <w:t xml:space="preserve">Mesures Préventives : (a) </w:t>
      </w:r>
      <w:r>
        <w:rPr>
          <w:b/>
        </w:rPr>
        <w:t>Forme LP 0,4 mg en une prise unique après le premier repas de la journée</w:t>
      </w:r>
      <w:r>
        <w:t xml:space="preserve"> (et non à jeun — l'alimentation augmente la biodisponibilité de 30 % et minimise la variabilité) ; (b) Surveillance de la PA orthostatique en début de traitement (mesure couché et debout) ; (c) </w:t>
      </w:r>
      <w:r>
        <w:rPr>
          <w:b/>
        </w:rPr>
        <w:t>Information du patient</w:t>
      </w:r>
      <w:r>
        <w:t xml:space="preserve"> sur les symptômes de l'hypotension orthostatique (vertiges, lipothymies en se levant) et la conduite à tenir (se rasseoir ou s'allonger immédiatement, remonter lentement les jambes) ; (d) </w:t>
      </w:r>
      <w:r>
        <w:rPr>
          <w:b/>
        </w:rPr>
        <w:t>Information du chirurgien ophtalmologiste</w:t>
      </w:r>
      <w:r>
        <w:t xml:space="preserve"> si chirurgie de la cataracte prévue — essentielle pour préparer la chirurgie (techniques anesthésiques et chirurgicales adaptées — usage de dispositifs de maintien irien, viscoélastiques, etc.) ; (e) </w:t>
      </w:r>
      <w:r>
        <w:rPr>
          <w:b/>
        </w:rPr>
        <w:t>Information du patient sur l'éjaculation rétrograde</w:t>
      </w:r>
      <w:r>
        <w:t xml:space="preserve"> — bénin mais pouvant être mal vécu — à signaler sans arrêter le traitement si bien toléré ; (f) </w:t>
      </w:r>
      <w:r>
        <w:rPr>
          <w:b/>
        </w:rPr>
        <w:t>Information du patient sur le priapisme</w:t>
      </w:r>
      <w:r>
        <w:t xml:space="preserve"> — consulter en urgence en cas d'érection prolongée (&gt; 4 heures) sans stimulation sexuelle.</w:t>
      </w:r>
    </w:p>
    <w:p>
      <w:pPr>
        <w:pStyle w:val="ListBullet"/>
      </w:pPr>
      <w:r>
        <w:t xml:space="preserve">Conduite à Tenir : (a) </w:t>
      </w:r>
      <w:r>
        <w:rPr>
          <w:b/>
        </w:rPr>
        <w:t>Hypotension orthostatique symptomatique</w:t>
      </w:r>
      <w:r>
        <w:t xml:space="preserve"> → revoir la dose (réduire), conseiller le lever progressif (3 minutes assis avant de se lever), enrichir l'alimentation en sel si nécessaire, bas de contention ; (b) </w:t>
      </w:r>
      <w:r>
        <w:rPr>
          <w:b/>
        </w:rPr>
        <w:t>Syncope</w:t>
      </w:r>
      <w:r>
        <w:t xml:space="preserve"> → arrêt transitoire, réévaluation médicale ; (c) </w:t>
      </w:r>
      <w:r>
        <w:rPr>
          <w:b/>
        </w:rPr>
        <w:t>Priapisme</w:t>
      </w:r>
      <w:r>
        <w:t xml:space="preserve"> → urgence urologique — consultation immédiate aux urgences (drainage, aspiration, phényléphrine intracaverneuse) ; (d) </w:t>
      </w:r>
      <w:r>
        <w:rPr>
          <w:b/>
        </w:rPr>
        <w:t>Éjaculation rétrograde</w:t>
      </w:r>
      <w:r>
        <w:t xml:space="preserve"> → information du patient (bénin mais pouvant être mal vécu), pas d'arrêt si bien toléré ; (e) </w:t>
      </w:r>
      <w:r>
        <w:rPr>
          <w:b/>
        </w:rPr>
        <w:t>IFIS</w:t>
      </w:r>
      <w:r>
        <w:t xml:space="preserve"> → information préopérative du chirurgien — pas d'arrêt du traitement (l'IFIS persiste plusieurs années après l'arrêt) ; (f) </w:t>
      </w:r>
      <w:r>
        <w:rPr>
          <w:b/>
        </w:rPr>
        <w:t>Rash cutané</w:t>
      </w:r>
      <w:r>
        <w:t xml:space="preserve"> → arrêt, antihistaminique si prurigineux.</w:t>
      </w:r>
    </w:p>
    <w:p>
      <w:r/>
      <w:r>
        <w:rPr>
          <w:b/>
        </w:rPr>
        <w:t>Interactions Importantes :</w:t>
      </w:r>
      <w:r/>
    </w:p>
    <w:p>
      <w:pPr>
        <w:pStyle w:val="ListBullet"/>
      </w:pPr>
      <w:r>
        <w:t xml:space="preserve">Tamsulosine + </w:t>
      </w:r>
      <w:r>
        <w:rPr>
          <w:b/>
        </w:rPr>
        <w:t>Autres alpha-bloquants</w:t>
      </w:r>
      <w:r>
        <w:t xml:space="preserve"> (doxazosine, prazosine, térazosine, alfuzosine, silodosine) : </w:t>
      </w:r>
      <w:r>
        <w:rPr>
          <w:b/>
        </w:rPr>
        <w:t>CI absolue</w:t>
      </w:r>
      <w:r>
        <w:t xml:space="preserve"> — potentialisation des effets (hypotension orthostatique, vertiges, syncope, éjaculation rétrograde).</w:t>
      </w:r>
    </w:p>
    <w:p>
      <w:pPr>
        <w:pStyle w:val="ListBullet"/>
      </w:pPr>
      <w:r>
        <w:t xml:space="preserve">Tamsulosine + </w:t>
      </w:r>
      <w:r>
        <w:rPr>
          <w:b/>
        </w:rPr>
        <w:t>Inhibiteurs de la PDE5</w:t>
      </w:r>
      <w:r>
        <w:t xml:space="preserve"> (sildénafil, tadalafil, vardenafil) : potentialisation hypotensive (moins marquée qu'avec la doxazosine en raison de la urosélectivité de la tamsulosine). Démarrer la PDE5 à dose minimale (sildénafil 25 mg), surveillance.</w:t>
      </w:r>
    </w:p>
    <w:p>
      <w:pPr>
        <w:pStyle w:val="ListBullet"/>
      </w:pPr>
      <w:r>
        <w:t xml:space="preserve">Tamsulosine + </w:t>
      </w:r>
      <w:r>
        <w:rPr>
          <w:b/>
        </w:rPr>
        <w:t>Inhibiteurs puissants du CYP3A4</w:t>
      </w:r>
      <w:r>
        <w:t xml:space="preserve"> (kétoconazole, itraconazole, clarithromycine, érythromycine, ritonavir) : majoration des concentrations de tamsulosine → hypotension, vertiges. Surveillance, adaptation. CI relative avec les inhibiteurs puissants (kétoconazole oral).</w:t>
      </w:r>
    </w:p>
    <w:p>
      <w:pPr>
        <w:pStyle w:val="ListBullet"/>
      </w:pPr>
      <w:r>
        <w:t xml:space="preserve">Tamsulosine + </w:t>
      </w:r>
      <w:r>
        <w:rPr>
          <w:b/>
        </w:rPr>
        <w:t>Inhibiteurs modérés du CYP3A4</w:t>
      </w:r>
      <w:r>
        <w:t xml:space="preserve"> (diltiazem, vérapamil, fluconazole, aprepitant) : majoration modérée des concentrations de tamsulosine. Surveillance.</w:t>
      </w:r>
    </w:p>
    <w:p>
      <w:pPr>
        <w:pStyle w:val="ListBullet"/>
      </w:pPr>
      <w:r>
        <w:t xml:space="preserve">Tamsulosine + </w:t>
      </w:r>
      <w:r>
        <w:rPr>
          <w:b/>
        </w:rPr>
        <w:t>Inhibiteurs du CYP2D6</w:t>
      </w:r>
      <w:r>
        <w:t xml:space="preserve"> (paroxétine, fluoxétine, bupropion) : majoration modérée des concentrations de tamsulosine. Surveillance.</w:t>
      </w:r>
    </w:p>
    <w:p>
      <w:pPr>
        <w:pStyle w:val="ListBullet"/>
      </w:pPr>
      <w:r>
        <w:t xml:space="preserve">Tamsulosine + </w:t>
      </w:r>
      <w:r>
        <w:rPr>
          <w:b/>
        </w:rPr>
        <w:t>Inducteurs du CYP3A4</w:t>
      </w:r>
      <w:r>
        <w:t xml:space="preserve"> (rifampicine, phénytoïne, carbamazépine, millepertuis) : baisse d'efficacité.</w:t>
      </w:r>
    </w:p>
    <w:p>
      <w:pPr>
        <w:pStyle w:val="ListBullet"/>
      </w:pPr>
      <w:r>
        <w:t xml:space="preserve">Tamsulosine + </w:t>
      </w:r>
      <w:r>
        <w:rPr>
          <w:b/>
        </w:rPr>
        <w:t>Antihypertenseurs</w:t>
      </w:r>
      <w:r>
        <w:t xml:space="preserve"> (IEC, ARA2, diurétiques thiazidiques, ICA, β-bloquants) : potentialisation hypotensive modérée (moins marquée qu'avec la doxazosine en raison de la urosélectivité). Surveillance orthostatique.</w:t>
      </w:r>
    </w:p>
    <w:p>
      <w:pPr>
        <w:pStyle w:val="ListBullet"/>
      </w:pPr>
      <w:r>
        <w:t xml:space="preserve">Tamsulosine + </w:t>
      </w:r>
      <w:r>
        <w:rPr>
          <w:b/>
        </w:rPr>
        <w:t>Alcool</w:t>
      </w:r>
      <w:r>
        <w:t xml:space="preserve"> : potentialisation hypotensive — éviter.</w:t>
      </w:r>
    </w:p>
    <w:p>
      <w:pPr>
        <w:pStyle w:val="ListBullet"/>
      </w:pPr>
      <w:r>
        <w:t xml:space="preserve">Tamsulosine + </w:t>
      </w:r>
      <w:r>
        <w:rPr>
          <w:b/>
        </w:rPr>
        <w:t>Anesthésiques généraux</w:t>
      </w:r>
      <w:r>
        <w:t xml:space="preserve"> : potentialisation hypotensive — prévenir l'anesthésiste.</w:t>
      </w:r>
    </w:p>
    <w:p>
      <w:pPr>
        <w:pStyle w:val="ListBullet"/>
      </w:pPr>
      <w:r>
        <w:t xml:space="preserve">Tamsulosine + </w:t>
      </w:r>
      <w:r>
        <w:rPr>
          <w:b/>
        </w:rPr>
        <w:t>Warfarine, AVK</w:t>
      </w:r>
      <w:r>
        <w:t xml:space="preserve"> : pas d'effet significatif (mais surveillance INR).</w:t>
      </w:r>
    </w:p>
    <w:p>
      <w:pPr>
        <w:pStyle w:val="ListBullet"/>
      </w:pPr>
      <w:r>
        <w:t xml:space="preserve">Tamsulosine + </w:t>
      </w:r>
      <w:r>
        <w:rPr>
          <w:b/>
        </w:rPr>
        <w:t>Statines</w:t>
      </w:r>
      <w:r>
        <w:t xml:space="preserve"> : pas d'interaction significative.</w:t>
      </w:r>
    </w:p>
    <w:p>
      <w:pPr>
        <w:pStyle w:val="ListBullet"/>
      </w:pPr>
      <w:r>
        <w:t xml:space="preserve">Tamsulosine + </w:t>
      </w:r>
      <w:r>
        <w:rPr>
          <w:b/>
        </w:rPr>
        <w:t>Digoxine</w:t>
      </w:r>
      <w:r>
        <w:t xml:space="preserve"> : pas d'effet significatif.</w:t>
      </w:r>
    </w:p>
    <w:p>
      <w:r/>
      <w:r>
        <w:rPr>
          <w:b/>
        </w:rPr>
        <w:t>Grossesse et Allaitement :</w:t>
      </w:r>
      <w:r/>
    </w:p>
    <w:p>
      <w:pPr>
        <w:pStyle w:val="ListBullet"/>
      </w:pPr>
      <w:r>
        <w:t xml:space="preserve">Grossesse : </w:t>
      </w:r>
      <w:r>
        <w:rPr>
          <w:b/>
        </w:rPr>
        <w:t>Pas d'indication chez la femme</w:t>
      </w:r>
      <w:r>
        <w:t xml:space="preserve"> (la tamsulosine est indiquée uniquement dans l'HBP, pathologie masculine). En cas de prise accidentelle chez la femme enceinte, pas de signalement particulier de tératogénicité humaine, mais à éviter par prudence (radical sulfonamide).</w:t>
      </w:r>
    </w:p>
    <w:p>
      <w:pPr>
        <w:pStyle w:val="ListBullet"/>
      </w:pPr>
      <w:r>
        <w:t xml:space="preserve">Allaitement : </w:t>
      </w:r>
      <w:r>
        <w:rPr>
          <w:b/>
        </w:rPr>
        <w:t>Pas d'indication chez la femme</w:t>
      </w:r>
      <w:r>
        <w:t>. En cas de prise accidentelle chez la femme allaitante, suspendre l'allaitement pendant 24 h après la dernière dose.</w:t>
      </w:r>
    </w:p>
    <w:p>
      <w:pPr>
        <w:pStyle w:val="ListBullet"/>
      </w:pPr>
      <w:r>
        <w:t>Précisions : La tamsulosine est un médicament à usage masculin (HBP). Sa prescription chez la femme est exceptionnelle (rares indications hors AMM en dysurie d'origine neurologique féminine).</w:t>
      </w:r>
    </w:p>
    <w:p>
      <w:r/>
      <w:r>
        <w:rPr>
          <w:b/>
        </w:rPr>
        <w:t>Posologie et Mode d'administration (Standard) :</w:t>
      </w:r>
      <w:r/>
    </w:p>
    <w:p>
      <w:pPr>
        <w:pStyle w:val="ListBullet"/>
      </w:pPr>
      <w:r>
        <w:t xml:space="preserve">Adulte : </w:t>
      </w:r>
      <w:r>
        <w:rPr>
          <w:b/>
        </w:rPr>
        <w:t>Forme LP 0,4 mg</w:t>
      </w:r>
      <w:r>
        <w:t xml:space="preserve"> (recommandée) : 1 gélule LP 0,4 mg/jour en une prise unique, </w:t>
      </w:r>
      <w:r>
        <w:rPr>
          <w:b/>
        </w:rPr>
        <w:t>après le premier repas de la journée</w:t>
      </w:r>
      <w:r>
        <w:t xml:space="preserve"> (et non à jeun — l'alimentation augmente la biodisponibilité de 30 % et minimise la variabilité). Dose maximale : 0,4 mg/jour (ne pas augmenter à 0,8 mg/jour — pas d'efficacité supérieure démontrée et plus d'effets indésirables). La forme LP 0,4 mg en microgranules dans une gélule assure une libération prolongée sur 24 h en une prise unique.</w:t>
      </w:r>
    </w:p>
    <w:p>
      <w:pPr>
        <w:pStyle w:val="ListBullet"/>
      </w:pPr>
      <w:r>
        <w:t>Sujet âgé (&gt; 65 ans) : posologie identique (0,4 mg LP/jour). Pas d'adaptation posologique systématique. Surveillance de la PA orthostatique.</w:t>
      </w:r>
    </w:p>
    <w:p>
      <w:pPr>
        <w:pStyle w:val="ListBullet"/>
      </w:pPr>
      <w:r>
        <w:t>Insuffisant hépatique modéré : prudence, surveillance. CI absolue si insuffisance hépatique sévère (Child-Pugh C).</w:t>
      </w:r>
    </w:p>
    <w:p>
      <w:pPr>
        <w:pStyle w:val="ListBullet"/>
      </w:pPr>
      <w:r>
        <w:t>Insuffisant rénal léger à modéré (DFG 30–60 mL/min) : posologie identique. Surveillance.</w:t>
      </w:r>
    </w:p>
    <w:p>
      <w:pPr>
        <w:pStyle w:val="ListBullet"/>
      </w:pPr>
      <w:r>
        <w:t>Insuffisant rénal sévère (DFG &lt; 30 mL/min) : prudence, surveillance. À éviter en cas de DFG &lt; 10 mL/min.</w:t>
      </w:r>
    </w:p>
    <w:p>
      <w:pPr>
        <w:pStyle w:val="ListBullet"/>
      </w:pPr>
      <w:r>
        <w:t>Enfant : non recommandé.</w:t>
      </w:r>
    </w:p>
    <w:p>
      <w:pPr>
        <w:pStyle w:val="ListBullet"/>
      </w:pPr>
      <w:r>
        <w:t>Durée : au long cours pour l'HBP chronique. Pour le MET (expulsion lithiasique) : 4–6 semaines maximum. Ne jamais arrêter brutalement (récidive des symptômes en 1–2 semaines).</w:t>
      </w:r>
    </w:p>
    <w:p>
      <w:pPr>
        <w:pStyle w:val="ListBullet"/>
      </w:pPr>
      <w:r>
        <w:t xml:space="preserve">Moment de prise : </w:t>
      </w:r>
      <w:r>
        <w:rPr>
          <w:b/>
        </w:rPr>
        <w:t>après le premier repas de la journée</w:t>
      </w:r>
      <w:r>
        <w:t xml:space="preserve"> (et non à jeun — essentiel pour la forme LP 0,4 mg — l'alimentation augmente la biodisponibilité et minimise la variabilité). À heure fixe.</w:t>
      </w:r>
    </w:p>
    <w:p>
      <w:r/>
      <w:r>
        <w:rPr>
          <w:b/>
        </w:rPr>
        <w:t>Arbitrage et Bénéfices des Formes Galéniques :</w:t>
      </w:r>
      <w:r/>
    </w:p>
    <w:p>
      <w:r>
        <w:t>La tamsulosine est disponible en Algérie exclusivement en forme LP 0,4 mg, en comprimé pelliculé LP ou en gélule à microgranules LP. La forme LP 0,4 mg en une prise unique après le petit-déjeuner assure une couverture 24 h et une observance facilitée. Avantage : la prise après le repas du matin optimise l'absorption et minimise la variabilité — instruction clé à donner au comptoir. Inconvénient : la prise après le petit-déjeuner peut être oubliée — le patient doit intégrer la prise dans sa routine matinale (après le café, par exemple). Douze spécialités actives concurrentielles (GAMCET, OLSERAZ, PROSTALOZINE LP, PROSTAM LP, PROSTASIR LP, SULOZIR LP, TAMSIR LP, TAMSULIX LP, TAMSULOSINE BEKER LP, TAMSULOSINE MM LP, TAMSUMED LP, TAMSUPROST) assurent un marché très dynamique et des prix modérés. La substitution entre les marques est possible sans surveillance supplémentaire (bioéquivalence démontrée). Pour les patients nécessitant une dose réduite (intolérance, insuffisance rénale sévère), on peut ouvrir la gélule et ne conserver que la moitié des microgranules (pratique peu précise — à éviter). Le pharmacien doit informer le patient de la nécessité d'une prise unique quotidienne après le petit-déjeuner. La forme 0,2 mg (disponible à l'étranger — Flomax 0,2 mg) n'est pas disponible en Algérie. Pour le MET (expulsion lithiasique), la dose est identique (0,4 mg/jour pendant 4–6 semaines).</w:t>
      </w:r>
    </w:p>
    <w:p>
      <w:r/>
      <w:r>
        <w:rPr>
          <w:b/>
        </w:rPr>
        <w:t>Instructions et Conseils au Patient :</w:t>
      </w:r>
      <w:r/>
    </w:p>
    <w:p>
      <w:pPr>
        <w:pStyle w:val="ListBullet"/>
      </w:pPr>
      <w:r>
        <w:t xml:space="preserve">Communication au comptoir : « Ce médicament est un alpha-bloquant. Il est prescrit pour traiter votre </w:t>
      </w:r>
      <w:r>
        <w:rPr>
          <w:b/>
        </w:rPr>
        <w:t>hypertrophie bénigne de la prostate</w:t>
      </w:r>
      <w:r>
        <w:t xml:space="preserve"> (HBP) — il relâche les muscles de la prostate et améliore la miction. Il faut prendre </w:t>
      </w:r>
      <w:r>
        <w:rPr>
          <w:b/>
        </w:rPr>
        <w:t>une gélule par jour, après le premier repas de la journée</w:t>
      </w:r>
      <w:r>
        <w:t xml:space="preserve"> (et non à jeun — l'absorption est meilleure avec la nourriture). Avalez la gélule entière avec un verre d'eau — ne la croquez pas, ne l'écrasez pas (elle est à libération prolongée). Les effets indésirables possibles sont : des </w:t>
      </w:r>
      <w:r>
        <w:rPr>
          <w:b/>
        </w:rPr>
        <w:t>vertiges</w:t>
      </w:r>
      <w:r>
        <w:t xml:space="preserve"> ou des </w:t>
      </w:r>
      <w:r>
        <w:rPr>
          <w:b/>
        </w:rPr>
        <w:t>malaises</w:t>
      </w:r>
      <w:r>
        <w:t xml:space="preserve"> en se levant (surtout au début), des </w:t>
      </w:r>
      <w:r>
        <w:rPr>
          <w:b/>
        </w:rPr>
        <w:t>maux de tête</w:t>
      </w:r>
      <w:r>
        <w:t xml:space="preserve">, de la </w:t>
      </w:r>
      <w:r>
        <w:rPr>
          <w:b/>
        </w:rPr>
        <w:t>fatigue</w:t>
      </w:r>
      <w:r>
        <w:t xml:space="preserve">, parfois une </w:t>
      </w:r>
      <w:r>
        <w:rPr>
          <w:b/>
        </w:rPr>
        <w:t>éjaculation rétrograde</w:t>
      </w:r>
      <w:r>
        <w:t xml:space="preserve"> (le sperme remonte dans la vessie — bénin mais à signaler). Quand vous vous levez (du lit, d'un fauteuil), levez-vous </w:t>
      </w:r>
      <w:r>
        <w:rPr>
          <w:b/>
        </w:rPr>
        <w:t>doucement, en restant assis 3 minutes avant de vous mettre debout</w:t>
      </w:r>
      <w:r>
        <w:t>. En cas d'</w:t>
      </w:r>
      <w:r>
        <w:rPr>
          <w:b/>
        </w:rPr>
        <w:t>érection prolongée</w:t>
      </w:r>
      <w:r>
        <w:t xml:space="preserve"> douloureuse sans stimulation (plus de 4 heures), </w:t>
      </w:r>
      <w:r>
        <w:rPr>
          <w:b/>
        </w:rPr>
        <w:t>consultez immédiatement aux urgences</w:t>
      </w:r>
      <w:r>
        <w:t xml:space="preserve">. Si vous devez avoir une </w:t>
      </w:r>
      <w:r>
        <w:rPr>
          <w:b/>
        </w:rPr>
        <w:t>opération de la cataracte</w:t>
      </w:r>
      <w:r>
        <w:t>, prévenez votre ophtalmologiste — c'est important. Évitez l'alcool. »</w:t>
      </w:r>
    </w:p>
    <w:p>
      <w:pPr>
        <w:pStyle w:val="ListBullet"/>
      </w:pPr>
      <w:r>
        <w:t>Mode d'utilisation pratique : (a) Prendre après le premier repas de la journée (essentiel) ; (b) À heure fixe chaque jour ; (c) En cas d'oubli : si l'écart est &lt; 8 h, prendre la dose oubliée ; sinon sauter ; (d) Ne jamais doubler la dose ; (e) Se lever doucement (3 minutes assis avant de se mettre debout) ; (f) Amélioration des symptômes urinaires en 1–2 semaines.</w:t>
      </w:r>
    </w:p>
    <w:p>
      <w:r/>
      <w:r>
        <w:rPr>
          <w:b/>
        </w:rPr>
        <w:t>Notes, Règles d'Or &amp; Pièges au Comptoir :</w:t>
      </w:r>
      <w:r/>
    </w:p>
    <w:p>
      <w:pPr>
        <w:pStyle w:val="ListBullet"/>
      </w:pPr>
      <w:r/>
      <w:r>
        <w:rPr>
          <w:b/>
        </w:rPr>
        <w:t>Piège classique — Prise à jeun</w:t>
      </w:r>
      <w:r>
        <w:t xml:space="preserve"> : la prise à jeun de la forme LP 0,4 mg réduit la biodisponibilité de 30 % et augmente la variabilité — inefficacité du traitement. Toujours rappeler au patient de prendre la gélule </w:t>
      </w:r>
      <w:r>
        <w:rPr>
          <w:b/>
        </w:rPr>
        <w:t>après le premier repas de la journée</w:t>
      </w:r>
      <w:r>
        <w:t xml:space="preserve"> (et non avant ou à jeun).</w:t>
      </w:r>
    </w:p>
    <w:p>
      <w:pPr>
        <w:pStyle w:val="ListBullet"/>
      </w:pPr>
      <w:r/>
      <w:r>
        <w:rPr>
          <w:b/>
        </w:rPr>
        <w:t>Piège — Association à un autre alpha-bloquant</w:t>
      </w:r>
      <w:r>
        <w:t xml:space="preserve"> : CI absolue (potentialisation des effets). Vérifier l'ordonnance, refuser la dispensation si association à la doxazosine, prazosine, térazosine, alfuzosine ou silodosine.</w:t>
      </w:r>
    </w:p>
    <w:p>
      <w:pPr>
        <w:pStyle w:val="ListBullet"/>
      </w:pPr>
      <w:r/>
      <w:r>
        <w:rPr>
          <w:b/>
        </w:rPr>
        <w:t>Piège — Association aux PDE5</w:t>
      </w:r>
      <w:r>
        <w:t xml:space="preserve"> (sildénafil, tadalafil) : risque d'hypotension modérée (moins marquée qu'avec la doxazosine en raison de la urosélectivité de la tamsulosine). Démarrer la PDE5 à dose minimale.</w:t>
      </w:r>
    </w:p>
    <w:p>
      <w:pPr>
        <w:pStyle w:val="ListBullet"/>
      </w:pPr>
      <w:r/>
      <w:r>
        <w:rPr>
          <w:b/>
        </w:rPr>
        <w:t>Piège — Chirurgie de la cataracte</w:t>
      </w:r>
      <w:r>
        <w:t xml:space="preserve"> : </w:t>
      </w:r>
      <w:r>
        <w:rPr>
          <w:b/>
        </w:rPr>
        <w:t>risque d'IFIS plus marqué qu'avec les autres alpha-bloquants</w:t>
      </w:r>
      <w:r>
        <w:t xml:space="preserve"> — information préopérative au chirurgien ophtalmologiste essentielle — ne pas arrêter le traitement (l'IFIS persiste plusieurs années après l'arrêt).</w:t>
      </w:r>
    </w:p>
    <w:p>
      <w:pPr>
        <w:pStyle w:val="ListBullet"/>
      </w:pPr>
      <w:r/>
      <w:r>
        <w:rPr>
          <w:b/>
        </w:rPr>
        <w:t>Piège — Priapisme</w:t>
      </w:r>
      <w:r>
        <w:t xml:space="preserve"> : urgence urologique — consulter immédiatement (&lt; 6 heures pour préserver la fonction érectile).</w:t>
      </w:r>
    </w:p>
    <w:p>
      <w:pPr>
        <w:pStyle w:val="ListBullet"/>
      </w:pPr>
      <w:r/>
      <w:r>
        <w:rPr>
          <w:b/>
        </w:rPr>
        <w:t>Piège — Éjaculation rétrograde</w:t>
      </w:r>
      <w:r>
        <w:t xml:space="preserve"> : à signaler au patient — bénin mais pouvant être mal vécu. Pas d'arrêt du traitement si bien toléré.</w:t>
      </w:r>
    </w:p>
    <w:p>
      <w:pPr>
        <w:pStyle w:val="ListBullet"/>
      </w:pPr>
      <w:r/>
      <w:r>
        <w:rPr>
          <w:b/>
        </w:rPr>
        <w:t>Piège — Insuffisance hépatique</w:t>
      </w:r>
      <w:r>
        <w:t xml:space="preserve"> : CI absolue si sévère (Child-Pugh C).</w:t>
      </w:r>
    </w:p>
    <w:p>
      <w:pPr>
        <w:pStyle w:val="ListBullet"/>
      </w:pPr>
      <w:r/>
      <w:r>
        <w:rPr>
          <w:b/>
        </w:rPr>
        <w:t>Piège — Substitution par alfuzosine ou doxazosine</w:t>
      </w:r>
      <w:r>
        <w:t xml:space="preserve"> : la substitution doit être encadrée médicalement. La tamsulosine est la plus urosélective de la classe (moins d'hypotension, plus d'éjaculation rétrograde et d'IFIS). L'alfuzosine est intermédiaire. La doxazosine est la moins urosélective (plus d'hypotension, indiquée en cas d'HTA associée). Le choix dépend du profil patient (HBP pure sans HTA → tamsulosine ; HBP + HTA → doxazosine).</w:t>
      </w:r>
    </w:p>
    <w:p>
      <w:pPr>
        <w:pStyle w:val="ListBullet"/>
      </w:pPr>
      <w:r/>
      <w:r>
        <w:rPr>
          <w:b/>
        </w:rPr>
        <w:t>Piège — Allergie aux sulfamides</w:t>
      </w:r>
      <w:r>
        <w:t xml:space="preserve"> : la tamsulosine contient un radical sulfonamide mais la structure ne croise pas avec les sulfamides antibactériens en termes d'allergie (réactivité croisée non démontrée). En cas d'allergie grave aux sulfamides antibactériens (syndrome de Lyell, syndrome de Stevens-Johnson), prudence ou alternative (alfuzosine, qui n'a pas de radical sulfonamide).</w:t>
      </w:r>
    </w:p>
    <w:p>
      <w:pPr>
        <w:pStyle w:val="ListBullet"/>
      </w:pPr>
      <w:r/>
      <w:r>
        <w:rPr>
          <w:b/>
        </w:rPr>
        <w:t>Piège — Sujet âgé fragile</w:t>
      </w:r>
      <w:r>
        <w:t xml:space="preserve"> : risque d'hypotension orthostatique avec chute et fracture du col du fémur — à évaluer soigneusement, même si moins marqué qu'avec la doxazosine.</w:t>
      </w:r>
    </w:p>
    <w:p>
      <w:pPr>
        <w:pStyle w:val="ListBullet"/>
      </w:pPr>
      <w:r/>
      <w:r>
        <w:rPr>
          <w:b/>
        </w:rPr>
        <w:t>Règle de prise</w:t>
      </w:r>
      <w:r>
        <w:t xml:space="preserve"> : une prise par jour, après le premier repas de la journée, à vie.</w:t>
      </w:r>
    </w:p>
    <w:p>
      <w:pPr>
        <w:pStyle w:val="ListBullet"/>
      </w:pPr>
      <w:r/>
      <w:r>
        <w:rPr>
          <w:b/>
        </w:rPr>
        <w:t>Préparation et Conservation</w:t>
      </w:r>
      <w:r>
        <w:t xml:space="preserve"> : conserver à &lt; 25 °C, à l'abri de l'humidité. Gélules LP à ne pas croquer ni ouvrir (les microgranules doivent être avalés entiers).</w:t>
      </w:r>
    </w:p>
    <w:p>
      <w:pPr>
        <w:pStyle w:val="ListBullet"/>
      </w:pPr>
      <w:r/>
      <w:r>
        <w:rPr>
          <w:b/>
        </w:rPr>
        <w:t>Piège du surdosage</w:t>
      </w:r>
      <w:r>
        <w:t xml:space="preserve"> : surdosage massif → hypotension sévère, vertiges, syncope. </w:t>
      </w:r>
      <w:r>
        <w:rPr>
          <w:b/>
        </w:rPr>
        <w:t>Traitement</w:t>
      </w:r>
      <w:r>
        <w:t xml:space="preserve"> : arrêt immédiat, position allongée jambes surélevées, remplissage vasculaire (NaCl 0,9 %), adrénaline IV si collapsus. Ne pas utiliser d'α-agonistes (phényléphrine) en première intention (rétention urinaire aiguë possible chez le sujet avec HBP).</w:t>
      </w:r>
    </w:p>
    <w:p>
      <w:pPr>
        <w:pStyle w:val="Heading2"/>
      </w:pPr>
      <w:r>
        <w:t>Tableau Comparatif des 14 DCI</w:t>
      </w:r>
    </w:p>
    <w:p>
      <w:r>
        <w:t>Le tableau ci-dessous résume les caractéristiques pharmacologiques essentielles des 14 DCI traitées dans ce chapitre, en vue d'une révision rapide et d'une comparaison transversale pour l'examen et la pratique officinale.</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w:t>
            </w:r>
          </w:p>
        </w:tc>
        <w:tc>
          <w:tcPr>
            <w:tcW w:type="dxa" w:w="1039"/>
          </w:tcPr>
          <w:p>
            <w:r>
              <w:rPr>
                <w:b/>
                <w:sz w:val="20"/>
              </w:rPr>
              <w:t>DCI</w:t>
            </w:r>
          </w:p>
        </w:tc>
        <w:tc>
          <w:tcPr>
            <w:tcW w:type="dxa" w:w="1039"/>
          </w:tcPr>
          <w:p>
            <w:r>
              <w:rPr>
                <w:b/>
                <w:sz w:val="20"/>
              </w:rPr>
              <w:t>Sous-classe</w:t>
            </w:r>
          </w:p>
        </w:tc>
        <w:tc>
          <w:tcPr>
            <w:tcW w:type="dxa" w:w="1039"/>
          </w:tcPr>
          <w:p>
            <w:r>
              <w:rPr>
                <w:b/>
                <w:sz w:val="20"/>
              </w:rPr>
              <w:t>Mécanisme d'action</w:t>
            </w:r>
          </w:p>
        </w:tc>
        <w:tc>
          <w:tcPr>
            <w:tcW w:type="dxa" w:w="1039"/>
          </w:tcPr>
          <w:p>
            <w:r>
              <w:rPr>
                <w:b/>
                <w:sz w:val="20"/>
              </w:rPr>
              <w:t>Demi-vie</w:t>
            </w:r>
          </w:p>
        </w:tc>
        <w:tc>
          <w:tcPr>
            <w:tcW w:type="dxa" w:w="1039"/>
          </w:tcPr>
          <w:p>
            <w:r>
              <w:rPr>
                <w:b/>
                <w:sz w:val="20"/>
              </w:rPr>
              <w:t>Posologie usuelle (adulte)</w:t>
            </w:r>
          </w:p>
        </w:tc>
        <w:tc>
          <w:tcPr>
            <w:tcW w:type="dxa" w:w="1039"/>
          </w:tcPr>
          <w:p>
            <w:r>
              <w:rPr>
                <w:b/>
                <w:sz w:val="20"/>
              </w:rPr>
              <w:t>EI majeur</w:t>
            </w:r>
          </w:p>
        </w:tc>
        <w:tc>
          <w:tcPr>
            <w:tcW w:type="dxa" w:w="1039"/>
          </w:tcPr>
          <w:p>
            <w:r>
              <w:rPr>
                <w:b/>
                <w:sz w:val="20"/>
              </w:rPr>
              <w:t>Grossesse</w:t>
            </w:r>
          </w:p>
        </w:tc>
        <w:tc>
          <w:tcPr>
            <w:tcW w:type="dxa" w:w="1039"/>
          </w:tcPr>
          <w:p>
            <w:r>
              <w:rPr>
                <w:b/>
                <w:sz w:val="20"/>
              </w:rPr>
              <w:t>Interactions clés</w:t>
            </w:r>
          </w:p>
        </w:tc>
      </w:tr>
      <w:tr>
        <w:tc>
          <w:tcPr>
            <w:tcW w:type="dxa" w:w="1039"/>
          </w:tcPr>
          <w:p>
            <w:r>
              <w:rPr>
                <w:sz w:val="20"/>
              </w:rPr>
              <w:t>1</w:t>
            </w:r>
          </w:p>
        </w:tc>
        <w:tc>
          <w:tcPr>
            <w:tcW w:type="dxa" w:w="1039"/>
          </w:tcPr>
          <w:p>
            <w:r>
              <w:rPr>
                <w:sz w:val="20"/>
              </w:rPr>
              <w:t>**Amlodipine**</w:t>
            </w:r>
          </w:p>
        </w:tc>
        <w:tc>
          <w:tcPr>
            <w:tcW w:type="dxa" w:w="1039"/>
          </w:tcPr>
          <w:p>
            <w:r>
              <w:rPr>
                <w:sz w:val="20"/>
              </w:rPr>
              <w:t>DHP 3e génération</w:t>
            </w:r>
          </w:p>
        </w:tc>
        <w:tc>
          <w:tcPr>
            <w:tcW w:type="dxa" w:w="1039"/>
          </w:tcPr>
          <w:p>
            <w:r>
              <w:rPr>
                <w:sz w:val="20"/>
              </w:rPr>
              <w:t>Blocage canal Cav1.2 (site DHP), vasodilatation artériolaire</w:t>
            </w:r>
          </w:p>
        </w:tc>
        <w:tc>
          <w:tcPr>
            <w:tcW w:type="dxa" w:w="1039"/>
          </w:tcPr>
          <w:p>
            <w:r>
              <w:rPr>
                <w:sz w:val="20"/>
              </w:rPr>
              <w:t>35–50 h</w:t>
            </w:r>
          </w:p>
        </w:tc>
        <w:tc>
          <w:tcPr>
            <w:tcW w:type="dxa" w:w="1039"/>
          </w:tcPr>
          <w:p>
            <w:r>
              <w:rPr>
                <w:sz w:val="20"/>
              </w:rPr>
              <w:t>5–10 mg/j, 1 prise/j</w:t>
            </w:r>
          </w:p>
        </w:tc>
        <w:tc>
          <w:tcPr>
            <w:tcW w:type="dxa" w:w="1039"/>
          </w:tcPr>
          <w:p>
            <w:r>
              <w:rPr>
                <w:sz w:val="20"/>
              </w:rPr>
              <w:t>Œdèmes malléoles (10–25 %), céphalées, flush, hyperplasie gingivale</w:t>
            </w:r>
          </w:p>
        </w:tc>
        <w:tc>
          <w:tcPr>
            <w:tcW w:type="dxa" w:w="1039"/>
          </w:tcPr>
          <w:p>
            <w:r>
              <w:rPr>
                <w:sz w:val="20"/>
              </w:rPr>
              <w:t>2e/3e trim. acceptable (CRAT) ; 1er trim. à éviter</w:t>
            </w:r>
          </w:p>
        </w:tc>
        <w:tc>
          <w:tcPr>
            <w:tcW w:type="dxa" w:w="1039"/>
          </w:tcPr>
          <w:p>
            <w:r>
              <w:rPr>
                <w:sz w:val="20"/>
              </w:rPr>
              <w:t>CYP3A4 (inhib. itraconazole, jus pamplemousse ; induct. rifampicine)</w:t>
            </w:r>
          </w:p>
        </w:tc>
      </w:tr>
      <w:tr>
        <w:tc>
          <w:tcPr>
            <w:tcW w:type="dxa" w:w="1039"/>
          </w:tcPr>
          <w:p>
            <w:r>
              <w:rPr>
                <w:sz w:val="20"/>
              </w:rPr>
              <w:t>2</w:t>
            </w:r>
          </w:p>
        </w:tc>
        <w:tc>
          <w:tcPr>
            <w:tcW w:type="dxa" w:w="1039"/>
          </w:tcPr>
          <w:p>
            <w:r>
              <w:rPr>
                <w:sz w:val="20"/>
              </w:rPr>
              <w:t>**Nifédipine**</w:t>
            </w:r>
          </w:p>
        </w:tc>
        <w:tc>
          <w:tcPr>
            <w:tcW w:type="dxa" w:w="1039"/>
          </w:tcPr>
          <w:p>
            <w:r>
              <w:rPr>
                <w:sz w:val="20"/>
              </w:rPr>
              <w:t>DHP 1re génération</w:t>
            </w:r>
          </w:p>
        </w:tc>
        <w:tc>
          <w:tcPr>
            <w:tcW w:type="dxa" w:w="1039"/>
          </w:tcPr>
          <w:p>
            <w:r>
              <w:rPr>
                <w:sz w:val="20"/>
              </w:rPr>
              <w:t>Idem, vasodilatation intense et rapide</w:t>
            </w:r>
          </w:p>
        </w:tc>
        <w:tc>
          <w:tcPr>
            <w:tcW w:type="dxa" w:w="1039"/>
          </w:tcPr>
          <w:p>
            <w:r>
              <w:rPr>
                <w:sz w:val="20"/>
              </w:rPr>
              <w:t>2–5 h (forme immédiate) ; 12–24 h (LP)</w:t>
            </w:r>
          </w:p>
        </w:tc>
        <w:tc>
          <w:tcPr>
            <w:tcW w:type="dxa" w:w="1039"/>
          </w:tcPr>
          <w:p>
            <w:r>
              <w:rPr>
                <w:sz w:val="20"/>
              </w:rPr>
              <w:t>LP 20–60 mg/j (1 ou 2 prises)</w:t>
            </w:r>
          </w:p>
        </w:tc>
        <w:tc>
          <w:tcPr>
            <w:tcW w:type="dxa" w:w="1039"/>
          </w:tcPr>
          <w:p>
            <w:r>
              <w:rPr>
                <w:sz w:val="20"/>
              </w:rPr>
              <w:t>Tachycardie réflexe, hypotension (forme sublinguale proscrite), œdèmes</w:t>
            </w:r>
          </w:p>
        </w:tc>
        <w:tc>
          <w:tcPr>
            <w:tcW w:type="dxa" w:w="1039"/>
          </w:tcPr>
          <w:p>
            <w:r>
              <w:rPr>
                <w:sz w:val="20"/>
              </w:rPr>
              <w:t>2e/3e trim. acceptable ; tocolyse hors AMM (24–34 SA)</w:t>
            </w:r>
          </w:p>
        </w:tc>
        <w:tc>
          <w:tcPr>
            <w:tcW w:type="dxa" w:w="1039"/>
          </w:tcPr>
          <w:p>
            <w:r>
              <w:rPr>
                <w:sz w:val="20"/>
              </w:rPr>
              <w:t>CYP3A4 ; CI rifampicine</w:t>
            </w:r>
          </w:p>
        </w:tc>
      </w:tr>
      <w:tr>
        <w:tc>
          <w:tcPr>
            <w:tcW w:type="dxa" w:w="1039"/>
          </w:tcPr>
          <w:p>
            <w:r>
              <w:rPr>
                <w:sz w:val="20"/>
              </w:rPr>
              <w:t>3</w:t>
            </w:r>
          </w:p>
        </w:tc>
        <w:tc>
          <w:tcPr>
            <w:tcW w:type="dxa" w:w="1039"/>
          </w:tcPr>
          <w:p>
            <w:r>
              <w:rPr>
                <w:sz w:val="20"/>
              </w:rPr>
              <w:t>**Lercanidipine**</w:t>
            </w:r>
          </w:p>
        </w:tc>
        <w:tc>
          <w:tcPr>
            <w:tcW w:type="dxa" w:w="1039"/>
          </w:tcPr>
          <w:p>
            <w:r>
              <w:rPr>
                <w:sz w:val="20"/>
              </w:rPr>
              <w:t>DHP 4e génération</w:t>
            </w:r>
          </w:p>
        </w:tc>
        <w:tc>
          <w:tcPr>
            <w:tcW w:type="dxa" w:w="1039"/>
          </w:tcPr>
          <w:p>
            <w:r>
              <w:rPr>
                <w:sz w:val="20"/>
              </w:rPr>
              <w:t>Idem + haute lipophilie (effet membrane), installation lente</w:t>
            </w:r>
          </w:p>
        </w:tc>
        <w:tc>
          <w:tcPr>
            <w:tcW w:type="dxa" w:w="1039"/>
          </w:tcPr>
          <w:p>
            <w:r>
              <w:rPr>
                <w:sz w:val="20"/>
              </w:rPr>
              <w:t>8–10 h (effet 24 h par accumulation membranaire)</w:t>
            </w:r>
          </w:p>
        </w:tc>
        <w:tc>
          <w:tcPr>
            <w:tcW w:type="dxa" w:w="1039"/>
          </w:tcPr>
          <w:p>
            <w:r>
              <w:rPr>
                <w:sz w:val="20"/>
              </w:rPr>
              <w:t>10–20 mg/j, 1 prise/j à jeun 15 min avant petit-déj.</w:t>
            </w:r>
          </w:p>
        </w:tc>
        <w:tc>
          <w:tcPr>
            <w:tcW w:type="dxa" w:w="1039"/>
          </w:tcPr>
          <w:p>
            <w:r>
              <w:rPr>
                <w:sz w:val="20"/>
              </w:rPr>
              <w:t>Œdèmes (4–8 %, moindres qu'amlodipine), céphalées</w:t>
            </w:r>
          </w:p>
        </w:tc>
        <w:tc>
          <w:tcPr>
            <w:tcW w:type="dxa" w:w="1039"/>
          </w:tcPr>
          <w:p>
            <w:r>
              <w:rPr>
                <w:sz w:val="20"/>
              </w:rPr>
              <w:t>CI par prudence</w:t>
            </w:r>
          </w:p>
        </w:tc>
        <w:tc>
          <w:tcPr>
            <w:tcW w:type="dxa" w:w="1039"/>
          </w:tcPr>
          <w:p>
            <w:r>
              <w:rPr>
                <w:sz w:val="20"/>
              </w:rPr>
              <w:t>CI ciclosporine ; CYP3A4</w:t>
            </w:r>
          </w:p>
        </w:tc>
      </w:tr>
      <w:tr>
        <w:tc>
          <w:tcPr>
            <w:tcW w:type="dxa" w:w="1039"/>
          </w:tcPr>
          <w:p>
            <w:r>
              <w:rPr>
                <w:sz w:val="20"/>
              </w:rPr>
              <w:t>4</w:t>
            </w:r>
          </w:p>
        </w:tc>
        <w:tc>
          <w:tcPr>
            <w:tcW w:type="dxa" w:w="1039"/>
          </w:tcPr>
          <w:p>
            <w:r>
              <w:rPr>
                <w:sz w:val="20"/>
              </w:rPr>
              <w:t>**Nicardipine**</w:t>
            </w:r>
          </w:p>
        </w:tc>
        <w:tc>
          <w:tcPr>
            <w:tcW w:type="dxa" w:w="1039"/>
          </w:tcPr>
          <w:p>
            <w:r>
              <w:rPr>
                <w:sz w:val="20"/>
              </w:rPr>
              <w:t>DHP 2e génération</w:t>
            </w:r>
          </w:p>
        </w:tc>
        <w:tc>
          <w:tcPr>
            <w:tcW w:type="dxa" w:w="1039"/>
          </w:tcPr>
          <w:p>
            <w:r>
              <w:rPr>
                <w:sz w:val="20"/>
              </w:rPr>
              <w:t>Idem, vasosélectivité cérébrale et coronaire</w:t>
            </w:r>
          </w:p>
        </w:tc>
        <w:tc>
          <w:tcPr>
            <w:tcW w:type="dxa" w:w="1039"/>
          </w:tcPr>
          <w:p>
            <w:r>
              <w:rPr>
                <w:sz w:val="20"/>
              </w:rPr>
              <w:t>1–2 h (IV) ; 8 h (LP orale)</w:t>
            </w:r>
          </w:p>
        </w:tc>
        <w:tc>
          <w:tcPr>
            <w:tcW w:type="dxa" w:w="1039"/>
          </w:tcPr>
          <w:p>
            <w:r>
              <w:rPr>
                <w:sz w:val="20"/>
              </w:rPr>
              <w:t>LP 50 mg × 2/j ; IV 5–15 mg/h titrée</w:t>
            </w:r>
          </w:p>
        </w:tc>
        <w:tc>
          <w:tcPr>
            <w:tcW w:type="dxa" w:w="1039"/>
          </w:tcPr>
          <w:p>
            <w:r>
              <w:rPr>
                <w:sz w:val="20"/>
              </w:rPr>
              <w:t>Céphalées (IV), hypotension, thrombophlébite (IV)</w:t>
            </w:r>
          </w:p>
        </w:tc>
        <w:tc>
          <w:tcPr>
            <w:tcW w:type="dxa" w:w="1039"/>
          </w:tcPr>
          <w:p>
            <w:r>
              <w:rPr>
                <w:sz w:val="20"/>
              </w:rPr>
              <w:t>2e/3e trim. : nicardipine IV = urgence HTA gravidique</w:t>
            </w:r>
          </w:p>
        </w:tc>
        <w:tc>
          <w:tcPr>
            <w:tcW w:type="dxa" w:w="1039"/>
          </w:tcPr>
          <w:p>
            <w:r>
              <w:rPr>
                <w:sz w:val="20"/>
              </w:rPr>
              <w:t>CYP3A4 ; β-bloquant obligatoire si dissection aortique</w:t>
            </w:r>
          </w:p>
        </w:tc>
      </w:tr>
      <w:tr>
        <w:tc>
          <w:tcPr>
            <w:tcW w:type="dxa" w:w="1039"/>
          </w:tcPr>
          <w:p>
            <w:r>
              <w:rPr>
                <w:sz w:val="20"/>
              </w:rPr>
              <w:t>5</w:t>
            </w:r>
          </w:p>
        </w:tc>
        <w:tc>
          <w:tcPr>
            <w:tcW w:type="dxa" w:w="1039"/>
          </w:tcPr>
          <w:p>
            <w:r>
              <w:rPr>
                <w:sz w:val="20"/>
              </w:rPr>
              <w:t>**Nitrendipine**</w:t>
            </w:r>
          </w:p>
        </w:tc>
        <w:tc>
          <w:tcPr>
            <w:tcW w:type="dxa" w:w="1039"/>
          </w:tcPr>
          <w:p>
            <w:r>
              <w:rPr>
                <w:sz w:val="20"/>
              </w:rPr>
              <w:t>DHP 2e génération</w:t>
            </w:r>
          </w:p>
        </w:tc>
        <w:tc>
          <w:tcPr>
            <w:tcW w:type="dxa" w:w="1039"/>
          </w:tcPr>
          <w:p>
            <w:r>
              <w:rPr>
                <w:sz w:val="20"/>
              </w:rPr>
              <w:t>Idem, vasosélectivité cérébrale et rénale</w:t>
            </w:r>
          </w:p>
        </w:tc>
        <w:tc>
          <w:tcPr>
            <w:tcW w:type="dxa" w:w="1039"/>
          </w:tcPr>
          <w:p>
            <w:r>
              <w:rPr>
                <w:sz w:val="20"/>
              </w:rPr>
              <w:t>12–24 h</w:t>
            </w:r>
          </w:p>
        </w:tc>
        <w:tc>
          <w:tcPr>
            <w:tcW w:type="dxa" w:w="1039"/>
          </w:tcPr>
          <w:p>
            <w:r>
              <w:rPr>
                <w:sz w:val="20"/>
              </w:rPr>
              <w:t>10–20 mg/j, 1 prise/j (max 40 mg)</w:t>
            </w:r>
          </w:p>
        </w:tc>
        <w:tc>
          <w:tcPr>
            <w:tcW w:type="dxa" w:w="1039"/>
          </w:tcPr>
          <w:p>
            <w:r>
              <w:rPr>
                <w:sz w:val="20"/>
              </w:rPr>
              <w:t>Œdèmes, céphalées, flush (profil comparable à amlodipine)</w:t>
            </w:r>
          </w:p>
        </w:tc>
        <w:tc>
          <w:tcPr>
            <w:tcW w:type="dxa" w:w="1039"/>
          </w:tcPr>
          <w:p>
            <w:r>
              <w:rPr>
                <w:sz w:val="20"/>
              </w:rPr>
              <w:t>2e/3e trim. en 2e intention</w:t>
            </w:r>
          </w:p>
        </w:tc>
        <w:tc>
          <w:tcPr>
            <w:tcW w:type="dxa" w:w="1039"/>
          </w:tcPr>
          <w:p>
            <w:r>
              <w:rPr>
                <w:sz w:val="20"/>
              </w:rPr>
              <w:t>CYP3A4 ; CI rifampicine</w:t>
            </w:r>
          </w:p>
        </w:tc>
      </w:tr>
      <w:tr>
        <w:tc>
          <w:tcPr>
            <w:tcW w:type="dxa" w:w="1039"/>
          </w:tcPr>
          <w:p>
            <w:r>
              <w:rPr>
                <w:sz w:val="20"/>
              </w:rPr>
              <w:t>6</w:t>
            </w:r>
          </w:p>
        </w:tc>
        <w:tc>
          <w:tcPr>
            <w:tcW w:type="dxa" w:w="1039"/>
          </w:tcPr>
          <w:p>
            <w:r>
              <w:rPr>
                <w:sz w:val="20"/>
              </w:rPr>
              <w:t>**Isradipine**</w:t>
            </w:r>
          </w:p>
        </w:tc>
        <w:tc>
          <w:tcPr>
            <w:tcW w:type="dxa" w:w="1039"/>
          </w:tcPr>
          <w:p>
            <w:r>
              <w:rPr>
                <w:sz w:val="20"/>
              </w:rPr>
              <w:t>DHP 2e génération</w:t>
            </w:r>
          </w:p>
        </w:tc>
        <w:tc>
          <w:tcPr>
            <w:tcW w:type="dxa" w:w="1039"/>
          </w:tcPr>
          <w:p>
            <w:r>
              <w:rPr>
                <w:sz w:val="20"/>
              </w:rPr>
              <w:t>Idem, vasosélectivité élevée</w:t>
            </w:r>
          </w:p>
        </w:tc>
        <w:tc>
          <w:tcPr>
            <w:tcW w:type="dxa" w:w="1039"/>
          </w:tcPr>
          <w:p>
            <w:r>
              <w:rPr>
                <w:sz w:val="20"/>
              </w:rPr>
              <w:t>1,5–8 h (immédiat) ; 12–20 h (LP)</w:t>
            </w:r>
          </w:p>
        </w:tc>
        <w:tc>
          <w:tcPr>
            <w:tcW w:type="dxa" w:w="1039"/>
          </w:tcPr>
          <w:p>
            <w:r>
              <w:rPr>
                <w:sz w:val="20"/>
              </w:rPr>
              <w:t>LP 5–10 mg/j, 1 prise/j</w:t>
            </w:r>
          </w:p>
        </w:tc>
        <w:tc>
          <w:tcPr>
            <w:tcW w:type="dxa" w:w="1039"/>
          </w:tcPr>
          <w:p>
            <w:r>
              <w:rPr>
                <w:sz w:val="20"/>
              </w:rPr>
              <w:t>Céphalées, flush, œdèmes</w:t>
            </w:r>
          </w:p>
        </w:tc>
        <w:tc>
          <w:tcPr>
            <w:tcW w:type="dxa" w:w="1039"/>
          </w:tcPr>
          <w:p>
            <w:r>
              <w:rPr>
                <w:sz w:val="20"/>
              </w:rPr>
              <w:t>CI par prudence</w:t>
            </w:r>
          </w:p>
        </w:tc>
        <w:tc>
          <w:tcPr>
            <w:tcW w:type="dxa" w:w="1039"/>
          </w:tcPr>
          <w:p>
            <w:r>
              <w:rPr>
                <w:sz w:val="20"/>
              </w:rPr>
              <w:t>CYP3A4</w:t>
            </w:r>
          </w:p>
        </w:tc>
      </w:tr>
      <w:tr>
        <w:tc>
          <w:tcPr>
            <w:tcW w:type="dxa" w:w="1039"/>
          </w:tcPr>
          <w:p>
            <w:r>
              <w:rPr>
                <w:sz w:val="20"/>
              </w:rPr>
              <w:t>7</w:t>
            </w:r>
          </w:p>
        </w:tc>
        <w:tc>
          <w:tcPr>
            <w:tcW w:type="dxa" w:w="1039"/>
          </w:tcPr>
          <w:p>
            <w:r>
              <w:rPr>
                <w:sz w:val="20"/>
              </w:rPr>
              <w:t>**Vérapamil**</w:t>
            </w:r>
          </w:p>
        </w:tc>
        <w:tc>
          <w:tcPr>
            <w:tcW w:type="dxa" w:w="1039"/>
          </w:tcPr>
          <w:p>
            <w:r>
              <w:rPr>
                <w:sz w:val="20"/>
              </w:rPr>
              <w:t>Phénylalkylamine (non-DHP)</w:t>
            </w:r>
          </w:p>
        </w:tc>
        <w:tc>
          <w:tcPr>
            <w:tcW w:type="dxa" w:w="1039"/>
          </w:tcPr>
          <w:p>
            <w:r>
              <w:rPr>
                <w:sz w:val="20"/>
              </w:rPr>
              <w:t>Blocage Cav1.2 (site phénylalkylamine, fréquence-dépendant) : bradycardie, BAV, inotrope négatif</w:t>
            </w:r>
          </w:p>
        </w:tc>
        <w:tc>
          <w:tcPr>
            <w:tcW w:type="dxa" w:w="1039"/>
          </w:tcPr>
          <w:p>
            <w:r>
              <w:rPr>
                <w:sz w:val="20"/>
              </w:rPr>
              <w:t>4–5 h (immédiat) ; 12 h (LP)</w:t>
            </w:r>
          </w:p>
        </w:tc>
        <w:tc>
          <w:tcPr>
            <w:tcW w:type="dxa" w:w="1039"/>
          </w:tcPr>
          <w:p>
            <w:r>
              <w:rPr>
                <w:sz w:val="20"/>
              </w:rPr>
              <w:t>LP 240 mg/j (max 480 mg)</w:t>
            </w:r>
          </w:p>
        </w:tc>
        <w:tc>
          <w:tcPr>
            <w:tcW w:type="dxa" w:w="1039"/>
          </w:tcPr>
          <w:p>
            <w:r>
              <w:rPr>
                <w:sz w:val="20"/>
              </w:rPr>
              <w:t>Constipation (25 %), bradycardie, BAV</w:t>
            </w:r>
          </w:p>
        </w:tc>
        <w:tc>
          <w:tcPr>
            <w:tcW w:type="dxa" w:w="1039"/>
          </w:tcPr>
          <w:p>
            <w:r>
              <w:rPr>
                <w:sz w:val="20"/>
              </w:rPr>
              <w:t>2e/3e trim. acceptable (CRAT)</w:t>
            </w:r>
          </w:p>
        </w:tc>
        <w:tc>
          <w:tcPr>
            <w:tcW w:type="dxa" w:w="1039"/>
          </w:tcPr>
          <w:p>
            <w:r>
              <w:rPr>
                <w:sz w:val="20"/>
              </w:rPr>
              <w:t>**CI β-bloquant**, digoxine (×2), statines (rhabdomyolyse), CI colchicine</w:t>
            </w:r>
          </w:p>
        </w:tc>
      </w:tr>
      <w:tr>
        <w:tc>
          <w:tcPr>
            <w:tcW w:type="dxa" w:w="1039"/>
          </w:tcPr>
          <w:p>
            <w:r>
              <w:rPr>
                <w:sz w:val="20"/>
              </w:rPr>
              <w:t>8</w:t>
            </w:r>
          </w:p>
        </w:tc>
        <w:tc>
          <w:tcPr>
            <w:tcW w:type="dxa" w:w="1039"/>
          </w:tcPr>
          <w:p>
            <w:r>
              <w:rPr>
                <w:sz w:val="20"/>
              </w:rPr>
              <w:t>**Diltiazem**</w:t>
            </w:r>
          </w:p>
        </w:tc>
        <w:tc>
          <w:tcPr>
            <w:tcW w:type="dxa" w:w="1039"/>
          </w:tcPr>
          <w:p>
            <w:r>
              <w:rPr>
                <w:sz w:val="20"/>
              </w:rPr>
              <w:t>Benzothiazépine (non-DHP)</w:t>
            </w:r>
          </w:p>
        </w:tc>
        <w:tc>
          <w:tcPr>
            <w:tcW w:type="dxa" w:w="1039"/>
          </w:tcPr>
          <w:p>
            <w:r>
              <w:rPr>
                <w:sz w:val="20"/>
              </w:rPr>
              <w:t>Blocage Cav1.2 (intermédiaire DHP-vérapamil), vasodilatation coronaire marquée</w:t>
            </w:r>
          </w:p>
        </w:tc>
        <w:tc>
          <w:tcPr>
            <w:tcW w:type="dxa" w:w="1039"/>
          </w:tcPr>
          <w:p>
            <w:r>
              <w:rPr>
                <w:sz w:val="20"/>
              </w:rPr>
              <w:t>3–5 h (immédiat) ; 6–9 h (LP)</w:t>
            </w:r>
          </w:p>
        </w:tc>
        <w:tc>
          <w:tcPr>
            <w:tcW w:type="dxa" w:w="1039"/>
          </w:tcPr>
          <w:p>
            <w:r>
              <w:rPr>
                <w:sz w:val="20"/>
              </w:rPr>
              <w:t>LP 200–300 mg/j (1 prise) ; 60 mg × 3/j</w:t>
            </w:r>
          </w:p>
        </w:tc>
        <w:tc>
          <w:tcPr>
            <w:tcW w:type="dxa" w:w="1039"/>
          </w:tcPr>
          <w:p>
            <w:r>
              <w:rPr>
                <w:sz w:val="20"/>
              </w:rPr>
              <w:t>Bradycardie, rash cutané, élévation transaminases</w:t>
            </w:r>
          </w:p>
        </w:tc>
        <w:tc>
          <w:tcPr>
            <w:tcW w:type="dxa" w:w="1039"/>
          </w:tcPr>
          <w:p>
            <w:r>
              <w:rPr>
                <w:sz w:val="20"/>
              </w:rPr>
              <w:t>2e/3e trim. acceptable en 2e intention</w:t>
            </w:r>
          </w:p>
        </w:tc>
        <w:tc>
          <w:tcPr>
            <w:tcW w:type="dxa" w:w="1039"/>
          </w:tcPr>
          <w:p>
            <w:r>
              <w:rPr>
                <w:sz w:val="20"/>
              </w:rPr>
              <w:t>CI β-bloquant (relatif), digoxine, statines, CI colchicine</w:t>
            </w:r>
          </w:p>
        </w:tc>
      </w:tr>
      <w:tr>
        <w:tc>
          <w:tcPr>
            <w:tcW w:type="dxa" w:w="1039"/>
          </w:tcPr>
          <w:p>
            <w:r>
              <w:rPr>
                <w:sz w:val="20"/>
              </w:rPr>
              <w:t>9</w:t>
            </w:r>
          </w:p>
        </w:tc>
        <w:tc>
          <w:tcPr>
            <w:tcW w:type="dxa" w:w="1039"/>
          </w:tcPr>
          <w:p>
            <w:r>
              <w:rPr>
                <w:sz w:val="20"/>
              </w:rPr>
              <w:t>**Clonidine**</w:t>
            </w:r>
          </w:p>
        </w:tc>
        <w:tc>
          <w:tcPr>
            <w:tcW w:type="dxa" w:w="1039"/>
          </w:tcPr>
          <w:p>
            <w:r>
              <w:rPr>
                <w:sz w:val="20"/>
              </w:rPr>
              <w:t>Antihypertenseur central (α2)</w:t>
            </w:r>
          </w:p>
        </w:tc>
        <w:tc>
          <w:tcPr>
            <w:tcW w:type="dxa" w:w="1039"/>
          </w:tcPr>
          <w:p>
            <w:r>
              <w:rPr>
                <w:sz w:val="20"/>
              </w:rPr>
              <w:t>Agoniste α2A central (NTS) → baisse tonus sympathique</w:t>
            </w:r>
          </w:p>
        </w:tc>
        <w:tc>
          <w:tcPr>
            <w:tcW w:type="dxa" w:w="1039"/>
          </w:tcPr>
          <w:p>
            <w:r>
              <w:rPr>
                <w:sz w:val="20"/>
              </w:rPr>
              <w:t>12–16 h</w:t>
            </w:r>
          </w:p>
        </w:tc>
        <w:tc>
          <w:tcPr>
            <w:tcW w:type="dxa" w:w="1039"/>
          </w:tcPr>
          <w:p>
            <w:r>
              <w:rPr>
                <w:sz w:val="20"/>
              </w:rPr>
              <w:t>0,075–0,3 mg × 2–3/j (max 0,9 mg/j) ; IM/IV 150 µg</w:t>
            </w:r>
          </w:p>
        </w:tc>
        <w:tc>
          <w:tcPr>
            <w:tcW w:type="dxa" w:w="1039"/>
          </w:tcPr>
          <w:p>
            <w:r>
              <w:rPr>
                <w:sz w:val="20"/>
              </w:rPr>
              <w:t>Sécheresse buccale (50 %), sédation, **rebond hypertensif à l'arrêt brutal**</w:t>
            </w:r>
          </w:p>
        </w:tc>
        <w:tc>
          <w:tcPr>
            <w:tcW w:type="dxa" w:w="1039"/>
          </w:tcPr>
          <w:p>
            <w:r>
              <w:rPr>
                <w:sz w:val="20"/>
              </w:rPr>
              <w:t>À éviter (hypoperfusion fœto-placentaire) ; **CI allaitement** (passage lacté important)</w:t>
            </w:r>
          </w:p>
        </w:tc>
        <w:tc>
          <w:tcPr>
            <w:tcW w:type="dxa" w:w="1039"/>
          </w:tcPr>
          <w:p>
            <w:r>
              <w:rPr>
                <w:sz w:val="20"/>
              </w:rPr>
              <w:t>**CI β-bloquant** (rebond majoré), CI ATC (α2 bloqués), CI IMAO</w:t>
            </w:r>
          </w:p>
        </w:tc>
      </w:tr>
      <w:tr>
        <w:tc>
          <w:tcPr>
            <w:tcW w:type="dxa" w:w="1039"/>
          </w:tcPr>
          <w:p>
            <w:r>
              <w:rPr>
                <w:sz w:val="20"/>
              </w:rPr>
              <w:t>10</w:t>
            </w:r>
          </w:p>
        </w:tc>
        <w:tc>
          <w:tcPr>
            <w:tcW w:type="dxa" w:w="1039"/>
          </w:tcPr>
          <w:p>
            <w:r>
              <w:rPr>
                <w:sz w:val="20"/>
              </w:rPr>
              <w:t>**Méthyldopa**</w:t>
            </w:r>
          </w:p>
        </w:tc>
        <w:tc>
          <w:tcPr>
            <w:tcW w:type="dxa" w:w="1039"/>
          </w:tcPr>
          <w:p>
            <w:r>
              <w:rPr>
                <w:sz w:val="20"/>
              </w:rPr>
              <w:t>Antihypertenseur central (prodrogue α2)</w:t>
            </w:r>
          </w:p>
        </w:tc>
        <w:tc>
          <w:tcPr>
            <w:tcW w:type="dxa" w:w="1039"/>
          </w:tcPr>
          <w:p>
            <w:r>
              <w:rPr>
                <w:sz w:val="20"/>
              </w:rPr>
              <w:t>Prodrogue → α-méthylnorépinéphrine → α2A central</w:t>
            </w:r>
          </w:p>
        </w:tc>
        <w:tc>
          <w:tcPr>
            <w:tcW w:type="dxa" w:w="1039"/>
          </w:tcPr>
          <w:p>
            <w:r>
              <w:rPr>
                <w:sz w:val="20"/>
              </w:rPr>
              <w:t>1–2 h (effet 12–24 h par activation métabolique)</w:t>
            </w:r>
          </w:p>
        </w:tc>
        <w:tc>
          <w:tcPr>
            <w:tcW w:type="dxa" w:w="1039"/>
          </w:tcPr>
          <w:p>
            <w:r>
              <w:rPr>
                <w:sz w:val="20"/>
              </w:rPr>
              <w:t>250 mg × 2–4/j (max 2 g/j)</w:t>
            </w:r>
          </w:p>
        </w:tc>
        <w:tc>
          <w:tcPr>
            <w:tcW w:type="dxa" w:w="1039"/>
          </w:tcPr>
          <w:p>
            <w:r>
              <w:rPr>
                <w:sz w:val="20"/>
              </w:rPr>
              <w:t>Test de Coombs positif (20 %), anémie hémolytique (0,5 %), hépatite (&lt;1 %), sédation</w:t>
            </w:r>
          </w:p>
        </w:tc>
        <w:tc>
          <w:tcPr>
            <w:tcW w:type="dxa" w:w="1039"/>
          </w:tcPr>
          <w:p>
            <w:r>
              <w:rPr>
                <w:sz w:val="20"/>
              </w:rPr>
              <w:t>**Choix grossesse (ESC/HAS/CNGOF)**, tous trimestres ; compatible allaitement</w:t>
            </w:r>
          </w:p>
        </w:tc>
        <w:tc>
          <w:tcPr>
            <w:tcW w:type="dxa" w:w="1039"/>
          </w:tcPr>
          <w:p>
            <w:r>
              <w:rPr>
                <w:sz w:val="20"/>
              </w:rPr>
              <w:t>CI IMAO, CI L-DOPA, CI ATC</w:t>
            </w:r>
          </w:p>
        </w:tc>
      </w:tr>
      <w:tr>
        <w:tc>
          <w:tcPr>
            <w:tcW w:type="dxa" w:w="1039"/>
          </w:tcPr>
          <w:p>
            <w:r>
              <w:rPr>
                <w:sz w:val="20"/>
              </w:rPr>
              <w:t>11</w:t>
            </w:r>
          </w:p>
        </w:tc>
        <w:tc>
          <w:tcPr>
            <w:tcW w:type="dxa" w:w="1039"/>
          </w:tcPr>
          <w:p>
            <w:r>
              <w:rPr>
                <w:sz w:val="20"/>
              </w:rPr>
              <w:t>**Moxonidine**</w:t>
            </w:r>
          </w:p>
        </w:tc>
        <w:tc>
          <w:tcPr>
            <w:tcW w:type="dxa" w:w="1039"/>
          </w:tcPr>
          <w:p>
            <w:r>
              <w:rPr>
                <w:sz w:val="20"/>
              </w:rPr>
              <w:t>Antihypertenseur central (I1)</w:t>
            </w:r>
          </w:p>
        </w:tc>
        <w:tc>
          <w:tcPr>
            <w:tcW w:type="dxa" w:w="1039"/>
          </w:tcPr>
          <w:p>
            <w:r>
              <w:rPr>
                <w:sz w:val="20"/>
              </w:rPr>
              <w:t>Agoniste I1 du bulbe (RVLM), faible affinité α2</w:t>
            </w:r>
          </w:p>
        </w:tc>
        <w:tc>
          <w:tcPr>
            <w:tcW w:type="dxa" w:w="1039"/>
          </w:tcPr>
          <w:p>
            <w:r>
              <w:rPr>
                <w:sz w:val="20"/>
              </w:rPr>
              <w:t>2–3 h (effet 24 h)</w:t>
            </w:r>
          </w:p>
        </w:tc>
        <w:tc>
          <w:tcPr>
            <w:tcW w:type="dxa" w:w="1039"/>
          </w:tcPr>
          <w:p>
            <w:r>
              <w:rPr>
                <w:sz w:val="20"/>
              </w:rPr>
              <w:t>0,2–0,4 mg/j (max 0,6 mg/j), 1 prise/j</w:t>
            </w:r>
          </w:p>
        </w:tc>
        <w:tc>
          <w:tcPr>
            <w:tcW w:type="dxa" w:w="1039"/>
          </w:tcPr>
          <w:p>
            <w:r>
              <w:rPr>
                <w:sz w:val="20"/>
              </w:rPr>
              <w:t>Sécheresse buccale (10–15 %, moindre que clonidine), sédation</w:t>
            </w:r>
          </w:p>
        </w:tc>
        <w:tc>
          <w:tcPr>
            <w:tcW w:type="dxa" w:w="1039"/>
          </w:tcPr>
          <w:p>
            <w:r>
              <w:rPr>
                <w:sz w:val="20"/>
              </w:rPr>
              <w:t>CI par prudence ; CI allaitement</w:t>
            </w:r>
          </w:p>
        </w:tc>
        <w:tc>
          <w:tcPr>
            <w:tcW w:type="dxa" w:w="1039"/>
          </w:tcPr>
          <w:p>
            <w:r>
              <w:rPr>
                <w:sz w:val="20"/>
              </w:rPr>
              <w:t>CI IMAO ; CI ins. rénale DFG &lt; 30 ; CI β-bloquant</w:t>
            </w:r>
          </w:p>
        </w:tc>
      </w:tr>
      <w:tr>
        <w:tc>
          <w:tcPr>
            <w:tcW w:type="dxa" w:w="1039"/>
          </w:tcPr>
          <w:p>
            <w:r>
              <w:rPr>
                <w:sz w:val="20"/>
              </w:rPr>
              <w:t>12</w:t>
            </w:r>
          </w:p>
        </w:tc>
        <w:tc>
          <w:tcPr>
            <w:tcW w:type="dxa" w:w="1039"/>
          </w:tcPr>
          <w:p>
            <w:r>
              <w:rPr>
                <w:sz w:val="20"/>
              </w:rPr>
              <w:t>**Doxazosine**</w:t>
            </w:r>
          </w:p>
        </w:tc>
        <w:tc>
          <w:tcPr>
            <w:tcW w:type="dxa" w:w="1039"/>
          </w:tcPr>
          <w:p>
            <w:r>
              <w:rPr>
                <w:sz w:val="20"/>
              </w:rPr>
              <w:t>Alpha-bloquant vasculaire α1</w:t>
            </w:r>
          </w:p>
        </w:tc>
        <w:tc>
          <w:tcPr>
            <w:tcW w:type="dxa" w:w="1039"/>
          </w:tcPr>
          <w:p>
            <w:r>
              <w:rPr>
                <w:sz w:val="20"/>
              </w:rPr>
              <w:t>Blocage α1 postsynaptique vasculaire → vasodilatation artério-veineuse</w:t>
            </w:r>
          </w:p>
        </w:tc>
        <w:tc>
          <w:tcPr>
            <w:tcW w:type="dxa" w:w="1039"/>
          </w:tcPr>
          <w:p>
            <w:r>
              <w:rPr>
                <w:sz w:val="20"/>
              </w:rPr>
              <w:t>22 h</w:t>
            </w:r>
          </w:p>
        </w:tc>
        <w:tc>
          <w:tcPr>
            <w:tcW w:type="dxa" w:w="1039"/>
          </w:tcPr>
          <w:p>
            <w:r>
              <w:rPr>
                <w:sz w:val="20"/>
              </w:rPr>
              <w:t>1–8 mg/j (1 prise, 1re dose au coucher) ; LP 4–8 mg</w:t>
            </w:r>
          </w:p>
        </w:tc>
        <w:tc>
          <w:tcPr>
            <w:tcW w:type="dxa" w:w="1039"/>
          </w:tcPr>
          <w:p>
            <w:r>
              <w:rPr>
                <w:sz w:val="20"/>
              </w:rPr>
              <w:t>**Hypotension orthostatique 1re dose**, vertiges, éjaculation rétrograde, IFIS</w:t>
            </w:r>
          </w:p>
        </w:tc>
        <w:tc>
          <w:tcPr>
            <w:tcW w:type="dxa" w:w="1039"/>
          </w:tcPr>
          <w:p>
            <w:r>
              <w:rPr>
                <w:sz w:val="20"/>
              </w:rPr>
              <w:t>CI par prudence ; CI allaitement</w:t>
            </w:r>
          </w:p>
        </w:tc>
        <w:tc>
          <w:tcPr>
            <w:tcW w:type="dxa" w:w="1039"/>
          </w:tcPr>
          <w:p>
            <w:r>
              <w:rPr>
                <w:sz w:val="20"/>
              </w:rPr>
              <w:t>PDE5 (sildénafil : hypotension), vérapamil/diltiazem (CYP3A4)</w:t>
            </w:r>
          </w:p>
        </w:tc>
      </w:tr>
      <w:tr>
        <w:tc>
          <w:tcPr>
            <w:tcW w:type="dxa" w:w="1039"/>
          </w:tcPr>
          <w:p>
            <w:r>
              <w:rPr>
                <w:sz w:val="20"/>
              </w:rPr>
              <w:t>13</w:t>
            </w:r>
          </w:p>
        </w:tc>
        <w:tc>
          <w:tcPr>
            <w:tcW w:type="dxa" w:w="1039"/>
          </w:tcPr>
          <w:p>
            <w:r>
              <w:rPr>
                <w:sz w:val="20"/>
              </w:rPr>
              <w:t>**Alfuzosine**</w:t>
            </w:r>
          </w:p>
        </w:tc>
        <w:tc>
          <w:tcPr>
            <w:tcW w:type="dxa" w:w="1039"/>
          </w:tcPr>
          <w:p>
            <w:r>
              <w:rPr>
                <w:sz w:val="20"/>
              </w:rPr>
              <w:t>Alpha-bloquant urologique α1 (urosélectivité relative)</w:t>
            </w:r>
          </w:p>
        </w:tc>
        <w:tc>
          <w:tcPr>
            <w:tcW w:type="dxa" w:w="1039"/>
          </w:tcPr>
          <w:p>
            <w:r>
              <w:rPr>
                <w:sz w:val="20"/>
              </w:rPr>
              <w:t>Blocage α1A prostatique prédominant</w:t>
            </w:r>
          </w:p>
        </w:tc>
        <w:tc>
          <w:tcPr>
            <w:tcW w:type="dxa" w:w="1039"/>
          </w:tcPr>
          <w:p>
            <w:r>
              <w:rPr>
                <w:sz w:val="20"/>
              </w:rPr>
              <w:t>9 h (LP 10 mg)</w:t>
            </w:r>
          </w:p>
        </w:tc>
        <w:tc>
          <w:tcPr>
            <w:tcW w:type="dxa" w:w="1039"/>
          </w:tcPr>
          <w:p>
            <w:r>
              <w:rPr>
                <w:sz w:val="20"/>
              </w:rPr>
              <w:t>LP 10 mg/j, 1 prise/j au cours repas du soir</w:t>
            </w:r>
          </w:p>
        </w:tc>
        <w:tc>
          <w:tcPr>
            <w:tcW w:type="dxa" w:w="1039"/>
          </w:tcPr>
          <w:p>
            <w:r>
              <w:rPr>
                <w:sz w:val="20"/>
              </w:rPr>
              <w:t>Hypotension orthostatique (3–5 %), vertiges, éjaculation rétrograde (1–3 %), IFIS</w:t>
            </w:r>
          </w:p>
        </w:tc>
        <w:tc>
          <w:tcPr>
            <w:tcW w:type="dxa" w:w="1039"/>
          </w:tcPr>
          <w:p>
            <w:r>
              <w:rPr>
                <w:sz w:val="20"/>
              </w:rPr>
              <w:t>Pas d'indication chez la femme</w:t>
            </w:r>
          </w:p>
        </w:tc>
        <w:tc>
          <w:tcPr>
            <w:tcW w:type="dxa" w:w="1039"/>
          </w:tcPr>
          <w:p>
            <w:r>
              <w:rPr>
                <w:sz w:val="20"/>
              </w:rPr>
              <w:t>CI autres alpha-bloquants ; PDE5</w:t>
            </w:r>
          </w:p>
        </w:tc>
      </w:tr>
      <w:tr>
        <w:tc>
          <w:tcPr>
            <w:tcW w:type="dxa" w:w="1039"/>
          </w:tcPr>
          <w:p>
            <w:r>
              <w:rPr>
                <w:sz w:val="20"/>
              </w:rPr>
              <w:t>14</w:t>
            </w:r>
          </w:p>
        </w:tc>
        <w:tc>
          <w:tcPr>
            <w:tcW w:type="dxa" w:w="1039"/>
          </w:tcPr>
          <w:p>
            <w:r>
              <w:rPr>
                <w:sz w:val="20"/>
              </w:rPr>
              <w:t>**Tamsulosine**</w:t>
            </w:r>
          </w:p>
        </w:tc>
        <w:tc>
          <w:tcPr>
            <w:tcW w:type="dxa" w:w="1039"/>
          </w:tcPr>
          <w:p>
            <w:r>
              <w:rPr>
                <w:sz w:val="20"/>
              </w:rPr>
              <w:t>Alpha-bloquant urologique sélectif α1A</w:t>
            </w:r>
          </w:p>
        </w:tc>
        <w:tc>
          <w:tcPr>
            <w:tcW w:type="dxa" w:w="1039"/>
          </w:tcPr>
          <w:p>
            <w:r>
              <w:rPr>
                <w:sz w:val="20"/>
              </w:rPr>
              <w:t>Blocage sélectif α1A (Ki 0,4 nM) prostatique</w:t>
            </w:r>
          </w:p>
        </w:tc>
        <w:tc>
          <w:tcPr>
            <w:tcW w:type="dxa" w:w="1039"/>
          </w:tcPr>
          <w:p>
            <w:r>
              <w:rPr>
                <w:sz w:val="20"/>
              </w:rPr>
              <w:t>14–15 h (LP)</w:t>
            </w:r>
          </w:p>
        </w:tc>
        <w:tc>
          <w:tcPr>
            <w:tcW w:type="dxa" w:w="1039"/>
          </w:tcPr>
          <w:p>
            <w:r>
              <w:rPr>
                <w:sz w:val="20"/>
              </w:rPr>
              <w:t>LP 0,4 mg/j, 1 prise/j après 1er repas</w:t>
            </w:r>
          </w:p>
        </w:tc>
        <w:tc>
          <w:tcPr>
            <w:tcW w:type="dxa" w:w="1039"/>
          </w:tcPr>
          <w:p>
            <w:r>
              <w:rPr>
                <w:sz w:val="20"/>
              </w:rPr>
              <w:t>**Éjaculation rétrograde (5–10 %)**, **IFIS marqué**, rhinite</w:t>
            </w:r>
          </w:p>
        </w:tc>
        <w:tc>
          <w:tcPr>
            <w:tcW w:type="dxa" w:w="1039"/>
          </w:tcPr>
          <w:p>
            <w:r>
              <w:rPr>
                <w:sz w:val="20"/>
              </w:rPr>
              <w:t>Pas d'indication chez la femme</w:t>
            </w:r>
          </w:p>
        </w:tc>
        <w:tc>
          <w:tcPr>
            <w:tcW w:type="dxa" w:w="1039"/>
          </w:tcPr>
          <w:p>
            <w:r>
              <w:rPr>
                <w:sz w:val="20"/>
              </w:rPr>
              <w:t>CI autres alpha-bloquants ; PDE5 ; CYP3A4 et CYP2D6</w:t>
            </w:r>
          </w:p>
        </w:tc>
      </w:tr>
    </w:tbl>
    <w:p/>
    <w:p>
      <w:pPr>
        <w:pStyle w:val="Heading3"/>
      </w:pPr>
      <w:r>
        <w:t>Synthèse des pièges majeurs au comptoir</w:t>
      </w:r>
    </w:p>
    <w:p>
      <w:pPr>
        <w:pStyle w:val="ListNumber"/>
      </w:pPr>
      <w:r/>
      <w:r>
        <w:rPr>
          <w:b/>
        </w:rPr>
        <w:t>Nifédipine forme sublinguale</w:t>
      </w:r>
      <w:r>
        <w:t xml:space="preserve"> : pratique </w:t>
      </w:r>
      <w:r>
        <w:rPr>
          <w:b/>
        </w:rPr>
        <w:t>strictement proscrite</w:t>
      </w:r>
      <w:r>
        <w:t xml:space="preserve"> depuis 1995 (AVC ischémique, IDM, hypotension fatale). À l'urgence hypertensive, privilégier nicardipine IV ou labétalol IV en milieu hospitalier.</w:t>
      </w:r>
    </w:p>
    <w:p>
      <w:pPr>
        <w:pStyle w:val="ListNumber"/>
      </w:pPr>
      <w:r/>
      <w:r>
        <w:rPr>
          <w:b/>
        </w:rPr>
        <w:t>Vérapamil + β-bloquant</w:t>
      </w:r>
      <w:r>
        <w:t xml:space="preserve"> : </w:t>
      </w:r>
      <w:r>
        <w:rPr>
          <w:b/>
        </w:rPr>
        <w:t>CI absolue</w:t>
      </w:r>
      <w:r>
        <w:t xml:space="preserve"> (BAV complet, asystolie). Vérifier systématiquement l'ordonnance ; en cas de β-bloquant concomitant, refuser la dispensation et alerter le prescripteur.</w:t>
      </w:r>
    </w:p>
    <w:p>
      <w:pPr>
        <w:pStyle w:val="ListNumber"/>
      </w:pPr>
      <w:r/>
      <w:r>
        <w:rPr>
          <w:b/>
        </w:rPr>
        <w:t>Vérapamil + digoxine</w:t>
      </w:r>
      <w:r>
        <w:t xml:space="preserve"> : la digoxinémie est augmentée de 50 à 100 % par inhibition de la P-gp. Réduire la digoxine de moitié et surveiller la digoxinémie à 5–7 jours (objectif 0,8–1,2 ng/mL).</w:t>
      </w:r>
    </w:p>
    <w:p>
      <w:pPr>
        <w:pStyle w:val="ListNumber"/>
      </w:pPr>
      <w:r/>
      <w:r>
        <w:rPr>
          <w:b/>
        </w:rPr>
        <w:t>Vérapamil/Diltiazem + statines (simvastatine, atorvastatine)</w:t>
      </w:r>
      <w:r>
        <w:t xml:space="preserve"> : risque de rhabdomyolyse par inhibition du CYP3A4. Préférer pravastatine ou rosuvastatine.</w:t>
      </w:r>
    </w:p>
    <w:p>
      <w:pPr>
        <w:pStyle w:val="ListNumber"/>
      </w:pPr>
      <w:r/>
      <w:r>
        <w:rPr>
          <w:b/>
        </w:rPr>
        <w:t>Clonidine à l'arrêt brutal</w:t>
      </w:r>
      <w:r>
        <w:t xml:space="preserve"> : </w:t>
      </w:r>
      <w:r>
        <w:rPr>
          <w:b/>
        </w:rPr>
        <w:t>rebond hypertensif</w:t>
      </w:r>
      <w:r>
        <w:t xml:space="preserve"> potentiellement létal (PA &gt; 180/120, sueurs, agitation, AVC hémorragique, IDM). Décroissance obligatoire sur 4–7 jours. Si le patient est aussi sous β-bloquant, arrêter </w:t>
      </w:r>
      <w:r>
        <w:rPr>
          <w:b/>
        </w:rPr>
        <w:t>d'abord</w:t>
      </w:r>
      <w:r>
        <w:t xml:space="preserve"> le β-bloquant (de façon progressive), puis la clonidine.</w:t>
      </w:r>
    </w:p>
    <w:p>
      <w:pPr>
        <w:pStyle w:val="ListNumber"/>
      </w:pPr>
      <w:r/>
      <w:r>
        <w:rPr>
          <w:b/>
        </w:rPr>
        <w:t>Méthyldopa</w:t>
      </w:r>
      <w:r>
        <w:t xml:space="preserve"> : </w:t>
      </w:r>
      <w:r>
        <w:rPr>
          <w:b/>
        </w:rPr>
        <w:t>test de Coombs direct positif</w:t>
      </w:r>
      <w:r>
        <w:t xml:space="preserve"> chez 10–20 % des patients (sans hémolyse — poursuivre), mais </w:t>
      </w:r>
      <w:r>
        <w:rPr>
          <w:b/>
        </w:rPr>
        <w:t>anémie hémolytique auto-immune</w:t>
      </w:r>
      <w:r>
        <w:t xml:space="preserve"> dans 0,5 % des cas (arrêt immédiat). Surveillance transaminases systématique (hépatite cytolytique). Urines peuvent devenir noirâtres à l'air libre (bénin).</w:t>
      </w:r>
    </w:p>
    <w:p>
      <w:pPr>
        <w:pStyle w:val="ListNumber"/>
      </w:pPr>
      <w:r/>
      <w:r>
        <w:rPr>
          <w:b/>
        </w:rPr>
        <w:t>Doxazosine — hypotension orthostatique de 1re dose</w:t>
      </w:r>
      <w:r>
        <w:t xml:space="preserve"> : la première prise doit se faire </w:t>
      </w:r>
      <w:r>
        <w:rPr>
          <w:b/>
        </w:rPr>
        <w:t>le soir au coucher</w:t>
      </w:r>
      <w:r>
        <w:t>, rester allongé 6–8 heures. Titration 1 → 2 → 4 → 8 mg par paliers de 1–2 semaines. Préférer la forme LP.</w:t>
      </w:r>
    </w:p>
    <w:p>
      <w:pPr>
        <w:pStyle w:val="ListNumber"/>
      </w:pPr>
      <w:r/>
      <w:r>
        <w:rPr>
          <w:b/>
        </w:rPr>
        <w:t>Tamsulosine — syndrome de l'iris flasque peropératoire (IFIS)</w:t>
      </w:r>
      <w:r>
        <w:t xml:space="preserve"> en chirurgie de la cataracte : information </w:t>
      </w:r>
      <w:r>
        <w:rPr>
          <w:b/>
        </w:rPr>
        <w:t>indispensable</w:t>
      </w:r>
      <w:r>
        <w:t xml:space="preserve"> au chirurgien ophtalmologiste (le risque persiste plusieurs années après l'arrêt). Ne pas arrêter le traitement avant la chirurgie (inefficace).</w:t>
      </w:r>
    </w:p>
    <w:p>
      <w:pPr>
        <w:pStyle w:val="ListNumber"/>
      </w:pPr>
      <w:r/>
      <w:r>
        <w:rPr>
          <w:b/>
        </w:rPr>
        <w:t>Lercanidipine</w:t>
      </w:r>
      <w:r>
        <w:t xml:space="preserve"> : à prendre </w:t>
      </w:r>
      <w:r>
        <w:rPr>
          <w:b/>
        </w:rPr>
        <w:t>à jeun, au moins 15 minutes avant le petit-déjeuner</w:t>
      </w:r>
      <w:r>
        <w:t xml:space="preserve"> (l'alimentation multiplie la résorption par 4 → surdosage relatif). </w:t>
      </w:r>
      <w:r>
        <w:rPr>
          <w:b/>
        </w:rPr>
        <w:t>CI absolue avec la ciclosporine</w:t>
      </w:r>
      <w:r>
        <w:t>.</w:t>
      </w:r>
    </w:p>
    <w:p>
      <w:pPr>
        <w:pStyle w:val="ListNumber"/>
      </w:pPr>
      <w:r/>
      <w:r>
        <w:rPr>
          <w:b/>
        </w:rPr>
        <w:t>Tamsulosine / Alfuzosine — prise alimentaire</w:t>
      </w:r>
      <w:r>
        <w:t xml:space="preserve"> : la tamsulosine LP 0,4 mg se prend </w:t>
      </w:r>
      <w:r>
        <w:rPr>
          <w:b/>
        </w:rPr>
        <w:t>après le premier repas</w:t>
      </w:r>
      <w:r>
        <w:t xml:space="preserve"> (biodisponibilité +30 %). L'alfuzosine LP 10 mg se prend </w:t>
      </w:r>
      <w:r>
        <w:rPr>
          <w:b/>
        </w:rPr>
        <w:t>au cours du repas du soir</w:t>
      </w:r>
      <w:r>
        <w:t xml:space="preserve"> (biodisponibilité +50 %). À l'inverse, la doxazosine LP doit se prendre </w:t>
      </w:r>
      <w:r>
        <w:rPr>
          <w:b/>
        </w:rPr>
        <w:t>à jeun</w:t>
      </w:r>
      <w:r>
        <w:t xml:space="preserve"> (la nourriture augmente le pic de concentration, majorant l'hypotension orthostatique).</w:t>
      </w:r>
    </w:p>
    <w:p>
      <w:pPr>
        <w:pStyle w:val="ListNumber"/>
      </w:pPr>
      <w:r/>
      <w:r>
        <w:rPr>
          <w:b/>
        </w:rPr>
        <w:t>Méthyldopa et grossesse</w:t>
      </w:r>
      <w:r>
        <w:t xml:space="preserve"> : reste le </w:t>
      </w:r>
      <w:r>
        <w:rPr>
          <w:b/>
        </w:rPr>
        <w:t>traitement de référence de l'HTA gravidique</w:t>
      </w:r>
      <w:r>
        <w:t xml:space="preserve"> à tous les trimestres (ESC 2018, HAS 2016, CNGOF 2018). Recul &gt; 60 ans d'utilisation. Compatible avec l'allaitement.</w:t>
      </w:r>
    </w:p>
    <w:p>
      <w:pPr>
        <w:pStyle w:val="ListNumber"/>
      </w:pPr>
      <w:r/>
      <w:r>
        <w:rPr>
          <w:b/>
        </w:rPr>
        <w:t>Nicardipine IV en urgence hypertensive gravidique</w:t>
      </w:r>
      <w:r>
        <w:t xml:space="preserve"> : traitement de </w:t>
      </w:r>
      <w:r>
        <w:rPr>
          <w:b/>
        </w:rPr>
        <w:t>choix de l'urgence hypertensive</w:t>
      </w:r>
      <w:r>
        <w:t xml:space="preserve"> (prééclampsie sévère, menace d'éclampsie, encéphalopathie hypertensive). Dans la </w:t>
      </w:r>
      <w:r>
        <w:rPr>
          <w:b/>
        </w:rPr>
        <w:t>dissection aortique</w:t>
      </w:r>
      <w:r>
        <w:t xml:space="preserve">, toujours précéder la nicardipine par un </w:t>
      </w:r>
      <w:r>
        <w:rPr>
          <w:b/>
        </w:rPr>
        <w:t>β-bloquant IV</w:t>
      </w:r>
      <w:r>
        <w:t xml:space="preserve"> (esmolol, labétalol) pour éviter la tachycardie réflexe qui propage la dissection.</w:t>
      </w:r>
    </w:p>
    <w:p>
      <w:pPr>
        <w:pStyle w:val="ListNumber"/>
      </w:pPr>
      <w:r/>
      <w:r>
        <w:rPr>
          <w:b/>
        </w:rPr>
        <w:t>Cycles de prescription en Algérie</w:t>
      </w:r>
      <w:r>
        <w:t xml:space="preserve"> : disparition progressive des formes historiques (nifédipine courte, nifédipine LP, vérapamil, isradipine, nitrendipine, CATAPRESSAN oral, DOPEGYT, etc.). Le pharmacien doit connaître les équivalences posologiques pour la substitution :</w:t>
      </w:r>
    </w:p>
    <w:p>
      <w:pPr>
        <w:pStyle w:val="ListBullet"/>
      </w:pPr>
      <w:r>
        <w:t>nifédipine LP 20 mg ≈ amlodipine 5 mg</w:t>
      </w:r>
    </w:p>
    <w:p>
      <w:pPr>
        <w:pStyle w:val="ListBullet"/>
      </w:pPr>
      <w:r>
        <w:t>nifédipine LP 30 mg ≈ amlodipine 5–10 mg</w:t>
      </w:r>
    </w:p>
    <w:p>
      <w:pPr>
        <w:pStyle w:val="ListBullet"/>
      </w:pPr>
      <w:r>
        <w:t>nitrendipine 10 mg ≈ amlodipine 5 mg ; nitrendipine 20 mg ≈ amlodipine 10 mg</w:t>
      </w:r>
    </w:p>
    <w:p>
      <w:pPr>
        <w:pStyle w:val="ListBullet"/>
      </w:pPr>
      <w:r>
        <w:t>isradipine 5 mg LP ≈ amlodipine 5 mg</w:t>
      </w:r>
    </w:p>
    <w:p>
      <w:pPr>
        <w:pStyle w:val="ListBullet"/>
      </w:pPr>
      <w:r>
        <w:t>lercanidipine 10 mg ≈ amlodipine 5 mg ; lercanidipine 20 mg ≈ amlodipine 10 mg</w:t>
      </w:r>
    </w:p>
    <w:p>
      <w:pPr>
        <w:pStyle w:val="ListBullet"/>
      </w:pPr>
      <w:r>
        <w:t>vérampil LP 240 mg ≈ diltiazem LP 200–300 mg (alternative)</w:t>
      </w:r>
    </w:p>
    <w:p>
      <w:pPr>
        <w:pStyle w:val="ListNumber"/>
      </w:pPr>
      <w:r/>
      <w:r>
        <w:rPr>
          <w:b/>
        </w:rPr>
        <w:t>Moxonidine et insuffisance rénale</w:t>
      </w:r>
      <w:r>
        <w:t xml:space="preserve"> : CI absolue si DFG &lt; 30 mL/min (accumulation → hypotension sévère, bradycardie). Vérifier la fonction rénale avant prescription et pendant le traitement.</w:t>
      </w:r>
    </w:p>
    <w:p>
      <w:pPr>
        <w:pStyle w:val="ListNumber"/>
      </w:pPr>
      <w:r/>
      <w:r>
        <w:rPr>
          <w:b/>
        </w:rPr>
        <w:t>Surdosage en ICA (DHP ou non-DHP)</w:t>
      </w:r>
      <w:r>
        <w:t xml:space="preserve"> : traitement spécifique = </w:t>
      </w:r>
      <w:r>
        <w:rPr>
          <w:b/>
        </w:rPr>
        <w:t>calcium IV</w:t>
      </w:r>
      <w:r>
        <w:t xml:space="preserve"> (gluconate 10 %, 10–20 mL IVL répétés), </w:t>
      </w:r>
      <w:r>
        <w:rPr>
          <w:b/>
        </w:rPr>
        <w:t>adrénaline</w:t>
      </w:r>
      <w:r>
        <w:t xml:space="preserve">, </w:t>
      </w:r>
      <w:r>
        <w:rPr>
          <w:b/>
        </w:rPr>
        <w:t>glucagon</w:t>
      </w:r>
      <w:r>
        <w:t xml:space="preserve"> (5–10 mg IV bolus puis 1–5 mg/h), </w:t>
      </w:r>
      <w:r>
        <w:rPr>
          <w:b/>
        </w:rPr>
        <w:t>insuline + glucose</w:t>
      </w:r>
      <w:r>
        <w:t xml:space="preserve"> (high-dose insulin therapy), pacing temporaire si BAV complet, assistance circulatoire (ECMO) en cas d'échec. Hémoperfusion inefficace.</w:t>
      </w:r>
    </w:p>
    <w:p>
      <w:pPr>
        <w:pStyle w:val="Heading3"/>
      </w:pPr>
      <w:r>
        <w:t>Références bibliographiques</w:t>
      </w:r>
    </w:p>
    <w:p>
      <w:pPr>
        <w:pStyle w:val="ListNumber"/>
      </w:pPr>
      <w:r/>
      <w:r>
        <w:rPr>
          <w:b/>
        </w:rPr>
        <w:t>ESC Guidelines for the management of arterial hypertension</w:t>
      </w:r>
      <w:r>
        <w:t xml:space="preserve"> — Williams B, Mancia G, et al. *Eur Heart J* 2018 ; 39(33) : 3021–3104. (Mise à jour 2023 ESH).</w:t>
      </w:r>
    </w:p>
    <w:p>
      <w:pPr>
        <w:pStyle w:val="ListNumber"/>
      </w:pPr>
      <w:r/>
      <w:r>
        <w:rPr>
          <w:b/>
        </w:rPr>
        <w:t>ESH/ESC Task Force</w:t>
      </w:r>
      <w:r>
        <w:t xml:space="preserve"> — Bryan Williams et al. *J Hypertens* 2023.</w:t>
      </w:r>
    </w:p>
    <w:p>
      <w:pPr>
        <w:pStyle w:val="ListNumber"/>
      </w:pPr>
      <w:r/>
      <w:r>
        <w:rPr>
          <w:b/>
        </w:rPr>
        <w:t>ANSM — Résumés des Caractéristiques du Produit (RCP)</w:t>
      </w:r>
      <w:r>
        <w:t xml:space="preserve"> des spécialités commerciales citées. Mises à jour Avril 2026.</w:t>
      </w:r>
    </w:p>
    <w:p>
      <w:pPr>
        <w:pStyle w:val="ListNumber"/>
      </w:pPr>
      <w:r/>
      <w:r>
        <w:rPr>
          <w:b/>
        </w:rPr>
        <w:t>CRAT (Centre de Renseignement sur les Agents Tératogènes)</w:t>
      </w:r>
      <w:r>
        <w:t xml:space="preserve"> — fiches « Amlodipine », « Nifédipine », « Nicardipine », « Vérapamil », « Diltiazem », « Clonidine », « Méthyldopa », « Moxonidine », « Doxazosine », « Alfuzosine », « Tamsulosine ». http://www.lecrat.fr</w:t>
      </w:r>
    </w:p>
    <w:p>
      <w:pPr>
        <w:pStyle w:val="ListNumber"/>
      </w:pPr>
      <w:r/>
      <w:r>
        <w:rPr>
          <w:b/>
        </w:rPr>
        <w:t>HAS — Recommandations sur la prise en charge de l'HTA gravidique</w:t>
      </w:r>
      <w:r>
        <w:t xml:space="preserve"> (2016, mise à jour 2021).</w:t>
      </w:r>
    </w:p>
    <w:p>
      <w:pPr>
        <w:pStyle w:val="ListNumber"/>
      </w:pPr>
      <w:r/>
      <w:r>
        <w:rPr>
          <w:b/>
        </w:rPr>
        <w:t>CNGOF — Recommandations sur la prééclampsie</w:t>
      </w:r>
      <w:r>
        <w:t xml:space="preserve"> (2018).</w:t>
      </w:r>
    </w:p>
    <w:p>
      <w:pPr>
        <w:pStyle w:val="ListNumber"/>
      </w:pPr>
      <w:r/>
      <w:r>
        <w:rPr>
          <w:b/>
        </w:rPr>
        <w:t>AHA/ACC 2017 Hypertension Guideline</w:t>
      </w:r>
      <w:r>
        <w:t xml:space="preserve"> — Whelton PK, et al. *Hypertension* 2018 ; 71(6) : e13–e115.</w:t>
      </w:r>
    </w:p>
    <w:p>
      <w:pPr>
        <w:pStyle w:val="ListNumber"/>
      </w:pPr>
      <w:r/>
      <w:r>
        <w:rPr>
          <w:b/>
        </w:rPr>
        <w:t>Vaughan Williams EM</w:t>
      </w:r>
      <w:r>
        <w:t xml:space="preserve"> — *A classification of antiarrhythmic actions reassessed after a decade of new drugs*. *J Clin Pharmacol* 1984 ; 24 : 129–147.</w:t>
      </w:r>
    </w:p>
    <w:p>
      <w:pPr>
        <w:pStyle w:val="ListNumber"/>
      </w:pPr>
      <w:r/>
      <w:r>
        <w:rPr>
          <w:b/>
        </w:rPr>
        <w:t>ALLHAT Officers</w:t>
      </w:r>
      <w:r>
        <w:t xml:space="preserve"> — *Major outcomes in high-risk hypertensive patients randomized to angiotensin-converting enzyme inhibitor or calcium channel blocker vs diuretic*. *JAMA* 2002 ; 288 : 2981–2997 (essai ALLHAT).</w:t>
      </w:r>
    </w:p>
    <w:p>
      <w:pPr>
        <w:pStyle w:val="ListNumber"/>
      </w:pPr>
      <w:r/>
      <w:r>
        <w:rPr>
          <w:b/>
        </w:rPr>
        <w:t>Staessen JA, et al.</w:t>
      </w:r>
      <w:r>
        <w:t xml:space="preserve"> (SYST-EUR) — *Randomised double-blind comparison of placebo and active treatment for older patients with isolated systolic hypertension*. *Lancet* 1997 ; 350 : 757–764.</w:t>
      </w:r>
    </w:p>
    <w:p>
      <w:pPr>
        <w:pStyle w:val="ListNumber"/>
      </w:pPr>
      <w:r/>
      <w:r>
        <w:rPr>
          <w:b/>
        </w:rPr>
        <w:t>Chang DF, Campbell JR</w:t>
      </w:r>
      <w:r>
        <w:t xml:space="preserve"> — *Intraoperative floppy iris syndrome associated with tamsulosin*. *J Cataract Refract Surg* 2005 ; 31 : 664–673.</w:t>
      </w:r>
    </w:p>
    <w:p>
      <w:pPr>
        <w:pStyle w:val="ListNumber"/>
      </w:pPr>
      <w:r/>
      <w:r>
        <w:rPr>
          <w:b/>
        </w:rPr>
        <w:t>Godfraind T, Kaba A</w:t>
      </w:r>
      <w:r>
        <w:t xml:space="preserve"> — *Blockade or reversal of the contraction induced by calcium and adrenaline in depolarized arterial smooth muscle*. *Br J Pharmacol* 1969 ; 36 : 549–560. (Découverte du mécanisme du vérapamil).</w:t>
      </w:r>
    </w:p>
    <w:p>
      <w:pPr>
        <w:pStyle w:val="ListNumber"/>
      </w:pPr>
      <w:r/>
      <w:r>
        <w:rPr>
          <w:b/>
        </w:rPr>
        <w:t>Bossert F, Vater W</w:t>
      </w:r>
      <w:r>
        <w:t xml:space="preserve"> — *Dihydropyridine, eine neuartige koronarwirksame Substanzklasse*. *Naturwissenschaften* 1971 ; 58 : 578. (Synthèse de la nifédipine).</w:t>
      </w:r>
    </w:p>
    <w:p>
      <w:pPr>
        <w:pStyle w:val="ListNumber"/>
      </w:pPr>
      <w:r/>
      <w:r>
        <w:rPr>
          <w:b/>
        </w:rPr>
        <w:t>Pfister CW, et al.</w:t>
      </w:r>
      <w:r>
        <w:t xml:space="preserve"> — Découverte de la méthyldopa (Merck Research Laboratories, 1960).</w:t>
      </w:r>
    </w:p>
    <w:p>
      <w:pPr>
        <w:pStyle w:val="ListNumber"/>
      </w:pPr>
      <w:r/>
      <w:r>
        <w:rPr>
          <w:b/>
        </w:rPr>
        <w:t>UpToDate — "Calcium channel blockers", "Centrally acting antihypertensive drugs", "Alpha blockers in the treatment of hypertension and benign prostatic hyperplasia"</w:t>
      </w:r>
      <w:r>
        <w:t xml:space="preserve"> — accès 2026.</w:t>
      </w:r>
    </w:p>
    <w:p>
      <w:pPr>
        <w:pStyle w:val="ListNumber"/>
      </w:pPr>
      <w:r/>
      <w:r>
        <w:rPr>
          <w:b/>
        </w:rPr>
        <w:t>Micromedex</w:t>
      </w:r>
      <w:r>
        <w:t xml:space="preserve"> — bases de données Lexicomp, Drugdex. Accès institutionnel.</w:t>
      </w:r>
    </w:p>
    <w:p>
      <w:pPr>
        <w:pStyle w:val="ListNumber"/>
      </w:pPr>
      <w:r/>
      <w:r>
        <w:rPr>
          <w:b/>
        </w:rPr>
        <w:t>Thériaque</w:t>
      </w:r>
      <w:r>
        <w:t xml:space="preserve"> — base de données française du médicament (CNHIM). http://www.theriaque.org</w:t>
      </w:r>
    </w:p>
    <w:p>
      <w:pPr>
        <w:pStyle w:val="ListNumber"/>
      </w:pPr>
      <w:r/>
      <w:r>
        <w:rPr>
          <w:b/>
        </w:rPr>
        <w:t>VIDAL</w:t>
      </w:r>
      <w:r>
        <w:t xml:space="preserve"> — dictionnaire des spécialités pharmaceutiques, édition 2026.</w:t>
      </w:r>
    </w:p>
    <w:p>
      <w:pPr>
        <w:pStyle w:val="ListNumber"/>
      </w:pPr>
      <w:r/>
      <w:r>
        <w:rPr>
          <w:b/>
        </w:rPr>
        <w:t>European Association of Urology (EAU)</w:t>
      </w:r>
      <w:r>
        <w:t xml:space="preserve"> — Guidelines on Non-Neurogenic Male LUTS (2024).</w:t>
      </w:r>
    </w:p>
    <w:p>
      <w:pPr>
        <w:pStyle w:val="ListNumber"/>
      </w:pPr>
      <w:r/>
      <w:r>
        <w:rPr>
          <w:b/>
        </w:rPr>
        <w:t>AFU (Association Française d'Urologie)</w:t>
      </w:r>
      <w:r>
        <w:t xml:space="preserve"> — Recommandations sur l'HBP (2023).</w:t>
      </w:r>
    </w:p>
    <w:p>
      <w:r/>
      <w:r>
        <w:rPr>
          <w:i/>
        </w:rPr>
        <w:t>Fin du chapitre 33 — Inhibiteurs calciques, antihypertenseurs centraux et alpha-bloquants. Fascicule IV — Cardiologie.</w:t>
      </w:r>
      <w:r/>
    </w:p>
    <w:p>
      <w:r/>
      <w:r>
        <w:rPr>
          <w:i/>
        </w:rPr>
        <w:t>Rédigé pour étudiants en pharmacie (5e année clinique), Universités algériennes. Sources : nomenclature algérienne des médicaments (Avril 2026), VIDAL, ANSM, CRAT, ESC 2018/2023, ESH 2023, HAS 2016/2024, CNGOF 2018, UpToDate, Micromedex, Thériaque.</w:t>
      </w:r>
      <w:r/>
    </w:p>
    <w:p>
      <w:pPr>
        <w:pStyle w:val="Heading1"/>
      </w:pPr>
      <w:r>
        <w:t>Fascicule IV — Cardiologie</w:t>
      </w:r>
    </w:p>
    <w:p>
      <w:pPr>
        <w:pStyle w:val="Heading2"/>
      </w:pPr>
      <w:r>
        <w:t>Chapitre 34 : Vasodilatateurs, Diurétiques et Digitaliques</w:t>
      </w:r>
    </w:p>
    <w:p>
      <w:pPr>
        <w:pStyle w:val="Heading3"/>
      </w:pPr>
      <w:r>
        <w:t>Introduction Générale du Chapitre</w:t>
      </w:r>
    </w:p>
    <w:p>
      <w:r>
        <w:t xml:space="preserve">Ce chapitre réunit trois familles thérapeutiques cardiorénales qui, bien que distinctes par leurs mécanismes d'action et leurs indications, partagent une finalité commune : la modulation de la volémie, de la pré-charge cardiaque et de la post-charge vasculaire. L'arsenal algérien compte ici </w:t>
      </w:r>
      <w:r>
        <w:rPr>
          <w:b/>
        </w:rPr>
        <w:t>quinze dénominations communes internationales (DCI)</w:t>
      </w:r>
      <w:r>
        <w:t xml:space="preserve"> réparties sur </w:t>
      </w:r>
      <w:r>
        <w:rPr>
          <w:b/>
        </w:rPr>
        <w:t>treize sous-classes pharmacologiques</w:t>
      </w:r>
      <w:r>
        <w:t>, allant des dérivés nitrés anti-angoreux aux digitaliques inotropes positifs, en passant par les cinq grandes familles de diurétiques (de l'anse, thiazidiques, thiazidiques-like, épargneurs de potassium, osmotiques et inhibiteurs de l'anhydrase carbonique).</w:t>
      </w:r>
    </w:p>
    <w:p>
      <w:r>
        <w:t xml:space="preserve">La compréhension de ces classes repose sur trois concepts physiopathologiques essentiels. </w:t>
      </w:r>
      <w:r>
        <w:rPr>
          <w:b/>
        </w:rPr>
        <w:t>Premièrement</w:t>
      </w:r>
      <w:r>
        <w:t xml:space="preserve">, le tonus vasomoteur dépend de l'équilibre entre systèmes vasoconstricteurs (système rénine-angiotensine-aldostérone, système nerveux sympathique, endothéline) et systèmes vasodilatateurs (monoxyde d'azote NO, prostacyclines, peptide natriurétique auriculaire). Les nitrés et la molsidomine agissent en augmentant la biodisponibilité du NO, le nicorandil (non commercialisé en Algérie) ouvre les canaux potassiques ATP-dépendants, et le minoxidil (utilisé en dermatologie) active les canaux Kir6/SUR des cellules musculaires lisses. </w:t>
      </w:r>
      <w:r>
        <w:rPr>
          <w:b/>
        </w:rPr>
        <w:t>Deuxièmement</w:t>
      </w:r>
      <w:r>
        <w:t xml:space="preserve">, la réabsorption tubulaire rénale du sodium est hiérarchisée segment par segment : 65 % au tube proximal (échangeur NHE-3, anhydrase carbonique), 25 % dans la branche ascendante large de l'anse de Henle (co-transporteur NKCC2 cible des diurétiques de l'anse), 5–10 % au tube contourné distal (NCC cible des thiazidiques), et 1–2 % au tube collecteur (ENaC et Na/K-ATPase, cibles des épargneurs de potassium). L'efficacité natriurétique maximale théorique est de 20–25 % pour les diurétiques de l'anse, 5–8 % pour les thiazidiques et 1–2 % pour les épargneurs de potassium. </w:t>
      </w:r>
      <w:r>
        <w:rPr>
          <w:b/>
        </w:rPr>
        <w:t>Troisièmement</w:t>
      </w:r>
      <w:r>
        <w:t>, le digitalique (digoxine) illustre le concept d'inhibition de la pompe Na⁺/K⁺-ATPase membranaire, provoquant une élévation du calcium intracellulaire via l'échangeur Na⁺/Ca²⁺, d'où son effet inotrope positif et son index thérapeutique étroit.</w:t>
      </w:r>
    </w:p>
    <w:p>
      <w:r>
        <w:t xml:space="preserve">Sur le plan de la nomenclature algérienne, la majorité de ces molécules sont inscrites sur </w:t>
      </w:r>
      <w:r>
        <w:rPr>
          <w:b/>
        </w:rPr>
        <w:t>Liste I ou Liste II</w:t>
      </w:r>
      <w:r>
        <w:t xml:space="preserve"> (substances vénéneuses), à l'exception de certaines formes locales (minoxidil dermatologique). La prescription hospitalière prévaut pour la digoxine injectable, le mannitol et les nitrés intraveineux. La disponibilité des génériques est variable : si le furosémide, la molsidomine et l'indapamide bénéficient d'une large couverture par les laboratoires nationaux (SAIDAL, BIOPHARM, NOVATEK, LAD, EL KENDI), la trinitrine injectable, la bumétanide et le mannitol ne disposent que d'une marque unique, souvent non renouvelée ou retirée, posant le problème de la continuité thérapeutique. Le pharmacien d'officine doit donc maîtriser les équivalences, les substitutions possibles et les précautions propres à chaque classe, notamment le risque d'</w:t>
      </w:r>
      <w:r>
        <w:rPr>
          <w:b/>
        </w:rPr>
        <w:t>hypokaliémie diurétique-induite</w:t>
      </w:r>
      <w:r>
        <w:t xml:space="preserve"> qui potentialise la toxicité digitalique et les troubles du rythme.</w:t>
      </w:r>
    </w:p>
    <w:p>
      <w:pPr>
        <w:pStyle w:val="Heading3"/>
      </w:pPr>
      <w:r>
        <w:t>Sous-classes pharmacologiques représentées (13 sous-classes)</w:t>
      </w:r>
    </w:p>
    <w:p>
      <w:pPr>
        <w:pStyle w:val="Heading4"/>
      </w:pPr>
      <w:r>
        <w:t>1. Vasodilatateurs — Dérivés nitrés</w:t>
      </w:r>
    </w:p>
    <w:p>
      <w:r>
        <w:t xml:space="preserve">Cette sous-classe regroupe les esters nitriques (trinitrine, dinitrate d'isosorbide, mononitrate d'isosorbide) qui, après biotransformation hépatique et endothéliale, libèrent du monoxyde d'azote (NO). Le NO active la guanylate cyclase soluble, augmentant la concentration intracellulaire de GMP cyclique, qui à son tour phosphoryle la myosine light-chain phosphatase et provoque la relaxation des cellules musculaires lisses vasculaires. L'effet prédomine sur le versant veineux (baisse de la pré-charge) aux faibles doses, et s'étend aux artères de gros calibre (baisse de post-charge) aux doses plus élevées. Le coronaire est également dilaté, avec redistribution sous-endocardique. La principale limite est la </w:t>
      </w:r>
      <w:r>
        <w:rPr>
          <w:b/>
        </w:rPr>
        <w:t>tolérance nitrate</w:t>
      </w:r>
      <w:r>
        <w:t xml:space="preserve"> (tachyphylaxie) imposant une fenêtre thérapeutique quotidienne de 6 à 12 heures. Les indications algériennes validées sont la crise d'angor stable (forme sublinguale ou spray), le traitement de fond de l'angor d'effort (formes orales LP), l'insuffisance cardiaque aiguë avec œdème pulmonaire (trinitrine IV) et la prévention des crises de prinzmetal.</w:t>
      </w:r>
    </w:p>
    <w:p>
      <w:pPr>
        <w:pStyle w:val="Heading4"/>
      </w:pPr>
      <w:r>
        <w:t>2. Vasodilatateurs — Activateurs des canaux K⁺ ATP-dépendants (hybrides)</w:t>
      </w:r>
    </w:p>
    <w:p>
      <w:r>
        <w:t xml:space="preserve">Cette sous-classe est représentée internationalement par le </w:t>
      </w:r>
      <w:r>
        <w:rPr>
          <w:b/>
        </w:rPr>
        <w:t>nicorandil</w:t>
      </w:r>
      <w:r>
        <w:t xml:space="preserve"> (non commercialisé en Algérie à la date d'édition), molécule hybride dotée d'une double action : (i) activation des canaux potassiques ATP-dépendants (Kir6.x/SUR2B) des cellules musculaires lisses vasculaires, provoquant une hyperpolarisation et une relaxation ; (ii) libération de NO par sa fonction nitrate. Le nicorandil dilate les artères coronaires épicardiques et la microcirculation, sans phénomène de tolérance, et a démontré un bénéfice en termes de mortalité cardiovasculaire dans l'étude IONA. Son utilisation reste limitée à l'angor stable réfractaire en Europe. L'absence d'enregistrement en Algérie doit être signalée au patient voyageur, avec orientation vers un cardiologue référent.</w:t>
      </w:r>
    </w:p>
    <w:p>
      <w:pPr>
        <w:pStyle w:val="Heading4"/>
      </w:pPr>
      <w:r>
        <w:t>3. Vasodilatateurs — Donneurs de NO (non nitrés)</w:t>
      </w:r>
    </w:p>
    <w:p>
      <w:r>
        <w:t xml:space="preserve">La </w:t>
      </w:r>
      <w:r>
        <w:rPr>
          <w:b/>
        </w:rPr>
        <w:t>molsidomine</w:t>
      </w:r>
      <w:r>
        <w:t xml:space="preserve"> est un sydnonimine, prodrogue métabolisée par le foie en son métabolite actif SIN-1 (3-morpholinosydnonimine), qui libère spontanément du NO sans intervention de la nitrate réductase. Elle partage avec les nitrés le mécanisme final (GMPc) mais s'en distingue par : (i) une absence quasi totale de tolérance, (ii) un délai d'action plus long (per os 15–20 min), (iii) une durée d'action prolongée (4–6 h). Elle est indiquée dans l'angor stable en traitement de fond ou en prophylaxie des crises d'effort.</w:t>
      </w:r>
    </w:p>
    <w:p>
      <w:pPr>
        <w:pStyle w:val="Heading4"/>
      </w:pPr>
      <w:r>
        <w:t>4. Vasodilatateurs directs</w:t>
      </w:r>
    </w:p>
    <w:p>
      <w:r>
        <w:t xml:space="preserve">Le </w:t>
      </w:r>
      <w:r>
        <w:rPr>
          <w:b/>
        </w:rPr>
        <w:t>minoxidil</w:t>
      </w:r>
      <w:r>
        <w:t xml:space="preserve"> est un vasodilatateur direct artériolaire puissant, ouvert des canaux potassiques Kir6/SUR des cellules musculaires lisses. Administré par voie générale, il est réservé aux HTA réfractaires (4ᵉ ligne). En Algérie, seules les formes dermatologiques (solution à 2 % et 5 %) sont commercialisées, indiquées dans l'alopécie androgénétique. La voie systémique expose à une hypertrichose, une rétention hydrosodée et une tachycardie réflexe qui imposent l'association à un diurétique et un bêta-bloquant.</w:t>
      </w:r>
    </w:p>
    <w:p>
      <w:pPr>
        <w:pStyle w:val="Heading4"/>
      </w:pPr>
      <w:r>
        <w:t>5. Diurétiques de l'anse</w:t>
      </w:r>
    </w:p>
    <w:p>
      <w:r>
        <w:t xml:space="preserve">Ces diurétiques (furosémide, bumétanide, torasémide — seul le torasémide n'est pas commercialisé en Algérie) inhibent le co-transporteur </w:t>
      </w:r>
      <w:r>
        <w:rPr>
          <w:b/>
        </w:rPr>
        <w:t>Na⁺-K⁺-2Cl⁻ (NKCC2)</w:t>
      </w:r>
      <w:r>
        <w:t xml:space="preserve"> de la branche ascendante large de l'anse de Henle, abolissant le contre-courant multiplicateurnique et augmentant l'excrétion de sodium (jusqu'à 20–25 % de la charge filtrée), de potassium, de calcium et de magnésium. Ils sont les plus puissants diurétiques disponibles, indispensables dans l'insuffisance cardiaque décompensée, les œdèmes aigus (pulmonaire, cérébral), l'HTA maligne et l'hypercalcémie. Leur courte durée d'action (furosémide 6 h, bumétanide 4–6 h) impose des prises fractionnées. La perte urinaire de potassium, magnésium et sodium expose à l'hypokaliémie, à l'hypomagnésémie et à l'alcalose hypochlorémique.</w:t>
      </w:r>
    </w:p>
    <w:p>
      <w:pPr>
        <w:pStyle w:val="Heading4"/>
      </w:pPr>
      <w:r>
        <w:t>6. Diurétiques thiazidiques</w:t>
      </w:r>
    </w:p>
    <w:p>
      <w:r>
        <w:t>L'</w:t>
      </w:r>
      <w:r>
        <w:rPr>
          <w:b/>
        </w:rPr>
        <w:t>hydrochlorothiazide</w:t>
      </w:r>
      <w:r>
        <w:t xml:space="preserve"> inhibe le co-transporteur </w:t>
      </w:r>
      <w:r>
        <w:rPr>
          <w:b/>
        </w:rPr>
        <w:t>Na⁺-Cl⁻ (NCC)</w:t>
      </w:r>
      <w:r>
        <w:t xml:space="preserve"> du tube contourné distal. Son efficacité natriurétique est modeste (5–10 %), mais son intérêt réside dans la durée d'action longue (12–24 h), sa tolérance et son effet synergique avec les autres classes antihypertensives. En Algérie, l'HCTZ n'est commercialisé qu'en monopréparation sous une marque unique (HYDREX, souvent en rupture), mais entre dans la composition de nombreuses associations fixes (avec amiloride, spironolactone+altizide, IEC, ARA2).</w:t>
      </w:r>
    </w:p>
    <w:p>
      <w:pPr>
        <w:pStyle w:val="Heading4"/>
      </w:pPr>
      <w:r>
        <w:t>7. Diurétiques thiazidiques-like</w:t>
      </w:r>
    </w:p>
    <w:p>
      <w:r>
        <w:t>L'</w:t>
      </w:r>
      <w:r>
        <w:rPr>
          <w:b/>
        </w:rPr>
        <w:t>indapamide</w:t>
      </w:r>
      <w:r>
        <w:t xml:space="preserve"> est structurellement proche des thiazidiques (sulfonamide), mais se distingue par une demi-vie longue (14–18 h), une élimination majoritairement hépatique (sécurité d'emploi chez l'insuffisant rénal) et un effet vasculaire direct (diminution de l'entrée calcique dans la cellule musculaire lisse). La forme LP 1,5 mg est devenue le standard de l'HTA essentielle, notamment chez le sujet âgé (essais HYVET, ADVANCE). L'indapamide a démontré une réduction de la mortalité cardiovasculaire et des accidents vasculaires cérébraux.</w:t>
      </w:r>
    </w:p>
    <w:p>
      <w:pPr>
        <w:pStyle w:val="Heading4"/>
      </w:pPr>
      <w:r>
        <w:t>8. Diurétiques épargneurs de potassium — anti-aldostérones</w:t>
      </w:r>
    </w:p>
    <w:p>
      <w:r>
        <w:t xml:space="preserve">La </w:t>
      </w:r>
      <w:r>
        <w:rPr>
          <w:b/>
        </w:rPr>
        <w:t>spironolactone</w:t>
      </w:r>
      <w:r>
        <w:t xml:space="preserve"> (antagoniste compétitif du récepteur minéralocorticoïde) et l'</w:t>
      </w:r>
      <w:r>
        <w:rPr>
          <w:b/>
        </w:rPr>
        <w:t>eplérénone</w:t>
      </w:r>
      <w:r>
        <w:t xml:space="preserve"> (antagoniste plus sélectif, moins d'effets anti-androgéniques et progestatifs) bloquent l'action de l'aldostérone au tube collecteur. Ils augmentent l'excrétion de sodium et d'eau tout en réduisant celle du potassium et du magnésium. Indications majeures : insuffisance cardiaque chronique (spironolactone, RALES ; eplérénone post-infarctus, EPHESUS), hyperaldostéronisme primaire, ascite cirrhotique, HTA réfractaire. Risque principal : </w:t>
      </w:r>
      <w:r>
        <w:rPr>
          <w:b/>
        </w:rPr>
        <w:t>hyperkaliémie</w:t>
      </w:r>
      <w:r>
        <w:t>, surtout en association avec IEC/ARA2, insuffisance rénale, ou supplémentation potassique.</w:t>
      </w:r>
    </w:p>
    <w:p>
      <w:pPr>
        <w:pStyle w:val="Heading4"/>
      </w:pPr>
      <w:r>
        <w:t>9. Diurétiques épargneurs de potassium — inhibiteurs ENaC</w:t>
      </w:r>
    </w:p>
    <w:p>
      <w:r>
        <w:t xml:space="preserve">Les </w:t>
      </w:r>
      <w:r>
        <w:rPr>
          <w:b/>
        </w:rPr>
        <w:t>diurétiques pyrazinoyl-guanidines</w:t>
      </w:r>
      <w:r>
        <w:t xml:space="preserve"> (amiloride, triamtérène) bloquent directement le canal sodique épithélial (ENaC) du tube collecteur, indépendamment de l'aldostérone. En Algérie, l'amiloride n'est commercialisé qu'en association fixe avec l'hydrochlorothiazide (sous-classe 10 ci-après). Aucune monopréparation n'est actuellement disponible.</w:t>
      </w:r>
    </w:p>
    <w:p>
      <w:pPr>
        <w:pStyle w:val="Heading4"/>
      </w:pPr>
      <w:r>
        <w:t>10. Diurétiques épargneurs de potassium + thiazidiques (associations fixes)</w:t>
      </w:r>
    </w:p>
    <w:p>
      <w:r>
        <w:t>Ces associations (amiloride + HCTZ ; spironolactone + altizide) combinent un diurétique distal (NCC) et un épargneur de potassium (ENaC ou récepteur minéralocorticoïde), visant à neutraliser l'hypokaliémie induite par le thiazidique. Le ratio amiloride/HCTZ (5/50 mg) et spironolactone/altizide (25/15 mg) reflète l'équilibre natriurétique/anti-kaliurétique. Indications : HTA modérée à sévère, insuffisance cardiaque légère, œdèmes idiopathiques.</w:t>
      </w:r>
    </w:p>
    <w:p>
      <w:pPr>
        <w:pStyle w:val="Heading4"/>
      </w:pPr>
      <w:r>
        <w:t>11. Diurétiques inhibiteurs de l'anhydrase carbonique</w:t>
      </w:r>
    </w:p>
    <w:p>
      <w:r>
        <w:t>L'</w:t>
      </w:r>
      <w:r>
        <w:rPr>
          <w:b/>
        </w:rPr>
        <w:t>acétazolamide</w:t>
      </w:r>
      <w:r>
        <w:t xml:space="preserve"> inhibe l'anhydrase carbonique (isoenzymes II, IV et XII) au tube proximal, réduisant la réabsorption des bicarbonates et entraînant une natriurèse, une kalurèse et une </w:t>
      </w:r>
      <w:r>
        <w:rPr>
          <w:b/>
        </w:rPr>
        <w:t>alcalinisation urinaire</w:t>
      </w:r>
      <w:r>
        <w:t xml:space="preserve"> avec acidose métabolique hyperchlorémique. Son effet diurétique s'épuise en 3–4 jours (acidose métabolique compensatoire). Indications historiques : glaucome (diminution de l'humeur aqueuse), œdèmes en cas d'alcalose, mal des montagnes (prévention), alcalinisation urinaire (intoxication salicylée), épilepsie rebelle.</w:t>
      </w:r>
    </w:p>
    <w:p>
      <w:pPr>
        <w:pStyle w:val="Heading4"/>
      </w:pPr>
      <w:r>
        <w:t>12. Diurétiques osmotiques</w:t>
      </w:r>
    </w:p>
    <w:p>
      <w:r>
        <w:t xml:space="preserve">Le </w:t>
      </w:r>
      <w:r>
        <w:rPr>
          <w:b/>
        </w:rPr>
        <w:t>mannitol</w:t>
      </w:r>
      <w:r>
        <w:t xml:space="preserve"> est un polyol (alcool hexahydrique) filtré librement par le glomérule, non réabsorbé, qui exerce une pression osmotique élevée dans la lumière tubulaire, entravant la réabsorption de l'eau et du sodium. Indications : œdème cérébral, hypertension intracrânienne, glaucome aigu, prévention de l'insuffisance rénale aiguë post-opératoire ou post-rhabdomyolyse. Risques : expansion volémique (CI en insuffisance cardiaque), hypo-osmolarité, déshydratation.</w:t>
      </w:r>
    </w:p>
    <w:p>
      <w:pPr>
        <w:pStyle w:val="Heading4"/>
      </w:pPr>
      <w:r>
        <w:t>13. Digitaliques</w:t>
      </w:r>
    </w:p>
    <w:p>
      <w:r>
        <w:t xml:space="preserve">La </w:t>
      </w:r>
      <w:r>
        <w:rPr>
          <w:b/>
        </w:rPr>
        <w:t>digoxine</w:t>
      </w:r>
      <w:r>
        <w:t xml:space="preserve"> inhibe spécifiquement la </w:t>
      </w:r>
      <w:r>
        <w:rPr>
          <w:b/>
        </w:rPr>
        <w:t>Na⁺/K⁺-ATPase</w:t>
      </w:r>
      <w:r>
        <w:t xml:space="preserve"> membranaire des cellules myocardiques, augmentant le sodium intracellulaire, ce qui réduit l'activité de l'échangeur Na⁺/Ca²⁺ (NCX) et augmente le calcium intracellulaire (stocké dans le réticulum sarcoplasmique via SERCA). Cette élévation du Ca²⁺ systolique potentialise la contraction (effet inotrope positif). La digoxine raccourcit également la repolarisation atrio-ventriculaire (effet dromotrope négatif) et ralentit la conduction nodale, justifiant son usage dans le contrôle de la fréquence ventriculaire de la fibrillation auriculaire. La digitoxine, autre digitalique autrefois utilisé, n'est plus commercialisée en Algérie. L'index thérapeutique étroit (zone 0,8–2 ng/mL) impose une surveillance clinique et biologique stricte.</w:t>
      </w:r>
    </w:p>
    <w:p>
      <w:pPr>
        <w:pStyle w:val="Heading2"/>
      </w:pPr>
      <w:r>
        <w:t>Fiches DCI détaillées</w:t>
      </w:r>
    </w:p>
    <w:p>
      <w:pPr>
        <w:pStyle w:val="Heading3"/>
      </w:pPr>
      <w:r>
        <w:t>1. DCI : Trinitrine / Nitroglycérine (Seule)</w:t>
      </w:r>
    </w:p>
    <w:p>
      <w:r>
        <w:t>La trinitrine (trinitrate de glycéryle, GTN) est le chef de file des dérivés nitrés. Trinitrine d'action ultra-courte par voie sublinguale (1–3 min), elle est le traitement de référence de la crise d'angor. Métabolisée en 1,2-glycéryl dinitrate et en 1,3-glycéryl dinitrate par les nitrate réductases hépatiques et endothéliales, libérant du monoxyde d'azote (NO). La biodisponibilité orale est très faible (&lt; 1 %) en raison d'un effet de premier passage hépatique massif, justifiant les voies sublinguale, transdermique et intraveineuse. La tolérance nitrate est un phénomène quasi constant en perfusion continue au-delà de 24 h.</w:t>
      </w:r>
    </w:p>
    <w:p>
      <w:r/>
      <w:r>
        <w:rPr>
          <w:b/>
        </w:rPr>
        <w:t>Médicaments disponibles en Algérie (Marques, Laboratoires, Formes et Dosages) :</w:t>
      </w:r>
      <w:r/>
    </w:p>
    <w:p>
      <w:pPr>
        <w:pStyle w:val="ListBullet"/>
      </w:pPr>
      <w:r/>
      <w:r>
        <w:rPr>
          <w:b/>
        </w:rPr>
        <w:t>NITROCINE</w:t>
      </w:r>
      <w:r>
        <w:t xml:space="preserve"> (SCHWARZ PHARMA AG)</w:t>
      </w:r>
    </w:p>
    <w:p>
      <w:pPr>
        <w:pStyle w:val="ListBullet"/>
      </w:pPr>
      <w:r>
        <w:t>Formes et Dosages : Solution pour perfusion IV 10 mg/10 mL (1 mg/mL) — boîte de 10 ampoules de 10 mL</w:t>
      </w:r>
    </w:p>
    <w:p>
      <w:pPr>
        <w:pStyle w:val="ListBullet"/>
      </w:pPr>
      <w:r>
        <w:t>Statut : Non Renouvelable</w:t>
      </w:r>
    </w:p>
    <w:p>
      <w:r/>
      <w:r>
        <w:rPr>
          <w:b/>
        </w:rPr>
        <w:t>Remarque sur la disponibilité algérienne :</w:t>
      </w:r>
      <w:r>
        <w:t xml:space="preserve"> À la date d'édition, la trinitrine est en tension d'approvisionnement critique en Algérie. Aucune forme sublinguale (comprimés 0,4 mg ou pulvérisation buccale), ni forme transdermique (patch) n'est commercialisée en routine. La pratique officinale consiste alors à conseiller la molsidomine sublinguale (qui n'existe qu'en per os) ou le dinitrate d'isosorbide sublingual (formes non disponibles). En pratique hospitalière, le protocole d'urgence repose sur la trinitrine IV (NITROCINE) en prévention et traitement de l'angor instable, de l'insuffisance cardiaque aiguë avec œdème pulmonaire et de l'HTA péri-opératoire.</w:t>
      </w:r>
    </w:p>
    <w:p>
      <w:r/>
      <w:r>
        <w:rPr>
          <w:b/>
        </w:rPr>
        <w:t>Sous-classe et Mécanisme d'action :</w:t>
      </w:r>
      <w:r/>
    </w:p>
    <w:p>
      <w:pPr>
        <w:pStyle w:val="ListBullet"/>
      </w:pPr>
      <w:r>
        <w:t>Sous-classe : Vasodilatateurs — Dérivés nitrés (esters nitriques). DCI placée en première ligne de l'arsenal anti-angoreux.</w:t>
      </w:r>
    </w:p>
    <w:p>
      <w:pPr>
        <w:pStyle w:val="ListBullet"/>
      </w:pPr>
      <w:r>
        <w:t>Mécanisme d'action : La trinitrine est un prodrogue donneuse de NO. Elle subit une biotransformation par les nitrate réductases mitochondriales (alldéhyde déshydrogénase-2, ALDH2) en 1,2-GDN et nitrites, qui à leur tour libèrent le NO. Le NO se lie au site hème de la guanylate cyclase soluble, augmentant le GMP cyclique intracellulaire. Le GMPc active la protéine kinase G (PKG), qui phosphoryle la myosine light-chain phosphatase, entraînant la déphosphorylation des chaînes légères de la myosine et la relaxation de la cellule musculaire lisse vasculaire. L'effet prédomine sur le compartiment veineux (capacitif) à faible dose, réduisant la pré-charge ; à dose plus élevée, il s'étend aux artères de gros calibre (réduction de post-charge). Effet coronaire direct avec redistribution sous-endocardique.</w:t>
      </w:r>
    </w:p>
    <w:p>
      <w:r/>
      <w:r>
        <w:rPr>
          <w:b/>
        </w:rPr>
        <w:t>Profil Pharmacologique :</w:t>
      </w:r>
      <w:r/>
    </w:p>
    <w:p>
      <w:pPr>
        <w:pStyle w:val="ListBullet"/>
      </w:pPr>
      <w:r>
        <w:t>Indications : Crise d'angor stable (forme sublinguale, non disponible actuellement en Algérie), angor instable hospitalier (IV), insuffisance cardiaque aiguë avec œdème pulmonaire (IV), HTA péri-opératoire (IV), exploration spasmique coronaire (test au cours d'une coronarographie).</w:t>
      </w:r>
    </w:p>
    <w:p>
      <w:pPr>
        <w:pStyle w:val="ListBullet"/>
      </w:pPr>
      <w:r>
        <w:t>Contre-indications : Hypersensibilité aux nitrés, hypotension artérielle sévère (PAS &lt; 90 mmHg), choc cardiogénique, hypertrophie ventriculaire gauche obstructive (cardiomyopathie hypertrophique, rétrécissement aortique serré), tamponnade, péricardite constrictive, prise concomitante d'inhibiteurs de la PDE5 (sildénafil, tadalafil, vardenafil) — risque d'hypotension mortelle, anémie sévère, traumastisme crânien/hémorragie cérébrale (élévation de la pression intracrânienne).</w:t>
      </w:r>
    </w:p>
    <w:p>
      <w:pPr>
        <w:pStyle w:val="ListBullet"/>
      </w:pPr>
      <w:r>
        <w:t>Effets Indésirables : Céphalées (50 % des patients, liées à la vasodilatation méningée), flush facial, tachycardie réflexe, hypotension orthostatique (parfois syncope), vertiges, sensation de chaleur. Tolérance nitrate (tachyphylaxie) en cas d'administration continue &gt; 24 h. Methémoglobinémie exceptionnelle aux doses élevées. Brûlure sous-linguale avec les formulations sublinguales.</w:t>
      </w:r>
    </w:p>
    <w:p>
      <w:r/>
      <w:r>
        <w:rPr>
          <w:b/>
        </w:rPr>
        <w:t>Prévention et Gestion des Effets Indésirables :</w:t>
      </w:r>
      <w:r/>
    </w:p>
    <w:p>
      <w:pPr>
        <w:pStyle w:val="ListBullet"/>
      </w:pPr>
      <w:r>
        <w:t>Mesures Préventives : Imposer une fenêtre thérapeutique quotidienne de 10 à 12 heures (retrait du patch nocturne, ou administration discontinue en IV) pour prévenir la tolérance. Surveillance continue de la PA en IV. Association systématique à un bêta-bloquant ou un antagoniste calcique bradycardisant pour limiter la tachycardie réflexe. Antalgie préventive des céphalées (paracétamol 1 g).</w:t>
      </w:r>
    </w:p>
    <w:p>
      <w:pPr>
        <w:pStyle w:val="ListBullet"/>
      </w:pPr>
      <w:r>
        <w:t>Conduite à Tenir : En cas d'hypotension sévère (PAS &lt; 90 mmHg), arrêt immédiat de la perfusion, position de Trendelenburg, remplissage vasculaire prudent. En cas de céphalées intolérables, diminution du débit de perfusion. Le traitement par antagoniste de la PDE5 doit être arrêté au moins 24 h (sildénafil, vardenafil) à 48 h (tadalafil) avant toute administration de trinitrine.</w:t>
      </w:r>
    </w:p>
    <w:p>
      <w:r/>
      <w:r>
        <w:rPr>
          <w:b/>
        </w:rPr>
        <w:t>Interactions Importantes :</w:t>
      </w:r>
      <w:r/>
    </w:p>
    <w:p>
      <w:pPr>
        <w:pStyle w:val="ListBullet"/>
      </w:pPr>
      <w:r>
        <w:t>Trinitrine + Inhibiteurs de la PDE5 (sildénafil/VIAGRA, tadalafil/CIALIS, vardenafil/LEVITRA) : Association formellement contre-indiquée — risque d'hypotension artérielle sévère pouvant entraîner le décès (choc vasoplégique réfractaire aux catécholamines).</w:t>
      </w:r>
    </w:p>
    <w:p>
      <w:pPr>
        <w:pStyle w:val="ListBullet"/>
      </w:pPr>
      <w:r>
        <w:t>Trinitrine + Dihydroergotamine : Risque de vasoconstriction coronaire et d'ischémie myocardique (CI).</w:t>
      </w:r>
    </w:p>
    <w:p>
      <w:pPr>
        <w:pStyle w:val="ListBullet"/>
      </w:pPr>
      <w:r>
        <w:t>Trinitrine + Héparine : Potentialisation de l'effet anticoagulant (surveillance TCA).</w:t>
      </w:r>
    </w:p>
    <w:p>
      <w:pPr>
        <w:pStyle w:val="ListBullet"/>
      </w:pPr>
      <w:r>
        <w:t>Trinitrine + Alteplase : Interaction controversée (essais non concluants), surveillance.</w:t>
      </w:r>
    </w:p>
    <w:p>
      <w:pPr>
        <w:pStyle w:val="ListBullet"/>
      </w:pPr>
      <w:r>
        <w:t>Trinitrine + Autres vasodilatateurs (IEC, ARA2, antihypertenseurs centraux) : Majoration de l'hypotension orthostatique.</w:t>
      </w:r>
    </w:p>
    <w:p>
      <w:pPr>
        <w:pStyle w:val="ListBullet"/>
      </w:pPr>
      <w:r>
        <w:t>Trinitrine + Alcool : Potentialisation de l'hypotension.</w:t>
      </w:r>
    </w:p>
    <w:p>
      <w:r/>
      <w:r>
        <w:rPr>
          <w:b/>
        </w:rPr>
        <w:t>Grossesse et Allaitement :</w:t>
      </w:r>
      <w:r/>
    </w:p>
    <w:p>
      <w:pPr>
        <w:pStyle w:val="ListBullet"/>
      </w:pPr>
      <w:r>
        <w:t>Grossesse : Selon le CRAT, les dérivés nitrés sont compatibles avec la grossesse, à utiliser en deuxième intention (préférer les bêta-bloquants). Le passage transplacentaire est démontré, sans tératogénicité décrite. À utiliser en cas d'angor instable, d'HTA réfractaire ou d'insuffisance cardiaque aiguë de la femme enceinte.</w:t>
      </w:r>
    </w:p>
    <w:p>
      <w:pPr>
        <w:pStyle w:val="ListBullet"/>
      </w:pPr>
      <w:r>
        <w:t>Allaitement : Compatible ; très faible passage dans le lait maternel en raison de la courte demi-vie (2–4 min). Surveillance de la PA du nourrisson allaité.</w:t>
      </w:r>
    </w:p>
    <w:p>
      <w:pPr>
        <w:pStyle w:val="ListBullet"/>
      </w:pPr>
      <w:r>
        <w:t>Précisions : Éviter l'hypotension maternelle pouvant compromettre la perfusion placentaire.</w:t>
      </w:r>
    </w:p>
    <w:p>
      <w:r/>
      <w:r>
        <w:rPr>
          <w:b/>
        </w:rPr>
        <w:t>Posologie et Mode d'administration (Standard) :</w:t>
      </w:r>
      <w:r/>
    </w:p>
    <w:p>
      <w:pPr>
        <w:pStyle w:val="ListBullet"/>
      </w:pPr>
      <w:r>
        <w:t>Adulte : Crise d'angor — comprimé sublingual 0,4 mg (0,25 à 0,8 mg), à renouveler après 5 min si inefficace, sans dépasser 3 comprimés en 15 min ; pulvérisation buccale 0,4 mg/dose (1 à 2 pulvérisations). Forme transdermique : patch 5 à 15 mg/24 h (posologie progressive, à retirer la nuit). Forme IV (perfusion continue à la seringue électrique) : 1 à 2 mg/h initialement, titration jusqu'à 10–20 mg/h selon tolérance et réponse tensionnelle.</w:t>
      </w:r>
    </w:p>
    <w:p>
      <w:pPr>
        <w:pStyle w:val="ListBullet"/>
      </w:pPr>
      <w:r>
        <w:t>Sujet âgé : Posologie identique mais titration plus lente en IV (0,5 mg/h initiale), surveillance rapprochée de la PA.</w:t>
      </w:r>
    </w:p>
    <w:p>
      <w:pPr>
        <w:pStyle w:val="ListBullet"/>
      </w:pPr>
      <w:r>
        <w:t>Durée : Crise = traitement ponctuel. Traitement de fond angor = au long cours avec fenêtre thérapeutique nocturne. IV = généralement &lt; 48 h (risque de tolérance).</w:t>
      </w:r>
    </w:p>
    <w:p>
      <w:pPr>
        <w:pStyle w:val="ListBullet"/>
      </w:pPr>
      <w:r>
        <w:t>Moment de prise : Crise — à la demande, dès le premier symptôme. Patch — application matinale, retrait nocturne.</w:t>
      </w:r>
    </w:p>
    <w:p>
      <w:r/>
      <w:r>
        <w:rPr>
          <w:b/>
        </w:rPr>
        <w:t>Arbitrage et Bénéfices des Formes Galéniques :</w:t>
      </w:r>
      <w:r/>
    </w:p>
    <w:p>
      <w:r>
        <w:t>La voie sublinguale exploite la circulation veineuse systémique directe (court-circuit hépatique) avec pic en 1–3 min et durée 20–30 min : idéale pour la crise. La voie transdermique (patch) assure une libération prolongée et constante pendant 24 h, mais expose à la tolérance si elle n'est pas retirée la nuit. La voie IV permet une titration précise, indispensable en réanimation et soins intensifs de cardiologie. La voie orale n'est pas utilisée (effet de premier passage). Le spray buccal a l'avantage d'une conservation prolongée (3 ans) contrairement aux comprimés sublinguaux (stabilité limitée à 6 mois après ouverture du flacon).</w:t>
      </w:r>
    </w:p>
    <w:p>
      <w:r/>
      <w:r>
        <w:rPr>
          <w:b/>
        </w:rPr>
        <w:t>Instructions et Conseils au Patient :</w:t>
      </w:r>
      <w:r/>
    </w:p>
    <w:p>
      <w:pPr>
        <w:pStyle w:val="ListBullet"/>
      </w:pPr>
      <w:r>
        <w:t>Communication au comptoir : "Ce médicament traite les crises d'angine de poitrine. À la première douleur, serrez le comprimé sous la langue (ne pas avaler). Asseyez-vous, restez calme. Si la douleur persiste après 5 minutes et un deuxième comprimé, appelez le 15 (urgences) : cela peut être un infarctus."</w:t>
      </w:r>
    </w:p>
    <w:p>
      <w:pPr>
        <w:pStyle w:val="ListBullet"/>
      </w:pPr>
      <w:r>
        <w:t>Mode d'utilisation pratique : Conservation à l'abri de la lumière, de la chaleur et de l'humidité. Ne pas conserver plus de 6 mois après ouverture du flacon (pertes d'activité). Remplacer le flacon annuellement. Ne pas utiliser si la sensation de picotement sous la langue disparaît (signe d'inactivation). Le patch se pose sur peau saine, sèche, sans poils (thorax, abdomen, bras extérieur) ; changer de site chaque jour ; ne pas couper.</w:t>
      </w:r>
    </w:p>
    <w:p>
      <w:r/>
      <w:r>
        <w:rPr>
          <w:b/>
        </w:rPr>
        <w:t>Notes, Règles d'Or &amp; Pièges au Comptoir :</w:t>
      </w:r>
      <w:r/>
    </w:p>
    <w:p>
      <w:pPr>
        <w:pStyle w:val="ListBullet"/>
      </w:pPr>
      <w:r>
        <w:t>Piège classique : Patient sous sildénafil (ou autre inhibiteur de la PDE5) venant chercher de la trinitrine — association formellement contre-indiquée, risque vital. Toujours interroger sur les traitements de la dysfonction érectile.</w:t>
      </w:r>
    </w:p>
    <w:p>
      <w:pPr>
        <w:pStyle w:val="ListBullet"/>
      </w:pPr>
      <w:r>
        <w:t>Règle de prise : Toujours avoir le flacon sur soi ; ne pas attendre l'aggravation de la douleur pour le prendre ; préférer la position assise pour éviter la chute en cas d'hypotension.</w:t>
      </w:r>
    </w:p>
    <w:p>
      <w:pPr>
        <w:pStyle w:val="ListBullet"/>
      </w:pPr>
      <w:r>
        <w:t>Préparation et Conservation : Flacon hermétique, à température ambiante (15–25 °C), à l'abri de la lumière. Conservation 3 ans en flacon fermé, 6 mois en flacon ouvert.</w:t>
      </w:r>
    </w:p>
    <w:p>
      <w:pPr>
        <w:pStyle w:val="ListBullet"/>
      </w:pPr>
      <w:r>
        <w:t>Piège du surdosage / Substitution : En cas d'intoxication (hypotension, methémoglobinémie), traitement symptomatique : position de Trendelenburg, remplissage, noradrénaline si choc ; bleu de méthylène (1–2 mg/kg IV) en cas de methémoglobinémie &gt; 30 %. Ne pas substituer la trinitrine par la molsidomine en IV (la molsidomine n'existe qu'en per os).</w:t>
      </w:r>
    </w:p>
    <w:p>
      <w:pPr>
        <w:pStyle w:val="Heading3"/>
      </w:pPr>
      <w:r>
        <w:t>2. DCI : Dinitrate d'isosorbide (Seule)</w:t>
      </w:r>
    </w:p>
    <w:p>
      <w:r>
        <w:t>Le dinitrate d'isosorbide (DNIS) est le second ester nitrique majeur de la pharmacopée algérienne. Prodrogue métabolisée par le foie en deux métabolites actifs (2-mononitrate et 5-mononitrate d'isosorbide), il est utilisé dans l'angor stable et l'insuffisance cardiaque chronique. Sa pharmacocinétique est plus favorable que la trinitrine pour un traitement oral de fond, mais expose également à la tolérance nitrate en cas d'administration continue. Le 5-mononitrate d'isosorbide (commercialisé en Europe mais absent de la nomenclature algérienne) présente l'avantage d'une moindre variabilité pharmacocinétique.</w:t>
      </w:r>
    </w:p>
    <w:p>
      <w:r/>
      <w:r>
        <w:rPr>
          <w:b/>
        </w:rPr>
        <w:t>Médicaments disponibles en Algérie (Marques, Laboratoires, Formes et Dosages) :</w:t>
      </w:r>
      <w:r/>
    </w:p>
    <w:p>
      <w:pPr>
        <w:pStyle w:val="ListBullet"/>
      </w:pPr>
      <w:r/>
      <w:r>
        <w:rPr>
          <w:b/>
        </w:rPr>
        <w:t>ANGODAL</w:t>
      </w:r>
      <w:r>
        <w:t xml:space="preserve"> (GROUPE SAIDAL)</w:t>
      </w:r>
    </w:p>
    <w:p>
      <w:pPr>
        <w:pStyle w:val="ListBullet"/>
      </w:pPr>
      <w:r>
        <w:t>Formes et Dosages : Comprimé sécable 10 mg (B/60) ; Gélule à libération prolongée 20 mg (B/60)</w:t>
      </w:r>
    </w:p>
    <w:p>
      <w:pPr>
        <w:pStyle w:val="ListBullet"/>
      </w:pPr>
      <w:r>
        <w:t>Statut : Non Renouvelable</w:t>
      </w:r>
    </w:p>
    <w:p>
      <w:pPr>
        <w:pStyle w:val="ListBullet"/>
      </w:pPr>
      <w:r/>
      <w:r>
        <w:rPr>
          <w:b/>
        </w:rPr>
        <w:t>ISOKET</w:t>
      </w:r>
      <w:r>
        <w:t xml:space="preserve"> (SCHWARZ PHARMA AG)</w:t>
      </w:r>
    </w:p>
    <w:p>
      <w:pPr>
        <w:pStyle w:val="ListBullet"/>
      </w:pPr>
      <w:r>
        <w:t>Formes et Dosages : Comprimé 10 mg (B/100) ; Comprimé 20 mg (B/60) ; Solution pour perfusion IV 1 mg/mL (10 mg/10 mL) (B/10 ampoules de 10 mL) ; Solution pour pulvérisation buccale 1,25 mg/dose (flacon 15 mL = 300 pulvérisations)</w:t>
      </w:r>
    </w:p>
    <w:p>
      <w:pPr>
        <w:pStyle w:val="ListBullet"/>
      </w:pPr>
      <w:r>
        <w:t>Statut : Non Renouvelable</w:t>
      </w:r>
    </w:p>
    <w:p>
      <w:pPr>
        <w:pStyle w:val="ListBullet"/>
      </w:pPr>
      <w:r/>
      <w:r>
        <w:rPr>
          <w:b/>
        </w:rPr>
        <w:t>ISORTAT</w:t>
      </w:r>
      <w:r>
        <w:t xml:space="preserve"> (EIPICO)</w:t>
      </w:r>
    </w:p>
    <w:p>
      <w:pPr>
        <w:pStyle w:val="ListBullet"/>
      </w:pPr>
      <w:r>
        <w:t>Formes et Dosages : Comprimé 10 mg (B/60)</w:t>
      </w:r>
    </w:p>
    <w:p>
      <w:pPr>
        <w:pStyle w:val="ListBullet"/>
      </w:pPr>
      <w:r>
        <w:t>Statut : Non Renouvelable</w:t>
      </w:r>
    </w:p>
    <w:p>
      <w:pPr>
        <w:pStyle w:val="ListBullet"/>
      </w:pPr>
      <w:r/>
      <w:r>
        <w:rPr>
          <w:b/>
        </w:rPr>
        <w:t>RISORDAN</w:t>
      </w:r>
      <w:r>
        <w:t xml:space="preserve"> (RHONE POULENC RORER) — Historique</w:t>
      </w:r>
    </w:p>
    <w:p>
      <w:pPr>
        <w:pStyle w:val="ListBullet"/>
      </w:pPr>
      <w:r>
        <w:t>Formes et Dosages : Comprimé 10 mg (B/60) ; Comprimé 20 mg (B/60) ; Comprimé LP 40 mg (B/60)</w:t>
      </w:r>
    </w:p>
    <w:p>
      <w:pPr>
        <w:pStyle w:val="ListBullet"/>
      </w:pPr>
      <w:r>
        <w:t>Statut : Retiré (R)</w:t>
      </w:r>
    </w:p>
    <w:p>
      <w:pPr>
        <w:pStyle w:val="ListBullet"/>
      </w:pPr>
      <w:r/>
      <w:r>
        <w:rPr>
          <w:b/>
        </w:rPr>
        <w:t>RISORDAN LP</w:t>
      </w:r>
      <w:r>
        <w:t xml:space="preserve"> (RHONE POULENC RORER) — Historique</w:t>
      </w:r>
    </w:p>
    <w:p>
      <w:pPr>
        <w:pStyle w:val="ListBullet"/>
      </w:pPr>
      <w:r>
        <w:t>Formes et Dosages : Comprimé LP 20 mg (B/60)</w:t>
      </w:r>
    </w:p>
    <w:p>
      <w:pPr>
        <w:pStyle w:val="ListBullet"/>
      </w:pPr>
      <w:r>
        <w:t>Statut : Non Renouvelable / Retiré (R)</w:t>
      </w:r>
    </w:p>
    <w:p>
      <w:pPr>
        <w:pStyle w:val="ListBullet"/>
      </w:pPr>
      <w:r/>
      <w:r>
        <w:rPr>
          <w:b/>
        </w:rPr>
        <w:t>ISOSORBIDE DINITRATE</w:t>
      </w:r>
      <w:r>
        <w:t xml:space="preserve"> (MEDICUBA) — Historique</w:t>
      </w:r>
    </w:p>
    <w:p>
      <w:pPr>
        <w:pStyle w:val="ListBullet"/>
      </w:pPr>
      <w:r>
        <w:t>Formes et Dosages : Comprimé 10 mg (B/20)</w:t>
      </w:r>
    </w:p>
    <w:p>
      <w:pPr>
        <w:pStyle w:val="ListBullet"/>
      </w:pPr>
      <w:r>
        <w:t>Statut : Retiré (R)</w:t>
      </w:r>
    </w:p>
    <w:p>
      <w:pPr>
        <w:pStyle w:val="ListBullet"/>
      </w:pPr>
      <w:r/>
      <w:r>
        <w:rPr>
          <w:b/>
        </w:rPr>
        <w:t>CARDIPINE</w:t>
      </w:r>
      <w:r>
        <w:t xml:space="preserve"> (HIKMA PHARMACEUTICALS) — Historique</w:t>
      </w:r>
    </w:p>
    <w:p>
      <w:pPr>
        <w:pStyle w:val="ListBullet"/>
      </w:pPr>
      <w:r>
        <w:t>Formes et Dosages : Comprimé 10 mg (B/100) ; Comprimé 20 mg (B/100)</w:t>
      </w:r>
    </w:p>
    <w:p>
      <w:pPr>
        <w:pStyle w:val="ListBullet"/>
      </w:pPr>
      <w:r>
        <w:t>Statut : Retiré (R)</w:t>
      </w:r>
    </w:p>
    <w:p>
      <w:pPr>
        <w:pStyle w:val="ListBullet"/>
      </w:pPr>
      <w:r/>
      <w:r>
        <w:rPr>
          <w:b/>
        </w:rPr>
        <w:t>ISOCARD</w:t>
      </w:r>
      <w:r>
        <w:t xml:space="preserve"> (DAR AL DAWA) — Historique</w:t>
      </w:r>
    </w:p>
    <w:p>
      <w:pPr>
        <w:pStyle w:val="ListBullet"/>
      </w:pPr>
      <w:r>
        <w:t>Formes et Dosages : Comprimé 10 mg (B/100)</w:t>
      </w:r>
    </w:p>
    <w:p>
      <w:pPr>
        <w:pStyle w:val="ListBullet"/>
      </w:pPr>
      <w:r>
        <w:t>Statut : Retiré (R)</w:t>
      </w:r>
    </w:p>
    <w:p>
      <w:r/>
      <w:r>
        <w:rPr>
          <w:b/>
        </w:rPr>
        <w:t>Sous-classe et Mécanisme d'action :</w:t>
      </w:r>
      <w:r/>
    </w:p>
    <w:p>
      <w:pPr>
        <w:pStyle w:val="ListBullet"/>
      </w:pPr>
      <w:r>
        <w:t>Sous-classe : Vasodilatateurs — Dérivés nitrés (esters nitriques).</w:t>
      </w:r>
    </w:p>
    <w:p>
      <w:pPr>
        <w:pStyle w:val="ListBullet"/>
      </w:pPr>
      <w:r>
        <w:t>Mécanisme d'action : Le dinitrate d'isosorbide est biotransformé en 5-isosorbide mononitrate (5-ISMN) et 2-isosorbide mononitrate (2-ISMN) par les nitrate réductases hépatiques. Le 5-ISMN (demi-vie 5 h) est le métabolite principal et pharmacologiquement le plus actif ; le 2-ISMN (demi-vie 2 h) contribue modestement. Ces métabolites libèrent du NO par voie enzymatique (ALDH2 et cytochromes P450 endothéliaux), activant la guanylate cyclase soluble → élévation du GMPc → relaxation des cellules musculaires lisses vasculaires. L'effet est prédominant sur le compartiment veineux (baisse de pré-charge) à faible dose ; extension artérielle (baisse de post-charge) à doses plus élevées.</w:t>
      </w:r>
    </w:p>
    <w:p>
      <w:r/>
      <w:r>
        <w:rPr>
          <w:b/>
        </w:rPr>
        <w:t>Profil Pharmacologique :</w:t>
      </w:r>
      <w:r/>
    </w:p>
    <w:p>
      <w:pPr>
        <w:pStyle w:val="ListBullet"/>
      </w:pPr>
      <w:r>
        <w:t>Indications : Traitement de fond de l'angor stable (formes orales LP), traitement préventif de la crise d'angor, insuffisance cardiaque chronique en association (IEC + bêta-bloquant), angor instable hospitalier (forme IV), crise aiguë d'angor (spray buccal 1,25 mg/dose), test pharmacologique d'effort.</w:t>
      </w:r>
    </w:p>
    <w:p>
      <w:pPr>
        <w:pStyle w:val="ListBullet"/>
      </w:pPr>
      <w:r>
        <w:t>Contre-indications : Hypersensibilité aux nitrés, hypotension sévère (PAS &lt; 90 mmHg), choc cardiogénique, cardiomyopathie hypertrophique obstructive, rétrécissement aortique serré, tamponnade, péricardite constrictive, anémie sévère, hémorragie cérébrale, traumatisme crânien, association aux inhibiteurs de la PDE5 (sildénafil, tadalafil, vardenafil), hypovolémie non corrigée, myxœdème.</w:t>
      </w:r>
    </w:p>
    <w:p>
      <w:pPr>
        <w:pStyle w:val="ListBullet"/>
      </w:pPr>
      <w:r>
        <w:t>Effets Indésirables : Céphalées (50–60 %, parfois intolérables, nécessitent l'arrêt), flush, hypotension orthostatique, tachycardie réflexe, vertiges, asthénie, nausées, vomissements, rash cutané, tolérance nitrate (constante en administration continue), exanthème, exceptionnellement methémoglobinémie et allergic contact dermatitis.</w:t>
      </w:r>
    </w:p>
    <w:p>
      <w:r/>
      <w:r>
        <w:rPr>
          <w:b/>
        </w:rPr>
        <w:t>Prévention et Gestion des Effets Indésirables :</w:t>
      </w:r>
      <w:r/>
    </w:p>
    <w:p>
      <w:pPr>
        <w:pStyle w:val="ListBullet"/>
      </w:pPr>
      <w:r>
        <w:t>Mesures Préventives : Fenêtre thérapeutique quotidienne de 10–12 h (par exemple : prise à 8 h et 14 h, sans prise du soir) ; association systématique à un bêta-bloquant (réduit tachycardie réflexe et episodes d'angor) ; surveillance PA initiale.</w:t>
      </w:r>
    </w:p>
    <w:p>
      <w:pPr>
        <w:pStyle w:val="ListBullet"/>
      </w:pPr>
      <w:r>
        <w:t>Conduite à Tenir : En cas de céphalées intenses, diminution posologique transitoire puis ré-augmentation progressive (habituation en 7–10 jours). Antalgiques de palier 1 (paracétamol). En cas d'hypotension sévère, arrêt, Trendelenburg, remplissage.</w:t>
      </w:r>
    </w:p>
    <w:p>
      <w:r/>
      <w:r>
        <w:rPr>
          <w:b/>
        </w:rPr>
        <w:t>Interactions Importantes :</w:t>
      </w:r>
      <w:r/>
    </w:p>
    <w:p>
      <w:pPr>
        <w:pStyle w:val="ListBullet"/>
      </w:pPr>
      <w:r>
        <w:t>Dinitrate d'isosorbide + Inhibiteurs de la PDE5 (sildénafil, tadalafil, vardenafil) : CI absolue — hypotension fatale.</w:t>
      </w:r>
    </w:p>
    <w:p>
      <w:pPr>
        <w:pStyle w:val="ListBullet"/>
      </w:pPr>
      <w:r>
        <w:t>Dinitrate d'isosorbide + Saquinavir, ritonavir (antiprotéases) : Majoration des concentrations du nitré et hypotension.</w:t>
      </w:r>
    </w:p>
    <w:p>
      <w:pPr>
        <w:pStyle w:val="ListBullet"/>
      </w:pPr>
      <w:r>
        <w:t>Dinitrate d'isosorbide + Dihydroergotamine : Vasoconstriction coronaire paradoxale.</w:t>
      </w:r>
    </w:p>
    <w:p>
      <w:pPr>
        <w:pStyle w:val="ListBullet"/>
      </w:pPr>
      <w:r>
        <w:t>Dinitrate d'isosorbide + Héparine : Diminution de l'efficacité de l'héparine (nécessité d'augmenter la dose).</w:t>
      </w:r>
    </w:p>
    <w:p>
      <w:pPr>
        <w:pStyle w:val="ListBullet"/>
      </w:pPr>
      <w:r>
        <w:t>Dinitrate d'isosorbide + Alteplase : Possible baisse d'efficacité de la thrombolyse (données limitées).</w:t>
      </w:r>
    </w:p>
    <w:p>
      <w:pPr>
        <w:pStyle w:val="ListBullet"/>
      </w:pPr>
      <w:r>
        <w:t>Dinitrate d'isosorbide + Alcool : Potentialisation de l'hypotension.</w:t>
      </w:r>
    </w:p>
    <w:p>
      <w:r/>
      <w:r>
        <w:rPr>
          <w:b/>
        </w:rPr>
        <w:t>Grossesse et Allaitement :</w:t>
      </w:r>
      <w:r/>
    </w:p>
    <w:p>
      <w:pPr>
        <w:pStyle w:val="ListBullet"/>
      </w:pPr>
      <w:r>
        <w:t>Grossesse : Compatible selon le CRAT, à utiliser en deuxième intention (après bêta-bloquant). Pas de tératogénicité connue. À utiliser en cas d'insuffisance cardiaque maternelle ou d'angor instable.</w:t>
      </w:r>
    </w:p>
    <w:p>
      <w:pPr>
        <w:pStyle w:val="ListBullet"/>
      </w:pPr>
      <w:r>
        <w:t>Allaitement : Compatible ; passage très faible dans le lait. Surveillance de la PA du nourrisson.</w:t>
      </w:r>
    </w:p>
    <w:p>
      <w:pPr>
        <w:pStyle w:val="ListBullet"/>
      </w:pPr>
      <w:r>
        <w:t>Précisions : Préférer les formes à libération prolongée pour minimiser les pics de concentration.</w:t>
      </w:r>
    </w:p>
    <w:p>
      <w:r/>
      <w:r>
        <w:rPr>
          <w:b/>
        </w:rPr>
        <w:t>Posologie et Mode d'administration (Standard) :</w:t>
      </w:r>
      <w:r/>
    </w:p>
    <w:p>
      <w:pPr>
        <w:pStyle w:val="ListBullet"/>
      </w:pPr>
      <w:r>
        <w:t>Adulte : Prévention des crises d'angor — comprimé 10–20 mg, 2 à 3 fois par jour, en respectant une fenêtre thérapeutique de 10–12 h (par exemple 8 h, 14 h, 20 h si fenêtre nocturne), ou forme LP 40 mg une fois par jour le matin. Crise aiguë — spray buccal 1,25 mg/dose, 1 à 2 pulvérisations sous la langue (effet en 1–3 min). IV (hospitalier) : 1–7 mg/h en perfusion continue, titration selon PA et symptômes.</w:t>
      </w:r>
    </w:p>
    <w:p>
      <w:pPr>
        <w:pStyle w:val="ListBullet"/>
      </w:pPr>
      <w:r>
        <w:t>Sujet âgé : Posologie identique, surveillance rapprochée (hypotension orthostatique).</w:t>
      </w:r>
    </w:p>
    <w:p>
      <w:pPr>
        <w:pStyle w:val="ListBullet"/>
      </w:pPr>
      <w:r>
        <w:t>Durée : Au long cours dans l'angor stable. IV limitée à 48 h (tolérance).</w:t>
      </w:r>
    </w:p>
    <w:p>
      <w:pPr>
        <w:pStyle w:val="ListBullet"/>
      </w:pPr>
      <w:r>
        <w:t>Moment de prise : Matin et midi ; pas de prise tardive pour préserver la fenêtre thérapeutique nocturne.</w:t>
      </w:r>
    </w:p>
    <w:p>
      <w:r/>
      <w:r>
        <w:rPr>
          <w:b/>
        </w:rPr>
        <w:t>Arbitrage et Bénéfices des Formes Galéniques :</w:t>
      </w:r>
      <w:r/>
    </w:p>
    <w:p>
      <w:r>
        <w:t>Les comprimés à libération immédiate (10, 20 mg) assurent une couverture de 4–6 h, utiles pour les efforts prévisibles (prise 30 min avant). Les formes LP (20 mg gélule, 40 mg comprimé) assurent une couverture prolongée de 8–12 h, idéales pour le traitement de fond en une ou deux prises. Le spray buccal a un délai d'action rapide (1–3 min), équivalent à la trinitrine sublinguale, mais une durée d'action plus longue (1–2 h). La forme IV est réservée à l'usage hospitalier pour angor instable, insuffisance cardiaque aiguë, HTA péri-opératoire.</w:t>
      </w:r>
    </w:p>
    <w:p>
      <w:r/>
      <w:r>
        <w:rPr>
          <w:b/>
        </w:rPr>
        <w:t>Instructions et Conseils au Patient :</w:t>
      </w:r>
      <w:r/>
    </w:p>
    <w:p>
      <w:pPr>
        <w:pStyle w:val="ListBullet"/>
      </w:pPr>
      <w:r>
        <w:t>Communication au comptoir : "Ce médicament prévient les crises d'angine de poitrine. Prenez-le à horaires réguliers, mais sans prise le soir pour que le médicament garde son efficacité. Si une crise survient malgré tout, utilisez votre spray buccal d'urgence. En cas de céphalées persistantes, prévenez votre médecin : une adaptation de la dose est possible."</w:t>
      </w:r>
    </w:p>
    <w:p>
      <w:pPr>
        <w:pStyle w:val="ListBullet"/>
      </w:pPr>
      <w:r>
        <w:t>Mode d'utilisation pratique : Sprays : agiter avant emploi, pulvériser sous la langue en expiration forcée, ne pas inhaler. Comprimés LP : avaler en entier, ne pas croquer ni écraser. Ne pas arrêter brutalement (risque de spasme coronaire de rebond).</w:t>
      </w:r>
    </w:p>
    <w:p>
      <w:r/>
      <w:r>
        <w:rPr>
          <w:b/>
        </w:rPr>
        <w:t>Notes, Règles d'Or &amp; Pièges au Comptoir :</w:t>
      </w:r>
      <w:r/>
    </w:p>
    <w:p>
      <w:pPr>
        <w:pStyle w:val="ListBullet"/>
      </w:pPr>
      <w:r>
        <w:t>Piège classique : Patient venant chercher du dinitrate d'isosorbide alors qu'il prend du sildénafil — CI absolue, risque vital. Le pharmacien doit toujours interroger sur les traitements de la dysfonction érectile.</w:t>
      </w:r>
    </w:p>
    <w:p>
      <w:pPr>
        <w:pStyle w:val="ListBullet"/>
      </w:pPr>
      <w:r>
        <w:t>Règle de prise : Fenêtre thérapeutique quotidienne obligatoire ; ne jamais administrer en perfusion continue IV &gt; 24 h sans fenêtre.</w:t>
      </w:r>
    </w:p>
    <w:p>
      <w:pPr>
        <w:pStyle w:val="ListBullet"/>
      </w:pPr>
      <w:r>
        <w:t>Préparation et Conservation : Comprimés à température ambiante (15–25 °C), à l'abri de l'humidité. Spray : ne pas exposer à des températures &gt; 50 °C, ne pas percuter ni incinérer (gaz propulseur inflammable).</w:t>
      </w:r>
    </w:p>
    <w:p>
      <w:pPr>
        <w:pStyle w:val="ListBullet"/>
      </w:pPr>
      <w:r>
        <w:t>Piège du surdosage / Substitution : Ne pas substituer un comprimé LP par deux comprimés à libération immédiate (risque d'effet en pic toxique). En cas d'arrêt brutal, risque d'angor de rebond (toujours décroissance progressive sur 4–7 jours).</w:t>
      </w:r>
    </w:p>
    <w:p>
      <w:pPr>
        <w:pStyle w:val="Heading3"/>
      </w:pPr>
      <w:r>
        <w:t>3. DCI : Molsidomine (Seule)</w:t>
      </w:r>
    </w:p>
    <w:p>
      <w:r>
        <w:t>La molsidomine est le représentant unique de la sous-classe des donneurs de NO non nitrés. Son originalité repose sur sa structure sydnonimine (hétérocycle mésosoique), qui après métabolisme hépatique libère spontanément du NO sans intervention des nitrate réductases, échappant ainsi au phénomène de tolérance nitrate. Sa disponibilité en Algérie est excellente (plusieurs marques génériques), ce qui en fait une alternative privilégiée aux nitrés classiques lorsque la tolérance devient problématique.</w:t>
      </w:r>
    </w:p>
    <w:p>
      <w:r/>
      <w:r>
        <w:rPr>
          <w:b/>
        </w:rPr>
        <w:t>Médicaments disponibles en Algérie (Marques, Laboratoires, Formes et Dosages) :</w:t>
      </w:r>
      <w:r/>
    </w:p>
    <w:p>
      <w:pPr>
        <w:pStyle w:val="ListBullet"/>
      </w:pPr>
      <w:r/>
      <w:r>
        <w:rPr>
          <w:b/>
        </w:rPr>
        <w:t>ANGORAL</w:t>
      </w:r>
      <w:r>
        <w:t xml:space="preserve"> (PHARMIDAL NS)</w:t>
      </w:r>
    </w:p>
    <w:p>
      <w:pPr>
        <w:pStyle w:val="ListBullet"/>
      </w:pPr>
      <w:r>
        <w:t>Formes et Dosages : Comprimé sécable 2 mg (B/30) ; Comprimé sécable 4 mg (B/30)</w:t>
      </w:r>
    </w:p>
    <w:p>
      <w:pPr>
        <w:pStyle w:val="ListBullet"/>
      </w:pPr>
      <w:r>
        <w:t>Statut : Actif</w:t>
      </w:r>
    </w:p>
    <w:p>
      <w:pPr>
        <w:pStyle w:val="ListBullet"/>
      </w:pPr>
      <w:r/>
      <w:r>
        <w:rPr>
          <w:b/>
        </w:rPr>
        <w:t>DIALOMINE</w:t>
      </w:r>
      <w:r>
        <w:t xml:space="preserve"> (SOMEDIAL)</w:t>
      </w:r>
    </w:p>
    <w:p>
      <w:pPr>
        <w:pStyle w:val="ListBullet"/>
      </w:pPr>
      <w:r>
        <w:t>Formes et Dosages : Comprimé sécable 2 mg (B/30)</w:t>
      </w:r>
    </w:p>
    <w:p>
      <w:pPr>
        <w:pStyle w:val="ListBullet"/>
      </w:pPr>
      <w:r>
        <w:t>Statut : Actif</w:t>
      </w:r>
    </w:p>
    <w:p>
      <w:pPr>
        <w:pStyle w:val="ListBullet"/>
      </w:pPr>
      <w:r/>
      <w:r>
        <w:rPr>
          <w:b/>
        </w:rPr>
        <w:t>INVERTER</w:t>
      </w:r>
      <w:r>
        <w:t xml:space="preserve"> (GROUPE SAIDAL)</w:t>
      </w:r>
    </w:p>
    <w:p>
      <w:pPr>
        <w:pStyle w:val="ListBullet"/>
      </w:pPr>
      <w:r>
        <w:t>Formes et Dosages : Comprimé sécable 2 mg (B/30) ; Comprimé sécable 4 mg (B/30)</w:t>
      </w:r>
    </w:p>
    <w:p>
      <w:pPr>
        <w:pStyle w:val="ListBullet"/>
      </w:pPr>
      <w:r>
        <w:t>Statut : Actif</w:t>
      </w:r>
    </w:p>
    <w:p>
      <w:pPr>
        <w:pStyle w:val="ListBullet"/>
      </w:pPr>
      <w:r/>
      <w:r>
        <w:rPr>
          <w:b/>
        </w:rPr>
        <w:t>MANTIXA</w:t>
      </w:r>
      <w:r>
        <w:t xml:space="preserve"> (EL KENDI INDUSTRIE DU MEDICAMENT)</w:t>
      </w:r>
    </w:p>
    <w:p>
      <w:pPr>
        <w:pStyle w:val="ListBullet"/>
      </w:pPr>
      <w:r>
        <w:t>Formes et Dosages : Comprimé sécable 2 mg (B/30) ; Comprimé sécable 4 mg (B/30)</w:t>
      </w:r>
    </w:p>
    <w:p>
      <w:pPr>
        <w:pStyle w:val="ListBullet"/>
      </w:pPr>
      <w:r>
        <w:t>Statut : Actif</w:t>
      </w:r>
    </w:p>
    <w:p>
      <w:pPr>
        <w:pStyle w:val="ListBullet"/>
      </w:pPr>
      <w:r/>
      <w:r>
        <w:rPr>
          <w:b/>
        </w:rPr>
        <w:t>MOLSIDOMINE BEKER</w:t>
      </w:r>
      <w:r>
        <w:t xml:space="preserve"> (LABORATOIRES BEKER)</w:t>
      </w:r>
    </w:p>
    <w:p>
      <w:pPr>
        <w:pStyle w:val="ListBullet"/>
      </w:pPr>
      <w:r>
        <w:t>Formes et Dosages : Comprimé sécable 2 mg (B/30) ; Comprimé sécable 4 mg (B/30)</w:t>
      </w:r>
    </w:p>
    <w:p>
      <w:pPr>
        <w:pStyle w:val="ListBullet"/>
      </w:pPr>
      <w:r>
        <w:t>Statut : Actif</w:t>
      </w:r>
    </w:p>
    <w:p>
      <w:pPr>
        <w:pStyle w:val="ListBullet"/>
      </w:pPr>
      <w:r/>
      <w:r>
        <w:rPr>
          <w:b/>
        </w:rPr>
        <w:t>MOLSIMED</w:t>
      </w:r>
      <w:r>
        <w:t xml:space="preserve"> (WORLD MEDECINE LIMITED)</w:t>
      </w:r>
    </w:p>
    <w:p>
      <w:pPr>
        <w:pStyle w:val="ListBullet"/>
      </w:pPr>
      <w:r>
        <w:t>Formes et Dosages : Comprimé sécable 2 mg (B/30) ; Comprimé sécable 4 mg (B/30)</w:t>
      </w:r>
    </w:p>
    <w:p>
      <w:pPr>
        <w:pStyle w:val="ListBullet"/>
      </w:pPr>
      <w:r>
        <w:t>Statut : Actif</w:t>
      </w:r>
    </w:p>
    <w:p>
      <w:pPr>
        <w:pStyle w:val="ListBullet"/>
      </w:pPr>
      <w:r/>
      <w:r>
        <w:rPr>
          <w:b/>
        </w:rPr>
        <w:t>VAZOTEK 2 / VAZOTEK 4</w:t>
      </w:r>
      <w:r>
        <w:t xml:space="preserve"> (LABORATOIRES MERINAL)</w:t>
      </w:r>
    </w:p>
    <w:p>
      <w:pPr>
        <w:pStyle w:val="ListBullet"/>
      </w:pPr>
      <w:r>
        <w:t>Formes et Dosages : Comprimé sécable 2 mg (B/30) ; Comprimé sécable 4 mg (B/30)</w:t>
      </w:r>
    </w:p>
    <w:p>
      <w:pPr>
        <w:pStyle w:val="ListBullet"/>
      </w:pPr>
      <w:r>
        <w:t>Statut : Actif</w:t>
      </w:r>
    </w:p>
    <w:p>
      <w:pPr>
        <w:pStyle w:val="ListBullet"/>
      </w:pPr>
      <w:r/>
      <w:r>
        <w:rPr>
          <w:b/>
        </w:rPr>
        <w:t>CORVASAL</w:t>
      </w:r>
      <w:r>
        <w:t xml:space="preserve"> (WINTHROP PHARMA SAIDAL SPA / SAIDAL) — Historique</w:t>
      </w:r>
    </w:p>
    <w:p>
      <w:pPr>
        <w:pStyle w:val="ListBullet"/>
      </w:pPr>
      <w:r>
        <w:t>Formes et Dosages : Comprimé sécable 2 mg (B/30) ; Comprimé sécable 4 mg (B/30)</w:t>
      </w:r>
    </w:p>
    <w:p>
      <w:pPr>
        <w:pStyle w:val="ListBullet"/>
      </w:pPr>
      <w:r>
        <w:t>Statut : Non Renouvelable</w:t>
      </w:r>
    </w:p>
    <w:p>
      <w:pPr>
        <w:pStyle w:val="ListBullet"/>
      </w:pPr>
      <w:r/>
      <w:r>
        <w:rPr>
          <w:b/>
        </w:rPr>
        <w:t>MOLSINE</w:t>
      </w:r>
      <w:r>
        <w:t xml:space="preserve"> (BIOPHARM ALGERIE) — Historique</w:t>
      </w:r>
    </w:p>
    <w:p>
      <w:pPr>
        <w:pStyle w:val="ListBullet"/>
      </w:pPr>
      <w:r>
        <w:t>Formes et Dosages : Comprimé sécable 2 mg (B/30) ; Comprimé 4 mg (B/30)</w:t>
      </w:r>
    </w:p>
    <w:p>
      <w:pPr>
        <w:pStyle w:val="ListBullet"/>
      </w:pPr>
      <w:r>
        <w:t>Statut : Non Renouvelable</w:t>
      </w:r>
    </w:p>
    <w:p>
      <w:pPr>
        <w:pStyle w:val="ListBullet"/>
      </w:pPr>
      <w:r/>
      <w:r>
        <w:rPr>
          <w:b/>
        </w:rPr>
        <w:t>MOLSIKET RETARD</w:t>
      </w:r>
      <w:r>
        <w:t xml:space="preserve"> (SCHWARZ PHARMA) — Historique</w:t>
      </w:r>
    </w:p>
    <w:p>
      <w:pPr>
        <w:pStyle w:val="ListBullet"/>
      </w:pPr>
      <w:r>
        <w:t>Formes et Dosages : Comprimé à libération prolongée 8 mg (B/30)</w:t>
      </w:r>
    </w:p>
    <w:p>
      <w:pPr>
        <w:pStyle w:val="ListBullet"/>
      </w:pPr>
      <w:r>
        <w:t>Statut : Non Renouvelable</w:t>
      </w:r>
    </w:p>
    <w:p>
      <w:pPr>
        <w:pStyle w:val="ListBullet"/>
      </w:pPr>
      <w:r/>
      <w:r>
        <w:rPr>
          <w:b/>
        </w:rPr>
        <w:t>MOLSIDOMINE MERCK</w:t>
      </w:r>
      <w:r>
        <w:t xml:space="preserve"> (MERCK GENERIQUES) — Historique</w:t>
      </w:r>
    </w:p>
    <w:p>
      <w:pPr>
        <w:pStyle w:val="ListBullet"/>
      </w:pPr>
      <w:r>
        <w:t>Formes et Dosages : Comprimé sécable 2 mg (B/30) ; Comprimé sécable 4 mg (B/30)</w:t>
      </w:r>
    </w:p>
    <w:p>
      <w:pPr>
        <w:pStyle w:val="ListBullet"/>
      </w:pPr>
      <w:r>
        <w:t>Statut : Retiré (R)</w:t>
      </w:r>
    </w:p>
    <w:p>
      <w:pPr>
        <w:pStyle w:val="ListBullet"/>
      </w:pPr>
      <w:r/>
      <w:r>
        <w:rPr>
          <w:b/>
        </w:rPr>
        <w:t>MOLSIDOMINE BIOGARAN</w:t>
      </w:r>
      <w:r>
        <w:t xml:space="preserve"> (BIOGARAN) — Historique</w:t>
      </w:r>
    </w:p>
    <w:p>
      <w:pPr>
        <w:pStyle w:val="ListBullet"/>
      </w:pPr>
      <w:r>
        <w:t>Formes et Dosages : Comprimé 2 mg (B/30 et B/90) ; Comprimé 4 mg (B/30)</w:t>
      </w:r>
    </w:p>
    <w:p>
      <w:pPr>
        <w:pStyle w:val="ListBullet"/>
      </w:pPr>
      <w:r>
        <w:t>Statut : Retiré (R)</w:t>
      </w:r>
    </w:p>
    <w:p>
      <w:r/>
      <w:r>
        <w:rPr>
          <w:b/>
        </w:rPr>
        <w:t>Sous-classe et Mécanisme d'action :</w:t>
      </w:r>
      <w:r/>
    </w:p>
    <w:p>
      <w:pPr>
        <w:pStyle w:val="ListBullet"/>
      </w:pPr>
      <w:r>
        <w:t>Sous-classe : Vasodilatateurs — Donneurs de NO (sydnonimines).</w:t>
      </w:r>
    </w:p>
    <w:p>
      <w:pPr>
        <w:pStyle w:val="ListBullet"/>
      </w:pPr>
      <w:r>
        <w:t>Mécanisme d'action : La molsidomine est une prodrogue inactive, lentement métabolisée par les cytochromes P450 hépatiques (CYP3A4, CYP2C9) en son métabolite actif SIN-1 (3-morpholinosydnonimine). Le SIN-1, en présence d'oxygène et de thiols plasmatiques, subit une hydrolyse spontanée non enzymatique libérant le NO de manière stable et prolongée. Le NO active la guanylate cyclase soluble → augmentation du GMPc → relaxation des cellules musculaires lisses vasculaires. L'originalité est l'absence de biotransformation par les nitrate réductases mitochondriales, ce qui explique l'absence quasi totale de tolérance nitrate et permet une administration continue sans fenêtre thérapeutique.</w:t>
      </w:r>
    </w:p>
    <w:p>
      <w:r/>
      <w:r>
        <w:rPr>
          <w:b/>
        </w:rPr>
        <w:t>Profil Pharmacologique :</w:t>
      </w:r>
      <w:r/>
    </w:p>
    <w:p>
      <w:pPr>
        <w:pStyle w:val="ListBullet"/>
      </w:pPr>
      <w:r>
        <w:t>Indications : Angor stable en traitement de fond ; prévention des crises d'angor d'effort ; insuffisance coronaire chronique ; alternative aux nitrés en cas de tolérance ou de céphalées intolérables ; possible dans l'insuffisance cardiaque chronique stable en association.</w:t>
      </w:r>
    </w:p>
    <w:p>
      <w:pPr>
        <w:pStyle w:val="ListBullet"/>
      </w:pPr>
      <w:r>
        <w:t>Contre-indications : Hypersensibilité à la molsidomine, hypotension artérielle sévère (PAS &lt; 90 mmHg), choc cardiogénique, insuffisance cardiaque aiguë, hypertrophie ventriculaire gauche obstructive (cardiomyopathie hypertrophique, rétrécissement aortique serré), tamponnade, péricardite constrictive, anémie sévère, glaucome à angle fermé (vasodilatation choroïdienne possible), association aux inhibiteurs de la PDE5 (sildénafil, tadalafil, vardenafil) — bien que le risque soit moindre qu'avec les nitrés, prudence, hypovolémie.</w:t>
      </w:r>
    </w:p>
    <w:p>
      <w:pPr>
        <w:pStyle w:val="ListBullet"/>
      </w:pPr>
      <w:r>
        <w:t>Effets Indésirables : Hypotension artérielle orthostatique (surtout en début de traitement), céphalées (moins fréquentes et moins intenses qu'avec les nitrés, 10–20 %), vertiges, flush, asthénie, nausées, troubles digestifs, rash, exceptionnellement réactions d'hypersensibilité. Contrairement aux nitrés, pas de tolérance nitrate, mais effet hypotenseur qui peut nécessiter une adaptation progressive.</w:t>
      </w:r>
    </w:p>
    <w:p>
      <w:r/>
      <w:r>
        <w:rPr>
          <w:b/>
        </w:rPr>
        <w:t>Prévention et Gestion des Effets Indésirables :</w:t>
      </w:r>
      <w:r/>
    </w:p>
    <w:p>
      <w:pPr>
        <w:pStyle w:val="ListBullet"/>
      </w:pPr>
      <w:r>
        <w:t>Mesures Préventives : Adapter la posologie initiale (démarrer à 1 mg puis augmentation progressive), prise préférentielle au cours du repas pour diminuer les effets digestifs. Surveillance de la PA en début de traitement. Association à un bêta-bloquant pour limiter la tachycardie réflexe.</w:t>
      </w:r>
    </w:p>
    <w:p>
      <w:pPr>
        <w:pStyle w:val="ListBullet"/>
      </w:pPr>
      <w:r>
        <w:t>Conduite à Tenir : En cas d'hypotension sévère, arrêt transitoire puis réintroduction à demi-dose. Les céphalées cèdent généralement en 7–10 jours (habituation), antalgiques si nécessaire.</w:t>
      </w:r>
    </w:p>
    <w:p>
      <w:r/>
      <w:r>
        <w:rPr>
          <w:b/>
        </w:rPr>
        <w:t>Interactions Importantes :</w:t>
      </w:r>
      <w:r/>
    </w:p>
    <w:p>
      <w:pPr>
        <w:pStyle w:val="ListBullet"/>
      </w:pPr>
      <w:r>
        <w:t>Molsidomine + Inhibiteurs de la PDE5 (sildénafil, tadalafil, vardenafil) : Bien que le risque soit théoriquement moindre qu'avec les nitrés (mécanisme non enzymatique), l'association reste déconseillée par prudence ; respecter un délai de 24 h.</w:t>
      </w:r>
    </w:p>
    <w:p>
      <w:pPr>
        <w:pStyle w:val="ListBullet"/>
      </w:pPr>
      <w:r>
        <w:t>Molsidomine + Antihypertenseurs (IEC, ARA2, bêta-bloquants, diurétiques) : Majoration de l'hypotension orthostatique.</w:t>
      </w:r>
    </w:p>
    <w:p>
      <w:pPr>
        <w:pStyle w:val="ListBullet"/>
      </w:pPr>
      <w:r>
        <w:t>Molsidomine + Alcool : Potentialisation de l'hypotension.</w:t>
      </w:r>
    </w:p>
    <w:p>
      <w:pPr>
        <w:pStyle w:val="ListBullet"/>
      </w:pPr>
      <w:r>
        <w:t>Molsidomine + Dihydroergotamine : Vasoconstriction paradoxale, à éviter.</w:t>
      </w:r>
    </w:p>
    <w:p>
      <w:pPr>
        <w:pStyle w:val="ListBullet"/>
      </w:pPr>
      <w:r>
        <w:t>Molsidomine + Phénytoïne, carbamazépine (inducteurs enzymatiques) : Possible diminution de l'efficacité (induction du CYP3A4).</w:t>
      </w:r>
    </w:p>
    <w:p>
      <w:r/>
      <w:r>
        <w:rPr>
          <w:b/>
        </w:rPr>
        <w:t>Grossesse et Allaitement :</w:t>
      </w:r>
      <w:r/>
    </w:p>
    <w:p>
      <w:pPr>
        <w:pStyle w:val="ListBullet"/>
      </w:pPr>
      <w:r>
        <w:t>Grossesse : Selon le CRAT, par défaut à éviter par prudence (données animales insuffisantes) ; à utiliser seulement si le bénéfice maternel attendu est supérieur au risque fœtal. Préférer les bêta-bloquants ou les dérivés nitrés (données plus vastes).</w:t>
      </w:r>
    </w:p>
    <w:p>
      <w:pPr>
        <w:pStyle w:val="ListBullet"/>
      </w:pPr>
      <w:r>
        <w:t>Allaitement : À éviter par prudence (données manquantes).</w:t>
      </w:r>
    </w:p>
    <w:p>
      <w:pPr>
        <w:pStyle w:val="ListBullet"/>
      </w:pPr>
      <w:r>
        <w:t>Précisions : Le métabolite SIN-1 traverse vraisemblablement le placenta. Réserver aux situations de nécessité absolue.</w:t>
      </w:r>
    </w:p>
    <w:p>
      <w:r/>
      <w:r>
        <w:rPr>
          <w:b/>
        </w:rPr>
        <w:t>Posologie et Mode d'administration (Standard) :</w:t>
      </w:r>
      <w:r/>
    </w:p>
    <w:p>
      <w:pPr>
        <w:pStyle w:val="ListBullet"/>
      </w:pPr>
      <w:r>
        <w:t>Adulte : 2 mg 2 à 3 fois par jour, ou 4 mg 1 à 2 fois par jour, en respectant si possible un intervalle de 8 h entre les prises. Forme LP (historique) : 8 mg une fois par jour le matin. La posologie peut être augmentée à 16 mg/jour en 2 prises si nécessaire.</w:t>
      </w:r>
    </w:p>
    <w:p>
      <w:pPr>
        <w:pStyle w:val="ListBullet"/>
      </w:pPr>
      <w:r>
        <w:t>Sujet âgé : Posologie initiale réduite (1 mg ou 2 mg, 1 à 2 fois/j), surveillance rapprochée de la PA orthostatique.</w:t>
      </w:r>
    </w:p>
    <w:p>
      <w:pPr>
        <w:pStyle w:val="ListBullet"/>
      </w:pPr>
      <w:r>
        <w:t>Durée : Au long cours.</w:t>
      </w:r>
    </w:p>
    <w:p>
      <w:pPr>
        <w:pStyle w:val="ListBullet"/>
      </w:pPr>
      <w:r>
        <w:t>Moment de prise : Matin, midi, et éventuellement fin d'après-midi. Éviter la prise tardive du soir (risque d'hypotension nocturne).</w:t>
      </w:r>
    </w:p>
    <w:p>
      <w:r/>
      <w:r>
        <w:rPr>
          <w:b/>
        </w:rPr>
        <w:t>Arbitrage et Bénéfices des Formes Galéniques :</w:t>
      </w:r>
      <w:r/>
    </w:p>
    <w:p>
      <w:r>
        <w:t>La molsidomine existe en comprimés sécables (2 et 4 mg) permettant une adaptation posologique fine et facilite le fractionnement pour les sujets âgés. La forme LP 8 mg (autrefois commercialisée sous MOLSIKET RETARD) n'est plus disponible en Algérie, ce qui impose de recourir à 2 prises par jour. La biodisponibilité per os est de 44 %, avec pic plasmatique en 1 h. La durée d'action d'une prise est de 4–6 h, justifiant le schéma 2 à 3 fois/jour.</w:t>
      </w:r>
    </w:p>
    <w:p>
      <w:r/>
      <w:r>
        <w:rPr>
          <w:b/>
        </w:rPr>
        <w:t>Instructions et Conseils au Patient :</w:t>
      </w:r>
      <w:r/>
    </w:p>
    <w:p>
      <w:pPr>
        <w:pStyle w:val="ListBullet"/>
      </w:pPr>
      <w:r>
        <w:t>Communication au comptoir : "Ce médicament prévient les crises d'angine. Contrairement aux nitrés, il peut être pris en continu sans perdre son efficacité. Les premiers jours, vous pouvez ressentir des maux de tête : ils s'atténuent avec le temps. Si vous êtes fatigué ou étourdi, asseyez-vous avant de vous lever."</w:t>
      </w:r>
    </w:p>
    <w:p>
      <w:pPr>
        <w:pStyle w:val="ListBullet"/>
      </w:pPr>
      <w:r>
        <w:t>Mode d'utilisation pratique : Avaler les comprimés avec un grand verre d'eau, pendant ou après le repas. Ne pas écraser ni croquer. En cas d'oubli d'une prise, ne pas doubler la dose suivante. Ne pas interrompre brutalement le traitement.</w:t>
      </w:r>
    </w:p>
    <w:p>
      <w:r/>
      <w:r>
        <w:rPr>
          <w:b/>
        </w:rPr>
        <w:t>Notes, Règles d'Or &amp; Pièges au Comptoir :</w:t>
      </w:r>
      <w:r/>
    </w:p>
    <w:p>
      <w:pPr>
        <w:pStyle w:val="ListBullet"/>
      </w:pPr>
      <w:r>
        <w:t>Piège classique : Patient asthmatique ou avec antécédents d'allergie aux sulfamides — la molsidomine n'est pas un sulfamide, pas de CI particulière. Mais ne pas confondre molsidomine (donneur de NO non nitré) avec isosorbide dinitrate (nitré).</w:t>
      </w:r>
    </w:p>
    <w:p>
      <w:pPr>
        <w:pStyle w:val="ListBullet"/>
      </w:pPr>
      <w:r>
        <w:t>Règle de prise : Pas de fenêtre thérapeutique obligatoire contrairement aux nitrés. Mais éviter la prise du soir (hypotension nocturne, chutes chez le sujet âgé).</w:t>
      </w:r>
    </w:p>
    <w:p>
      <w:pPr>
        <w:pStyle w:val="ListBullet"/>
      </w:pPr>
      <w:r>
        <w:t>Préparation et Conservation : À température ambiante (15–25 °C), à l'abri de l'humidité et de la lumière. Conservation 3 ans.</w:t>
      </w:r>
    </w:p>
    <w:p>
      <w:pPr>
        <w:pStyle w:val="ListBullet"/>
      </w:pPr>
      <w:r>
        <w:t>Piège du surdosage / Substitution : En cas de surdosage (hypotension sévère), traitement symptomatique : Trendelenburg, remplissage prudent, vasopresseurs si choc. La molsidomine n'est pas dialysable. Ne pas substituer molsidomine 4 mg par 2 comprimés de molsidomine 2 mg sans avis médical (différence pharmacocinétique possible selon le galénique).</w:t>
      </w:r>
    </w:p>
    <w:p>
      <w:pPr>
        <w:pStyle w:val="Heading3"/>
      </w:pPr>
      <w:r>
        <w:t>4. DCI : Minoxidil (Seule — Formes dermatologiques)</w:t>
      </w:r>
    </w:p>
    <w:p>
      <w:r>
        <w:t>Le minoxidil est un vasodilatateur direct puissant, historiquement développé par voie orale dans l'HTA réfractaire (4ᵉ ligne), mais dont la commercialisation algérienne actuelle ne concerne que les formes dermatologiques (solution à 2 % et 5 %) indiquées dans l'alopécie androgénétique. Son hypertrichose, initialement considérée comme effet indésirable, est devenue son indication principale. Le mécanisme d'action repose sur l'ouverture des canaux potassiques ATP-dépendants (Kir6/SUR2B) des cellules musculaires lisses, mais le mécanisme exact de la stimulation de la croissance pilaire reste débattu (vasodilatation folliculaire, stimulation directe des cellules de la matrice, anti-androgène faible).</w:t>
      </w:r>
    </w:p>
    <w:p>
      <w:r/>
      <w:r>
        <w:rPr>
          <w:b/>
        </w:rPr>
        <w:t>Médicaments disponibles en Algérie (Marques, Laboratoires, Formes et Dosages) :</w:t>
      </w:r>
      <w:r/>
    </w:p>
    <w:p>
      <w:pPr>
        <w:pStyle w:val="ListBullet"/>
      </w:pPr>
      <w:r/>
      <w:r>
        <w:rPr>
          <w:b/>
        </w:rPr>
        <w:t>MINOXIDIL NS</w:t>
      </w:r>
      <w:r>
        <w:t xml:space="preserve"> (PHARMIDAL NS)</w:t>
      </w:r>
    </w:p>
    <w:p>
      <w:pPr>
        <w:pStyle w:val="ListBullet"/>
      </w:pPr>
      <w:r>
        <w:t>Formes et Dosages : Solution pour application locale 0,05 (5 %) — flacon 120 mL avec pulvérisateur et pipette graduée ; Solution pour application cutanée 0,02 (2 %) — flacon 120 mL avec pulvérisateur et pipette graduée</w:t>
      </w:r>
    </w:p>
    <w:p>
      <w:pPr>
        <w:pStyle w:val="ListBullet"/>
      </w:pPr>
      <w:r>
        <w:t>Statut : Actif</w:t>
      </w:r>
    </w:p>
    <w:p>
      <w:pPr>
        <w:pStyle w:val="ListBullet"/>
      </w:pPr>
      <w:r/>
      <w:r>
        <w:rPr>
          <w:b/>
        </w:rPr>
        <w:t>MINOXYL 5 %</w:t>
      </w:r>
      <w:r>
        <w:t xml:space="preserve"> (LABORATOIRES PHARMAGHREB)</w:t>
      </w:r>
    </w:p>
    <w:p>
      <w:pPr>
        <w:pStyle w:val="ListBullet"/>
      </w:pPr>
      <w:r>
        <w:t>Formes et Dosages : Solution dermique 5 % (5 g/100 mL) — flacon 60 mL avec pulvérisateur et applicateur</w:t>
      </w:r>
    </w:p>
    <w:p>
      <w:pPr>
        <w:pStyle w:val="ListBullet"/>
      </w:pPr>
      <w:r>
        <w:t>Statut : Actif (Liste I)</w:t>
      </w:r>
    </w:p>
    <w:p>
      <w:pPr>
        <w:pStyle w:val="ListBullet"/>
      </w:pPr>
      <w:r/>
      <w:r>
        <w:rPr>
          <w:b/>
        </w:rPr>
        <w:t>MINOXYL</w:t>
      </w:r>
      <w:r>
        <w:t xml:space="preserve"> (LABORATOIRES PHARMAGHREB)</w:t>
      </w:r>
    </w:p>
    <w:p>
      <w:pPr>
        <w:pStyle w:val="ListBullet"/>
      </w:pPr>
      <w:r>
        <w:t>Formes et Dosages : Solution pour application locale 0,02 (2 %) — flacon 60 mL</w:t>
      </w:r>
    </w:p>
    <w:p>
      <w:pPr>
        <w:pStyle w:val="ListBullet"/>
      </w:pPr>
      <w:r>
        <w:t>Statut : Actif</w:t>
      </w:r>
    </w:p>
    <w:p>
      <w:pPr>
        <w:pStyle w:val="ListBullet"/>
      </w:pPr>
      <w:r/>
      <w:r>
        <w:rPr>
          <w:b/>
        </w:rPr>
        <w:t>ALOPECYL 5 %</w:t>
      </w:r>
      <w:r>
        <w:t xml:space="preserve"> (LABORATOIRE ALGERIEN DE DEVELOPPEMENT PHARMACEUTIQUE — LAD) — Historique</w:t>
      </w:r>
    </w:p>
    <w:p>
      <w:pPr>
        <w:pStyle w:val="ListBullet"/>
      </w:pPr>
      <w:r>
        <w:t>Formes et Dosages : Solution pour application locale 0,05 — flacon pulvérisateur 15 mL ; flacon pulvérisateur 50 mL</w:t>
      </w:r>
    </w:p>
    <w:p>
      <w:pPr>
        <w:pStyle w:val="ListBullet"/>
      </w:pPr>
      <w:r>
        <w:t>Statut : Non Renouvelable (Liste II)</w:t>
      </w:r>
    </w:p>
    <w:p>
      <w:pPr>
        <w:pStyle w:val="ListBullet"/>
      </w:pPr>
      <w:r/>
      <w:r>
        <w:rPr>
          <w:b/>
        </w:rPr>
        <w:t>ALOPECYL 2 %</w:t>
      </w:r>
      <w:r>
        <w:t xml:space="preserve"> (LAD) — Historique</w:t>
      </w:r>
    </w:p>
    <w:p>
      <w:pPr>
        <w:pStyle w:val="ListBullet"/>
      </w:pPr>
      <w:r>
        <w:t>Formes et Dosages : Solution pour application locale 0,02 — flacon pulvérisateur 15 mL (B/01 ou B/03) ; flacon pulvérisateur 50 mL</w:t>
      </w:r>
    </w:p>
    <w:p>
      <w:pPr>
        <w:pStyle w:val="ListBullet"/>
      </w:pPr>
      <w:r>
        <w:t>Statut : Non Renouvelable</w:t>
      </w:r>
    </w:p>
    <w:p>
      <w:pPr>
        <w:pStyle w:val="ListBullet"/>
      </w:pPr>
      <w:r/>
      <w:r>
        <w:rPr>
          <w:b/>
        </w:rPr>
        <w:t>ALOPEXY 5 %</w:t>
      </w:r>
      <w:r>
        <w:t xml:space="preserve"> (PIERRE FABRE DERMATOLOGIE) — Historique</w:t>
      </w:r>
    </w:p>
    <w:p>
      <w:pPr>
        <w:pStyle w:val="ListBullet"/>
      </w:pPr>
      <w:r>
        <w:t>Formes et Dosages : Solution pour application cutanée 5 g/100 mL — flacon 60 mL avec pipette graduée</w:t>
      </w:r>
    </w:p>
    <w:p>
      <w:pPr>
        <w:pStyle w:val="ListBullet"/>
      </w:pPr>
      <w:r>
        <w:t>Statut : Retiré (R) (Liste II)</w:t>
      </w:r>
    </w:p>
    <w:p>
      <w:pPr>
        <w:pStyle w:val="ListBullet"/>
      </w:pPr>
      <w:r/>
      <w:r>
        <w:rPr>
          <w:b/>
        </w:rPr>
        <w:t>ALOPEXY 2 %</w:t>
      </w:r>
      <w:r>
        <w:t xml:space="preserve"> (PIERRE FABRE DERMATOLOGIE) — Historique</w:t>
      </w:r>
    </w:p>
    <w:p>
      <w:pPr>
        <w:pStyle w:val="ListBullet"/>
      </w:pPr>
      <w:r>
        <w:t>Formes et Dosages : Solution pour application cutanée 2 g/100 mL — flacon 60 mL avec pipette graduée</w:t>
      </w:r>
    </w:p>
    <w:p>
      <w:pPr>
        <w:pStyle w:val="ListBullet"/>
      </w:pPr>
      <w:r>
        <w:t>Statut : Retiré (R)</w:t>
      </w:r>
    </w:p>
    <w:p>
      <w:r/>
      <w:r>
        <w:rPr>
          <w:b/>
        </w:rPr>
        <w:t>Sous-classe et Mécanisme d'action :</w:t>
      </w:r>
      <w:r/>
    </w:p>
    <w:p>
      <w:pPr>
        <w:pStyle w:val="ListBullet"/>
      </w:pPr>
      <w:r>
        <w:t>Sous-classe : Vasodilatateurs directs — application dermatologique.</w:t>
      </w:r>
    </w:p>
    <w:p>
      <w:pPr>
        <w:pStyle w:val="ListBullet"/>
      </w:pPr>
      <w:r>
        <w:t>Mécanisme d'action : Le minoxidil est ouvert des canaux potassiques ATP-dépendants (Kir6.x/SUR2B) des cellules musculaires lisses vasculaires. L'efflux de K⁺ hyperpolarise la membrane, fermant les canaux calciques voltage-dépendants et relaxant la cellule. Par voie systémique, vasodilatation artériolaire puissante. Par voie topique, le mécanisme de stimulation de la croissance pilaire est multifactoriel : (i) vasodilatation des capillaires folliculaires (amélioration de la perfusion), (ii) stimulation directe de la prolifération des cellules de la matrice du bulbe via l'ouverture des canaux Kir, (iii) prolongation de la phase anagène du cycle pilaire, (iv) possible inhibition de l'effet local de la 5-alpha-réductase. Le sulfate de minoxidil (métabolite actif) est généré par la sulfotransférase folliculaire.</w:t>
      </w:r>
    </w:p>
    <w:p>
      <w:r/>
      <w:r>
        <w:rPr>
          <w:b/>
        </w:rPr>
        <w:t>Profil Pharmacologique :</w:t>
      </w:r>
      <w:r/>
    </w:p>
    <w:p>
      <w:pPr>
        <w:pStyle w:val="ListBullet"/>
      </w:pPr>
      <w:r>
        <w:t>Indications : Alopécie androgénétique masculine (formes 5 %) et féminine (formes 2 % préférentiellement, 5 % en deuxième intention) ; alopécie diffuse chronique ; possible dans l'alopécie de traction et certaines alopécies cicatricielles primitives (sous avis spécialisé).</w:t>
      </w:r>
    </w:p>
    <w:p>
      <w:pPr>
        <w:pStyle w:val="ListBullet"/>
      </w:pPr>
      <w:r>
        <w:t>Contre-indications : Hypersensibilité au minoxidil ou à l'un des excipients (notamment propylène glycol), lésions cutanées du cuir chevelu (psoriasis en pousse, eczéma, infection), grossesse et allaitement, enfant de moins de 18 ans (sauf avis spécialisé), usage sur d'autres zones que le cuir chevelu, antécédents cardiaques (prudence en raison du passage systémique possible).</w:t>
      </w:r>
    </w:p>
    <w:p>
      <w:pPr>
        <w:pStyle w:val="ListBullet"/>
      </w:pPr>
      <w:r>
        <w:t>Effets Indésirables : Locaux — irritations cutanées, démangeaisons, desquamation, rougeurs, dermite de contact (souvent due au propylène glycol), hypertrichose à distance (front, tempes, joues — surtout chez la femme), exceptionnels cas d'alopécie paradoxale initiale (effet shedding, transitoire au 2ᵉ mois), modification de la texture des cheveux. Systémiques (rares, liés au passage systémique) — palpitations, tachycardie, œdèmes des membres inférieurs, douleurs thoraciques, hypotension, vertiges.</w:t>
      </w:r>
    </w:p>
    <w:p>
      <w:r/>
      <w:r>
        <w:rPr>
          <w:b/>
        </w:rPr>
        <w:t>Prévention et Gestion des Effets Indésirables :</w:t>
      </w:r>
      <w:r/>
    </w:p>
    <w:p>
      <w:pPr>
        <w:pStyle w:val="ListBullet"/>
      </w:pPr>
      <w:r>
        <w:t>Mesures Préventives : Respecter la dose maximale (1 mL de solution 5 % matin et soir, soit 100 mg/jour chez l'homme ; 1 mL de solution 2 % matin et soir, soit 40 mg/jour chez la femme). Ne pas appliquer sur peau lésée. Se laver les mains après application. Éviter l'application le soir (risque de transfert sur l'oreiller et le visage du conjoint). Espacer l'application du shampoing (au moins 4 h après).</w:t>
      </w:r>
    </w:p>
    <w:p>
      <w:pPr>
        <w:pStyle w:val="ListBullet"/>
      </w:pPr>
      <w:r>
        <w:t>Conduite à Tenir : En cas d'irritation locale, suspendre quelques jours puis reprendre à dose réduite ; envisager une formule sans propylène glycol (foaming ou mousse). En cas de shedding initial, rassurer le patient (phénomène transitoire de remplacement des cheveux télogènes par des anagènes plus épais). En cas de signes systémiques (palpitations, œdèmes), arrêt immédiat et consultation.</w:t>
      </w:r>
    </w:p>
    <w:p>
      <w:r/>
      <w:r>
        <w:rPr>
          <w:b/>
        </w:rPr>
        <w:t>Interactions Importantes :</w:t>
      </w:r>
      <w:r/>
    </w:p>
    <w:p>
      <w:pPr>
        <w:pStyle w:val="ListBullet"/>
      </w:pPr>
      <w:r>
        <w:t>Minoxidil topique + autres topiques du cuir chevelu (corticoïdes, rétinoïdes, kératolytiques) : Risque d'augmentation du passage systémique (irritation, inflammation) ; espacer les applications.</w:t>
      </w:r>
    </w:p>
    <w:p>
      <w:pPr>
        <w:pStyle w:val="ListBullet"/>
      </w:pPr>
      <w:r>
        <w:t>Minoxidil topique + Antihypertenseurs : Pas d'interaction décrite aux doses recommandées, mais en cas de surdosage local (multiplication des applications), passage systémique possible avec potentialisation de l'effet antihypertenseur.</w:t>
      </w:r>
    </w:p>
    <w:p>
      <w:pPr>
        <w:pStyle w:val="ListBullet"/>
      </w:pPr>
      <w:r>
        <w:t>Minoxidil topique + Inhibiteurs de la 5-alpha-réductase (finastéride) : Association synergique dans l'alopécie androgénétique masculine.</w:t>
      </w:r>
    </w:p>
    <w:p>
      <w:pPr>
        <w:pStyle w:val="ListBullet"/>
      </w:pPr>
      <w:r>
        <w:t>Minoxidil topique + Grossesse : CI absolue (effets systémiques possibles, hypotension maternelle et fœtale).</w:t>
      </w:r>
    </w:p>
    <w:p>
      <w:r/>
      <w:r>
        <w:rPr>
          <w:b/>
        </w:rPr>
        <w:t>Grossesse et Allaitement :</w:t>
      </w:r>
      <w:r/>
    </w:p>
    <w:p>
      <w:pPr>
        <w:pStyle w:val="ListBullet"/>
      </w:pPr>
      <w:r>
        <w:t>Grossesse : Contre-indiqué (CI absolue) en raison du passage systémique possible et de l'effet vasodilatateur puissant — risque d'hypotension maternelle et de perturbation hémodynamique fœtale. À proscrire chez toute femme en âge de procréer sans contraception efficace.</w:t>
      </w:r>
    </w:p>
    <w:p>
      <w:pPr>
        <w:pStyle w:val="ListBullet"/>
      </w:pPr>
      <w:r>
        <w:t>Allaitement : Contre-indiqué (passage dans le lait non évalué, effet systémique potentiel).</w:t>
      </w:r>
    </w:p>
    <w:p>
      <w:pPr>
        <w:pStyle w:val="ListBullet"/>
      </w:pPr>
      <w:r>
        <w:t>Précisions : Chez la femme enceinte présentant une alopécie, privilégier les mesures non médicamenteuses (sans risque), discuter de la prise en charge après l'accouchement et l'allaitement.</w:t>
      </w:r>
    </w:p>
    <w:p>
      <w:r/>
      <w:r>
        <w:rPr>
          <w:b/>
        </w:rPr>
        <w:t>Posologie et Mode d'administration (Standard) :</w:t>
      </w:r>
      <w:r/>
    </w:p>
    <w:p>
      <w:pPr>
        <w:pStyle w:val="ListBullet"/>
      </w:pPr>
      <w:r>
        <w:t>Adulte (homme) : Solution 5 % — 1 mL (soit 50 mg) appliqué sur cuir chevelu sec, 2 fois par jour à 12 h d'intervalle (matin et soir, mais soir à éviter en pratique). Masser délicatement. Ne pas rincer. Ne pas dépasser 2 mL/jour (100 mg).</w:t>
      </w:r>
    </w:p>
    <w:p>
      <w:pPr>
        <w:pStyle w:val="ListBullet"/>
      </w:pPr>
      <w:r>
        <w:t>Adulte (femme) : Solution 2 % — 1 mL (soit 20 mg), 2 fois par jour. Forme 5 % possible en 1 application/jour en 2ᵉ intention.</w:t>
      </w:r>
    </w:p>
    <w:p>
      <w:pPr>
        <w:pStyle w:val="ListBullet"/>
      </w:pPr>
      <w:r>
        <w:t>Sujet âgé : Pas d'adaptation posologique spécifique.</w:t>
      </w:r>
    </w:p>
    <w:p>
      <w:pPr>
        <w:pStyle w:val="ListBullet"/>
      </w:pPr>
      <w:r>
        <w:t>Durée : Au long cours, minimum 4 mois pour évaluer l'efficacité, généralement 12 mois pour le résultat optimal. Arrêt = rechute en 3–4 mois (perte des cheveux acquis sous traitement).</w:t>
      </w:r>
    </w:p>
    <w:p>
      <w:pPr>
        <w:pStyle w:val="ListBullet"/>
      </w:pPr>
      <w:r>
        <w:t>Moment de prise : Matin idéalement après la toilette, cheveux secs. Application vespérale possible si tolérance, mais avec attention au transfert sur l'oreiller.</w:t>
      </w:r>
    </w:p>
    <w:p>
      <w:r/>
      <w:r>
        <w:rPr>
          <w:b/>
        </w:rPr>
        <w:t>Arbitrage et Bénéfices des Formes Galéniques :</w:t>
      </w:r>
      <w:r/>
    </w:p>
    <w:p>
      <w:r>
        <w:t>La solution à 5 % est réservée à l'homme (efficacité supérieure, mais risque d'hypertrichose faciale plus marqué chez la femme). La solution à 2 % est privilégiée chez la femme (meilleure tolérance locale, moindre risque systémique). Le format flacon pulvérisateur est pratique pour les grandes zones ; le format pipette permet une application ciblée (golfes temporaux). La mousse (foam, non disponible en Algérie) est une alternative utile en cas d'intolérance au propylène glycol.</w:t>
      </w:r>
    </w:p>
    <w:p>
      <w:r/>
      <w:r>
        <w:rPr>
          <w:b/>
        </w:rPr>
        <w:t>Instructions et Conseils au Patient :</w:t>
      </w:r>
      <w:r/>
    </w:p>
    <w:p>
      <w:pPr>
        <w:pStyle w:val="ListBullet"/>
      </w:pPr>
      <w:r>
        <w:t>Communication au comptoir : "Ce traitement stimule la pousse des cheveux mais ne guérit pas l'alopécie : il faut l'utiliser en continu. Les premiers résultats apparaissent après 3–4 mois. Au début, une chute temporaire est possible (vers le 2ᵉ mois) : c'est normal, cela précède la repousse. Lavez-vous les mains après application. Ne pas appliquer le soir avant le coucher (transfert sur l'oreiller)."</w:t>
      </w:r>
    </w:p>
    <w:p>
      <w:pPr>
        <w:pStyle w:val="ListBullet"/>
      </w:pPr>
      <w:r>
        <w:t>Mode d'utilisation pratique : Cheveux et cuir chevelu parfaitement secs avant application. Répartir la dose (1 mL) sur la zone concernée. Masser délicatement avec les doigts. Ne pas rincer. Ne pas utiliser un sèche-cheveux chaud immédiatement (évaporation accélérée, baisse d'efficacité). Éviter shampoing dans les 4 h suivant l'application.</w:t>
      </w:r>
    </w:p>
    <w:p>
      <w:r/>
      <w:r>
        <w:rPr>
          <w:b/>
        </w:rPr>
        <w:t>Notes, Règles d'Or &amp; Pièges au Comptoir :</w:t>
      </w:r>
      <w:r/>
    </w:p>
    <w:p>
      <w:pPr>
        <w:pStyle w:val="ListBullet"/>
      </w:pPr>
      <w:r>
        <w:t>Piège classique : Femme enceinte ou allaitante venant acheter du minoxidil 5 % — CI absolue, refuser la délivrance et orienter vers le médecin. Patiente sous contraception efficace : demander confirmation écrite ou verbale du médecin. Ne pas délivrer du 5 % à une femme en âge de procréer sans contraception.</w:t>
      </w:r>
    </w:p>
    <w:p>
      <w:pPr>
        <w:pStyle w:val="ListBullet"/>
      </w:pPr>
      <w:r>
        <w:t>Règle de prise : Ne jamais dépasser la dose recommandée (1 mL x 2/jour). Ne pas appliquer sur d'autres parties du corps.</w:t>
      </w:r>
    </w:p>
    <w:p>
      <w:pPr>
        <w:pStyle w:val="ListBullet"/>
      </w:pPr>
      <w:r>
        <w:t>Préparation et Conservation : Solution à conserver à température ambiante (15–25 °C), à l'abri de la lumière et de la chaleur (pas d'usage inflammable proche d'une flamme en raison de l'éthanol). Tenir hors de portée des enfants (toxicité systémique en cas d'ingestion).</w:t>
      </w:r>
    </w:p>
    <w:p>
      <w:pPr>
        <w:pStyle w:val="ListBullet"/>
      </w:pPr>
      <w:r>
        <w:t>Piège du surdosage / Substitution : En cas d'ingestion accidentelle (enfant), urgence médicale — risque d'hypotension sévère, tachycardie, rétention hydrosodée. Traitement symptomatique : remplissage, vasopresseurs, diurétiques de l'anse. Ne pas substituer la solution 5 % par la solution 2 % sans avis médical (différence d'efficacité notable chez l'homme).</w:t>
      </w:r>
    </w:p>
    <w:p>
      <w:pPr>
        <w:pStyle w:val="Heading3"/>
      </w:pPr>
      <w:r>
        <w:t>5. DCI : Furosémide (Seule)</w:t>
      </w:r>
    </w:p>
    <w:p>
      <w:r>
        <w:t>Le furosémide est le chef de file des diurétiques de l'anse, découvert en 1964 et toujours considéré comme le diurétique de référence dans l'urgence cardiologique, néphrologique et hépatique. Sa puissance natriurétique (jusqu'à 20–25 % de la charge filtrée) en fait l'outil thérapeutique incontournable de l'œdème aigu du poumon, des surcharges hydrosodées massives de l'insuffisance cardiaque décompensée, de l'insuffisance rénale aiguë oligurique et des hypercalcémies symptomatiques. Sa courte durée d'action (6 h per os, 2–3 h IV) impose des prises fractionnées et expose à une volémie fluctuante. Son usage prolongé majore le risque de déplétion potassique, magnésiée et de l'alcalose métabolique.</w:t>
      </w:r>
    </w:p>
    <w:p>
      <w:r/>
      <w:r>
        <w:rPr>
          <w:b/>
        </w:rPr>
        <w:t>Médicaments disponibles en Algérie (Marques, Laboratoires, Formes et Dosages) :</w:t>
      </w:r>
      <w:r/>
    </w:p>
    <w:p>
      <w:pPr>
        <w:pStyle w:val="ListBullet"/>
      </w:pPr>
      <w:r/>
      <w:r>
        <w:rPr>
          <w:b/>
        </w:rPr>
        <w:t>FUROLIX</w:t>
      </w:r>
      <w:r>
        <w:t xml:space="preserve"> (INPHA-MEDIS)</w:t>
      </w:r>
    </w:p>
    <w:p>
      <w:pPr>
        <w:pStyle w:val="ListBullet"/>
      </w:pPr>
      <w:r>
        <w:t>Formes et Dosages : Solution injectable IM/IV 20 mg/2 mL — boîtes de 5 ampoules et de 50 ampoules de 2 mL</w:t>
      </w:r>
    </w:p>
    <w:p>
      <w:pPr>
        <w:pStyle w:val="ListBullet"/>
      </w:pPr>
      <w:r>
        <w:t>Statut : Actif (Liste II)</w:t>
      </w:r>
    </w:p>
    <w:p>
      <w:pPr>
        <w:pStyle w:val="ListBullet"/>
      </w:pPr>
      <w:r/>
      <w:r>
        <w:rPr>
          <w:b/>
        </w:rPr>
        <w:t>FUROSEMIDE GEO</w:t>
      </w:r>
      <w:r>
        <w:t xml:space="preserve"> (GEOPHARM)</w:t>
      </w:r>
    </w:p>
    <w:p>
      <w:pPr>
        <w:pStyle w:val="ListBullet"/>
      </w:pPr>
      <w:r>
        <w:t>Formes et Dosages : Solution injectable 20 mg/2 mL — boîtes de 5 ampoules et de 50 ampoules de 2 mL</w:t>
      </w:r>
    </w:p>
    <w:p>
      <w:pPr>
        <w:pStyle w:val="ListBullet"/>
      </w:pPr>
      <w:r>
        <w:t>Statut : Actif (Liste I)</w:t>
      </w:r>
    </w:p>
    <w:p>
      <w:pPr>
        <w:pStyle w:val="ListBullet"/>
      </w:pPr>
      <w:r/>
      <w:r>
        <w:rPr>
          <w:b/>
        </w:rPr>
        <w:t>FUROSILIX</w:t>
      </w:r>
      <w:r>
        <w:t xml:space="preserve"> (HUPP PHARMA)</w:t>
      </w:r>
    </w:p>
    <w:p>
      <w:pPr>
        <w:pStyle w:val="ListBullet"/>
      </w:pPr>
      <w:r>
        <w:t>Formes et Dosages : Solution injectable IV lente ou IM 20 mg/2 mL — boîtes de 5 ampoules et de 50 ampoules de 2 mL</w:t>
      </w:r>
    </w:p>
    <w:p>
      <w:pPr>
        <w:pStyle w:val="ListBullet"/>
      </w:pPr>
      <w:r>
        <w:t>Statut : Actif (Liste I)</w:t>
      </w:r>
    </w:p>
    <w:p>
      <w:pPr>
        <w:pStyle w:val="ListBullet"/>
      </w:pPr>
      <w:r/>
      <w:r>
        <w:rPr>
          <w:b/>
        </w:rPr>
        <w:t>FUROZAL</w:t>
      </w:r>
      <w:r>
        <w:t xml:space="preserve"> (GROUPE SAIDAL)</w:t>
      </w:r>
    </w:p>
    <w:p>
      <w:pPr>
        <w:pStyle w:val="ListBullet"/>
      </w:pPr>
      <w:r>
        <w:t>Formes et Dosages : Solution injectable IM/IV 20 mg/2 mL (B/50) ; Comprimé sécable 40 mg (B/20)</w:t>
      </w:r>
    </w:p>
    <w:p>
      <w:pPr>
        <w:pStyle w:val="ListBullet"/>
      </w:pPr>
      <w:r>
        <w:t>Statut : Actif (Liste II)</w:t>
      </w:r>
    </w:p>
    <w:p>
      <w:pPr>
        <w:pStyle w:val="ListBullet"/>
      </w:pPr>
      <w:r/>
      <w:r>
        <w:rPr>
          <w:b/>
        </w:rPr>
        <w:t>RAZOLIX</w:t>
      </w:r>
      <w:r>
        <w:t xml:space="preserve"> (LES LABORATOIRES FRATER RAZES)</w:t>
      </w:r>
    </w:p>
    <w:p>
      <w:pPr>
        <w:pStyle w:val="ListBullet"/>
      </w:pPr>
      <w:r>
        <w:t>Formes et Dosages : Solution injectable IV lente ou IM 20 mg/2 mL — boîtes de 5 ampoules et de 50 ampoules de 2 mL</w:t>
      </w:r>
    </w:p>
    <w:p>
      <w:pPr>
        <w:pStyle w:val="ListBullet"/>
      </w:pPr>
      <w:r>
        <w:t>Statut : Actif (Liste II)</w:t>
      </w:r>
    </w:p>
    <w:p>
      <w:pPr>
        <w:pStyle w:val="ListBullet"/>
      </w:pPr>
      <w:r/>
      <w:r>
        <w:rPr>
          <w:b/>
        </w:rPr>
        <w:t>FUROSEMIDE HUP</w:t>
      </w:r>
      <w:r>
        <w:t xml:space="preserve"> (HUPP PHARMA)</w:t>
      </w:r>
    </w:p>
    <w:p>
      <w:pPr>
        <w:pStyle w:val="ListBullet"/>
      </w:pPr>
      <w:r>
        <w:t>Formes et Dosages : Comprimé sécable 40 mg (B/20)</w:t>
      </w:r>
    </w:p>
    <w:p>
      <w:pPr>
        <w:pStyle w:val="ListBullet"/>
      </w:pPr>
      <w:r>
        <w:t>Statut : Actif (Liste II)</w:t>
      </w:r>
    </w:p>
    <w:p>
      <w:pPr>
        <w:pStyle w:val="ListBullet"/>
      </w:pPr>
      <w:r/>
      <w:r>
        <w:rPr>
          <w:b/>
        </w:rPr>
        <w:t>MEFDOL GS</w:t>
      </w:r>
      <w:r>
        <w:t xml:space="preserve"> (SARL GROUPE SANTE)</w:t>
      </w:r>
    </w:p>
    <w:p>
      <w:pPr>
        <w:pStyle w:val="ListBullet"/>
      </w:pPr>
      <w:r>
        <w:t>Formes et Dosages : Comprimé sécable 40 mg (B/20)</w:t>
      </w:r>
    </w:p>
    <w:p>
      <w:pPr>
        <w:pStyle w:val="ListBullet"/>
      </w:pPr>
      <w:r>
        <w:t>Statut : Actif (Liste II)</w:t>
      </w:r>
    </w:p>
    <w:p>
      <w:pPr>
        <w:pStyle w:val="ListBullet"/>
      </w:pPr>
      <w:r/>
      <w:r>
        <w:rPr>
          <w:b/>
        </w:rPr>
        <w:t>FUROSAN</w:t>
      </w:r>
      <w:r>
        <w:t xml:space="preserve"> (FARMACEUTICI CROVIS PHILCOM)</w:t>
      </w:r>
    </w:p>
    <w:p>
      <w:pPr>
        <w:pStyle w:val="ListBullet"/>
      </w:pPr>
      <w:r>
        <w:t>Formes et Dosages : Comprimé sécable 500 mg (B/20) — forme réservée à l'insuffisance rénale chronique sévère</w:t>
      </w:r>
    </w:p>
    <w:p>
      <w:pPr>
        <w:pStyle w:val="ListBullet"/>
      </w:pPr>
      <w:r>
        <w:t>Statut : Actif (Liste II)</w:t>
      </w:r>
    </w:p>
    <w:p>
      <w:pPr>
        <w:pStyle w:val="ListBullet"/>
      </w:pPr>
      <w:r/>
      <w:r>
        <w:rPr>
          <w:b/>
        </w:rPr>
        <w:t>LASILIX</w:t>
      </w:r>
      <w:r>
        <w:t xml:space="preserve"> (ARROW GENERIQUES / AVENTIS / ROUSSEL) — Historique</w:t>
      </w:r>
    </w:p>
    <w:p>
      <w:pPr>
        <w:pStyle w:val="ListBullet"/>
      </w:pPr>
      <w:r>
        <w:t>Formes et Dosages : Comprimé sécable 20 mg (B/30) ; Comprimé 20 mg (B/30) ; Comprimé 40 mg (B/20)</w:t>
      </w:r>
    </w:p>
    <w:p>
      <w:pPr>
        <w:pStyle w:val="ListBullet"/>
      </w:pPr>
      <w:r>
        <w:t>Statut : Non Renouvelable / Retiré (R)</w:t>
      </w:r>
    </w:p>
    <w:p>
      <w:pPr>
        <w:pStyle w:val="ListBullet"/>
      </w:pPr>
      <w:r/>
      <w:r>
        <w:rPr>
          <w:b/>
        </w:rPr>
        <w:t>FUROZAL FAIBLE</w:t>
      </w:r>
      <w:r>
        <w:t xml:space="preserve"> (GROUPE SAIDAL) — Historique</w:t>
      </w:r>
    </w:p>
    <w:p>
      <w:pPr>
        <w:pStyle w:val="ListBullet"/>
      </w:pPr>
      <w:r>
        <w:t>Formes et Dosages : Comprimé 20 mg (B/20)</w:t>
      </w:r>
    </w:p>
    <w:p>
      <w:pPr>
        <w:pStyle w:val="ListBullet"/>
      </w:pPr>
      <w:r>
        <w:t>Statut : Non Renouvelable</w:t>
      </w:r>
    </w:p>
    <w:p>
      <w:pPr>
        <w:pStyle w:val="ListBullet"/>
      </w:pPr>
      <w:r/>
      <w:r>
        <w:rPr>
          <w:b/>
        </w:rPr>
        <w:t>FUROSEMIDE IVAL</w:t>
      </w:r>
      <w:r>
        <w:t xml:space="preserve"> (PHARMA IVAL) — Historique</w:t>
      </w:r>
    </w:p>
    <w:p>
      <w:pPr>
        <w:pStyle w:val="ListBullet"/>
      </w:pPr>
      <w:r>
        <w:t>Formes et Dosages : Comprimé sécable 40 mg (B/20)</w:t>
      </w:r>
    </w:p>
    <w:p>
      <w:pPr>
        <w:pStyle w:val="ListBullet"/>
      </w:pPr>
      <w:r>
        <w:t>Statut : Non Renouvelable</w:t>
      </w:r>
    </w:p>
    <w:p>
      <w:pPr>
        <w:pStyle w:val="ListBullet"/>
      </w:pPr>
      <w:r/>
      <w:r>
        <w:rPr>
          <w:b/>
        </w:rPr>
        <w:t>DIUSEMIDE</w:t>
      </w:r>
      <w:r>
        <w:t xml:space="preserve"> (ARAB PHARMACEUTICAL MANUFACTURING) — Historique</w:t>
      </w:r>
    </w:p>
    <w:p>
      <w:pPr>
        <w:pStyle w:val="ListBullet"/>
      </w:pPr>
      <w:r>
        <w:t>Formes et Dosages : Solution injectable 20 mg/2 mL (B/5) ; Comprimé 40 mg (B/30)</w:t>
      </w:r>
    </w:p>
    <w:p>
      <w:pPr>
        <w:pStyle w:val="ListBullet"/>
      </w:pPr>
      <w:r>
        <w:t>Statut : Non Renouvelable / Retiré (R)</w:t>
      </w:r>
    </w:p>
    <w:p>
      <w:pPr>
        <w:pStyle w:val="ListBullet"/>
      </w:pPr>
      <w:r/>
      <w:r>
        <w:rPr>
          <w:b/>
        </w:rPr>
        <w:t>FUROSEMIDE RENAUDIN</w:t>
      </w:r>
      <w:r>
        <w:t xml:space="preserve"> — Historique</w:t>
      </w:r>
    </w:p>
    <w:p>
      <w:pPr>
        <w:pStyle w:val="ListBullet"/>
      </w:pPr>
      <w:r>
        <w:t>Formes et Dosages : Solution injectable 20 mg (B/5)</w:t>
      </w:r>
    </w:p>
    <w:p>
      <w:pPr>
        <w:pStyle w:val="ListBullet"/>
      </w:pPr>
      <w:r>
        <w:t>Statut : Non Renouvelable</w:t>
      </w:r>
    </w:p>
    <w:p>
      <w:pPr>
        <w:pStyle w:val="ListBullet"/>
      </w:pPr>
      <w:r/>
      <w:r>
        <w:rPr>
          <w:b/>
        </w:rPr>
        <w:t>FUROSEMIX</w:t>
      </w:r>
      <w:r>
        <w:t xml:space="preserve"> (BIOGALENIQUE) — Historique</w:t>
      </w:r>
    </w:p>
    <w:p>
      <w:pPr>
        <w:pStyle w:val="ListBullet"/>
      </w:pPr>
      <w:r>
        <w:t>Formes et Dosages : Comprimé 20 mg (B/30) ; Comprimé 40 mg (B/20 et B/30)</w:t>
      </w:r>
    </w:p>
    <w:p>
      <w:pPr>
        <w:pStyle w:val="ListBullet"/>
      </w:pPr>
      <w:r>
        <w:t>Statut : Retiré (R)</w:t>
      </w:r>
    </w:p>
    <w:p>
      <w:pPr>
        <w:pStyle w:val="ListBullet"/>
      </w:pPr>
      <w:r/>
      <w:r>
        <w:rPr>
          <w:b/>
        </w:rPr>
        <w:t>FUROSEMIDE BIOGARAN</w:t>
      </w:r>
      <w:r>
        <w:t xml:space="preserve"> (BIOGARAN) — Historique</w:t>
      </w:r>
    </w:p>
    <w:p>
      <w:pPr>
        <w:pStyle w:val="ListBullet"/>
      </w:pPr>
      <w:r>
        <w:t>Formes et Dosages : Comprimé sécable 20 mg (B/30) ; Comprimé sécable 40 mg (B/20)</w:t>
      </w:r>
    </w:p>
    <w:p>
      <w:pPr>
        <w:pStyle w:val="ListBullet"/>
      </w:pPr>
      <w:r>
        <w:t>Statut : Retiré (R)</w:t>
      </w:r>
    </w:p>
    <w:p>
      <w:pPr>
        <w:pStyle w:val="ListBullet"/>
      </w:pPr>
      <w:r/>
      <w:r>
        <w:rPr>
          <w:b/>
        </w:rPr>
        <w:t>FUROSEMIDUM</w:t>
      </w:r>
      <w:r>
        <w:t xml:space="preserve"> (POLFARMEX) — Historique</w:t>
      </w:r>
    </w:p>
    <w:p>
      <w:pPr>
        <w:pStyle w:val="ListBullet"/>
      </w:pPr>
      <w:r>
        <w:t>Formes et Dosages : Comprimé 40 mg (B/30)</w:t>
      </w:r>
    </w:p>
    <w:p>
      <w:pPr>
        <w:pStyle w:val="ListBullet"/>
      </w:pPr>
      <w:r>
        <w:t>Statut : Retiré (R)</w:t>
      </w:r>
    </w:p>
    <w:p>
      <w:pPr>
        <w:pStyle w:val="ListBullet"/>
      </w:pPr>
      <w:r/>
      <w:r>
        <w:rPr>
          <w:b/>
        </w:rPr>
        <w:t>EDEMID</w:t>
      </w:r>
      <w:r>
        <w:t xml:space="preserve"> (LEK) — Historique</w:t>
      </w:r>
    </w:p>
    <w:p>
      <w:pPr>
        <w:pStyle w:val="ListBullet"/>
      </w:pPr>
      <w:r>
        <w:t>Formes et Dosages : Solution injectable 20 mg/2 mL (B/5) ; Comprimé 40 mg (B/15)</w:t>
      </w:r>
    </w:p>
    <w:p>
      <w:pPr>
        <w:pStyle w:val="ListBullet"/>
      </w:pPr>
      <w:r>
        <w:t>Statut : Retiré (R)</w:t>
      </w:r>
    </w:p>
    <w:p>
      <w:pPr>
        <w:pStyle w:val="ListBullet"/>
      </w:pPr>
      <w:r/>
      <w:r>
        <w:rPr>
          <w:b/>
        </w:rPr>
        <w:t>FUROSIX</w:t>
      </w:r>
      <w:r>
        <w:t xml:space="preserve"> (MEDICUBA) — Historique</w:t>
      </w:r>
    </w:p>
    <w:p>
      <w:pPr>
        <w:pStyle w:val="ListBullet"/>
      </w:pPr>
      <w:r>
        <w:t>Formes et Dosages : Comprimé 40 mg (B/20)</w:t>
      </w:r>
    </w:p>
    <w:p>
      <w:pPr>
        <w:pStyle w:val="ListBullet"/>
      </w:pPr>
      <w:r>
        <w:t>Statut : Retiré (R)</w:t>
      </w:r>
    </w:p>
    <w:p>
      <w:pPr>
        <w:pStyle w:val="ListBullet"/>
      </w:pPr>
      <w:r/>
      <w:r>
        <w:rPr>
          <w:b/>
        </w:rPr>
        <w:t>DQA-FUROSEMIDE</w:t>
      </w:r>
      <w:r>
        <w:t xml:space="preserve"> (DUTCH QUALITY ASSURANCE PHARMA) — Historique</w:t>
      </w:r>
    </w:p>
    <w:p>
      <w:pPr>
        <w:pStyle w:val="ListBullet"/>
      </w:pPr>
      <w:r>
        <w:t>Formes et Dosages : Comprimé 40 mg (B/30)</w:t>
      </w:r>
    </w:p>
    <w:p>
      <w:pPr>
        <w:pStyle w:val="ListBullet"/>
      </w:pPr>
      <w:r>
        <w:t>Statut : Retiré (R)</w:t>
      </w:r>
    </w:p>
    <w:p>
      <w:pPr>
        <w:pStyle w:val="ListBullet"/>
      </w:pPr>
      <w:r/>
      <w:r>
        <w:rPr>
          <w:b/>
        </w:rPr>
        <w:t>FUROSEMIDE-RATIOPHARM</w:t>
      </w:r>
      <w:r>
        <w:t xml:space="preserve"> (LAFON RATIOPHARM) — Historique</w:t>
      </w:r>
    </w:p>
    <w:p>
      <w:pPr>
        <w:pStyle w:val="ListBullet"/>
      </w:pPr>
      <w:r>
        <w:t>Formes et Dosages : Comprimé 40 mg (B/20)</w:t>
      </w:r>
    </w:p>
    <w:p>
      <w:pPr>
        <w:pStyle w:val="ListBullet"/>
      </w:pPr>
      <w:r>
        <w:t>Statut : Retiré (R)</w:t>
      </w:r>
    </w:p>
    <w:p>
      <w:r/>
      <w:r>
        <w:rPr>
          <w:b/>
        </w:rPr>
        <w:t>Sous-classe et Mécanisme d'action :</w:t>
      </w:r>
      <w:r/>
    </w:p>
    <w:p>
      <w:pPr>
        <w:pStyle w:val="ListBullet"/>
      </w:pPr>
      <w:r>
        <w:t>Sous-classe : Diurétiques de l'anse — Inhibiteurs du co-transporteur Na⁺-K⁺-2Cl⁻ (NKCC2).</w:t>
      </w:r>
    </w:p>
    <w:p>
      <w:pPr>
        <w:pStyle w:val="ListBullet"/>
      </w:pPr>
      <w:r>
        <w:t xml:space="preserve">Mécanisme d'action : Le furosémide inhibe de manière competitive le co-transporteur apical </w:t>
      </w:r>
      <w:r>
        <w:rPr>
          <w:b/>
        </w:rPr>
        <w:t>NKCC2</w:t>
      </w:r>
      <w:r>
        <w:t xml:space="preserve"> (Slc12a1) de la branche ascendante large de l'anse de Henle, abolissant la réabsorption de Na⁺, K⁺ et Cl⁻ (et indirectement de Mg²⁺ et Ca²⁺ par suppression du potentiel transépithélial positif qui favorise leur réabsorption paracellulaire). Le gradient médullaire est aboli, supprimant la capacité de concentration des urines (diurèse aqueuse). Le furosémide augmente également la production intrarénale de prostaglandines (PGE2, PGI2) qui préviennent la vasoconstriction de l'artériole afférente et potentialisent l'effet natriurétique. Effet vasodilatateur veineux direct (par inhibition de la Na-K-ATPase endothéliale), utile dans l'œdème pulmonaire avant même la phase d'élimination urinaire.</w:t>
      </w:r>
    </w:p>
    <w:p>
      <w:r/>
      <w:r>
        <w:rPr>
          <w:b/>
        </w:rPr>
        <w:t>Profil Pharmacologique :</w:t>
      </w:r>
      <w:r/>
    </w:p>
    <w:p>
      <w:pPr>
        <w:pStyle w:val="ListBullet"/>
      </w:pPr>
      <w:r>
        <w:t>Indications : Œdème aigu du poumon cardiogénique (IV d'urgence), insuffisance cardiaque chronique décompensée, œdèmes des nephropathies (syndrome néphrotique, insuffisance rénale chronique), ascite cirrhotique (en association à la spironolactone), HTA réfractaire ou maligne (court terme), hypercalcémie symptomatique (en association à la perfusion de sérum salé), crise hypertensive avec surcharge, syndrome de détresse respiratoire aiguë, prévention de l'insuffisance rénale aiguë post-rhabdomyolyse (alcalinisation des urines).</w:t>
      </w:r>
    </w:p>
    <w:p>
      <w:pPr>
        <w:pStyle w:val="ListBullet"/>
      </w:pPr>
      <w:r>
        <w:t>Contre-indications : Hypovolémie non corrigée, déshydratation sévère, hypokaliémie sévère non corrigée, hyponatrémie &lt; 125 mmol/L, encephalopathie hépatique (risque d'aggravation), obstruction des voies urinaires bilatérale ou vésicale, hypersensibilité aux sulfamides (rare, mais prudence), intoxication digitalique non corrigée (hypokaliémie potentialise la toxicité), anurie.</w:t>
      </w:r>
    </w:p>
    <w:p>
      <w:pPr>
        <w:pStyle w:val="ListBullet"/>
      </w:pPr>
      <w:r>
        <w:t>Effets Indésirables : Hypokaliémie (fréquent, dose-dépendant), hyponatrémie, hypomagnésémie, hypocalcémie, alcalose métabolique hypochlorémique, hyperuricémie (rare goutte), hyperglycémie (modulation de la sécrétion d'insuline), hypertriglycéridémie, ototoxicité (acouphènes, surdité — surtout en IV rapide ou insuffisance rénale), hypotension, déshydratation, thrombopénie, leucopénie, rash, photosensibilité, exceptionnels syndrome de Lyell, syndrome de Stevens-Johnson, pancréatite aiguë.</w:t>
      </w:r>
    </w:p>
    <w:p>
      <w:r/>
      <w:r>
        <w:rPr>
          <w:b/>
        </w:rPr>
        <w:t>Prévention et Gestion des Effets Indésirables :</w:t>
      </w:r>
      <w:r/>
    </w:p>
    <w:p>
      <w:pPr>
        <w:pStyle w:val="ListBullet"/>
      </w:pPr>
      <w:r>
        <w:t>Mesures Préventives : Surveillance de l'ionogramme (Na, K, Mg, Ca, urée, créatinine) avant et pendant le traitement, en particulier en IV. Supplémentation potassique systématique si dose &gt; 40 mg/jour ou traitement &gt; 7 jours. Association à un épargneur de potassium (amiloride, spironolactone) en cas d'hypokaliémie récurrente. Administration IV lente (≤ 4 mg/min) pour prévenir l'ototoxicité. Surveillance de la PA et de la diurèse. Adaptation de la dose en cas d'insuffisance rénale (augmentation nécessaire car sécrétion tubulaire réduite).</w:t>
      </w:r>
    </w:p>
    <w:p>
      <w:pPr>
        <w:pStyle w:val="ListBullet"/>
      </w:pPr>
      <w:r>
        <w:t>Conduite à Tenir : En cas d'hypokaliémie symptomatique (&lt; 3 mmol/L ou troubles ECG), arrêt transitoire et supplémentation IV potassique. En cas d'ototoxicité (acouphènes), arrêt immédiat et exploration auditive. En cas d'hypotension, arrêt, remplissage prudent.</w:t>
      </w:r>
    </w:p>
    <w:p>
      <w:r/>
      <w:r>
        <w:rPr>
          <w:b/>
        </w:rPr>
        <w:t>Interactions Importantes :</w:t>
      </w:r>
      <w:r/>
    </w:p>
    <w:p>
      <w:pPr>
        <w:pStyle w:val="ListBullet"/>
      </w:pPr>
      <w:r>
        <w:t>Furosémide + Digitaliques (digoxine) : Hypokaliémie majeure → augmentation du risque d'arythmies digitaliques. Surveillance stricte de la kaliémie.</w:t>
      </w:r>
    </w:p>
    <w:p>
      <w:pPr>
        <w:pStyle w:val="ListBullet"/>
      </w:pPr>
      <w:r>
        <w:t>Furosémide + Aminosides (gentamicine, amikacine) : Majoration de l'ototoxicité et de la néphrotoxicité.</w:t>
      </w:r>
    </w:p>
    <w:p>
      <w:pPr>
        <w:pStyle w:val="ListBullet"/>
      </w:pPr>
      <w:r>
        <w:t>Furosémide + Lithium : Diminution de l'excrétion du lithium → risque d'intoxication (lithémie à surveiller).</w:t>
      </w:r>
    </w:p>
    <w:p>
      <w:pPr>
        <w:pStyle w:val="ListBullet"/>
      </w:pPr>
      <w:r>
        <w:t>Furosémide + AINS (ibuprofène, ketoprofène, indométacine) : Diminution de l'effet natriurétique du furosémide par inhibition des prostaglandines rénales ; risque d'insuffisance rénale aiguë.</w:t>
      </w:r>
    </w:p>
    <w:p>
      <w:pPr>
        <w:pStyle w:val="ListBullet"/>
      </w:pPr>
      <w:r>
        <w:t>Furosémide + IEC/ARA2 : Risque d'hypotension de première dose et d'insuffisance rénale aiguë (si déplétion volémique préalable).</w:t>
      </w:r>
    </w:p>
    <w:p>
      <w:pPr>
        <w:pStyle w:val="ListBullet"/>
      </w:pPr>
      <w:r>
        <w:t>Furosémide + Corticoïdes : Majoration de l'hypokaliémie.</w:t>
      </w:r>
    </w:p>
    <w:p>
      <w:pPr>
        <w:pStyle w:val="ListBullet"/>
      </w:pPr>
      <w:r>
        <w:t>Furosémide + Phénytoïne : Diminution de l'absorption intestinale du furosémide (–50 %).</w:t>
      </w:r>
    </w:p>
    <w:p>
      <w:pPr>
        <w:pStyle w:val="ListBullet"/>
      </w:pPr>
      <w:r>
        <w:t>Furosémide + Sucralfate : Diminution de l'absorption du furosémide.</w:t>
      </w:r>
    </w:p>
    <w:p>
      <w:r/>
      <w:r>
        <w:rPr>
          <w:b/>
        </w:rPr>
        <w:t>Grossesse et Allaitement :</w:t>
      </w:r>
      <w:r/>
    </w:p>
    <w:p>
      <w:pPr>
        <w:pStyle w:val="ListBullet"/>
      </w:pPr>
      <w:r>
        <w:t>Grossesse : Compatible selon le CRAT. Le furosémide traverse le placenta. Risque théorique d'hypovolémie maternelle et d'hypotension fœtale, et d'oligoamnios en cas d'utilisation prolongée. À réserver aux œdèmes pathologiques (insuffisance cardiaque, rénale, syndrome néphrotique) — ne pas traiter les œdèmes physiologiques de la grossesse. À utiliser en cure courte à la dose minimale efficace.</w:t>
      </w:r>
    </w:p>
    <w:p>
      <w:pPr>
        <w:pStyle w:val="ListBullet"/>
      </w:pPr>
      <w:r>
        <w:t>Allaitement : Compatible ; passage faible dans le lait. Le furosémide peut supprimer la lactation (effet antilactogène) à fortes doses.</w:t>
      </w:r>
    </w:p>
    <w:p>
      <w:pPr>
        <w:pStyle w:val="ListBullet"/>
      </w:pPr>
      <w:r>
        <w:t>Précisions : Préférer la forme orale à la forme IV chez la femme enceinte stable ; surveiller la croissance fœtale.</w:t>
      </w:r>
    </w:p>
    <w:p>
      <w:r/>
      <w:r>
        <w:rPr>
          <w:b/>
        </w:rPr>
        <w:t>Posologie et Mode d'administration (Standard) :</w:t>
      </w:r>
      <w:r/>
    </w:p>
    <w:p>
      <w:pPr>
        <w:pStyle w:val="ListBullet"/>
      </w:pPr>
      <w:r>
        <w:t>Adulte : Œdèmes — comprimé 20 à 80 mg/jour en 1 ou 2 prises (matin et midi), pouvant être augmenté jusqu'à 250–500 mg/jour en cas d'insuffisance rénale. Insuffisance cardiaque aiguë — 20–40 mg IV lente, à répéter selon réponse (jusqu'à 80–120 mg IV). Forme 500 mg : 1 comprimé/jour en insuffisance rénale sévère (DFG &lt; 30 mL/min).</w:t>
      </w:r>
    </w:p>
    <w:p>
      <w:pPr>
        <w:pStyle w:val="ListBullet"/>
      </w:pPr>
      <w:r>
        <w:t>Sujet âgé : Posologie initiale réduite (20 mg/jour), surveillance rapprochée (hypotension, hyponatrémie, insuffisance rénale), augmentation progressive.</w:t>
      </w:r>
    </w:p>
    <w:p>
      <w:pPr>
        <w:pStyle w:val="ListBullet"/>
      </w:pPr>
      <w:r>
        <w:t>Durée : Selon indication — cure courte dans l'urgence, au long cours dans l'insuffisance cardiaque chronique, l'insuffisance rénale chronique, le syndrome néphrotique.</w:t>
      </w:r>
    </w:p>
    <w:p>
      <w:pPr>
        <w:pStyle w:val="ListBullet"/>
      </w:pPr>
      <w:r>
        <w:t>Moment de prise : Matin préférentiellement (pour éviter la nycturie) ; seconde prise à midi si nécessaire ; éviter la prise du soir (sauf indication spécifique).</w:t>
      </w:r>
    </w:p>
    <w:p>
      <w:r/>
      <w:r>
        <w:rPr>
          <w:b/>
        </w:rPr>
        <w:t>Arbitrage et Bénéfices des Formes Galéniques :</w:t>
      </w:r>
      <w:r/>
    </w:p>
    <w:p>
      <w:r>
        <w:t>La voie orale (comprimé 40 mg, parfois 20 mg) est privilégiée pour le traitement ambulatoire et l'entretien chronique. La voie injectable IV (ampoules 20 mg/2 mL) est réservée à l'urgence (œdème pulmonaire, crise hypertensive, hypercalcémie), à l'insuffisance rénale sévère (où l'absorption est altérée), à l'hospitalisation. La forme 500 mg (FUROSAN) est utile dans l'insuffisance rénale chronique où les besoins peuvent être considérables. La biodisponibilité per os est variable (40–70 %), avec un début d'action en 30–60 min (per os) et 5 min (IV).</w:t>
      </w:r>
    </w:p>
    <w:p>
      <w:r/>
      <w:r>
        <w:rPr>
          <w:b/>
        </w:rPr>
        <w:t>Instructions et Conseils au Patient :</w:t>
      </w:r>
      <w:r/>
    </w:p>
    <w:p>
      <w:pPr>
        <w:pStyle w:val="ListBullet"/>
      </w:pPr>
      <w:r>
        <w:t>Communication au comptoir : "Ce médicament augmente l'élimination urinaire d'eau et de sel. Vous allez uriner davantage dans les 30 minutes à 1 heure après la prise. Prenez-le le matin (et éventuellement midi), pas le soir pour éviter de vous lever la nuit. Évitez les régimes sans sel stricts sans avis médical. Si vous prenez aussi de la digoxine, prévenez votre médecin : une surveillance de votre potassium est nécessaire."</w:t>
      </w:r>
    </w:p>
    <w:p>
      <w:pPr>
        <w:pStyle w:val="ListBullet"/>
      </w:pPr>
      <w:r>
        <w:t>Mode d'utilisation pratique : Prendre le comprimé à heure fixe, le matin de préférence, au cours d'un repas. Boire suffisamment d'eau. En cas d'oubli, ne pas doubler la dose suivante. Surveillance du poids à domicile (prise de poids rapide = surcharge, perte rapide = déshydratation).</w:t>
      </w:r>
    </w:p>
    <w:p>
      <w:r/>
      <w:r>
        <w:rPr>
          <w:b/>
        </w:rPr>
        <w:t>Notes, Règles d'Or &amp; Pièges au Comptoir :</w:t>
      </w:r>
      <w:r/>
    </w:p>
    <w:p>
      <w:pPr>
        <w:pStyle w:val="ListBullet"/>
      </w:pPr>
      <w:r>
        <w:t>Piège classique : Patient sous digoxine et furosémide sans surveillance de la kaliémie — risque majeur d'arythmies digitaliques (toujours demander la dernière kaliémie). Patient âgé présentant une asthénie ou confusion sous furosémide — penser à l'hyponatrémie.</w:t>
      </w:r>
    </w:p>
    <w:p>
      <w:pPr>
        <w:pStyle w:val="ListBullet"/>
      </w:pPr>
      <w:r>
        <w:t>Règle de prise : Ne pas prendre le soir (nycturie, chutes). Toujours prendre à heure fixe.</w:t>
      </w:r>
    </w:p>
    <w:p>
      <w:pPr>
        <w:pStyle w:val="ListBullet"/>
      </w:pPr>
      <w:r>
        <w:t>Préparation et Conservation : Comprimés à température ambiante, à l'abri de l'humidité. Ampoules à l'abri de la lumière. Ne pas congeler les solutions.</w:t>
      </w:r>
    </w:p>
    <w:p>
      <w:pPr>
        <w:pStyle w:val="ListBullet"/>
      </w:pPr>
      <w:r>
        <w:t>Piège du surdosage / Substitution : En cas de surdosage (hypovolémie sévère, hypokaliémie, hyponatrémie), arrêt immédiat, remplissage prudent, correction ionique. Ne pas substituer un comprimé 40 mg par deux comprimés 20 mg si le dosage n'est pas disponible (adaptation par le médecin). Ne jamais administrer le furosémide IV en bolus rapide (risque d'ototoxicité) — administrer en IV lente (≤ 4 mg/min) ou en perfusion courte.</w:t>
      </w:r>
    </w:p>
    <w:p>
      <w:pPr>
        <w:pStyle w:val="Heading3"/>
      </w:pPr>
      <w:r>
        <w:t>6. DCI : Bumétanide (Seule)</w:t>
      </w:r>
    </w:p>
    <w:p>
      <w:r>
        <w:t>La bumétanide est un diurétique de l'anse de seconde génération, structurellement apparenté au furosémide mais plus puissant (mg pour mg). Sa biodisponibilité orale est supérieure (80–100 % vs 40–70 % pour le furosémide), son onset plus rapide et sa durée d'action plus courte (4–6 h). Son utilisation est historiquement limitée en Algérie à une seule marque (BURINEX, retirée du marché), ce qui en fait aujourd'hui un médicament virtuellement inaccessible dans la nomenclature algérienne courante.</w:t>
      </w:r>
    </w:p>
    <w:p>
      <w:r/>
      <w:r>
        <w:rPr>
          <w:b/>
        </w:rPr>
        <w:t>Médicaments disponibles en Algérie (Marques, Laboratoires, Formes et Dosages) :</w:t>
      </w:r>
      <w:r/>
    </w:p>
    <w:p>
      <w:pPr>
        <w:pStyle w:val="ListBullet"/>
      </w:pPr>
      <w:r/>
      <w:r>
        <w:rPr>
          <w:b/>
        </w:rPr>
        <w:t>BURINEX</w:t>
      </w:r>
      <w:r>
        <w:t xml:space="preserve"> (LEO PHARMACEUTICAL PRODUCTS) — Historique</w:t>
      </w:r>
    </w:p>
    <w:p>
      <w:pPr>
        <w:pStyle w:val="ListBullet"/>
      </w:pPr>
      <w:r>
        <w:t>Formes et Dosages : Comprimé 1 mg (B/30)</w:t>
      </w:r>
    </w:p>
    <w:p>
      <w:pPr>
        <w:pStyle w:val="ListBullet"/>
      </w:pPr>
      <w:r>
        <w:t>Statut : Retiré (R) (Liste II)</w:t>
      </w:r>
    </w:p>
    <w:p>
      <w:r/>
      <w:r>
        <w:rPr>
          <w:b/>
        </w:rPr>
        <w:t>Remarque sur la disponibilité algérienne :</w:t>
      </w:r>
      <w:r>
        <w:t xml:space="preserve"> À la date d'édition, la bumétanide n'est plus commercialisée en Algérie (BURINEX retirée). Son usage, lorsqu'il est justifié (allergie au furosémide, absorption intestinale altérée du furosémide, insuffisance cardiaque réfractaire), doit faire l'objet d'une importation temporaire (ATU nominative). En pratique clinique, on recourt au furosémide IV à dose adaptée.</w:t>
      </w:r>
    </w:p>
    <w:p>
      <w:r/>
      <w:r>
        <w:rPr>
          <w:b/>
        </w:rPr>
        <w:t>Sous-classe et Mécanisme d'action :</w:t>
      </w:r>
      <w:r/>
    </w:p>
    <w:p>
      <w:pPr>
        <w:pStyle w:val="ListBullet"/>
      </w:pPr>
      <w:r>
        <w:t>Sous-classe : Diurétiques de l'anse — Inhibiteurs du co-transporteur Na⁺-K⁺-2Cl⁻ (NKCC2).</w:t>
      </w:r>
    </w:p>
    <w:p>
      <w:pPr>
        <w:pStyle w:val="ListBullet"/>
      </w:pPr>
      <w:r>
        <w:t>Mécanisme d'action : La bumétanide inhibe de manière competitive le co-transporteur apical NKCC2 (Slc12a1) de la branche ascendante large de l'anse de Henle. Mécanisme identique à celui du furosémide, mais avec une affinité supérieure (potency 40 fois supérieure mg pour mg). Le gradient médullaire est aboli, le pouvoir de concentration des urines est supprimé. Effet vasodilatateur veineux direct (diminution de la pré-charge), utile dans l'œdème pulmonaire. Augmente la production de prostaglandines rénales.</w:t>
      </w:r>
    </w:p>
    <w:p>
      <w:r/>
      <w:r>
        <w:rPr>
          <w:b/>
        </w:rPr>
        <w:t>Profil Pharmacologique :</w:t>
      </w:r>
      <w:r/>
    </w:p>
    <w:p>
      <w:pPr>
        <w:pStyle w:val="ListBullet"/>
      </w:pPr>
      <w:r>
        <w:t>Indications : Œdèmes de l'insuffisance cardiaque chronique (notamment en cas de résistance ou d'allergie au furosémide), œdèmes de l'insuffisance rénale chronique, syndrome néphrotique, ascite cirrhotique. Réserve de deuxième intention en cas d'échec ou d'intolérance au furosémide.</w:t>
      </w:r>
    </w:p>
    <w:p>
      <w:pPr>
        <w:pStyle w:val="ListBullet"/>
      </w:pPr>
      <w:r>
        <w:t>Contre-indications : Hypovolémie non corrigée, déshydratation sévère, hypokaliémie non corrigée, hyponatrémie &lt; 125 mmol/L, encéphalopathie hépatique, obstruction bilatérale des voies urinaires, hypersensibilité aux sulfamides, anurie, intoxication digitalique.</w:t>
      </w:r>
    </w:p>
    <w:p>
      <w:pPr>
        <w:pStyle w:val="ListBullet"/>
      </w:pPr>
      <w:r>
        <w:t>Effets Indésirables : Hypokaliémie (fréquent), hyponatrémie, hypomagnésémie, hypocalcémie (moins marquée que furosémide), alcalose métabolique, hyperuricémie, hyperglycémie modérée, hypotension, déshydratation, troubles digestifs (nausées, vomissements), rash, crampes musculaires. Ototoxicité moins marquée que le furosémide (avantage).</w:t>
      </w:r>
    </w:p>
    <w:p>
      <w:r/>
      <w:r>
        <w:rPr>
          <w:b/>
        </w:rPr>
        <w:t>Prévention et Gestion des Effets Indésirables :</w:t>
      </w:r>
      <w:r/>
    </w:p>
    <w:p>
      <w:pPr>
        <w:pStyle w:val="ListBullet"/>
      </w:pPr>
      <w:r>
        <w:t>Mesures Préventives : Ionogramme régulier, supplémentation potassique si dose &gt; 1 mg/jour, association à un épargneur de potassium si nécessaire. Surveillance de la PA et de la diurèse.</w:t>
      </w:r>
    </w:p>
    <w:p>
      <w:pPr>
        <w:pStyle w:val="ListBullet"/>
      </w:pPr>
      <w:r>
        <w:t>Conduite à Tenir : Symétrique à celle du furosémide. En cas d'hypokaliémie sévère, arrêt transitoire et supplémentation. En cas d'hypotension, arrêt, remplissage prudent.</w:t>
      </w:r>
    </w:p>
    <w:p>
      <w:r/>
      <w:r>
        <w:rPr>
          <w:b/>
        </w:rPr>
        <w:t>Interactions Importantes :</w:t>
      </w:r>
      <w:r/>
    </w:p>
    <w:p>
      <w:pPr>
        <w:pStyle w:val="ListBullet"/>
      </w:pPr>
      <w:r>
        <w:t>Bumétanide + Digitaliques : Hypokaliémie → toxicité digitalique.</w:t>
      </w:r>
    </w:p>
    <w:p>
      <w:pPr>
        <w:pStyle w:val="ListBullet"/>
      </w:pPr>
      <w:r>
        <w:t>Bumétanide + Aminosides : Ototoxicité et néphrotoxicité additives.</w:t>
      </w:r>
    </w:p>
    <w:p>
      <w:pPr>
        <w:pStyle w:val="ListBullet"/>
      </w:pPr>
      <w:r>
        <w:t>Bumétanide + Lithium : Diminution de l'excrétion du lithium → intoxication.</w:t>
      </w:r>
    </w:p>
    <w:p>
      <w:pPr>
        <w:pStyle w:val="ListBullet"/>
      </w:pPr>
      <w:r>
        <w:t>Bumétanide + AINS : Diminution de l'effet natriurétique, risque d'IRA.</w:t>
      </w:r>
    </w:p>
    <w:p>
      <w:pPr>
        <w:pStyle w:val="ListBullet"/>
      </w:pPr>
      <w:r>
        <w:t>Bumétanide + IEC/ARA2 : Hypotension de première dose, IRA si déplétion volémique.</w:t>
      </w:r>
    </w:p>
    <w:p>
      <w:pPr>
        <w:pStyle w:val="ListBullet"/>
      </w:pPr>
      <w:r>
        <w:t>Bumétanide + Corticoïdes : Majoration de l'hypokaliémie.</w:t>
      </w:r>
    </w:p>
    <w:p>
      <w:pPr>
        <w:pStyle w:val="ListBullet"/>
      </w:pPr>
      <w:r>
        <w:t>Bumétanide + Probenécide : Diminution de la sécrétion tubulaire de la bumétanide, baisse d'efficacité.</w:t>
      </w:r>
    </w:p>
    <w:p>
      <w:r/>
      <w:r>
        <w:rPr>
          <w:b/>
        </w:rPr>
        <w:t>Grossesse et Allaitement :</w:t>
      </w:r>
      <w:r/>
    </w:p>
    <w:p>
      <w:pPr>
        <w:pStyle w:val="ListBullet"/>
      </w:pPr>
      <w:r>
        <w:t>Grossesse : Compatible selon le CRAT, à réserver aux œdèmes pathologiques en cure courte.</w:t>
      </w:r>
    </w:p>
    <w:p>
      <w:pPr>
        <w:pStyle w:val="ListBullet"/>
      </w:pPr>
      <w:r>
        <w:t>Allaitement : Compatible à faibles doses ; surveiller la lactation.</w:t>
      </w:r>
    </w:p>
    <w:p>
      <w:pPr>
        <w:pStyle w:val="ListBullet"/>
      </w:pPr>
      <w:r>
        <w:t>Précisions : Comme le furosémide, à éviter dans les œdèmes physiologiques de la grossesse.</w:t>
      </w:r>
    </w:p>
    <w:p>
      <w:r/>
      <w:r>
        <w:rPr>
          <w:b/>
        </w:rPr>
        <w:t>Posologie et Mode d'administration (Standard) :</w:t>
      </w:r>
      <w:r/>
    </w:p>
    <w:p>
      <w:pPr>
        <w:pStyle w:val="ListBullet"/>
      </w:pPr>
      <w:r>
        <w:t>Adulte : 0,5 à 2 mg/jour en 1 ou 2 prises per os, ou 0,5 à 1 mg IV ou IM. Dose maximale 10 mg/jour.</w:t>
      </w:r>
    </w:p>
    <w:p>
      <w:pPr>
        <w:pStyle w:val="ListBullet"/>
      </w:pPr>
      <w:r>
        <w:t>Sujet âgé : Posologie initiale réduite (0,5 mg/jour), surveillance rapprochée.</w:t>
      </w:r>
    </w:p>
    <w:p>
      <w:pPr>
        <w:pStyle w:val="ListBullet"/>
      </w:pPr>
      <w:r>
        <w:t>Durée : Selon indication, cure courte ou au long cours.</w:t>
      </w:r>
    </w:p>
    <w:p>
      <w:pPr>
        <w:pStyle w:val="ListBullet"/>
      </w:pPr>
      <w:r>
        <w:t>Moment de prise : Matin préférentiellement.</w:t>
      </w:r>
    </w:p>
    <w:p>
      <w:r/>
      <w:r>
        <w:rPr>
          <w:b/>
        </w:rPr>
        <w:t>Arbitrage et Bénéfices des Formes Galéniques :</w:t>
      </w:r>
      <w:r/>
    </w:p>
    <w:p>
      <w:r>
        <w:t>La bumétanide offre une meilleure biodisponibilité orale (80–100 %) que le furosémide (40–70 %), un onset plus rapide (30 min per os), une durée d'action plus courte (4–6 h vs 6 h). Son utilisation historique était privilégiée en cas de résorption intestinale capricieuse du furosémide (insuffisance cardiaque droite avec stase hépatique). L'avantage principal est la moindre ototoxicité. Le retrait du marché algérien prive les patients d'une alternative utile.</w:t>
      </w:r>
    </w:p>
    <w:p>
      <w:r/>
      <w:r>
        <w:rPr>
          <w:b/>
        </w:rPr>
        <w:t>Instructions et Conseils au Patient :</w:t>
      </w:r>
      <w:r/>
    </w:p>
    <w:p>
      <w:pPr>
        <w:pStyle w:val="ListBullet"/>
      </w:pPr>
      <w:r>
        <w:t>Communication au comptoir : "Ce médicament n'est plus commercialisé en Algérie. Votre médecin prescripteur doit faire une demande d'importation temporaire. En attendant, votre médecin peut adapter le traitement par le furosémide disponible."</w:t>
      </w:r>
    </w:p>
    <w:p>
      <w:pPr>
        <w:pStyle w:val="ListBullet"/>
      </w:pPr>
      <w:r>
        <w:t>Mode d'utilisation pratique : Identique au furosémide.</w:t>
      </w:r>
    </w:p>
    <w:p>
      <w:r/>
      <w:r>
        <w:rPr>
          <w:b/>
        </w:rPr>
        <w:t>Notes, Règles d'Or &amp; Pièges au Comptoir :</w:t>
      </w:r>
      <w:r/>
    </w:p>
    <w:p>
      <w:pPr>
        <w:pStyle w:val="ListBullet"/>
      </w:pPr>
      <w:r>
        <w:t>Piège classique : Substitution bumétanide ↔ furosémide sans adaptation posologique — la bumétanide est 40 fois plus puissante mg pour mg (1 mg bumétanide ≈ 40 mg furosémide).</w:t>
      </w:r>
    </w:p>
    <w:p>
      <w:pPr>
        <w:pStyle w:val="ListBullet"/>
      </w:pPr>
      <w:r>
        <w:t>Règle de prise : Identique au furosémide (matin).</w:t>
      </w:r>
    </w:p>
    <w:p>
      <w:pPr>
        <w:pStyle w:val="ListBullet"/>
      </w:pPr>
      <w:r>
        <w:t>Préparation et Conservation : À température ambiante, à l'abri de l'humidité.</w:t>
      </w:r>
    </w:p>
    <w:p>
      <w:pPr>
        <w:pStyle w:val="ListBullet"/>
      </w:pPr>
      <w:r>
        <w:t>Piège du surdosage / Substitution : En cas de retour sur le marché, toujours vérifier la dose prescrite en mg de bumétanide et son équivalent en furosémide.</w:t>
      </w:r>
    </w:p>
    <w:p>
      <w:pPr>
        <w:pStyle w:val="Heading3"/>
      </w:pPr>
      <w:r>
        <w:t>7. DCI : Hydrochlorothiazide (Seule — Forme isolée)</w:t>
      </w:r>
    </w:p>
    <w:p>
      <w:r>
        <w:t>L'hydrochlorothiazide (HCTZ) est le chef de file des diurétiques thiazidiques, découvert en 1958 et largement utilisé comme antihypertenseur de première intention. En Algérie, l'HCTZ en monopréparation est aujourd'hui en tension d'approvisionnement (HYDREX non renouvelé), mais entre dans la composition de très nombreuses associations fixes (avec amiloride : DUDREX, AMURETIC ; avec altizide+spironolactone : SPIROZIDE ; avec IEC ; avec ARA2). Sa puissance natriurétique modeste (5–10 %) est compensée par sa longue durée d'action (12–24 h), sa tolérance et son effet synergique avec les autres antihypertenseurs.</w:t>
      </w:r>
    </w:p>
    <w:p>
      <w:r/>
      <w:r>
        <w:rPr>
          <w:b/>
        </w:rPr>
        <w:t>Médicaments disponibles en Algérie (Marques, Laboratoires, Formes et Dosages) :</w:t>
      </w:r>
      <w:r/>
    </w:p>
    <w:p>
      <w:pPr>
        <w:pStyle w:val="ListBullet"/>
      </w:pPr>
      <w:r/>
      <w:r>
        <w:rPr>
          <w:b/>
        </w:rPr>
        <w:t>HYDREX</w:t>
      </w:r>
      <w:r>
        <w:t xml:space="preserve"> (SALEM) — Historique</w:t>
      </w:r>
    </w:p>
    <w:p>
      <w:pPr>
        <w:pStyle w:val="ListBullet"/>
      </w:pPr>
      <w:r>
        <w:t>Formes et Dosages : Comprimé sécable 25 mg (B/30)</w:t>
      </w:r>
    </w:p>
    <w:p>
      <w:pPr>
        <w:pStyle w:val="ListBullet"/>
      </w:pPr>
      <w:r>
        <w:t>Statut : Non Renouvelable (Liste II)</w:t>
      </w:r>
    </w:p>
    <w:p>
      <w:r/>
      <w:r>
        <w:rPr>
          <w:b/>
        </w:rPr>
        <w:t>Remarque sur la disponibilité algérienne :</w:t>
      </w:r>
      <w:r>
        <w:t xml:space="preserve"> À la date d'édition, l'HCTZ n'est plus disponible en monopréparation en Algérie. Le patient nécessitant de l'HCTZ doit être orienté vers une association fixe (amiloride + HCTZ 5/50 mg : DUDREX, AMURETIC ; ou autres associations si pertinent), ou vers une alternative thiazidique-like (indapamide LP 1,5 mg : ADEX LP, FLUDEX LP, FLUMIDE LP). Cette pénurie pose un véritable problème de santé publique (l'HCTZ est l'un des antihypertenseurs les plus prescrits au monde).</w:t>
      </w:r>
    </w:p>
    <w:p>
      <w:r/>
      <w:r>
        <w:rPr>
          <w:b/>
        </w:rPr>
        <w:t>Sous-classe et Mécanisme d'action :</w:t>
      </w:r>
      <w:r/>
    </w:p>
    <w:p>
      <w:pPr>
        <w:pStyle w:val="ListBullet"/>
      </w:pPr>
      <w:r>
        <w:t>Sous-classe : Diurétiques thiazidiques — Inhibiteurs du co-transporteur Na⁺-Cl⁻ (NCC).</w:t>
      </w:r>
    </w:p>
    <w:p>
      <w:pPr>
        <w:pStyle w:val="ListBullet"/>
      </w:pPr>
      <w:r>
        <w:t xml:space="preserve">Mécanisme d'action : L'HCTZ inhibe le co-transporteur apical </w:t>
      </w:r>
      <w:r>
        <w:rPr>
          <w:b/>
        </w:rPr>
        <w:t>NCC</w:t>
      </w:r>
      <w:r>
        <w:t xml:space="preserve"> (Slc12a3) du tube contourné distal, réduisant la réabsorption de Na⁺ et de Cl⁻ (5–10 % de la charge filtrée). Effet natriurétique modéré comparé aux diurétiques de l'anse. Effet antihypertenseur qui s'explique non seulement par la baisse du volume extracellulaire, mais aussi par une réduction à long terme des résistances vasculaires périphériques (sensibilité vasculaire aux catécholamines diminuée, ouverture des canaux potassiques calciques). L'HCTZ augmente la réabsorption tubulaire du calcium (effet hypocalciurique, utile dans la lithiase calcique récidivante) mais augmente l'excrétion du potassium, du magnésium et de l'acide urique.</w:t>
      </w:r>
    </w:p>
    <w:p>
      <w:r/>
      <w:r>
        <w:rPr>
          <w:b/>
        </w:rPr>
        <w:t>Profil Pharmacologique :</w:t>
      </w:r>
      <w:r/>
    </w:p>
    <w:p>
      <w:pPr>
        <w:pStyle w:val="ListBullet"/>
      </w:pPr>
      <w:r>
        <w:t>Indications : HTA essentielle légère à modérée (première intention), insuffisance cardiaque chronique modérée, œdèmes idiopathiques, prévention de la lithiase rénale calcique récidivante, diabète insipide néphrogénique (paradoxalement antidiurétique).</w:t>
      </w:r>
    </w:p>
    <w:p>
      <w:pPr>
        <w:pStyle w:val="ListBullet"/>
      </w:pPr>
      <w:r>
        <w:t>Contre-indications : Insuffisance rénale sévère (clairance &lt; 30 mL/min — efficacité très réduite), hypersensibilité aux sulfamides, anurie, hyponatrémie &lt; 125 mmol/L, hypokaliémie non corrigée, hypercalcémie, encéphalopathie hépatique, allaitement (inhibition de la lactation).</w:t>
      </w:r>
    </w:p>
    <w:p>
      <w:pPr>
        <w:pStyle w:val="ListBullet"/>
      </w:pPr>
      <w:r>
        <w:t>Effets Indésirables : Hypokaliémie (fréquent, dose-dépendant), hyponatrémie (parfois sévère, surtout chez la femme âgée), hypomagnésémie, hyperuricémie (goutte), hyperglycémie (modulation de la tolérance au glucose), hypertriglycéridémie, hypercalcémie, alcalose métabolique, hypotension orthostatique, troubles digestifs, rash, photosensibilité, impuissance, exceptionnellement syndrome de Lyell, purpura thrombopénique, pancréatite, pneumopathie d'hypersensibilité.</w:t>
      </w:r>
    </w:p>
    <w:p>
      <w:r/>
      <w:r>
        <w:rPr>
          <w:b/>
        </w:rPr>
        <w:t>Prévention et Gestion des Effets Indésirables :</w:t>
      </w:r>
      <w:r/>
    </w:p>
    <w:p>
      <w:pPr>
        <w:pStyle w:val="ListBullet"/>
      </w:pPr>
      <w:r>
        <w:t>Mesures Préventives : Ionogramme avant puis à 7 jours, puis tous les 3–6 mois. Supplémentation potassique ou association à un épargneur de potassium (amiloride, spironolactone) en cas d'hypokaliémie récurrente. Surveillance de la glycémie et de l'uricémie chez les patients diabétiques ou goutteux. Photoprotection cutanée.</w:t>
      </w:r>
    </w:p>
    <w:p>
      <w:pPr>
        <w:pStyle w:val="ListBullet"/>
      </w:pPr>
      <w:r>
        <w:t>Conduite à Tenir : En cas d'hyponatrémie sévère (&lt; 125 mmol/L), arrêt immédiat et restriction hydrique (correction lente pour éviter le risque de myélinolyse centropontique). En cas d'hypokaliémie symptomatique, supplémentation IV potassique. En cas d'hyperuricémie symptomatique (goutte), arrêt et traitement de la crise.</w:t>
      </w:r>
    </w:p>
    <w:p>
      <w:r/>
      <w:r>
        <w:rPr>
          <w:b/>
        </w:rPr>
        <w:t>Interactions Importantes :</w:t>
      </w:r>
      <w:r/>
    </w:p>
    <w:p>
      <w:pPr>
        <w:pStyle w:val="ListBullet"/>
      </w:pPr>
      <w:r>
        <w:t>HCTZ + Digitaliques : Hypokaliémie → potentialisation de la toxicité digitalique.</w:t>
      </w:r>
    </w:p>
    <w:p>
      <w:pPr>
        <w:pStyle w:val="ListBullet"/>
      </w:pPr>
      <w:r>
        <w:t>HCTZ + Lithium : Diminution de l'excrétion du lithium → intoxication (lithémie à surveiller).</w:t>
      </w:r>
    </w:p>
    <w:p>
      <w:pPr>
        <w:pStyle w:val="ListBullet"/>
      </w:pPr>
      <w:r>
        <w:t>HCTZ + AINS : Diminution de l'effet antihypertenseur, risque d'IRA.</w:t>
      </w:r>
    </w:p>
    <w:p>
      <w:pPr>
        <w:pStyle w:val="ListBullet"/>
      </w:pPr>
      <w:r>
        <w:t>HCTZ + Corticoïdes : Majoration de l'hypokaliémie.</w:t>
      </w:r>
    </w:p>
    <w:p>
      <w:pPr>
        <w:pStyle w:val="ListBullet"/>
      </w:pPr>
      <w:r>
        <w:t>HCTZ + IEC/ARA2 : Hypotension de première dose, risque d'IRA si déplétion volémique ; mais association synergique et bénéfique en pratique.</w:t>
      </w:r>
    </w:p>
    <w:p>
      <w:pPr>
        <w:pStyle w:val="ListBullet"/>
      </w:pPr>
      <w:r>
        <w:t>HCTZ + Antidiabétiques : Diminution de l'efficacité des antidiabétiques (hyperglycémie).</w:t>
      </w:r>
    </w:p>
    <w:p>
      <w:pPr>
        <w:pStyle w:val="ListBullet"/>
      </w:pPr>
      <w:r>
        <w:t>HCTZ + Calcium, vitamine D : Majoration de l'hypercalcémie.</w:t>
      </w:r>
    </w:p>
    <w:p>
      <w:pPr>
        <w:pStyle w:val="ListBullet"/>
      </w:pPr>
      <w:r>
        <w:t>HCTZ + Carbamazépine, oxcarbazépine : Risque d'hyponatrémie sévère (effet additif SIADH-like).</w:t>
      </w:r>
    </w:p>
    <w:p>
      <w:pPr>
        <w:pStyle w:val="ListBullet"/>
      </w:pPr>
      <w:r>
        <w:t>HCTZ + Diazoxide : Hyperglycémie sévère.</w:t>
      </w:r>
    </w:p>
    <w:p>
      <w:r/>
      <w:r>
        <w:rPr>
          <w:b/>
        </w:rPr>
        <w:t>Grossesse et Allaitement :</w:t>
      </w:r>
      <w:r/>
    </w:p>
    <w:p>
      <w:pPr>
        <w:pStyle w:val="ListBullet"/>
      </w:pPr>
      <w:r>
        <w:t>Grossesse : Compatible selon le CRAT, mais à éviter en première intention (préférer labétalol, méthyldopa, nicardipine). Risque de baisse de la perfusion placentaire en cas d'hypotension maternelle, d'oligoamnios en cas d'utilisation prolongée, de thrombopénie néonatale (rare). À réserver aux HTA réfractaires aux autres classes.</w:t>
      </w:r>
    </w:p>
    <w:p>
      <w:pPr>
        <w:pStyle w:val="ListBullet"/>
      </w:pPr>
      <w:r>
        <w:t>Allaitement : Contre-indiqué en raison de la transmission de l'HCTZ dans le lait (risque d'hypokaliémie, d'hyperbilirubinémie, d'allergie chez le nourrisson).</w:t>
      </w:r>
    </w:p>
    <w:p>
      <w:pPr>
        <w:pStyle w:val="ListBullet"/>
      </w:pPr>
      <w:r>
        <w:t>Précisions : Préférer d'autres antihypertenseurs compatibles (labétalol, nicardipine).</w:t>
      </w:r>
    </w:p>
    <w:p>
      <w:r/>
      <w:r>
        <w:rPr>
          <w:b/>
        </w:rPr>
        <w:t>Posologie et Mode d'administration (Standard) :</w:t>
      </w:r>
      <w:r/>
    </w:p>
    <w:p>
      <w:pPr>
        <w:pStyle w:val="ListBullet"/>
      </w:pPr>
      <w:r>
        <w:t>Adulte : HTA — 12,5 à 25 mg/jour en une prise matinale. Insuffisance cardiaque — 25 à 50 mg/jour. Lithiase calcique — 25 mg/jour. Dose maximale 50 mg/jour (au-delà, augmentation des effets indésirables sans bénéfice supplémentaire significatif).</w:t>
      </w:r>
    </w:p>
    <w:p>
      <w:pPr>
        <w:pStyle w:val="ListBullet"/>
      </w:pPr>
      <w:r>
        <w:t>Sujet âgé : Posologie initiale réduite (12,5 mg/jour), surveillance stricte de la natrémie (risque d'hyponatrémie sévère).</w:t>
      </w:r>
    </w:p>
    <w:p>
      <w:pPr>
        <w:pStyle w:val="ListBullet"/>
      </w:pPr>
      <w:r>
        <w:t>Durée : Au long cours.</w:t>
      </w:r>
    </w:p>
    <w:p>
      <w:pPr>
        <w:pStyle w:val="ListBullet"/>
      </w:pPr>
      <w:r>
        <w:t>Moment de prise : Matin (pour éviter la nycturie).</w:t>
      </w:r>
    </w:p>
    <w:p>
      <w:r/>
      <w:r>
        <w:rPr>
          <w:b/>
        </w:rPr>
        <w:t>Arbitrage et Bénéfices des Formes Galéniques :</w:t>
      </w:r>
      <w:r/>
    </w:p>
    <w:p>
      <w:r>
        <w:t>L'HCTZ se distingue des diurétiques de l'anse par sa longue durée d'action (12–24 h) permettant une seule prise par jour, son efficacité maintenue en cas d'insuffisance rénale modérée (DFG &gt; 30 mL/min) et son effet hypocalciurique utile dans la lithiase calcique. En revanche, l'efficacité chute drastiquement en cas d'insuffisance rénale sévère (DFG &lt; 30 mL/min) où les diurétiques de l'anse sont à privilégier.</w:t>
      </w:r>
    </w:p>
    <w:p>
      <w:r/>
      <w:r>
        <w:rPr>
          <w:b/>
        </w:rPr>
        <w:t>Instructions et Conseils au Patient :</w:t>
      </w:r>
      <w:r/>
    </w:p>
    <w:p>
      <w:pPr>
        <w:pStyle w:val="ListBullet"/>
      </w:pPr>
      <w:r>
        <w:t>Communication au comptoir : "Ce médicament traite l'hypertension. Prenez-le le matin en une prise. Évitez les régimes sans sel stricts sans avis médical. En cas de fatigue, crampes musculaires ou confusion, prévenez votre médecin (peut-être un problème de sodium). Évitez l'exposition au soleil (photosensibilité)."</w:t>
      </w:r>
    </w:p>
    <w:p>
      <w:pPr>
        <w:pStyle w:val="ListBullet"/>
      </w:pPr>
      <w:r>
        <w:t>Mode d'utilisation pratique : Prise unique le matin, à heure fixe. Surveillance de la PA à domicile. Régime alimentaire équilibré (apport potassique en fruits et légumes).</w:t>
      </w:r>
    </w:p>
    <w:p>
      <w:r/>
      <w:r>
        <w:rPr>
          <w:b/>
        </w:rPr>
        <w:t>Notes, Règles d'Or &amp; Pièges au Comptoir :</w:t>
      </w:r>
      <w:r/>
    </w:p>
    <w:p>
      <w:pPr>
        <w:pStyle w:val="ListBullet"/>
      </w:pPr>
      <w:r>
        <w:t>Piège classique : Patiente âgée sous HCTZ + carbamazépine présentant une confusion — penser à l'hyponatrémie sévère. Patient sous digoxine et HCTZ sans surveillance de la kaliémie — risque d'arythmies.</w:t>
      </w:r>
    </w:p>
    <w:p>
      <w:pPr>
        <w:pStyle w:val="ListBullet"/>
      </w:pPr>
      <w:r>
        <w:t>Règle de prise : Une prise unique le matin.</w:t>
      </w:r>
    </w:p>
    <w:p>
      <w:pPr>
        <w:pStyle w:val="ListBullet"/>
      </w:pPr>
      <w:r>
        <w:t>Préparation et Conservation : À température ambiante, à l'abri de l'humidité.</w:t>
      </w:r>
    </w:p>
    <w:p>
      <w:pPr>
        <w:pStyle w:val="ListBullet"/>
      </w:pPr>
      <w:r>
        <w:t>Piège du surdosage / Substitution : En cas d'indisponibilité de l'HCTZ, ne pas substituer par le furosémide (puissance et durée d'action différentes) sans avis médical. L'indapamide LP 1,5 mg est une alternative valide. La substitution par l'association amiloride+HCTZ (5/50 mg) expose à une dose plus forte (50 mg au lieu de 25 mg d'HCTZ) et à l'ajout d'un épargneur de potassium — à discuter avec le prescripteur.</w:t>
      </w:r>
    </w:p>
    <w:p>
      <w:pPr>
        <w:pStyle w:val="Heading3"/>
      </w:pPr>
      <w:r>
        <w:t>8. DCI : Indapamide (Seule)</w:t>
      </w:r>
    </w:p>
    <w:p>
      <w:r>
        <w:t>L'indapamide est un diurétique thiazidique-like de référence, commercialisé en Algérie presque exclusivement sous sa forme à libération prolongée (LP 1,5 mg) qui est devenue le standard international de l'hypertension artérielle essentielle. Sa structure (sulfonamide-indole) lui confère une double action : (i) inhibition du co-transporteur NCC distal, et (ii) effet vasculaire direct par diminution de l'entrée calcique dans la cellule musculaire lisse. L'indapamide a démontré, dans les grands essais cliniques (HYVET chez le sujet âgé, ADVANCE chez le diabétique), une réduction significative de la mortalité cardiovasculaire et des accidents vasculaires cérébraux, ce qui le place parmi les diurétiques antihypertenseurs les plus recommandés (ESC 2023, HAS 2024).</w:t>
      </w:r>
    </w:p>
    <w:p>
      <w:r/>
      <w:r>
        <w:rPr>
          <w:b/>
        </w:rPr>
        <w:t>Médicaments disponibles en Algérie (Marques, Laboratoires, Formes et Dosages) :</w:t>
      </w:r>
      <w:r/>
    </w:p>
    <w:p>
      <w:pPr>
        <w:pStyle w:val="ListBullet"/>
      </w:pPr>
      <w:r/>
      <w:r>
        <w:rPr>
          <w:b/>
        </w:rPr>
        <w:t>ADEX LP</w:t>
      </w:r>
      <w:r>
        <w:t xml:space="preserve"> (INPHA-MEDIS)</w:t>
      </w:r>
    </w:p>
    <w:p>
      <w:pPr>
        <w:pStyle w:val="ListBullet"/>
      </w:pPr>
      <w:r>
        <w:t>Formes et Dosages : Comprimé pelliculé à libération prolongée 1,5 mg (B/30)</w:t>
      </w:r>
    </w:p>
    <w:p>
      <w:pPr>
        <w:pStyle w:val="ListBullet"/>
      </w:pPr>
      <w:r>
        <w:t>Statut : Actif (Liste II)</w:t>
      </w:r>
    </w:p>
    <w:p>
      <w:pPr>
        <w:pStyle w:val="ListBullet"/>
      </w:pPr>
      <w:r/>
      <w:r>
        <w:rPr>
          <w:b/>
        </w:rPr>
        <w:t>FLUDEX LP</w:t>
      </w:r>
      <w:r>
        <w:t xml:space="preserve"> (LES LABORATOIRES SERVIER)</w:t>
      </w:r>
    </w:p>
    <w:p>
      <w:pPr>
        <w:pStyle w:val="ListBullet"/>
      </w:pPr>
      <w:r>
        <w:t>Formes et Dosages : Comprimé pelliculé à libération prolongée 1,5 mg (B/30)</w:t>
      </w:r>
    </w:p>
    <w:p>
      <w:pPr>
        <w:pStyle w:val="ListBullet"/>
      </w:pPr>
      <w:r>
        <w:t>Statut : Actif (Liste II)</w:t>
      </w:r>
    </w:p>
    <w:p>
      <w:pPr>
        <w:pStyle w:val="ListBullet"/>
      </w:pPr>
      <w:r/>
      <w:r>
        <w:rPr>
          <w:b/>
        </w:rPr>
        <w:t>FLUMIDE LP</w:t>
      </w:r>
      <w:r>
        <w:t xml:space="preserve"> (EL KENDI INDUSTRIE DU MEDICAMENT)</w:t>
      </w:r>
    </w:p>
    <w:p>
      <w:pPr>
        <w:pStyle w:val="ListBullet"/>
      </w:pPr>
      <w:r>
        <w:t>Formes et Dosages : Comprimé pelliculé à libération prolongée 1,5 mg (B/30)</w:t>
      </w:r>
    </w:p>
    <w:p>
      <w:pPr>
        <w:pStyle w:val="ListBullet"/>
      </w:pPr>
      <w:r>
        <w:t>Statut : Actif (Liste II)</w:t>
      </w:r>
    </w:p>
    <w:p>
      <w:pPr>
        <w:pStyle w:val="ListBullet"/>
      </w:pPr>
      <w:r/>
      <w:r>
        <w:rPr>
          <w:b/>
        </w:rPr>
        <w:t>INDAPAMIDE BEKER LP</w:t>
      </w:r>
      <w:r>
        <w:t xml:space="preserve"> (LABORATOIRES BEKER)</w:t>
      </w:r>
    </w:p>
    <w:p>
      <w:pPr>
        <w:pStyle w:val="ListBullet"/>
      </w:pPr>
      <w:r>
        <w:t>Formes et Dosages : Comprimé pelliculé à libération prolongée 1,5 mg (B/30)</w:t>
      </w:r>
    </w:p>
    <w:p>
      <w:pPr>
        <w:pStyle w:val="ListBullet"/>
      </w:pPr>
      <w:r>
        <w:t>Statut : Actif (Liste II)</w:t>
      </w:r>
    </w:p>
    <w:p>
      <w:pPr>
        <w:pStyle w:val="ListBullet"/>
      </w:pPr>
      <w:r/>
      <w:r>
        <w:rPr>
          <w:b/>
        </w:rPr>
        <w:t>NATRIXAL</w:t>
      </w:r>
      <w:r>
        <w:t xml:space="preserve"> (HIKMA PHARMA ALGERIA) — Historique</w:t>
      </w:r>
    </w:p>
    <w:p>
      <w:pPr>
        <w:pStyle w:val="ListBullet"/>
      </w:pPr>
      <w:r>
        <w:t>Formes et Dosages : Comprimé pelliculé LP 1,5 mg (B/30)</w:t>
      </w:r>
    </w:p>
    <w:p>
      <w:pPr>
        <w:pStyle w:val="ListBullet"/>
      </w:pPr>
      <w:r>
        <w:t>Statut : Non Renouvelable</w:t>
      </w:r>
    </w:p>
    <w:p>
      <w:pPr>
        <w:pStyle w:val="ListBullet"/>
      </w:pPr>
      <w:r/>
      <w:r>
        <w:rPr>
          <w:b/>
        </w:rPr>
        <w:t>DIURIMAT</w:t>
      </w:r>
      <w:r>
        <w:t xml:space="preserve"> (PROMOPHARM) — Historique</w:t>
      </w:r>
    </w:p>
    <w:p>
      <w:pPr>
        <w:pStyle w:val="ListBullet"/>
      </w:pPr>
      <w:r>
        <w:t>Formes et Dosages : Comprimé 2,5 mg (B/30)</w:t>
      </w:r>
    </w:p>
    <w:p>
      <w:pPr>
        <w:pStyle w:val="ListBullet"/>
      </w:pPr>
      <w:r>
        <w:t>Statut : Retiré (R)</w:t>
      </w:r>
    </w:p>
    <w:p>
      <w:r/>
      <w:r>
        <w:rPr>
          <w:b/>
        </w:rPr>
        <w:t>Sous-classe et Mécanisme d'action :</w:t>
      </w:r>
      <w:r/>
    </w:p>
    <w:p>
      <w:pPr>
        <w:pStyle w:val="ListBullet"/>
      </w:pPr>
      <w:r>
        <w:t>Sous-classe : Diurétiques thiazidiques-like — Inhibiteurs du co-transporteur Na⁺-Cl⁻ (NCC) avec effet vasculaire direct.</w:t>
      </w:r>
    </w:p>
    <w:p>
      <w:pPr>
        <w:pStyle w:val="ListBullet"/>
      </w:pPr>
      <w:r>
        <w:t>Mécanisme d'action : L'indapamide inhibe le co-transporteur apical NCC (Slc12a3) du tube contourné distal, réduisant la réabsorption de Na⁺ et de Cl⁻ (effet natriurétique modéré 5–10 %). Effet vasculaire direct : réduction de l'entrée du calcium dans la cellule musculaire lisse vasculaire par modulation des canaux calciques voltage-dépendants, d'où une vasodilatation artériolaire qui contribue à l'effet antihypertenseur à long terme. Le métabolisme est principalement hépatique (CYP), l'élimination urinaire ne représentant que 5–7 % de la dose, ce qui confère une sécurité d'emploi chez l'insuffisant rénal modéré.</w:t>
      </w:r>
    </w:p>
    <w:p>
      <w:r/>
      <w:r>
        <w:rPr>
          <w:b/>
        </w:rPr>
        <w:t>Profil Pharmacologique :</w:t>
      </w:r>
      <w:r/>
    </w:p>
    <w:p>
      <w:pPr>
        <w:pStyle w:val="ListBullet"/>
      </w:pPr>
      <w:r>
        <w:t>Indications : HTA essentielle légère à modérée (première intention, en monothérapie ou en association fixe avec périndopril — non disponible en Algérie sous cette forme), prévention secondaire des accidents vasculaires cérébraux, HTA du sujet âgé (HYVET), HTA du diabétique type 2 (ADVANCE), microalbuminurie diabétique.</w:t>
      </w:r>
    </w:p>
    <w:p>
      <w:pPr>
        <w:pStyle w:val="ListBullet"/>
      </w:pPr>
      <w:r>
        <w:t>Contre-indications : Insuffisance rénale sévère (clairance &lt; 30 mL/min), hypersensibilité aux sulfamides, anurie, encéphalopathie hépatique, hypokaliémie non corrigée, hyponatrémie &lt; 125 mmol/L, allaitement, association au sultopride (risque d'arythmies ventriculaires).</w:t>
      </w:r>
    </w:p>
    <w:p>
      <w:pPr>
        <w:pStyle w:val="ListBullet"/>
      </w:pPr>
      <w:r>
        <w:t>Effets Indésirables : Hypokaliémie (fréquent, dose-dépendant, mais moins marqué que l'HCTZ à dose équivalente), hyponatrémie, hypomagnésémie, hyperuricémie, hyperglycémie modérée, hypertriglycéridémie, hypotension orthostatique, rash, photosensibilité, exceptionnellement syndrome de Lyell, agranulocytose, allongement du QT (favorisant les torsades de pointe en cas d'hypokaliémie associée).</w:t>
      </w:r>
    </w:p>
    <w:p>
      <w:r/>
      <w:r>
        <w:rPr>
          <w:b/>
        </w:rPr>
        <w:t>Prévention et Gestion des Effets Indésirables :</w:t>
      </w:r>
      <w:r/>
    </w:p>
    <w:p>
      <w:pPr>
        <w:pStyle w:val="ListBullet"/>
      </w:pPr>
      <w:r>
        <w:t>Mesures Préventives : Ionogramme avant puis à 7 jours, puis tous les 3–6 mois. Surveillance de l'uricémie et de la glycémie chez les patients à risque (goutteux, diabétiques). Supplémentation potassique si nécessaire (souvent requise en association à l'IEC ou ARA2 qui épargnent le potassium). Photoprotection cutanée.</w:t>
      </w:r>
    </w:p>
    <w:p>
      <w:pPr>
        <w:pStyle w:val="ListBullet"/>
      </w:pPr>
      <w:r>
        <w:t>Conduite à Tenir : En cas d'hypokaliémie symptomatique, supplémentation IV. En cas d'hyponatrémie sévère, arrêt et restriction hydrique.</w:t>
      </w:r>
    </w:p>
    <w:p>
      <w:r/>
      <w:r>
        <w:rPr>
          <w:b/>
        </w:rPr>
        <w:t>Interactions Importantes :</w:t>
      </w:r>
      <w:r/>
    </w:p>
    <w:p>
      <w:pPr>
        <w:pStyle w:val="ListBullet"/>
      </w:pPr>
      <w:r>
        <w:t>Indapamide + Médicaments allongeant le QT (sultopride, amiodarone, halopéridol, méthadone, certains antibiotiques) : Risque de torsades de pointe (hypokaliémie additive).</w:t>
      </w:r>
    </w:p>
    <w:p>
      <w:pPr>
        <w:pStyle w:val="ListBullet"/>
      </w:pPr>
      <w:r>
        <w:t>Indapamide + Lithium : Diminution de l'excrétion du lithium → intoxication.</w:t>
      </w:r>
    </w:p>
    <w:p>
      <w:pPr>
        <w:pStyle w:val="ListBullet"/>
      </w:pPr>
      <w:r>
        <w:t>Indapamide + AINS : Diminution de l'effet antihypertenseur, risque d'IRA.</w:t>
      </w:r>
    </w:p>
    <w:p>
      <w:pPr>
        <w:pStyle w:val="ListBullet"/>
      </w:pPr>
      <w:r>
        <w:t>Indapamide + Corticoïdes : Majoration de l'hypokaliémie.</w:t>
      </w:r>
    </w:p>
    <w:p>
      <w:pPr>
        <w:pStyle w:val="ListBullet"/>
      </w:pPr>
      <w:r>
        <w:t>Indapamide + IEC/ARA2 : Association synergique et bénéfique, mais surveillance de l'IRA et de l'hyperkaliémie en début d'association.</w:t>
      </w:r>
    </w:p>
    <w:p>
      <w:pPr>
        <w:pStyle w:val="ListBullet"/>
      </w:pPr>
      <w:r>
        <w:t>Indapamide + Metformine : Diminution de la fonction rénale (acidose lactique possible).</w:t>
      </w:r>
    </w:p>
    <w:p>
      <w:pPr>
        <w:pStyle w:val="ListBullet"/>
      </w:pPr>
      <w:r>
        <w:t>Indapamide + Cyclosporine : Augmentation de la créatinémie.</w:t>
      </w:r>
    </w:p>
    <w:p>
      <w:r/>
      <w:r>
        <w:rPr>
          <w:b/>
        </w:rPr>
        <w:t>Grossesse et Allaitement :</w:t>
      </w:r>
      <w:r/>
    </w:p>
    <w:p>
      <w:pPr>
        <w:pStyle w:val="ListBullet"/>
      </w:pPr>
      <w:r>
        <w:t>Grossesse : Compatible selon le CRAT en 2ᵉ/3ᵉ intention (après labétalol, méthyldopa, nicardipine). Risque théorique d'hypovolémie fœtale, d'oligoamnios.</w:t>
      </w:r>
    </w:p>
    <w:p>
      <w:pPr>
        <w:pStyle w:val="ListBullet"/>
      </w:pPr>
      <w:r>
        <w:t>Allaitement : Contre-indiqué (passage dans le lait, inhibition de la lactation).</w:t>
      </w:r>
    </w:p>
    <w:p>
      <w:pPr>
        <w:pStyle w:val="ListBullet"/>
      </w:pPr>
      <w:r>
        <w:t>Précisions : Préférer d'autres antihypertenseurs compatibles (labétalol, nicardipine) en première intention.</w:t>
      </w:r>
    </w:p>
    <w:p>
      <w:r/>
      <w:r>
        <w:rPr>
          <w:b/>
        </w:rPr>
        <w:t>Posologie et Mode d'administration (Standard) :</w:t>
      </w:r>
      <w:r/>
    </w:p>
    <w:p>
      <w:pPr>
        <w:pStyle w:val="ListBullet"/>
      </w:pPr>
      <w:r>
        <w:t>Adulte : 1,5 mg/jour en une prise matinale (forme LP) ; ancienne forme 2,5 mg/jour (DISCONTINUEE en Algérie). Dose maximale 2,5 mg/jour (forme non LP).</w:t>
      </w:r>
    </w:p>
    <w:p>
      <w:pPr>
        <w:pStyle w:val="ListBullet"/>
      </w:pPr>
      <w:r>
        <w:t>Sujet âgé : Pas d'adaptation posologique spécifique (au contraire, indication privilégiée). Surveillance de la natrémie.</w:t>
      </w:r>
    </w:p>
    <w:p>
      <w:pPr>
        <w:pStyle w:val="ListBullet"/>
      </w:pPr>
      <w:r>
        <w:t>Durée : Au long cours.</w:t>
      </w:r>
    </w:p>
    <w:p>
      <w:pPr>
        <w:pStyle w:val="ListBullet"/>
      </w:pPr>
      <w:r>
        <w:t>Moment de prise : Matin.</w:t>
      </w:r>
    </w:p>
    <w:p>
      <w:r/>
      <w:r>
        <w:rPr>
          <w:b/>
        </w:rPr>
        <w:t>Arbitrage et Bénéfices des Formes Galéniques :</w:t>
      </w:r>
      <w:r/>
    </w:p>
    <w:p>
      <w:r>
        <w:t>La forme LP 1,5 mg est devenue le standard international. Elle présente plusieurs avantages sur la forme immédiate 2,5 mg : (i) profil pharmacocinétique plus stable (concentration plasmatique constante), (ii) moindre incidence de l'hypokaliémie (–50 %), (iii) meilleure tolérance digestive, (iv) efficacité antihypertensive maintenue. La biodisponibilité est de 93 %, le pic plasmatique en 12 h, la demi-vie de 14–18 h, autorisant une seule prise par jour.</w:t>
      </w:r>
    </w:p>
    <w:p>
      <w:r/>
      <w:r>
        <w:rPr>
          <w:b/>
        </w:rPr>
        <w:t>Instructions et Conseils au Patient :</w:t>
      </w:r>
      <w:r/>
    </w:p>
    <w:p>
      <w:pPr>
        <w:pStyle w:val="ListBullet"/>
      </w:pPr>
      <w:r>
        <w:t>Communication au comptoir : "Ce médicament traite l'hypertension. Une prise par jour le matin suffit. Évitez les régimes sans sel stricts sans avis médical. Évitez l'exposition au soleil (photosensibilité). En cas de fatigue, crampes, palpitations, prévenez votre médecin (peut-être un problème de potassium)."</w:t>
      </w:r>
    </w:p>
    <w:p>
      <w:pPr>
        <w:pStyle w:val="ListBullet"/>
      </w:pPr>
      <w:r>
        <w:t>Mode d'utilisation pratique : Avaler le comprimé entier, ne pas croquer ni écraser (forme LP). Prise à heure fixe.</w:t>
      </w:r>
    </w:p>
    <w:p>
      <w:r/>
      <w:r>
        <w:rPr>
          <w:b/>
        </w:rPr>
        <w:t>Notes, Règles d'Or &amp; Pièges au Comptoir :</w:t>
      </w:r>
      <w:r/>
    </w:p>
    <w:p>
      <w:pPr>
        <w:pStyle w:val="ListBullet"/>
      </w:pPr>
      <w:r>
        <w:t>Piège classique : Patient sous indapamide et digoxine — surveillance de la kaliémie. Patient sous indapamide et sultopride — risque de torsades de pointe.</w:t>
      </w:r>
    </w:p>
    <w:p>
      <w:pPr>
        <w:pStyle w:val="ListBullet"/>
      </w:pPr>
      <w:r>
        <w:t>Règle de prise : Une prise unique le matin.</w:t>
      </w:r>
    </w:p>
    <w:p>
      <w:pPr>
        <w:pStyle w:val="ListBullet"/>
      </w:pPr>
      <w:r>
        <w:t>Préparation et Conservation : À température ambiante, à l'abri de l'humidité.</w:t>
      </w:r>
    </w:p>
    <w:p>
      <w:pPr>
        <w:pStyle w:val="ListBullet"/>
      </w:pPr>
      <w:r>
        <w:t>Piège du surdosage / Substitution : Ne pas substituer la forme LP 1,5 mg par deux comprimés de la forme 2,5 mg (différence galénique et pharmacocinétique). L'indapamide LP est l'un des diurétiques antihypertenseurs les plus recommandés en Europe.</w:t>
      </w:r>
    </w:p>
    <w:p>
      <w:pPr>
        <w:pStyle w:val="Heading3"/>
      </w:pPr>
      <w:r>
        <w:t>9. DCI : Spironolactone (Seule)</w:t>
      </w:r>
    </w:p>
    <w:p>
      <w:r>
        <w:t>La spironolactone est le chef de file des diurétiques épargneurs de potassium anti-aldostérones. Découverte en 1957, elle a révolutionné la prise en charge de l'insuffisance cardiaque chronique (essai RALES, 1999) et de la cirrhose ascitique. C'est un antagoniste compétitif du récepteur minéralocorticoïde (MR), avec une certaine affinité pour les récepteurs androgéniques et progestatifs (à l'origine de ses effets indésirables hormonaux — gynécomastie, impuissance). Son métabolite actif, la canrénone, a une longue demi-vie (13–24 h), autorisant une prise quotidienne. En Algérie, seule la forme 75 mg est commercialisée (contre 25 mg et 50 mg en Europe), ce qui impose l'adaptation par fractionnement du comprimé pour les doses faibles.</w:t>
      </w:r>
    </w:p>
    <w:p>
      <w:r/>
      <w:r>
        <w:rPr>
          <w:b/>
        </w:rPr>
        <w:t>Médicaments disponibles en Algérie (Marques, Laboratoires, Formes et Dosages) :</w:t>
      </w:r>
      <w:r/>
    </w:p>
    <w:p>
      <w:pPr>
        <w:pStyle w:val="ListBullet"/>
      </w:pPr>
      <w:r/>
      <w:r>
        <w:rPr>
          <w:b/>
        </w:rPr>
        <w:t>ALDACTONE</w:t>
      </w:r>
      <w:r>
        <w:t xml:space="preserve"> (PFIZER HOLDING FRANCE)</w:t>
      </w:r>
    </w:p>
    <w:p>
      <w:pPr>
        <w:pStyle w:val="ListBullet"/>
      </w:pPr>
      <w:r>
        <w:t>Formes et Dosages : Comprimé pelliculé sécable 75 mg (B/30)</w:t>
      </w:r>
    </w:p>
    <w:p>
      <w:pPr>
        <w:pStyle w:val="ListBullet"/>
      </w:pPr>
      <w:r>
        <w:t>Statut : Actif (Liste II)</w:t>
      </w:r>
    </w:p>
    <w:p>
      <w:pPr>
        <w:pStyle w:val="ListBullet"/>
      </w:pPr>
      <w:r/>
      <w:r>
        <w:rPr>
          <w:b/>
        </w:rPr>
        <w:t>SPIRONOLONE</w:t>
      </w:r>
      <w:r>
        <w:t xml:space="preserve"> (BIOGALENIC)</w:t>
      </w:r>
    </w:p>
    <w:p>
      <w:pPr>
        <w:pStyle w:val="ListBullet"/>
      </w:pPr>
      <w:r>
        <w:t>Formes et Dosages : Comprimé pelliculé sécable 75 mg (B/30)</w:t>
      </w:r>
    </w:p>
    <w:p>
      <w:pPr>
        <w:pStyle w:val="ListBullet"/>
      </w:pPr>
      <w:r>
        <w:t>Statut : Actif (Liste II)</w:t>
      </w:r>
    </w:p>
    <w:p>
      <w:pPr>
        <w:pStyle w:val="ListBullet"/>
      </w:pPr>
      <w:r/>
      <w:r>
        <w:rPr>
          <w:b/>
        </w:rPr>
        <w:t>SPIRONOLONE 75</w:t>
      </w:r>
      <w:r>
        <w:t xml:space="preserve"> (DEXO S.A) — Historique</w:t>
      </w:r>
    </w:p>
    <w:p>
      <w:pPr>
        <w:pStyle w:val="ListBullet"/>
      </w:pPr>
      <w:r>
        <w:t>Formes et Dosages : Comprimé pelliculé 75 mg (B/30)</w:t>
      </w:r>
    </w:p>
    <w:p>
      <w:pPr>
        <w:pStyle w:val="ListBullet"/>
      </w:pPr>
      <w:r>
        <w:t>Statut : Retiré (R) (Liste II)</w:t>
      </w:r>
    </w:p>
    <w:p>
      <w:pPr>
        <w:pStyle w:val="ListBullet"/>
      </w:pPr>
      <w:r/>
      <w:r>
        <w:rPr>
          <w:b/>
        </w:rPr>
        <w:t>SPIROCTAN</w:t>
      </w:r>
      <w:r>
        <w:t xml:space="preserve"> (FERLUX MEDIOLANUM) — Historique</w:t>
      </w:r>
    </w:p>
    <w:p>
      <w:pPr>
        <w:pStyle w:val="ListBullet"/>
      </w:pPr>
      <w:r>
        <w:t>Formes et Dosages : Gélules 75 mg (B/30)</w:t>
      </w:r>
    </w:p>
    <w:p>
      <w:pPr>
        <w:pStyle w:val="ListBullet"/>
      </w:pPr>
      <w:r>
        <w:t>Statut : Retiré (R) (Liste II)</w:t>
      </w:r>
    </w:p>
    <w:p>
      <w:pPr>
        <w:pStyle w:val="ListBullet"/>
      </w:pPr>
      <w:r/>
      <w:r>
        <w:rPr>
          <w:b/>
        </w:rPr>
        <w:t>DQA SPIRONO 100</w:t>
      </w:r>
      <w:r>
        <w:t xml:space="preserve"> (DUTCH QUALITY ASSURANCE PHARMA) — Historique</w:t>
      </w:r>
    </w:p>
    <w:p>
      <w:pPr>
        <w:pStyle w:val="ListBullet"/>
      </w:pPr>
      <w:r>
        <w:t>Formes et Dosages : Comprimé pelliculé 100 mg (B/30)</w:t>
      </w:r>
    </w:p>
    <w:p>
      <w:pPr>
        <w:pStyle w:val="ListBullet"/>
      </w:pPr>
      <w:r>
        <w:t>Statut : Retiré (R)</w:t>
      </w:r>
    </w:p>
    <w:p>
      <w:pPr>
        <w:pStyle w:val="ListBullet"/>
      </w:pPr>
      <w:r/>
      <w:r>
        <w:rPr>
          <w:b/>
        </w:rPr>
        <w:t>DQA SPIRONO 50</w:t>
      </w:r>
      <w:r>
        <w:t xml:space="preserve"> (DUTCH QUALITY ASSURANCE PHARMA) — Historique</w:t>
      </w:r>
    </w:p>
    <w:p>
      <w:pPr>
        <w:pStyle w:val="ListBullet"/>
      </w:pPr>
      <w:r>
        <w:t>Formes et Dosages : Comprimé pelliculé 50 mg (B/30)</w:t>
      </w:r>
    </w:p>
    <w:p>
      <w:pPr>
        <w:pStyle w:val="ListBullet"/>
      </w:pPr>
      <w:r>
        <w:t>Statut : Retiré (R)</w:t>
      </w:r>
    </w:p>
    <w:p>
      <w:r/>
      <w:r>
        <w:rPr>
          <w:b/>
        </w:rPr>
        <w:t>Sous-classe et Mécanisme d'action :</w:t>
      </w:r>
      <w:r/>
    </w:p>
    <w:p>
      <w:pPr>
        <w:pStyle w:val="ListBullet"/>
      </w:pPr>
      <w:r>
        <w:t>Sous-classe : Diurétiques épargneurs de potassium — Anti-aldostérones (antagonistes compétitifs du récepteur minéralocorticoïde).</w:t>
      </w:r>
    </w:p>
    <w:p>
      <w:pPr>
        <w:pStyle w:val="ListBullet"/>
      </w:pPr>
      <w:r>
        <w:t>Mécanisme d'action : La spironolactone se lie competitivement au récepteur minéralocorticoïde (MR/NR3C2) des cellules principales du tube collecteur, bloquant l'action de l'aldostérone. L'aldostérone stimule normalement la synthèse et l'activité des canaux ENaC (apical) et de la pompe Na⁺/K⁺-ATPase (basolatérale) via un effet génomique (récepteur nucléaire, augmentation de la transcription). En bloquant ce récepteur, la spironolactone réduit la réabsorption de sodium et l'excrétion de potassium et d'hydrogène, d'où l'effet diurétique modéré (1–2 % de la charge filtrée) mais l'effet épargneur de K⁺ et H⁺ marqué (prévention de l'hypokaliémie et de l'alcalose). Effets extra-rénaux : blocage des récepteurs androgéniques (anti-androgène faible) et agonisme progestatif (à l'origine de la gynécomastie et de l'impuissance). Effets anti-fibrotiques myocardiques et vasculaires, indépendants de l'effet diurétique, qui expliquent en partie le bénéfice en insuffisance cardiaque (RALES).</w:t>
      </w:r>
    </w:p>
    <w:p>
      <w:r/>
      <w:r>
        <w:rPr>
          <w:b/>
        </w:rPr>
        <w:t>Profil Pharmacologique :</w:t>
      </w:r>
      <w:r/>
    </w:p>
    <w:p>
      <w:pPr>
        <w:pStyle w:val="ListBullet"/>
      </w:pPr>
      <w:r>
        <w:t>Indications : Insuffisance cardiaque chronique NYHA III–IV (en association à l'IEC et au bêta-bloquant — RALES, réduction de 30 % de la mortalité), hyperaldostéronisme primaire (syndrome de Conn), hyperaldostéronisme secondaire (cirrhose ascitique, syndrome néphrotique, insuffisance cardiaque), œdèmes réfractaires, HTA réfractaire (4ᵉ ligne), syndrome de Bartter, hirsutisme féminin (effet anti-androgène). Polycystose ovarienne (hors AMM).</w:t>
      </w:r>
    </w:p>
    <w:p>
      <w:pPr>
        <w:pStyle w:val="ListBullet"/>
      </w:pPr>
      <w:r>
        <w:t>Contre-indications : Hyperkaliémie (K⁺ &gt; 5 mmol/L), insuffisance rénale sévère (DFG &lt; 30 mL/min), association aux diurétiques épargneurs de potassium (amiloride, triamtérène, eplérénone), association aux suppléments potassiques, association aux IEC ou ARA2 sans surveillance stricte, hyponatrémie &lt; 125 mmol/L, maladie d'Addison.</w:t>
      </w:r>
    </w:p>
    <w:p>
      <w:pPr>
        <w:pStyle w:val="ListBullet"/>
      </w:pPr>
      <w:r>
        <w:t>Effets Indésirables : Hyperkaliémie (fréquent et potentiellement grave), gynécomastie (10–20 % chez l'homme, dose-dépendante et réversible à l'arrêt), impuissance, baisse de la libido, troubles menstruels (aménorrhée, métrorragies) chez la femme, hypotension orthostatique, déshydratation, hyponatrémie, asthénie, crampes, troubles digestifs, rash, exceptionnels syndrome de Lyell, agranulocytose, hépatite cholestatique.</w:t>
      </w:r>
    </w:p>
    <w:p>
      <w:r/>
      <w:r>
        <w:rPr>
          <w:b/>
        </w:rPr>
        <w:t>Prévention et Gestion des Effets Indésirables :</w:t>
      </w:r>
      <w:r/>
    </w:p>
    <w:p>
      <w:pPr>
        <w:pStyle w:val="ListBullet"/>
      </w:pPr>
      <w:r>
        <w:t>Mesures Préventives : Ionogramme avant puis à 7 jours, 1 mois, puis tous les 3 mois. Surveillance stricte en cas d'association aux IEC/ARA2 (risque d'hyperkaliémie triple). Régime hyposodé mais pas de supplémentation potassique. Chez l'homme, surveillance mammaire ; si gynécomastie douloureuse, réduire la dose ou substituer par eplérénone. Chez la femme en préménopause, information sur les troubles menstruels possibles.</w:t>
      </w:r>
    </w:p>
    <w:p>
      <w:pPr>
        <w:pStyle w:val="ListBullet"/>
      </w:pPr>
      <w:r>
        <w:t>Conduite à Tenir : En cas d'hyperkaliémie modérée (5–6 mmol/L), arrêt des suppléments potassiques, régime hypokaliémiant, surveillance. En cas d'hyperkaliémie sévère (&gt; 6,5 mmol/L ou troubles ECG), arrêt immédiat, gluconate de calcium IV, insuline+glucose, kayexalate, dialyse si réfractaire. En cas de gynécomastie invalidante, substitution par eplérénone.</w:t>
      </w:r>
    </w:p>
    <w:p>
      <w:r/>
      <w:r>
        <w:rPr>
          <w:b/>
        </w:rPr>
        <w:t>Interactions Importantes :</w:t>
      </w:r>
      <w:r/>
    </w:p>
    <w:p>
      <w:pPr>
        <w:pStyle w:val="ListBullet"/>
      </w:pPr>
      <w:r>
        <w:t>Spironolactone + IEC ou ARA2 : Risque majeur d'hyperkaliémie (triple effet épargneur de K⁺). Surveillance stricte de la kaliémie et de la créatinémie.</w:t>
      </w:r>
    </w:p>
    <w:p>
      <w:pPr>
        <w:pStyle w:val="ListBullet"/>
      </w:pPr>
      <w:r>
        <w:t>Spironolactone + Suppléments potassiques : CI absolue — risque d'hyperkaliémie fatale.</w:t>
      </w:r>
    </w:p>
    <w:p>
      <w:pPr>
        <w:pStyle w:val="ListBullet"/>
      </w:pPr>
      <w:r>
        <w:t>Spironolactone + Amiloride, triamtérène, eplérénone : CI absolue (association d'épargneurs de K⁺).</w:t>
      </w:r>
    </w:p>
    <w:p>
      <w:pPr>
        <w:pStyle w:val="ListBullet"/>
      </w:pPr>
      <w:r>
        <w:t>Spironolactone + AINS : Risque d'IRA, d'hyperkaliémie.</w:t>
      </w:r>
    </w:p>
    <w:p>
      <w:pPr>
        <w:pStyle w:val="ListBullet"/>
      </w:pPr>
      <w:r>
        <w:t>Spironolactone + Lithium : Diminution de l'excrétion du lithium → intoxication.</w:t>
      </w:r>
    </w:p>
    <w:p>
      <w:pPr>
        <w:pStyle w:val="ListBullet"/>
      </w:pPr>
      <w:r>
        <w:t>Spironolactone + Digoxine : Augmentation des concentrations de digoxine (compétition au niveau de la P-gp rénale) — surveillance digoxinémie.</w:t>
      </w:r>
    </w:p>
    <w:p>
      <w:pPr>
        <w:pStyle w:val="ListBullet"/>
      </w:pPr>
      <w:r>
        <w:t>Spironolactone + Anticoagulants oraux (warfarine) : Diminution de l'efficacité (induction enzymatique).</w:t>
      </w:r>
    </w:p>
    <w:p>
      <w:pPr>
        <w:pStyle w:val="ListBullet"/>
      </w:pPr>
      <w:r>
        <w:t>Spironolactone + Cotrimoxazole : Risque d'hyperkaliémie sévère (triméthoprime est aussi épargneur de K⁺).</w:t>
      </w:r>
    </w:p>
    <w:p>
      <w:r/>
      <w:r>
        <w:rPr>
          <w:b/>
        </w:rPr>
        <w:t>Grossesse et Allaitement :</w:t>
      </w:r>
      <w:r/>
    </w:p>
    <w:p>
      <w:pPr>
        <w:pStyle w:val="ListBullet"/>
      </w:pPr>
      <w:r>
        <w:t>Grossesse : À éviter selon le CRAT, en particulier au 1ᵉʳ trimestre (effet anti-androgène — risque théorique de féminisation d'un fœtus mâle, non confirmé chez l'humain mais prudence). En cas de nécessité absolue (hyperaldostéronisme maternel sévère), préférer l'eplérénone (données animales plus rassurantes, mais données humaines limitées). Le risque d'hyperkaliémie maternelle et fœtale est à surveiller.</w:t>
      </w:r>
    </w:p>
    <w:p>
      <w:pPr>
        <w:pStyle w:val="ListBullet"/>
      </w:pPr>
      <w:r>
        <w:t>Allaitement : Compatible à faibles doses selon le CRAT ; passage faible de la canrénone dans le lait. Surveillance de l'ionogramme du nourrisson si doses élevées.</w:t>
      </w:r>
    </w:p>
    <w:p>
      <w:pPr>
        <w:pStyle w:val="ListBullet"/>
      </w:pPr>
      <w:r>
        <w:t>Précisions : À proscrire en cas de suspicion de grossesse, d'allaitement maternel si HTA réfractaire sévère.</w:t>
      </w:r>
    </w:p>
    <w:p>
      <w:r/>
      <w:r>
        <w:rPr>
          <w:b/>
        </w:rPr>
        <w:t>Posologie et Mode d'administration (Standard) :</w:t>
      </w:r>
      <w:r/>
    </w:p>
    <w:p>
      <w:pPr>
        <w:pStyle w:val="ListBullet"/>
      </w:pPr>
      <w:r>
        <w:t>Adulte : Insuffisance cardiaque chronique — 25 à 50 mg/jour (soit un tiers à un demi-comprimé 75 mg). Hyperaldostéronisme primaire — 75 à 300 mg/jour. Cirrhose ascitique — 100 à 400 mg/jour (en association au furosémide, ratio 100:40 mg). HTA réfractaire — 25 à 50 mg/jour. Hirsutisme féminin — 50 à 100 mg/jour.</w:t>
      </w:r>
    </w:p>
    <w:p>
      <w:pPr>
        <w:pStyle w:val="ListBullet"/>
      </w:pPr>
      <w:r>
        <w:t>Sujet âgé : Posologie initiale réduite (12,5 mg/jour), surveillance stricte (hyperkaliémie, hyponatrémie, insuffisance rénale).</w:t>
      </w:r>
    </w:p>
    <w:p>
      <w:pPr>
        <w:pStyle w:val="ListBullet"/>
      </w:pPr>
      <w:r>
        <w:t>Durée : Au long cours dans l'insuffisance cardiaque, l'hyperaldostéronisme. Cure prolongée dans l'ascite cirrhotique.</w:t>
      </w:r>
    </w:p>
    <w:p>
      <w:pPr>
        <w:pStyle w:val="ListBullet"/>
      </w:pPr>
      <w:r>
        <w:t>Moment de prise : Matin (et midi si 2 prises), au cours d'un repas pour limiter les troubles digestifs.</w:t>
      </w:r>
    </w:p>
    <w:p>
      <w:r/>
      <w:r>
        <w:rPr>
          <w:b/>
        </w:rPr>
        <w:t>Arbitrage et Bénéfices des Formes Galéniques :</w:t>
      </w:r>
      <w:r/>
    </w:p>
    <w:p>
      <w:r>
        <w:t>La seule forme disponible en Algérie est le comprimé 75 mg sécable. Cette dose ne correspond pas directement aux posologies standards (25 ou 50 mg), ce qui impose une adaptation par fractionnement du comprimé (un tiers de comprimé = 25 mg, un demi = 37,5 mg, deux tiers = 50 mg). Cette contrainte expose à des erreurs de fractionnement. La spironolactone est absorbée rapidement, métabolisée en canrénone (métabolite actif) avec une demi-vie de 13–24 h, autorisant une prise par jour. La biodisponibilité est augmentée par la prise alimentaire.</w:t>
      </w:r>
    </w:p>
    <w:p>
      <w:r/>
      <w:r>
        <w:rPr>
          <w:b/>
        </w:rPr>
        <w:t>Instructions et Conseils au Patient :</w:t>
      </w:r>
      <w:r/>
    </w:p>
    <w:p>
      <w:pPr>
        <w:pStyle w:val="ListBullet"/>
      </w:pPr>
      <w:r>
        <w:t>Communication au comptoir : "Ce médicament traite l'insuffisance cardiaque et aide à éliminer l'eau sans perdre de potassium. Ne pas prendre de substituts du sel (riche en potassium) ni de compléments potassiques sans avis médical. Évitez les régimes riches en potassium (bananes, fruits secs, légumes verts). Prévenez votre médecin si vous prenez un IEC ou un ARA2. En cas de fatigue, faiblesse musculaire ou palpitations, prévenez votre médecin."</w:t>
      </w:r>
    </w:p>
    <w:p>
      <w:pPr>
        <w:pStyle w:val="ListBullet"/>
      </w:pPr>
      <w:r>
        <w:t>Mode d'utilisation pratique : Prise au cours du repas (meilleure absorption). Prise le matin (pour éviter la nycturie). Fractionnement du comprimé selon la prescription. Éviter les aliments riches en potassium (substituts de sel, bananes, agrumes, fruits secs, légumes verts feuillus). Surveillance du poids et de la PA.</w:t>
      </w:r>
    </w:p>
    <w:p>
      <w:r/>
      <w:r>
        <w:rPr>
          <w:b/>
        </w:rPr>
        <w:t>Notes, Règles d'Or &amp; Pièges au Comptoir :</w:t>
      </w:r>
      <w:r/>
    </w:p>
    <w:p>
      <w:pPr>
        <w:pStyle w:val="ListBullet"/>
      </w:pPr>
      <w:r>
        <w:t>Piège classique : Patient sous IEC (ramipril) et spironolactone sans surveillance de la kaliémie — risque majeur d'hyperkaliémie potentiellement létale. Patient consommant des substituts de sel (riche en KCl) — hyperkaliémie.</w:t>
      </w:r>
    </w:p>
    <w:p>
      <w:pPr>
        <w:pStyle w:val="ListBullet"/>
      </w:pPr>
      <w:r>
        <w:t>Règle de prise : Une prise par jour le matin. Régime normosodé, sans supplémentation potassique.</w:t>
      </w:r>
    </w:p>
    <w:p>
      <w:pPr>
        <w:pStyle w:val="ListBullet"/>
      </w:pPr>
      <w:r>
        <w:t>Préparation et Conservation : À température ambiante, à l'abri de l'humidité.</w:t>
      </w:r>
    </w:p>
    <w:p>
      <w:pPr>
        <w:pStyle w:val="ListBullet"/>
      </w:pPr>
      <w:r>
        <w:t>Piège du surdosage / Substitution : En cas d'hyperkaliémie sévère, traitement urgent : gluconate de calcium IV (protection myocardique), insuline+glucose (entrée du K⁺ dans les cellules), kayexalate (élimination digestive), dialyse si réfractaire. Ne pas substituer spironolactone par eplérénone sans avis médical (différence de puissance : eplérénone 50 mg ≈ spironolactone 25 mg).</w:t>
      </w:r>
    </w:p>
    <w:p>
      <w:pPr>
        <w:pStyle w:val="Heading3"/>
      </w:pPr>
      <w:r>
        <w:t>10. DCI : Eplérénone (Seule)</w:t>
      </w:r>
    </w:p>
    <w:p>
      <w:r>
        <w:t>L'eplérénone est un antagoniste sélectif du récepteur minéralocorticoïde, dérivé de la spironolactone mais avec une sélectivité accrue (faible affinité pour les récepteurs androgéniques et progestatifs), ce qui réduit considérablement l'incidence des effets indésirables hormonaux (gynécomastie, impuissance). Commercialisée en Algérie par deux laboratoires nationaux (EL KENDI, BIOPHARM) sous deux dosages (25 mg et 50 mg), elle est indiquée dans l'insuffisance cardiaque post-infarctus (essai EPHESUS) et l'insuffisance cardiaque chronique (essai EMPHASIS-HF). Sa puissance est environ 2 fois inférieure à celle de la spironolactone (50 mg eplérénone ≈ 25 mg spironolactone).</w:t>
      </w:r>
    </w:p>
    <w:p>
      <w:r/>
      <w:r>
        <w:rPr>
          <w:b/>
        </w:rPr>
        <w:t>Médicaments disponibles en Algérie (Marques, Laboratoires, Formes et Dosages) :</w:t>
      </w:r>
      <w:r/>
    </w:p>
    <w:p>
      <w:pPr>
        <w:pStyle w:val="ListBullet"/>
      </w:pPr>
      <w:r/>
      <w:r>
        <w:rPr>
          <w:b/>
        </w:rPr>
        <w:t>ELERAX</w:t>
      </w:r>
      <w:r>
        <w:t xml:space="preserve"> (EL KENDI INDUSTRIE DU MEDICAMENT)</w:t>
      </w:r>
    </w:p>
    <w:p>
      <w:pPr>
        <w:pStyle w:val="ListBullet"/>
      </w:pPr>
      <w:r>
        <w:t>Formes et Dosages : Comprimé pelliculé 25 mg (B/30) ; Comprimé pelliculé 50 mg (B/30)</w:t>
      </w:r>
    </w:p>
    <w:p>
      <w:pPr>
        <w:pStyle w:val="ListBullet"/>
      </w:pPr>
      <w:r>
        <w:t>Statut : Actif (Liste I)</w:t>
      </w:r>
    </w:p>
    <w:p>
      <w:pPr>
        <w:pStyle w:val="ListBullet"/>
      </w:pPr>
      <w:r/>
      <w:r>
        <w:rPr>
          <w:b/>
        </w:rPr>
        <w:t>EPLERON</w:t>
      </w:r>
      <w:r>
        <w:t xml:space="preserve"> (BIOPHARM)</w:t>
      </w:r>
    </w:p>
    <w:p>
      <w:pPr>
        <w:pStyle w:val="ListBullet"/>
      </w:pPr>
      <w:r>
        <w:t>Formes et Dosages : Comprimé pelliculé 25 mg (B/30) ; Comprimé pelliculé 50 mg (B/30)</w:t>
      </w:r>
    </w:p>
    <w:p>
      <w:pPr>
        <w:pStyle w:val="ListBullet"/>
      </w:pPr>
      <w:r>
        <w:t>Statut : Actif (Liste I)</w:t>
      </w:r>
    </w:p>
    <w:p>
      <w:r/>
      <w:r>
        <w:rPr>
          <w:b/>
        </w:rPr>
        <w:t>Sous-classe et Mécanisme d'action :</w:t>
      </w:r>
      <w:r/>
    </w:p>
    <w:p>
      <w:pPr>
        <w:pStyle w:val="ListBullet"/>
      </w:pPr>
      <w:r>
        <w:t>Sous-classe : Diurétiques épargneurs de potassium — Anti-aldostérones (antagonistes sélectifs du récepteur minéralocorticoïde).</w:t>
      </w:r>
    </w:p>
    <w:p>
      <w:pPr>
        <w:pStyle w:val="ListBullet"/>
      </w:pPr>
      <w:r>
        <w:t>Mécanisme d'action : L'eplérénone se lie competitivement au récepteur minéralocorticoïde (MR/NR3C2) des cellules principales du tube collecteur, bloquant l'effet génomique de l'aldostérone. Sa sélectivité pour le récepteur MR est 100 à 1000 fois supérieure à celle des récepteurs androgéniques, progestatifs et glucocorticoïdes, ce qui explique l'absence des effets hormonaux observés avec la spironolactone. L'effet pharmacologique est identique : diminution de la réabsorption de sodium, épargne du potassium et de l'hydrogène. Effets extra-rénaux anti-fibrotiques myocardiques et vasculaires, indépendants de l'effet diurétique, qui expliquent le bénéfice post-infarctus avec dysfonction ventriculaire gauche (EPHESUS).</w:t>
      </w:r>
    </w:p>
    <w:p>
      <w:r/>
      <w:r>
        <w:rPr>
          <w:b/>
        </w:rPr>
        <w:t>Profil Pharmacologique :</w:t>
      </w:r>
      <w:r/>
    </w:p>
    <w:p>
      <w:pPr>
        <w:pStyle w:val="ListBullet"/>
      </w:pPr>
      <w:r>
        <w:t>Indications : Insuffisance cardiaque chronique stable (NYHA II) avec dysfonction systolique (FEVG ≤ 35 %) en association à l'IEC et au bêta-bloquant (EMPHASIS-HF), post-infarctus du myocarde avec dysfonction ventriculaire gauche (FEVG ≤ 40 %) et signes d'insuffisance cardiaque (EPHESUS, réduction de 15 % de la mortalité), HTA réfractaire (alternative à la spironolactone en cas d'effets hormonaux intolérables).</w:t>
      </w:r>
    </w:p>
    <w:p>
      <w:pPr>
        <w:pStyle w:val="ListBullet"/>
      </w:pPr>
      <w:r>
        <w:t>Contre-indications : Hyperkaliémie (K⁺ &gt; 5 mmol/L), insuffisance rénale sévère (DFG &lt; 30 mL/min), association aux diurétiques épargneurs de potassium (amiloride, triamtérène, spironolactone), association aux suppléments potassiques, association aux IEC ou ARA2 sans surveillance stricte, association aux inhibiteurs puissants du CYP3A4 (clarithromycine, kétoconazole, itraconazole, ritonavir).</w:t>
      </w:r>
    </w:p>
    <w:p>
      <w:pPr>
        <w:pStyle w:val="ListBullet"/>
      </w:pPr>
      <w:r>
        <w:t>Effets Indésirables : Hyperkaliémie (fréquent, potentiellement grave — particulièrement chez le sujet âgé, insuffisant rénal, diabétique), hypotension orthostatique, hyponatrémie, déshydratation, asthénie, vertiges, troubles digestifs (nausées, diarrhée), rash, exceptionnellement gynécomastie (très rare, à la différence de la spironolactone), insuffisance rénale aiguë (en cas de déplétion volémique associée).</w:t>
      </w:r>
    </w:p>
    <w:p>
      <w:r/>
      <w:r>
        <w:rPr>
          <w:b/>
        </w:rPr>
        <w:t>Prévention et Gestion des Effets Indésirables :</w:t>
      </w:r>
      <w:r/>
    </w:p>
    <w:p>
      <w:pPr>
        <w:pStyle w:val="ListBullet"/>
      </w:pPr>
      <w:r>
        <w:t>Mesures Préventives : Ionogramme et créatinémie avant, à 7 jours, 1 mois, puis tous les 3 mois. Adaptation de la dose en cas d'insuffisance rénale ou d'hyperkaliémie (50 mg un jour sur deux si DFG 30–50 mL/min). Régime hyposodé, sans supplémentation potassique.</w:t>
      </w:r>
    </w:p>
    <w:p>
      <w:pPr>
        <w:pStyle w:val="ListBullet"/>
      </w:pPr>
      <w:r>
        <w:t>Conduite à Tenir : En cas d'hyperkaliémie modérée (5,5–5,9 mmol/L), réduction de dose ou arrêt transitoire. En cas d'hyperkaliémie sévère (&gt; 6 mmol/L ou troubles ECG), arrêt immédiat, traitement symptomatique urgent (cf. spironolactone).</w:t>
      </w:r>
    </w:p>
    <w:p>
      <w:r/>
      <w:r>
        <w:rPr>
          <w:b/>
        </w:rPr>
        <w:t>Interactions Importantes :</w:t>
      </w:r>
      <w:r/>
    </w:p>
    <w:p>
      <w:pPr>
        <w:pStyle w:val="ListBullet"/>
      </w:pPr>
      <w:r>
        <w:t>Eplérénone + IEC ou ARA2 : Risque majeur d'hyperkaliémie. Surveillance stricte.</w:t>
      </w:r>
    </w:p>
    <w:p>
      <w:pPr>
        <w:pStyle w:val="ListBullet"/>
      </w:pPr>
      <w:r>
        <w:t>Eplérénone + Suppléments potassiques : CI absolue.</w:t>
      </w:r>
    </w:p>
    <w:p>
      <w:pPr>
        <w:pStyle w:val="ListBullet"/>
      </w:pPr>
      <w:r>
        <w:t>Eplérénone + Spironolactone, amiloride, triamtérène : CI absolue.</w:t>
      </w:r>
    </w:p>
    <w:p>
      <w:pPr>
        <w:pStyle w:val="ListBullet"/>
      </w:pPr>
      <w:r>
        <w:t>Eplérénone + Inhibiteurs puissants du CYP3A4 (clarithromycine, kétoconazole, itraconazole, ritonavir, nelfinavir) : CI absolue — augmentation majeure des concentrations d'eplérénone.</w:t>
      </w:r>
    </w:p>
    <w:p>
      <w:pPr>
        <w:pStyle w:val="ListBullet"/>
      </w:pPr>
      <w:r>
        <w:t>Eplérénone + Inhibiteurs modérés du CYP3A4 (érythromycine, fluconazole, saquinavir, vérapamil, diltiazem, amiodarone) : Réduction de dose à 25 mg un jour sur deux.</w:t>
      </w:r>
    </w:p>
    <w:p>
      <w:pPr>
        <w:pStyle w:val="ListBullet"/>
      </w:pPr>
      <w:r>
        <w:t>Eplérénone + Inducteurs du CYP3A4 (rifampicine, carbamazépine, phénytoïne, phénobarbital, millepertuis) : Diminution de l'efficacité de l'eplérénone.</w:t>
      </w:r>
    </w:p>
    <w:p>
      <w:pPr>
        <w:pStyle w:val="ListBullet"/>
      </w:pPr>
      <w:r>
        <w:t>Eplérénone + Digoxine : Augmentation modérée de la digoxinémie (compétition P-gp).</w:t>
      </w:r>
    </w:p>
    <w:p>
      <w:pPr>
        <w:pStyle w:val="ListBullet"/>
      </w:pPr>
      <w:r>
        <w:t>Eplérénone + Lithium : Diminution de l'excrétion du lithium → intoxication.</w:t>
      </w:r>
    </w:p>
    <w:p>
      <w:r/>
      <w:r>
        <w:rPr>
          <w:b/>
        </w:rPr>
        <w:t>Grossesse et Allaitement :</w:t>
      </w:r>
      <w:r/>
    </w:p>
    <w:p>
      <w:pPr>
        <w:pStyle w:val="ListBullet"/>
      </w:pPr>
      <w:r>
        <w:t>Grossesse : À éviter selon le CRAT (données animales de toxicité fœtale à doses élevées, données humaines limitées). À réserver aux situations de nécessité absolue. Préférer d'autres antihypertenseurs en cas d'HTA gravidique.</w:t>
      </w:r>
    </w:p>
    <w:p>
      <w:pPr>
        <w:pStyle w:val="ListBullet"/>
      </w:pPr>
      <w:r>
        <w:t>Allaitement : Contre-indiqué (passage dans le lait démontré chez l'animal, données humaines manquantes).</w:t>
      </w:r>
    </w:p>
    <w:p>
      <w:pPr>
        <w:pStyle w:val="ListBullet"/>
      </w:pPr>
      <w:r>
        <w:t>Précisions : Femme en âge de procréer = contraception efficace indispensable.</w:t>
      </w:r>
    </w:p>
    <w:p>
      <w:r/>
      <w:r>
        <w:rPr>
          <w:b/>
        </w:rPr>
        <w:t>Posologie et Mode d'administration (Standard) :</w:t>
      </w:r>
      <w:r/>
    </w:p>
    <w:p>
      <w:pPr>
        <w:pStyle w:val="ListBullet"/>
      </w:pPr>
      <w:r>
        <w:t>Adulte : Post-infarctus et insuffisance cardiaque — dose initiale 25 mg/jour, augmentation à 50 mg/jour à 4 semaines si tolérance et kaliémie &lt; 5 mmol/L. Dose maximale 50 mg/jour. En cas de DFG 30–50 mL/min, démarrer à 25 mg un jour sur deux. HTA réfractaire — 50 à 100 mg/jour.</w:t>
      </w:r>
    </w:p>
    <w:p>
      <w:pPr>
        <w:pStyle w:val="ListBullet"/>
      </w:pPr>
      <w:r>
        <w:t>Sujet âgé : Posologie initiale réduite (25 mg/jour), surveillance stricte (hyperkaliémie, insuffisance rénale).</w:t>
      </w:r>
    </w:p>
    <w:p>
      <w:pPr>
        <w:pStyle w:val="ListBullet"/>
      </w:pPr>
      <w:r>
        <w:t>Durée : Au long cours.</w:t>
      </w:r>
    </w:p>
    <w:p>
      <w:pPr>
        <w:pStyle w:val="ListBullet"/>
      </w:pPr>
      <w:r>
        <w:t>Moment de prise : Matin ou soir, indifféremment.</w:t>
      </w:r>
    </w:p>
    <w:p>
      <w:r/>
      <w:r>
        <w:rPr>
          <w:b/>
        </w:rPr>
        <w:t>Arbitrage et Bénéfices des Formes Galéniques :</w:t>
      </w:r>
      <w:r/>
    </w:p>
    <w:p>
      <w:r>
        <w:t>Les comprimés pelliculés 25 mg et 50 mg permettent une adaptation posologique fine. L'eplérénone est absorbée rapidement avec une biodisponibilité de 70 %, un pic plasmatique à 1,5 h, une demi-vie de 4–6 h. Son élimination est principalement hépatique (CYP3A4), d'où les interactions avec les inhibiteurs et inducteurs enzymatiques. Comparativement à la spironolactone, l'eplérénone présente l'avantage d'une absence d'effets hormonaux (gynécomastie, impuissance), mais son coût est plus élevé et sa puissance est environ 2 fois moindre.</w:t>
      </w:r>
    </w:p>
    <w:p>
      <w:r/>
      <w:r>
        <w:rPr>
          <w:b/>
        </w:rPr>
        <w:t>Instructions et Conseils au Patient :</w:t>
      </w:r>
      <w:r/>
    </w:p>
    <w:p>
      <w:pPr>
        <w:pStyle w:val="ListBullet"/>
      </w:pPr>
      <w:r>
        <w:t>Communication au comptoir : "Ce médicament traite l'insuffisance cardiaque après un infarctus. Il aide à éliminer l'eau sans perdre de potassium. Évitez les substituts de sel et les compléments potassiques. Évitez le pamplemousse (interaction). Prévenez votre médecin si vous prenez de l'amiodarone, un antibiotique de type clarithromycine ou un antifongique."</w:t>
      </w:r>
    </w:p>
    <w:p>
      <w:pPr>
        <w:pStyle w:val="ListBullet"/>
      </w:pPr>
      <w:r>
        <w:t>Mode d'utilisation pratique : Prise à heure fixe. Surveillance du poids, de la PA, de la kaliémie. Éviter le pamplemousse (inhibition du CYP3A4).</w:t>
      </w:r>
    </w:p>
    <w:p>
      <w:r/>
      <w:r>
        <w:rPr>
          <w:b/>
        </w:rPr>
        <w:t>Notes, Règles d'Or &amp; Pièges au Comptoir :</w:t>
      </w:r>
      <w:r/>
    </w:p>
    <w:p>
      <w:pPr>
        <w:pStyle w:val="ListBullet"/>
      </w:pPr>
      <w:r>
        <w:t>Piège classique : Patient sous IEC, eplérénone et supplémentation potassique — risque vital d'hyperkaliémie. Patient sous clarithromycine pour une infection respiratoire — interaction grave avec l'eplérénone (CI absolue).</w:t>
      </w:r>
    </w:p>
    <w:p>
      <w:pPr>
        <w:pStyle w:val="ListBullet"/>
      </w:pPr>
      <w:r>
        <w:t>Règle de prise : Une prise par jour.</w:t>
      </w:r>
    </w:p>
    <w:p>
      <w:pPr>
        <w:pStyle w:val="ListBullet"/>
      </w:pPr>
      <w:r>
        <w:t>Préparation et Conservation : À température ambiante, à l'abri de l'humidité.</w:t>
      </w:r>
    </w:p>
    <w:p>
      <w:pPr>
        <w:pStyle w:val="ListBullet"/>
      </w:pPr>
      <w:r>
        <w:t>Piège du surdosage / Substitution : En cas d'hyperkaliémie sévère, traitement urgent identique à celui de la spironolactone. L'eplérénone est un médicament de prescription hospitalière initiale pour l'indication post-infarctus.</w:t>
      </w:r>
    </w:p>
    <w:p>
      <w:pPr>
        <w:pStyle w:val="Heading3"/>
      </w:pPr>
      <w:r>
        <w:t>11. DCI : Amiloride + Hydrochlorothiazide (Association Fixe)</w:t>
      </w:r>
    </w:p>
    <w:p>
      <w:r>
        <w:t>L'association amiloride + hydrochlorothiazide est l'archétype de l'association diurétique épargneuse de potassium + thiazidique. Le principe est de combiner un diurétique distal (HCTZ, inhibiteur NCC) à un épargneur de potassium inhibiteur de ENaC (amiloride), afin de neutraliser l'hypokaliémie thiazidique-induite. Le ratio 5 mg/50 mg (amiloride/HCTZ) reflète l'équilibre natriurétique/anti-kaliurétique optimal. Cette association, disponible en Algérie sous plusieurs marques (DUDREX, AMURETIC), est utilisée dans l'HTA modérée à sévère et l'insuffisance cardiaque légère.</w:t>
      </w:r>
    </w:p>
    <w:p>
      <w:r/>
      <w:r>
        <w:rPr>
          <w:b/>
        </w:rPr>
        <w:t>Médicaments disponibles en Algérie (Marques, Laboratoires, Formes et Dosages) :</w:t>
      </w:r>
      <w:r/>
    </w:p>
    <w:p>
      <w:pPr>
        <w:pStyle w:val="ListBullet"/>
      </w:pPr>
      <w:r/>
      <w:r>
        <w:rPr>
          <w:b/>
        </w:rPr>
        <w:t>DUDREX</w:t>
      </w:r>
      <w:r>
        <w:t xml:space="preserve"> (GENERIC LAB)</w:t>
      </w:r>
    </w:p>
    <w:p>
      <w:pPr>
        <w:pStyle w:val="ListBullet"/>
      </w:pPr>
      <w:r>
        <w:t>Formes et Dosages : Comprimé sécable 5 mg/50 mg (amiloride/HCTZ) (B/30)</w:t>
      </w:r>
    </w:p>
    <w:p>
      <w:pPr>
        <w:pStyle w:val="ListBullet"/>
      </w:pPr>
      <w:r>
        <w:t>Statut : Actif (Liste I)</w:t>
      </w:r>
    </w:p>
    <w:p>
      <w:pPr>
        <w:pStyle w:val="ListBullet"/>
      </w:pPr>
      <w:r/>
      <w:r>
        <w:rPr>
          <w:b/>
        </w:rPr>
        <w:t>AMURETIC</w:t>
      </w:r>
      <w:r>
        <w:t xml:space="preserve"> (DAR AL DAWA)</w:t>
      </w:r>
    </w:p>
    <w:p>
      <w:pPr>
        <w:pStyle w:val="ListBullet"/>
      </w:pPr>
      <w:r>
        <w:t>Formes et Dosages : Comprimé sécable 5 mg/50 mg (amiloride/HCTZ) (B/30)</w:t>
      </w:r>
    </w:p>
    <w:p>
      <w:pPr>
        <w:pStyle w:val="ListBullet"/>
      </w:pPr>
      <w:r>
        <w:t>Statut : Actif (Liste I)</w:t>
      </w:r>
    </w:p>
    <w:p>
      <w:pPr>
        <w:pStyle w:val="ListBullet"/>
      </w:pPr>
      <w:r/>
      <w:r>
        <w:rPr>
          <w:b/>
        </w:rPr>
        <w:t>MODURETIC</w:t>
      </w:r>
      <w:r>
        <w:t xml:space="preserve"> (MERCK SHARP &amp; DHOME CHIBRET) — Historique</w:t>
      </w:r>
    </w:p>
    <w:p>
      <w:pPr>
        <w:pStyle w:val="ListBullet"/>
      </w:pPr>
      <w:r>
        <w:t>Formes et Dosages : Comprimé 5 mg/50 mg (amiloride/HCTZ) (B/30)</w:t>
      </w:r>
    </w:p>
    <w:p>
      <w:pPr>
        <w:pStyle w:val="ListBullet"/>
      </w:pPr>
      <w:r>
        <w:t>Statut : Non Renouvelable (Liste I)</w:t>
      </w:r>
    </w:p>
    <w:p>
      <w:pPr>
        <w:pStyle w:val="ListBullet"/>
      </w:pPr>
      <w:r/>
      <w:r>
        <w:rPr>
          <w:b/>
        </w:rPr>
        <w:t>CROTIAZIDE</w:t>
      </w:r>
      <w:r>
        <w:t xml:space="preserve"> (CROVIS PHILCOM) — Historique</w:t>
      </w:r>
    </w:p>
    <w:p>
      <w:pPr>
        <w:pStyle w:val="ListBullet"/>
      </w:pPr>
      <w:r>
        <w:t>Formes et Dosages : Comprimé 5 mg/50 mg (amiloride/HCTZ) (B/30)</w:t>
      </w:r>
    </w:p>
    <w:p>
      <w:pPr>
        <w:pStyle w:val="ListBullet"/>
      </w:pPr>
      <w:r>
        <w:t>Statut : Non Renouvelable</w:t>
      </w:r>
    </w:p>
    <w:p>
      <w:pPr>
        <w:pStyle w:val="ListBullet"/>
      </w:pPr>
      <w:r/>
      <w:r>
        <w:rPr>
          <w:b/>
        </w:rPr>
        <w:t>DIRIL</w:t>
      </w:r>
      <w:r>
        <w:t xml:space="preserve"> (PETRA PHARM) — Historique</w:t>
      </w:r>
    </w:p>
    <w:p>
      <w:pPr>
        <w:pStyle w:val="ListBullet"/>
      </w:pPr>
      <w:r>
        <w:t>Formes et Dosages : Comprimé 5 mg/50 mg (amiloride/HCTZ) (B/30)</w:t>
      </w:r>
    </w:p>
    <w:p>
      <w:pPr>
        <w:pStyle w:val="ListBullet"/>
      </w:pPr>
      <w:r>
        <w:t>Statut : Non Renouvelable</w:t>
      </w:r>
    </w:p>
    <w:p>
      <w:pPr>
        <w:pStyle w:val="ListBullet"/>
      </w:pPr>
      <w:r/>
      <w:r>
        <w:rPr>
          <w:b/>
        </w:rPr>
        <w:t>HEMOPRES</w:t>
      </w:r>
      <w:r>
        <w:t xml:space="preserve"> (HEMOFARM) — Historique</w:t>
      </w:r>
    </w:p>
    <w:p>
      <w:pPr>
        <w:pStyle w:val="ListBullet"/>
      </w:pPr>
      <w:r>
        <w:t>Formes et Dosages : Comprimé 5 mg/50 mg (amiloride/HCTZ) (B/40)</w:t>
      </w:r>
    </w:p>
    <w:p>
      <w:pPr>
        <w:pStyle w:val="ListBullet"/>
      </w:pPr>
      <w:r>
        <w:t>Statut : Non Renouvelable</w:t>
      </w:r>
    </w:p>
    <w:p>
      <w:pPr>
        <w:pStyle w:val="ListBullet"/>
      </w:pPr>
      <w:r/>
      <w:r>
        <w:rPr>
          <w:b/>
        </w:rPr>
        <w:t>UNIRETIC</w:t>
      </w:r>
      <w:r>
        <w:t xml:space="preserve"> (UNITED PHARMACEUTICAL MANUFACTURING) — Historique</w:t>
      </w:r>
    </w:p>
    <w:p>
      <w:pPr>
        <w:pStyle w:val="ListBullet"/>
      </w:pPr>
      <w:r>
        <w:t>Formes et Dosages : Comprimé 5 mg/50 mg (amiloride/HCTZ) (B/20)</w:t>
      </w:r>
    </w:p>
    <w:p>
      <w:pPr>
        <w:pStyle w:val="ListBullet"/>
      </w:pPr>
      <w:r>
        <w:t>Statut : Non Renouvelable</w:t>
      </w:r>
    </w:p>
    <w:p>
      <w:pPr>
        <w:pStyle w:val="ListBullet"/>
      </w:pPr>
      <w:r/>
      <w:r>
        <w:rPr>
          <w:b/>
        </w:rPr>
        <w:t>ADD-ACTEN</w:t>
      </w:r>
      <w:r>
        <w:t xml:space="preserve"> (MEDOCHEMIE) — Historique</w:t>
      </w:r>
    </w:p>
    <w:p>
      <w:pPr>
        <w:pStyle w:val="ListBullet"/>
      </w:pPr>
      <w:r>
        <w:t>Formes et Dosages : Comprimé 5 mg/50 mg (amiloride/HCTZ) (B/30)</w:t>
      </w:r>
    </w:p>
    <w:p>
      <w:pPr>
        <w:pStyle w:val="ListBullet"/>
      </w:pPr>
      <w:r>
        <w:t>Statut : Retiré (R)</w:t>
      </w:r>
    </w:p>
    <w:p>
      <w:pPr>
        <w:pStyle w:val="ListBullet"/>
      </w:pPr>
      <w:r/>
      <w:r>
        <w:rPr>
          <w:b/>
        </w:rPr>
        <w:t>GRODUREX</w:t>
      </w:r>
      <w:r>
        <w:t xml:space="preserve"> (GROSSMANN) — Historique</w:t>
      </w:r>
    </w:p>
    <w:p>
      <w:pPr>
        <w:pStyle w:val="ListBullet"/>
      </w:pPr>
      <w:r>
        <w:t>Formes et Dosages : Comprimé 5 mg/50 mg (amiloride/HCTZ) (B/20)</w:t>
      </w:r>
    </w:p>
    <w:p>
      <w:pPr>
        <w:pStyle w:val="ListBullet"/>
      </w:pPr>
      <w:r>
        <w:t>Statut : Retiré (R)</w:t>
      </w:r>
    </w:p>
    <w:p>
      <w:pPr>
        <w:pStyle w:val="ListBullet"/>
      </w:pPr>
      <w:r/>
      <w:r>
        <w:rPr>
          <w:b/>
        </w:rPr>
        <w:t>AMILORETIC</w:t>
      </w:r>
      <w:r>
        <w:t xml:space="preserve"> (PHARMACARE LIMITED) — Historique</w:t>
      </w:r>
    </w:p>
    <w:p>
      <w:pPr>
        <w:pStyle w:val="ListBullet"/>
      </w:pPr>
      <w:r>
        <w:t>Formes et Dosages : Comprimé 5 mg/50 mg (amiloride/HCTZ) (B/30)</w:t>
      </w:r>
    </w:p>
    <w:p>
      <w:pPr>
        <w:pStyle w:val="ListBullet"/>
      </w:pPr>
      <w:r>
        <w:t>Statut : Retiré (R)</w:t>
      </w:r>
    </w:p>
    <w:p>
      <w:pPr>
        <w:pStyle w:val="ListBullet"/>
      </w:pPr>
      <w:r/>
      <w:r>
        <w:rPr>
          <w:b/>
        </w:rPr>
        <w:t>DIUZINE</w:t>
      </w:r>
      <w:r>
        <w:t xml:space="preserve"> (INSTITUTO DE FARMACOLOGIA ESPAGNOLA) — Historique</w:t>
      </w:r>
    </w:p>
    <w:p>
      <w:pPr>
        <w:pStyle w:val="ListBullet"/>
      </w:pPr>
      <w:r>
        <w:t>Formes et Dosages : Comprimé 5 mg/50 mg (amiloride/HCTZ) (B/30)</w:t>
      </w:r>
    </w:p>
    <w:p>
      <w:pPr>
        <w:pStyle w:val="ListBullet"/>
      </w:pPr>
      <w:r>
        <w:t>Statut : Retiré (R)</w:t>
      </w:r>
    </w:p>
    <w:p>
      <w:pPr>
        <w:pStyle w:val="ListBullet"/>
      </w:pPr>
      <w:r/>
      <w:r>
        <w:rPr>
          <w:b/>
        </w:rPr>
        <w:t>HYDIKAL</w:t>
      </w:r>
      <w:r>
        <w:t xml:space="preserve"> (PHARCO EGYPTE) — Historique</w:t>
      </w:r>
    </w:p>
    <w:p>
      <w:pPr>
        <w:pStyle w:val="ListBullet"/>
      </w:pPr>
      <w:r>
        <w:t>Formes et Dosages : Comprimé 5 mg/50 mg (amiloride/HCTZ) (B/20)</w:t>
      </w:r>
    </w:p>
    <w:p>
      <w:pPr>
        <w:pStyle w:val="ListBullet"/>
      </w:pPr>
      <w:r>
        <w:t>Statut : Retiré (R)</w:t>
      </w:r>
    </w:p>
    <w:p>
      <w:pPr>
        <w:pStyle w:val="ListBullet"/>
      </w:pPr>
      <w:r/>
      <w:r>
        <w:rPr>
          <w:b/>
        </w:rPr>
        <w:t>RHEFLUIN FORTE</w:t>
      </w:r>
      <w:r>
        <w:t xml:space="preserve"> (NOVAPHARM TRADING) — Historique</w:t>
      </w:r>
    </w:p>
    <w:p>
      <w:pPr>
        <w:pStyle w:val="ListBullet"/>
      </w:pPr>
      <w:r>
        <w:t>Formes et Dosages : Comprimé 5 mg/50 mg (amiloride/HCTZ) (B/20)</w:t>
      </w:r>
    </w:p>
    <w:p>
      <w:pPr>
        <w:pStyle w:val="ListBullet"/>
      </w:pPr>
      <w:r>
        <w:t>Statut : Retiré (R)</w:t>
      </w:r>
    </w:p>
    <w:p>
      <w:r/>
      <w:r>
        <w:rPr>
          <w:b/>
        </w:rPr>
        <w:t>Sous-classe et Mécanisme d'action :</w:t>
      </w:r>
      <w:r/>
    </w:p>
    <w:p>
      <w:pPr>
        <w:pStyle w:val="ListBullet"/>
      </w:pPr>
      <w:r>
        <w:t>Sous-classe : Diurétiques épargneurs de potassium + thiazidiques — Association fixe d'un inhibiteur de ENaC et d'un inhibiteur de NCC.</w:t>
      </w:r>
    </w:p>
    <w:p>
      <w:pPr>
        <w:pStyle w:val="ListBullet"/>
      </w:pPr>
      <w:r>
        <w:t>Mécanisme d'action : L'HCTZ inhibe le co-transporteur apical NCC (Slc12a3) du tube contourné distal, augmentant l'apport de sodium au tube collecteur. L'excès de sodium parvenant au tube collecteur est alors réabsorbé par le canal ENaC sous l'action de l'aldostérone, entraînant une excrétion accrue de potassium et d'hydrogène (hypokaliémie et alcalose). L'amiloride bloque directement ENaC (à distance de l'aldostérone), supprimant cette excrétion compensatoire de potassium. Le résultat est une diurèse modérée (effet additif des deux composés au tube distal et collecteur) avec neutralisation de l'hypokaliémie. Le ratio 5 mg amiloride/50 mg HCTZ correspond à l'équilibre optimal démontré cliniquement.</w:t>
      </w:r>
    </w:p>
    <w:p>
      <w:r/>
      <w:r>
        <w:rPr>
          <w:b/>
        </w:rPr>
        <w:t>Profil Pharmacologique :</w:t>
      </w:r>
      <w:r/>
    </w:p>
    <w:p>
      <w:pPr>
        <w:pStyle w:val="ListBullet"/>
      </w:pPr>
      <w:r>
        <w:t>Indications : HTA modérée à sévère (en monothérapie ou en association), insuffisance cardiaque chronique légère à modérée (en complément des IEC, bêta-bloquants), œdèmes modérés, prévention de la lithiase calcique récidivante (effet hypocalciurique de l'HCTZ).</w:t>
      </w:r>
    </w:p>
    <w:p>
      <w:pPr>
        <w:pStyle w:val="ListBullet"/>
      </w:pPr>
      <w:r>
        <w:t>Contre-indications : Hyperkaliémie (K⁺ &gt; 5 mmol/L), insuffisance rénale sévère (DFG &lt; 30 mL/min), hypersensibilité aux sulfamides, anurie, association aux IEC/ARA2/spironolactone/eplérénone/suppléments potassiques sans surveillance stricte, encéphalopathie hépatique, hyponatrémie &lt; 125 mmol/L, allaitement.</w:t>
      </w:r>
    </w:p>
    <w:p>
      <w:pPr>
        <w:pStyle w:val="ListBullet"/>
      </w:pPr>
      <w:r>
        <w:t>Effets Indésirables : Hyperkaliémie (possible malgré la combinaison, surtout en association à IEC/ARA2 ou insuffisance rénale), hyponatrémie (sévère chez la femme âgée), hypotension orthostatique, hyperuricémie (goutte), hyperglycémie modérée, hypertriglycéridémie, déshydratation, asthénie, vertiges, troubles digestifs, rash, photosensibilité, impuissance, exceptionnellement syndrome de Lyell, agranulocytose, pancréatite.</w:t>
      </w:r>
    </w:p>
    <w:p>
      <w:r/>
      <w:r>
        <w:rPr>
          <w:b/>
        </w:rPr>
        <w:t>Prévention et Gestion des Effets Indésirables :</w:t>
      </w:r>
      <w:r/>
    </w:p>
    <w:p>
      <w:pPr>
        <w:pStyle w:val="ListBullet"/>
      </w:pPr>
      <w:r>
        <w:t>Mesures Préventives : Ionogramme avant puis à 7 jours, 1 mois, puis tous les 3–6 mois. Surveillance de l'uricémie et de la glycémie chez les patients à risque. Photoprotection. Régime normosodé sans supplémentation potassique.</w:t>
      </w:r>
    </w:p>
    <w:p>
      <w:pPr>
        <w:pStyle w:val="ListBullet"/>
      </w:pPr>
      <w:r>
        <w:t>Conduite à Tenir : En cas d'hyperkaliémie (&gt; 5,5 mmol/L), arrêt transitoire, restriction potassique, surveillance. En cas d'hyponatrémie sévère (&lt; 125 mmol/L), arrêt et restriction hydrique.</w:t>
      </w:r>
    </w:p>
    <w:p>
      <w:r/>
      <w:r>
        <w:rPr>
          <w:b/>
        </w:rPr>
        <w:t>Interactions Importantes :</w:t>
      </w:r>
      <w:r/>
    </w:p>
    <w:p>
      <w:pPr>
        <w:pStyle w:val="ListBullet"/>
      </w:pPr>
      <w:r>
        <w:t>Association + IEC, ARA2, spironolactone, eplérénone : Risque majeur d'hyperkaliémie. Surveillance stricte, voire CI.</w:t>
      </w:r>
    </w:p>
    <w:p>
      <w:pPr>
        <w:pStyle w:val="ListBullet"/>
      </w:pPr>
      <w:r>
        <w:t>Association + Suppléments potassiques : CI absolue.</w:t>
      </w:r>
    </w:p>
    <w:p>
      <w:pPr>
        <w:pStyle w:val="ListBullet"/>
      </w:pPr>
      <w:r>
        <w:t>Association + Lithium : Diminution de l'excrétion du lithium → intoxication.</w:t>
      </w:r>
    </w:p>
    <w:p>
      <w:pPr>
        <w:pStyle w:val="ListBullet"/>
      </w:pPr>
      <w:r>
        <w:t>Association + AINS : Diminution de l'effet antihypertenseur, risque d'IRA.</w:t>
      </w:r>
    </w:p>
    <w:p>
      <w:pPr>
        <w:pStyle w:val="ListBullet"/>
      </w:pPr>
      <w:r>
        <w:t>Association + Corticoïdes : Effet antagoniste (corticoïdes = perte potassique, mais hypokaliémie masquée par l'amiloride — surveillance).</w:t>
      </w:r>
    </w:p>
    <w:p>
      <w:pPr>
        <w:pStyle w:val="ListBullet"/>
      </w:pPr>
      <w:r>
        <w:t>Association + Digitaliques (digoxine) : L'hypokaliémie de l'HCTZ est atténuée par l'amiloride, ce qui protège partiellement de la toxicité digitalique — mais surveillance quand même.</w:t>
      </w:r>
    </w:p>
    <w:p>
      <w:pPr>
        <w:pStyle w:val="ListBullet"/>
      </w:pPr>
      <w:r>
        <w:t>Association + Carbamazépine, antidépresseurs IRS : Risque d'hyponatrémie.</w:t>
      </w:r>
    </w:p>
    <w:p>
      <w:r/>
      <w:r>
        <w:rPr>
          <w:b/>
        </w:rPr>
        <w:t>Grossesse et Allaitement :</w:t>
      </w:r>
      <w:r/>
    </w:p>
    <w:p>
      <w:pPr>
        <w:pStyle w:val="ListBullet"/>
      </w:pPr>
      <w:r>
        <w:t>Grossesse : À éviter selon le CRAT, en particulier à cause de l'HCTZ (risque d'oligoamnios, thrombopénie néonatale). Préférer labétalol, méthyldopa, nicardipine en première intention. En cas de nécessité absolue, surveillance échographique de la quantité de liquide amniotique.</w:t>
      </w:r>
    </w:p>
    <w:p>
      <w:pPr>
        <w:pStyle w:val="ListBullet"/>
      </w:pPr>
      <w:r>
        <w:t>Allaitement : Contre-indiqué (passage de l'HCTZ et de l'amiloride dans le lait, inhibition de la lactation, risque d'hypokaliémie/hyperkaliémie chez le nourrisson).</w:t>
      </w:r>
    </w:p>
    <w:p>
      <w:pPr>
        <w:pStyle w:val="ListBullet"/>
      </w:pPr>
      <w:r>
        <w:t>Précisions : Femme en âge de procréer = contraception efficace indispensable.</w:t>
      </w:r>
    </w:p>
    <w:p>
      <w:r/>
      <w:r>
        <w:rPr>
          <w:b/>
        </w:rPr>
        <w:t>Posologie et Mode d'administration (Standard) :</w:t>
      </w:r>
      <w:r/>
    </w:p>
    <w:p>
      <w:pPr>
        <w:pStyle w:val="ListBullet"/>
      </w:pPr>
      <w:r>
        <w:t>Adulte : 1 comprimé (5/50 mg) par jour le matin. Possibilité de 2 comprimés par jour en cas de réponse insuffisante (à éviter chez le sujet âgé).</w:t>
      </w:r>
    </w:p>
    <w:p>
      <w:pPr>
        <w:pStyle w:val="ListBullet"/>
      </w:pPr>
      <w:r>
        <w:t>Sujet âgé : Posologie initiale réduite (demi-comprimé), surveillance stricte (hyponatrémie, hyperkaliémie, insuffisance rénale).</w:t>
      </w:r>
    </w:p>
    <w:p>
      <w:pPr>
        <w:pStyle w:val="ListBullet"/>
      </w:pPr>
      <w:r>
        <w:t>Durée : Au long cours.</w:t>
      </w:r>
    </w:p>
    <w:p>
      <w:pPr>
        <w:pStyle w:val="ListBullet"/>
      </w:pPr>
      <w:r>
        <w:t>Moment de prise : Matin.</w:t>
      </w:r>
    </w:p>
    <w:p>
      <w:r/>
      <w:r>
        <w:rPr>
          <w:b/>
        </w:rPr>
        <w:t>Arbitrage et Bénéfices des Formes Galéniques :</w:t>
      </w:r>
      <w:r/>
    </w:p>
    <w:p>
      <w:r>
        <w:t>La forme sécable permet une adaptation posologique (demi-comprimé chez le sujet âgé). L'association fixe simplifie l'observance (un comprimé au lieu de deux) et garantit la prise simultanée des deux composés. Le ratio 5/50 mg est calibré pour neutraliser l'hypokaliémie de l'HCTZ à 50 mg ; en cas d'adaptation (demi-dose), l'équilibre peut être rompu (demi-comprimé = 2,5 mg amiloride + 25 mg HCTZ). La biodisponibilité est correcte pour les deux composés, avec un pic à 3–4 h et une durée d'action de 12–24 h.</w:t>
      </w:r>
    </w:p>
    <w:p>
      <w:r/>
      <w:r>
        <w:rPr>
          <w:b/>
        </w:rPr>
        <w:t>Instructions et Conseils au Patient :</w:t>
      </w:r>
      <w:r/>
    </w:p>
    <w:p>
      <w:pPr>
        <w:pStyle w:val="ListBullet"/>
      </w:pPr>
      <w:r>
        <w:t>Communication au comptoir : "Ce médicament traite l'hypertension et aide à éliminer l'eau sans perdre de potassium. Une prise par jour le matin suffit. Évitez les substituts de sel (riches en potassium). Évitez l'exposition au soleil. En cas de fatigue, crampes ou palpitations, prévenez votre médecin."</w:t>
      </w:r>
    </w:p>
    <w:p>
      <w:pPr>
        <w:pStyle w:val="ListBullet"/>
      </w:pPr>
      <w:r>
        <w:t>Mode d'utilisation pratique : Prise unique le matin à heure fixe. Surveillance du poids et de la PA à domicile.</w:t>
      </w:r>
    </w:p>
    <w:p>
      <w:r/>
      <w:r>
        <w:rPr>
          <w:b/>
        </w:rPr>
        <w:t>Notes, Règles d'Or &amp; Pièges au Comptoir :</w:t>
      </w:r>
      <w:r/>
    </w:p>
    <w:p>
      <w:pPr>
        <w:pStyle w:val="ListBullet"/>
      </w:pPr>
      <w:r>
        <w:t>Piège classique : Patient sous IEC (ramipril) et DUDREX sans surveillance de la kaliémie — risque majeur d'hyperkaliémie (l'amiloride épargne le K⁺ + l'IEC réduit l'aldostérone → cumul). Patiente âgée présentant une confusion — penser à l'hyponatrémie sévère.</w:t>
      </w:r>
    </w:p>
    <w:p>
      <w:pPr>
        <w:pStyle w:val="ListBullet"/>
      </w:pPr>
      <w:r>
        <w:t>Règle de prise : Une prise unique le matin.</w:t>
      </w:r>
    </w:p>
    <w:p>
      <w:pPr>
        <w:pStyle w:val="ListBullet"/>
      </w:pPr>
      <w:r>
        <w:t>Préparation et Conservation : À température ambiante, à l'abri de l'humidité.</w:t>
      </w:r>
    </w:p>
    <w:p>
      <w:pPr>
        <w:pStyle w:val="ListBullet"/>
      </w:pPr>
      <w:r>
        <w:t>Piège du surdosage / Substitution : En cas d'hyperkaliémie, arrêt immédiat et traitement symptomatique. Ne pas substituer par HCTZ seule (perte de l'effet protecteur sur la kaliémie). Ne pas substituer par spironolactone + altizide (différent mécanisme, différente puissance).</w:t>
      </w:r>
    </w:p>
    <w:p>
      <w:pPr>
        <w:pStyle w:val="Heading3"/>
      </w:pPr>
      <w:r>
        <w:t>12. DCI : Spironolactone + Altizide (Association Fixe)</w:t>
      </w:r>
    </w:p>
    <w:p>
      <w:r>
        <w:t>L'association spironolactone + altizide est une association diurétique épargneuse de potassium + thiazidique, alternative à l'association amiloride + HCTZ. L'altizide est un thiazidique de la même famille que l'HCTZ, légèrement plus puissant (≈ 8 mg altizide ≈ 25 mg HCTZ). Le ratio 25 mg/15 mg (spironolactone/altizide) reflète l'équilibre natriurétique/anti-kaliurétique optimal. Disponible en Algérie sous la marque SPIROZIDE (active), elle est indiquée dans l'HTA modérée et l'insuffisance cardiaque légère.</w:t>
      </w:r>
    </w:p>
    <w:p>
      <w:r/>
      <w:r>
        <w:rPr>
          <w:b/>
        </w:rPr>
        <w:t>Médicaments disponibles en Algérie (Marques, Laboratoires, Formes et Dosages) :</w:t>
      </w:r>
      <w:r/>
    </w:p>
    <w:p>
      <w:pPr>
        <w:pStyle w:val="ListBullet"/>
      </w:pPr>
      <w:r/>
      <w:r>
        <w:rPr>
          <w:b/>
        </w:rPr>
        <w:t>SPIROZIDE</w:t>
      </w:r>
      <w:r>
        <w:t xml:space="preserve"> (BIOGALENIC)</w:t>
      </w:r>
    </w:p>
    <w:p>
      <w:pPr>
        <w:pStyle w:val="ListBullet"/>
      </w:pPr>
      <w:r>
        <w:t>Formes et Dosages : Comprimé pelliculé sécable 25 mg/15 mg (spironolactone/altizide) (B/30)</w:t>
      </w:r>
    </w:p>
    <w:p>
      <w:pPr>
        <w:pStyle w:val="ListBullet"/>
      </w:pPr>
      <w:r>
        <w:t>Statut : Actif (Liste II)</w:t>
      </w:r>
    </w:p>
    <w:p>
      <w:pPr>
        <w:pStyle w:val="ListBullet"/>
      </w:pPr>
      <w:r/>
      <w:r>
        <w:rPr>
          <w:b/>
        </w:rPr>
        <w:t>SPIROCTAZINE</w:t>
      </w:r>
      <w:r>
        <w:t xml:space="preserve"> (FERLUX MEDIOLANUM) — Historique</w:t>
      </w:r>
    </w:p>
    <w:p>
      <w:pPr>
        <w:pStyle w:val="ListBullet"/>
      </w:pPr>
      <w:r>
        <w:t>Formes et Dosages : Comprimé enrobé 25 mg/15 mg (spironolactone/altizide) (B/20)</w:t>
      </w:r>
    </w:p>
    <w:p>
      <w:pPr>
        <w:pStyle w:val="ListBullet"/>
      </w:pPr>
      <w:r>
        <w:t>Statut : Retiré (R)</w:t>
      </w:r>
    </w:p>
    <w:p>
      <w:pPr>
        <w:pStyle w:val="ListBullet"/>
      </w:pPr>
      <w:r/>
      <w:r>
        <w:rPr>
          <w:b/>
        </w:rPr>
        <w:t>PRACTAZIN</w:t>
      </w:r>
      <w:r>
        <w:t xml:space="preserve"> (PIERRE FABRE) — Historique</w:t>
      </w:r>
    </w:p>
    <w:p>
      <w:pPr>
        <w:pStyle w:val="ListBullet"/>
      </w:pPr>
      <w:r>
        <w:t>Formes et Dosages : Comprimé enrobé 25 mg/15 mg (spironolactone/altizide) (B/20)</w:t>
      </w:r>
    </w:p>
    <w:p>
      <w:pPr>
        <w:pStyle w:val="ListBullet"/>
      </w:pPr>
      <w:r>
        <w:t>Statut : Retiré (R)</w:t>
      </w:r>
    </w:p>
    <w:p>
      <w:pPr>
        <w:pStyle w:val="ListBullet"/>
      </w:pPr>
      <w:r/>
      <w:r>
        <w:rPr>
          <w:b/>
        </w:rPr>
        <w:t>ALDACTAZINE</w:t>
      </w:r>
      <w:r>
        <w:t xml:space="preserve"> (PFIZER HOLDING FRANCE) — Historique</w:t>
      </w:r>
    </w:p>
    <w:p>
      <w:pPr>
        <w:pStyle w:val="ListBullet"/>
      </w:pPr>
      <w:r>
        <w:t>Formes et Dosages : Comprimé pelliculé sécable 25 mg/15 mg (spironolactone/altizide) (B/30)</w:t>
      </w:r>
    </w:p>
    <w:p>
      <w:pPr>
        <w:pStyle w:val="ListBullet"/>
      </w:pPr>
      <w:r>
        <w:t>Statut : Retiré (R)</w:t>
      </w:r>
    </w:p>
    <w:p>
      <w:r/>
      <w:r>
        <w:rPr>
          <w:b/>
        </w:rPr>
        <w:t>Sous-classe et Mécanisme d'action :</w:t>
      </w:r>
      <w:r/>
    </w:p>
    <w:p>
      <w:pPr>
        <w:pStyle w:val="ListBullet"/>
      </w:pPr>
      <w:r>
        <w:t>Sous-classe : Diurétiques épargneurs de potassium + thiazidiques — Association fixe d'un anti-aldostérone et d'un thiazidique.</w:t>
      </w:r>
    </w:p>
    <w:p>
      <w:pPr>
        <w:pStyle w:val="ListBullet"/>
      </w:pPr>
      <w:r>
        <w:t>Mécanisme d'action : L'altizide inhibe le co-transporteur NCC du tube contourné distal (effet natriurétique 5–10 %), augmentant l'apport de sodium au tube collecteur. La spironolactone bloque le récepteur minéralocorticoïde des cellules principales du tube collecteur, supprimant la réabsorption compensatoire de sodium via ENaC et l'excrétion de potassium. Le résultat est une diurèse modérée (effet additif) avec neutralisation de l'hypokaliémie. Avantage sur l'association amiloride + HCTZ : la spironolactone exerce un effet anti-fibrotique myocardique indépendant de l'effet diurétique, bénéfique en insuffisance cardiaque. Inconvénient : effet hormonal possible (gynécomastie).</w:t>
      </w:r>
    </w:p>
    <w:p>
      <w:r/>
      <w:r>
        <w:rPr>
          <w:b/>
        </w:rPr>
        <w:t>Profil Pharmacologique :</w:t>
      </w:r>
      <w:r/>
    </w:p>
    <w:p>
      <w:pPr>
        <w:pStyle w:val="ListBullet"/>
      </w:pPr>
      <w:r>
        <w:t>Indications : HTA modérée à sévère, insuffisance cardiaque chronique légère à modérée, œdèmes modérés, hyperaldostéronisme secondaire.</w:t>
      </w:r>
    </w:p>
    <w:p>
      <w:pPr>
        <w:pStyle w:val="ListBullet"/>
      </w:pPr>
      <w:r>
        <w:t>Contre-indications : Hyperkaliémie (K⁺ &gt; 5 mmol/L), insuffisance rénale sévère (DFG &lt; 30 mL/min), hypersensibilité aux sulfamides, anurie, association aux IEC/ARA2/eplérénone/amiloride/suppléments potassiques sans surveillance stricte, encéphalopathie hépatique, hyponatrémie &lt; 125 mmol/L, allaitement.</w:t>
      </w:r>
    </w:p>
    <w:p>
      <w:pPr>
        <w:pStyle w:val="ListBullet"/>
      </w:pPr>
      <w:r>
        <w:t>Effets Indésirables : Hyperkaliémie (fréquent), hyponatrémie, hypotension orthostatique, hyperuricémie (goutte), hyperglycémie modérée, gynécomastie (10–20 % chez l'homme, dose-dépendante et réversible), impuissance, troubles menstruels chez la femme, asthénie, vertiges, troubles digestifs, rash, photosensibilité, exceptionnellement syndrome de Lyell, agranulocytose.</w:t>
      </w:r>
    </w:p>
    <w:p>
      <w:r/>
      <w:r>
        <w:rPr>
          <w:b/>
        </w:rPr>
        <w:t>Prévention et Gestion des Effets Indésirables :</w:t>
      </w:r>
      <w:r/>
    </w:p>
    <w:p>
      <w:pPr>
        <w:pStyle w:val="ListBullet"/>
      </w:pPr>
      <w:r>
        <w:t>Mesures Préventives : Ionogramme avant puis à 7 jours, 1 mois, puis tous les 3 mois. Surveillance de l'uricémie et de la glycémie. Régime normosodé, sans supplémentation potassique. Chez l'homme, information sur le risque de gynécomastie.</w:t>
      </w:r>
    </w:p>
    <w:p>
      <w:pPr>
        <w:pStyle w:val="ListBullet"/>
      </w:pPr>
      <w:r>
        <w:t>Conduite à Tenir : En cas d'hyperkaliémie, arrêt transitoire, restriction potassique. En cas de gynécomastie douloureuse, substitution par l'association amiloride+HCTZ ou par eplérénone.</w:t>
      </w:r>
    </w:p>
    <w:p>
      <w:r/>
      <w:r>
        <w:rPr>
          <w:b/>
        </w:rPr>
        <w:t>Interactions Importantes :</w:t>
      </w:r>
      <w:r/>
    </w:p>
    <w:p>
      <w:pPr>
        <w:pStyle w:val="ListBullet"/>
      </w:pPr>
      <w:r>
        <w:t>Association + IEC, ARA2, eplérénone, amiloride : Risque majeur d'hyperkaliémie.</w:t>
      </w:r>
    </w:p>
    <w:p>
      <w:pPr>
        <w:pStyle w:val="ListBullet"/>
      </w:pPr>
      <w:r>
        <w:t>Association + Suppléments potassiques : CI absolue.</w:t>
      </w:r>
    </w:p>
    <w:p>
      <w:pPr>
        <w:pStyle w:val="ListBullet"/>
      </w:pPr>
      <w:r>
        <w:t>Association + Lithium : Diminution de l'excrétion du lithium → intoxication.</w:t>
      </w:r>
    </w:p>
    <w:p>
      <w:pPr>
        <w:pStyle w:val="ListBullet"/>
      </w:pPr>
      <w:r>
        <w:t>Association + AINS : Diminution de l'effet antihypertenseur, risque d'IRA.</w:t>
      </w:r>
    </w:p>
    <w:p>
      <w:pPr>
        <w:pStyle w:val="ListBullet"/>
      </w:pPr>
      <w:r>
        <w:t>Association + Digoxine : Augmentation de la digoxinémie (compétition P-gp par la spironolactone).</w:t>
      </w:r>
    </w:p>
    <w:p>
      <w:pPr>
        <w:pStyle w:val="ListBullet"/>
      </w:pPr>
      <w:r>
        <w:t>Association + Anticoagulants oraux : Diminution de l'efficacité (induction enzymatique par la spironolactone).</w:t>
      </w:r>
    </w:p>
    <w:p>
      <w:pPr>
        <w:pStyle w:val="ListBullet"/>
      </w:pPr>
      <w:r>
        <w:t>Association + Carbamazépine : Risque d'hyponatrémie sévère.</w:t>
      </w:r>
    </w:p>
    <w:p>
      <w:r/>
      <w:r>
        <w:rPr>
          <w:b/>
        </w:rPr>
        <w:t>Grossesse et Allaitement :</w:t>
      </w:r>
      <w:r/>
    </w:p>
    <w:p>
      <w:pPr>
        <w:pStyle w:val="ListBullet"/>
      </w:pPr>
      <w:r>
        <w:t>Grossesse : À éviter selon le CRAT (surtout à cause de la spironolactone — effet anti-androgène théorique sur fœtus mâle). Préférer labétalol, méthyldopa, nicardipine.</w:t>
      </w:r>
    </w:p>
    <w:p>
      <w:pPr>
        <w:pStyle w:val="ListBullet"/>
      </w:pPr>
      <w:r>
        <w:t>Allaitement : Contre-indiqué (passage dans le lait, effets sur le nourrisson).</w:t>
      </w:r>
    </w:p>
    <w:p>
      <w:pPr>
        <w:pStyle w:val="ListBullet"/>
      </w:pPr>
      <w:r>
        <w:t>Précisions : Femme en âge de procréer = contraception efficace indispensable.</w:t>
      </w:r>
    </w:p>
    <w:p>
      <w:r/>
      <w:r>
        <w:rPr>
          <w:b/>
        </w:rPr>
        <w:t>Posologie et Mode d'administration (Standard) :</w:t>
      </w:r>
      <w:r/>
    </w:p>
    <w:p>
      <w:pPr>
        <w:pStyle w:val="ListBullet"/>
      </w:pPr>
      <w:r>
        <w:t>Adulte : 1 à 2 comprimés (25/15 mg) par jour, en 1 ou 2 prises.</w:t>
      </w:r>
    </w:p>
    <w:p>
      <w:pPr>
        <w:pStyle w:val="ListBullet"/>
      </w:pPr>
      <w:r>
        <w:t>Sujet âgé : Posologie initiale réduite (1 comprimé/jour), surveillance stricte.</w:t>
      </w:r>
    </w:p>
    <w:p>
      <w:pPr>
        <w:pStyle w:val="ListBullet"/>
      </w:pPr>
      <w:r>
        <w:t>Durée : Au long cours.</w:t>
      </w:r>
    </w:p>
    <w:p>
      <w:pPr>
        <w:pStyle w:val="ListBullet"/>
      </w:pPr>
      <w:r>
        <w:t>Moment de prise : Matin (et midi si 2 prises), au cours d'un repas.</w:t>
      </w:r>
    </w:p>
    <w:p>
      <w:r/>
      <w:r>
        <w:rPr>
          <w:b/>
        </w:rPr>
        <w:t>Arbitrage et Bénéfices des Formes Galéniques :</w:t>
      </w:r>
      <w:r/>
    </w:p>
    <w:p>
      <w:r>
        <w:t>La forme sécable permet une adaptation posologique. Le ratio 25/15 mg correspond à l'équilibre optimal entre natriurèse (effet thiazidique) et épargne potassique (effet anti-aldostérone). Comparativement à l'association amiloride + HCTZ, cette association présente l'avantage de l'effet anti-fibrotique myocardique de la spironolactone, mais l'inconvénient du risque hormonal (gynécomastie).</w:t>
      </w:r>
    </w:p>
    <w:p>
      <w:r/>
      <w:r>
        <w:rPr>
          <w:b/>
        </w:rPr>
        <w:t>Instructions et Conseils au Patient :</w:t>
      </w:r>
      <w:r/>
    </w:p>
    <w:p>
      <w:pPr>
        <w:pStyle w:val="ListBullet"/>
      </w:pPr>
      <w:r>
        <w:t>Communication au comptoir : "Ce médicament traite l'hypertension et aide à éliminer l'eau sans perdre de potassium. Évitez les substituts de sel et les compléments potassiques. Prévenez votre médecin si vous êtes fatigué, avez des crampes ou des palpitations. En cas de gonflement mammaire douloureux chez l'homme, prévenez votre médecin (effet hormonal)."</w:t>
      </w:r>
    </w:p>
    <w:p>
      <w:pPr>
        <w:pStyle w:val="ListBullet"/>
      </w:pPr>
      <w:r>
        <w:t>Mode d'utilisation pratique : Prise au cours du repas. Surveillance du poids et de la PA.</w:t>
      </w:r>
    </w:p>
    <w:p>
      <w:r/>
      <w:r>
        <w:rPr>
          <w:b/>
        </w:rPr>
        <w:t>Notes, Règles d'Or &amp; Pièges au Comptoir :</w:t>
      </w:r>
      <w:r/>
    </w:p>
    <w:p>
      <w:pPr>
        <w:pStyle w:val="ListBullet"/>
      </w:pPr>
      <w:r>
        <w:t>Piège classique : Patient sous IEC (ramipril) et SPIROZIDE sans surveillance de la kaliémie — risque vital d'hyperkaliémie.</w:t>
      </w:r>
    </w:p>
    <w:p>
      <w:pPr>
        <w:pStyle w:val="ListBullet"/>
      </w:pPr>
      <w:r>
        <w:t>Règle de prise : Une à deux prises par jour, matin et midi.</w:t>
      </w:r>
    </w:p>
    <w:p>
      <w:pPr>
        <w:pStyle w:val="ListBullet"/>
      </w:pPr>
      <w:r>
        <w:t>Préparation et Conservation : À température ambiante, à l'abri de l'humidité.</w:t>
      </w:r>
    </w:p>
    <w:p>
      <w:pPr>
        <w:pStyle w:val="ListBullet"/>
      </w:pPr>
      <w:r>
        <w:t>Piège du surdosage / Substitution : Ne pas substituer par l'association amiloride + HCTZ sans avis médical (différence de mécanisme et de puissance). Ne pas substituer par spironolactone seule (perte de l'effet thiazidique).</w:t>
      </w:r>
    </w:p>
    <w:p>
      <w:pPr>
        <w:pStyle w:val="Heading3"/>
      </w:pPr>
      <w:r>
        <w:t>13. DCI : Acétazolamide (Seule)</w:t>
      </w:r>
    </w:p>
    <w:p>
      <w:r>
        <w:t>L'acétazolamide est le chef de file des inhibiteurs de l'anhydrase carbonique (IAC), classe de diurétiques historiquement pionnière (découverte en 1937, premier diurétique non mercuriel). Sa puissance natriurétique est modeste (3–5 % de la charge filtrée) et son effet diurétique s'épuise en 3–4 jours (en raison de l'acidose métabolique compensatoire). Il est aujourd'hui principalement utilisé pour ses indications non cardiovasculaires : glaucome (diminution de la production d'humeur aqueuse), mal des montagnes (alcalinisation des urines et ventilation stimulée), alcalinisation urinaire (intoxication salicylée), épilepsie rebelle, hydrocéphalie. En Algérie, la forme 250 mg per os est disponible (ACETAZOLAMIDE BR, LYNOX), tandis que la forme injectable 500 mg est retirée.</w:t>
      </w:r>
    </w:p>
    <w:p>
      <w:r/>
      <w:r>
        <w:rPr>
          <w:b/>
        </w:rPr>
        <w:t>Médicaments disponibles en Algérie (Marques, Laboratoires, Formes et Dosages) :</w:t>
      </w:r>
      <w:r/>
    </w:p>
    <w:p>
      <w:pPr>
        <w:pStyle w:val="ListBullet"/>
      </w:pPr>
      <w:r/>
      <w:r>
        <w:rPr>
          <w:b/>
        </w:rPr>
        <w:t>ACETAZOLAMIDE BR</w:t>
      </w:r>
      <w:r>
        <w:t xml:space="preserve"> (SARL BIOREM)</w:t>
      </w:r>
    </w:p>
    <w:p>
      <w:pPr>
        <w:pStyle w:val="ListBullet"/>
      </w:pPr>
      <w:r>
        <w:t>Formes et Dosages : Comprimé sécable 250 mg (B/20)</w:t>
      </w:r>
    </w:p>
    <w:p>
      <w:pPr>
        <w:pStyle w:val="ListBullet"/>
      </w:pPr>
      <w:r>
        <w:t>Statut : Actif (Liste II)</w:t>
      </w:r>
    </w:p>
    <w:p>
      <w:pPr>
        <w:pStyle w:val="ListBullet"/>
      </w:pPr>
      <w:r/>
      <w:r>
        <w:rPr>
          <w:b/>
        </w:rPr>
        <w:t>LYNOX</w:t>
      </w:r>
      <w:r>
        <w:t xml:space="preserve"> (SARL GROUPE SANTE)</w:t>
      </w:r>
    </w:p>
    <w:p>
      <w:pPr>
        <w:pStyle w:val="ListBullet"/>
      </w:pPr>
      <w:r>
        <w:t>Formes et Dosages : Comprimé 250 mg (B/20)</w:t>
      </w:r>
    </w:p>
    <w:p>
      <w:pPr>
        <w:pStyle w:val="ListBullet"/>
      </w:pPr>
      <w:r>
        <w:t>Statut : Actif (Liste II)</w:t>
      </w:r>
    </w:p>
    <w:p>
      <w:pPr>
        <w:pStyle w:val="ListBullet"/>
      </w:pPr>
      <w:r/>
      <w:r>
        <w:rPr>
          <w:b/>
        </w:rPr>
        <w:t>DIAMOX</w:t>
      </w:r>
      <w:r>
        <w:t xml:space="preserve"> (RHONE POULENC RORER) — Historique</w:t>
      </w:r>
    </w:p>
    <w:p>
      <w:pPr>
        <w:pStyle w:val="ListBullet"/>
      </w:pPr>
      <w:r>
        <w:t>Formes et Dosages : Solution injectable 500 mg (B/25)</w:t>
      </w:r>
    </w:p>
    <w:p>
      <w:pPr>
        <w:pStyle w:val="ListBullet"/>
      </w:pPr>
      <w:r>
        <w:t>Statut : Non Renouvelable / Retiré (R)</w:t>
      </w:r>
    </w:p>
    <w:p>
      <w:pPr>
        <w:pStyle w:val="ListBullet"/>
      </w:pPr>
      <w:r/>
      <w:r>
        <w:rPr>
          <w:b/>
        </w:rPr>
        <w:t>DIURAZOL</w:t>
      </w:r>
      <w:r>
        <w:t xml:space="preserve"> (LIFEPHARMA) — Historique</w:t>
      </w:r>
    </w:p>
    <w:p>
      <w:pPr>
        <w:pStyle w:val="ListBullet"/>
      </w:pPr>
      <w:r>
        <w:t>Formes et Dosages : Comprimé 250 mg (B/24)</w:t>
      </w:r>
    </w:p>
    <w:p>
      <w:pPr>
        <w:pStyle w:val="ListBullet"/>
      </w:pPr>
      <w:r>
        <w:t>Statut : Non Renouvelable</w:t>
      </w:r>
    </w:p>
    <w:p>
      <w:pPr>
        <w:pStyle w:val="ListBullet"/>
      </w:pPr>
      <w:r/>
      <w:r>
        <w:rPr>
          <w:b/>
        </w:rPr>
        <w:t>ACEDIOX</w:t>
      </w:r>
      <w:r>
        <w:t xml:space="preserve"> (BIOMEDIC) — Historique</w:t>
      </w:r>
    </w:p>
    <w:p>
      <w:pPr>
        <w:pStyle w:val="ListBullet"/>
      </w:pPr>
      <w:r>
        <w:t>Formes et Dosages : Comprimé 250 mg (B/20)</w:t>
      </w:r>
    </w:p>
    <w:p>
      <w:pPr>
        <w:pStyle w:val="ListBullet"/>
      </w:pPr>
      <w:r>
        <w:t>Statut : Retiré (R)</w:t>
      </w:r>
    </w:p>
    <w:p>
      <w:pPr>
        <w:pStyle w:val="ListBullet"/>
      </w:pPr>
      <w:r/>
      <w:r>
        <w:rPr>
          <w:b/>
        </w:rPr>
        <w:t>ACEMAX</w:t>
      </w:r>
      <w:r>
        <w:t xml:space="preserve"> (CIPLA LIMITED) — Historique</w:t>
      </w:r>
    </w:p>
    <w:p>
      <w:pPr>
        <w:pStyle w:val="ListBullet"/>
      </w:pPr>
      <w:r>
        <w:t>Formes et Dosages : Comprimé 250 mg (B/20)</w:t>
      </w:r>
    </w:p>
    <w:p>
      <w:pPr>
        <w:pStyle w:val="ListBullet"/>
      </w:pPr>
      <w:r>
        <w:t>Statut : Retiré (R)</w:t>
      </w:r>
    </w:p>
    <w:p>
      <w:r/>
      <w:r>
        <w:rPr>
          <w:b/>
        </w:rPr>
        <w:t>Sous-classe et Mécanisme d'action :</w:t>
      </w:r>
      <w:r/>
    </w:p>
    <w:p>
      <w:pPr>
        <w:pStyle w:val="ListBullet"/>
      </w:pPr>
      <w:r>
        <w:t>Sous-classe : Diurétiques inhibiteurs de l'anhydrase carbonique (IAC).</w:t>
      </w:r>
    </w:p>
    <w:p>
      <w:pPr>
        <w:pStyle w:val="ListBullet"/>
      </w:pPr>
      <w:r>
        <w:t>Mécanisme d'action : L'acétazolamide inhibe de manière reversible et competitive l'anhydrase carbonique (isoenzymes II cytosolique, IV membranaire apicale, et XII), enzyme qui catalyse la réaction CO₂ + H₂O ↔ HCO₃⁻ + H⁺. Au tube proximal, l'inhibition de CA II et IV réduit la disponibilité intracellulaire de H⁺, bloquant l'échangeur Na⁺/H⁺ apical (NHE-3) et la réabsorption de bicarbonate. Il en résulte une natriurèse modérée avec bicarbonaturée massive, alcalinisation des urines (pH urinaire &gt; 7) et acidose métabolique hyperchlorémique (compensation respiratoire = hyperventilation). Au niveau ciliaire (œil), l'inhibition de CA II diminue la production d'humeur aqueuse (–40–60 %), réduisant la pression intraoculaire. Au niveau des plexus choroïdes, diminution du LCR. Effet stimulant respiratoire central (par acidose métabolique légère).</w:t>
      </w:r>
    </w:p>
    <w:p>
      <w:r/>
      <w:r>
        <w:rPr>
          <w:b/>
        </w:rPr>
        <w:t>Profil Pharmacologique :</w:t>
      </w:r>
      <w:r/>
    </w:p>
    <w:p>
      <w:pPr>
        <w:pStyle w:val="ListBullet"/>
      </w:pPr>
      <w:r>
        <w:t>Indications : Glaucome à angle ouvert chronique (en cas d'échec des collyres) et glaucome aigu à angle fermé (avant chirurgie), mal des montagnes — prévention et traitement du mal aigu des montagnes (MAM) et de l'œdème cérébral d'altitude, alcalinisation urinaire (intoxication salicylée, méthotrexate), épilepsie rebelle (en association, surtout chez l'enfant), hydrocéphalie communicante, acidose tubulaire rénale proximale (diagnostic), néphrocalcinose.</w:t>
      </w:r>
    </w:p>
    <w:p>
      <w:pPr>
        <w:pStyle w:val="ListBullet"/>
      </w:pPr>
      <w:r>
        <w:t>Contre-indications : Hypersensibilité aux sulfamides, insuffisance rénale sévère (clairance &lt; 10 mL/min), insuffisance hépatique sévère, acidose métabolique, hyponatrémie, hypokaliémie sévère, maladie d'Addison, allergie aux sulfamides antibactériens (prudence).</w:t>
      </w:r>
    </w:p>
    <w:p>
      <w:pPr>
        <w:pStyle w:val="ListBullet"/>
      </w:pPr>
      <w:r>
        <w:t>Effets Indésirables : Acidose métabolique hyperchlorémique (constante), hypokaliémie (associée à la bicarbonaturée), hypomagnésémie, hyperuricémie, lithiase urinaire (phospho-amido-magnésienne par alcalinisation), paresthésies (acro-paresthésies des extrémités, dose-dépendantes), somnolence, fatigue, dysgueusie (goût métallique), troubles digestifs (nausées, vomissements, diarrhée), déshydratation, rash, photosensibilité, exceptionnels syndrome de Lyell, agranulocytose, aplasie médullaire, lithiase rénale, néphrocalcinose.</w:t>
      </w:r>
    </w:p>
    <w:p>
      <w:r/>
      <w:r>
        <w:rPr>
          <w:b/>
        </w:rPr>
        <w:t>Prévention et Gestion des Effets Indésirables :</w:t>
      </w:r>
      <w:r/>
    </w:p>
    <w:p>
      <w:pPr>
        <w:pStyle w:val="ListBullet"/>
      </w:pPr>
      <w:r>
        <w:t>Mesures Préventives : Ionogramme avant puis à 7 jours, puis tous les mois. Surveillance de l'uricémie. Apport hydrique suffisant (2 L/jour). Régime alimentaire riche en potassium. Photoprotection. En cas de traitement prolongé &gt; 1 semaine, surveillance de la kaliémie toutes les semaines.</w:t>
      </w:r>
    </w:p>
    <w:p>
      <w:pPr>
        <w:pStyle w:val="ListBullet"/>
      </w:pPr>
      <w:r>
        <w:t>Conduite à Tenir : En cas d'acidose métabolique sévère (pH &lt; 7,20), arrêt et bicarbonate de sodium IV. En cas d'hypokaliémie symptomatique, supplémentation IV. En cas de lithiase urinaire, arrêt et hydratation.</w:t>
      </w:r>
    </w:p>
    <w:p>
      <w:r/>
      <w:r>
        <w:rPr>
          <w:b/>
        </w:rPr>
        <w:t>Interactions Importantes :</w:t>
      </w:r>
      <w:r/>
    </w:p>
    <w:p>
      <w:pPr>
        <w:pStyle w:val="ListBullet"/>
      </w:pPr>
      <w:r>
        <w:t>Acétazolamide + Salicylés (aspirine) : Augmentation des concentrations d'acétazolamide (compétition tubulaire) et de l'effet ototoxique.</w:t>
      </w:r>
    </w:p>
    <w:p>
      <w:pPr>
        <w:pStyle w:val="ListBullet"/>
      </w:pPr>
      <w:r>
        <w:t>Acétazolamide + Anticonvulsivants (phénytoïne, carbamazépine) : Augmentation de l'ostéomalacie (acidose, hypokaliémie).</w:t>
      </w:r>
    </w:p>
    <w:p>
      <w:pPr>
        <w:pStyle w:val="ListBullet"/>
      </w:pPr>
      <w:r>
        <w:t>Acétazolamide + Lithium : Augmentation de l'excrétion du lithium (effet paradoxal alcalinisant) — surveillance lithémie.</w:t>
      </w:r>
    </w:p>
    <w:p>
      <w:pPr>
        <w:pStyle w:val="ListBullet"/>
      </w:pPr>
      <w:r>
        <w:t>Acétazolamide + Quinidine : Alcalinisation urinaire → augmentation de la réabsorption tubulaire de la quinidine → toxicité.</w:t>
      </w:r>
    </w:p>
    <w:p>
      <w:pPr>
        <w:pStyle w:val="ListBullet"/>
      </w:pPr>
      <w:r>
        <w:t>Acétazolamide + Méthotrexate : Alcalinisation urinaire → augmentation de l'excrétion du méthotrexate (effet protecteur utilisé en oncologie).</w:t>
      </w:r>
    </w:p>
    <w:p>
      <w:pPr>
        <w:pStyle w:val="ListBullet"/>
      </w:pPr>
      <w:r>
        <w:t>Acétazolamide + Topiramate : Risque accru de lithiase rénale et d'acidose métabolique.</w:t>
      </w:r>
    </w:p>
    <w:p>
      <w:pPr>
        <w:pStyle w:val="ListBullet"/>
      </w:pPr>
      <w:r>
        <w:t>Acétazolamide + Ciclosporine : Augmentation possible des concentrations de ciclosporine.</w:t>
      </w:r>
    </w:p>
    <w:p>
      <w:r/>
      <w:r>
        <w:rPr>
          <w:b/>
        </w:rPr>
        <w:t>Grossesse et Allaitement :</w:t>
      </w:r>
      <w:r/>
    </w:p>
    <w:p>
      <w:pPr>
        <w:pStyle w:val="ListBullet"/>
      </w:pPr>
      <w:r>
        <w:t>Grossesse : À éviter selon le CRAT (données animales de tératogénicité — défauts de fermeture du tube neural). En cas de nécessité absolue (glaucome aigu gravidique), à utiliser au 2ᵉ et 3ᵉ trimestre, à la dose minimale, en cure courte.</w:t>
      </w:r>
    </w:p>
    <w:p>
      <w:pPr>
        <w:pStyle w:val="ListBullet"/>
      </w:pPr>
      <w:r>
        <w:t>Allaitement : Compatible à faibles doses selon le CRAT (passage faible dans le lait). Surveillance de la kaliémie et de l'acidose chez le nourrisson.</w:t>
      </w:r>
    </w:p>
    <w:p>
      <w:pPr>
        <w:pStyle w:val="ListBullet"/>
      </w:pPr>
      <w:r>
        <w:t>Précisions : Femme en âge de procréer = contraception efficace indispensable. Déconseillé au 1ᵉʳ trimestre.</w:t>
      </w:r>
    </w:p>
    <w:p>
      <w:r/>
      <w:r>
        <w:rPr>
          <w:b/>
        </w:rPr>
        <w:t>Posologie et Mode d'administration (Standard) :</w:t>
      </w:r>
      <w:r/>
    </w:p>
    <w:p>
      <w:pPr>
        <w:pStyle w:val="ListBullet"/>
      </w:pPr>
      <w:r>
        <w:t>Adulte : Glaucome — 250 mg 1 à 4 fois par jour (jusqu'à 1 g/jour). Mal des montagnes — 125 à 250 mg 2 fois par jour, à débuter 24–48 h avant l'ascension et poursuivre 4–5 jours après. Alcalinisation urinaire (intoxication salicylée) — 5 mg/kg répétés toutes les 4 h. Épilepsie rebelle — 8 à 30 mg/kg/jour en 2 à 4 prises (enfants).</w:t>
      </w:r>
    </w:p>
    <w:p>
      <w:pPr>
        <w:pStyle w:val="ListBullet"/>
      </w:pPr>
      <w:r>
        <w:t>Sujet âgé : Posologie réduite (250 mg 1 à 2 fois/jour), surveillance rapprochée (fonction rénale, ionogramme).</w:t>
      </w:r>
    </w:p>
    <w:p>
      <w:pPr>
        <w:pStyle w:val="ListBullet"/>
      </w:pPr>
      <w:r>
        <w:t>Durée : Cure courte généralement ; traitement prolongé possible dans le glaucome chronique ou l'épilepsie.</w:t>
      </w:r>
    </w:p>
    <w:p>
      <w:pPr>
        <w:pStyle w:val="ListBullet"/>
      </w:pPr>
      <w:r>
        <w:t>Moment de prise : Matin et midi (éviter le soir pour la nycturie).</w:t>
      </w:r>
    </w:p>
    <w:p>
      <w:r/>
      <w:r>
        <w:rPr>
          <w:b/>
        </w:rPr>
        <w:t>Arbitrage et Bénéfices des Formes Galéniques :</w:t>
      </w:r>
      <w:r/>
    </w:p>
    <w:p>
      <w:r>
        <w:t>La forme 250 mg per os est la seule disponible en Algérie actuellement. La forme injectable 500 mg (autrefois DIAMOX) est retirée, privant les urgentistes d'un outil utile dans le glaucome aigu à angle fermé. La biodisponibilité per os est de 60–80 %, avec un pic à 2–4 h, une demi-vie de 6–9 h, autorisant 2 à 4 prises par jour. L'acétazolamide est métabolisé à 80 % par le foie, éliminé à 20 % inchangé dans les urines.</w:t>
      </w:r>
    </w:p>
    <w:p>
      <w:r/>
      <w:r>
        <w:rPr>
          <w:b/>
        </w:rPr>
        <w:t>Instructions et Conseils au Patient :</w:t>
      </w:r>
      <w:r/>
    </w:p>
    <w:p>
      <w:pPr>
        <w:pStyle w:val="ListBullet"/>
      </w:pPr>
      <w:r>
        <w:t>Communication au comptoir : "Ce médicament traite le glaucome, le mal des montagnes ou l'épilepsie. Vous pouvez ressentir des picotements aux extrémités (mains, pieds) — c'est normal et sans gravité. Évitez les régimes sans sel stricts sans avis médical. Buvez suffisamment d'eau. Prévenez votre médecin si vous êtes fatigué, avez des crampes ou des troubles du goût."</w:t>
      </w:r>
    </w:p>
    <w:p>
      <w:pPr>
        <w:pStyle w:val="ListBullet"/>
      </w:pPr>
      <w:r>
        <w:t>Mode d'utilisation pratique : Prise au cours d'un repas. Surveillance du poids et de la PA. Hydratation suffisante. Photoprotection.</w:t>
      </w:r>
    </w:p>
    <w:p>
      <w:r/>
      <w:r>
        <w:rPr>
          <w:b/>
        </w:rPr>
        <w:t>Notes, Règles d'Or &amp; Pièges au Comptoir :</w:t>
      </w:r>
      <w:r/>
    </w:p>
    <w:p>
      <w:pPr>
        <w:pStyle w:val="ListBullet"/>
      </w:pPr>
      <w:r>
        <w:t>Piège classique : Patient sous acétazolamide et aspirine à forte dose — risque d'intoxication salicylée et d'acétazolamide. Patient présentant des lithiases rénales récidivantes — prudence (alcalinisation urinaire favorise les lithiases phospho-amido-magnésiennes).</w:t>
      </w:r>
    </w:p>
    <w:p>
      <w:pPr>
        <w:pStyle w:val="ListBullet"/>
      </w:pPr>
      <w:r>
        <w:t>Règle de prise : 2 à 4 prises par jour, matin et midi.</w:t>
      </w:r>
    </w:p>
    <w:p>
      <w:pPr>
        <w:pStyle w:val="ListBullet"/>
      </w:pPr>
      <w:r>
        <w:t>Préparation et Conservation : À température ambiante, à l'abri de l'humidité.</w:t>
      </w:r>
    </w:p>
    <w:p>
      <w:pPr>
        <w:pStyle w:val="ListBullet"/>
      </w:pPr>
      <w:r>
        <w:t>Piège du surdosage / Substitution : En cas d'acidose métabolique sévère, arrêt immédiat, bicarbonate de sodium IV. En cas de surdosage, dialyse possible (acétazolamide dialysable). Ne pas substituer par un autre diurétique (différent mécanisme et indications).</w:t>
      </w:r>
    </w:p>
    <w:p>
      <w:pPr>
        <w:pStyle w:val="Heading3"/>
      </w:pPr>
      <w:r>
        <w:t>14. DCI : Mannitol (Seule)</w:t>
      </w:r>
    </w:p>
    <w:p>
      <w:r>
        <w:t>Le mannitol est le représentant unique des diurétiques osmotiques. Polyol (alcool hexahydrique) administré par voie intraveineuse, il est filtré librement par le glomérule, non réabsorbé par le tubule, et exerce une pression osmotique élevée dans la lumière tubulaire, entravant la réabsorption de l'eau et du sodium. Son effet est massif et immédiat (5–15 min), d'où son utilisation dans les urgences neurologiques (œdème cérébral, hypertension intracrânienne), ophtalmologiques (glaucome aigu), néphrologiques (prévention de l'IRA post-opératoire, rhabdomyolyse). En Algérie, le mannitol est actuellement retiré du marché (toutes les marques retirées), ce qui pose un véritable problème de santé publique pour la neurochirurgie et les soins intensifs.</w:t>
      </w:r>
    </w:p>
    <w:p>
      <w:r/>
      <w:r>
        <w:rPr>
          <w:b/>
        </w:rPr>
        <w:t>Médicaments disponibles en Algérie (Marques, Laboratoires, Formes et Dosages) :</w:t>
      </w:r>
      <w:r/>
    </w:p>
    <w:p>
      <w:pPr>
        <w:pStyle w:val="ListBullet"/>
      </w:pPr>
      <w:r/>
      <w:r>
        <w:rPr>
          <w:b/>
        </w:rPr>
        <w:t>MANNITOL</w:t>
      </w:r>
      <w:r>
        <w:t xml:space="preserve"> (SAIDAL) — Historique</w:t>
      </w:r>
    </w:p>
    <w:p>
      <w:pPr>
        <w:pStyle w:val="ListBullet"/>
      </w:pPr>
      <w:r>
        <w:t>Formes et Dosages : Solution injectable 0,1 (10 %) — flacon 500 mL</w:t>
      </w:r>
    </w:p>
    <w:p>
      <w:pPr>
        <w:pStyle w:val="ListBullet"/>
      </w:pPr>
      <w:r>
        <w:t>Statut : Retiré (R)</w:t>
      </w:r>
    </w:p>
    <w:p>
      <w:pPr>
        <w:pStyle w:val="ListBullet"/>
      </w:pPr>
      <w:r/>
      <w:r>
        <w:rPr>
          <w:b/>
        </w:rPr>
        <w:t>MANNITOL 10 % AGUETTANT</w:t>
      </w:r>
      <w:r>
        <w:t xml:space="preserve"> (AGUETTANT) — Historique</w:t>
      </w:r>
    </w:p>
    <w:p>
      <w:pPr>
        <w:pStyle w:val="ListBullet"/>
      </w:pPr>
      <w:r>
        <w:t>Formes et Dosages : Solution injectable 0,1 (10 %) — boîte de 12 flacons verres de 500 mL</w:t>
      </w:r>
    </w:p>
    <w:p>
      <w:pPr>
        <w:pStyle w:val="ListBullet"/>
      </w:pPr>
      <w:r>
        <w:t>Statut : Retiré (R)</w:t>
      </w:r>
    </w:p>
    <w:p>
      <w:pPr>
        <w:pStyle w:val="ListBullet"/>
      </w:pPr>
      <w:r/>
      <w:r>
        <w:rPr>
          <w:b/>
        </w:rPr>
        <w:t>MANNITOL 20 % AGUETTANT</w:t>
      </w:r>
      <w:r>
        <w:t xml:space="preserve"> (AGUETTANT) — Historique</w:t>
      </w:r>
    </w:p>
    <w:p>
      <w:pPr>
        <w:pStyle w:val="ListBullet"/>
      </w:pPr>
      <w:r>
        <w:t>Formes et Dosages : Solution injectable 0,2 (20 %) — boîte de 12 flacons verres de 500 mL</w:t>
      </w:r>
    </w:p>
    <w:p>
      <w:pPr>
        <w:pStyle w:val="ListBullet"/>
      </w:pPr>
      <w:r>
        <w:t>Statut : Retiré (R)</w:t>
      </w:r>
    </w:p>
    <w:p>
      <w:r/>
      <w:r>
        <w:rPr>
          <w:b/>
        </w:rPr>
        <w:t>Remarque sur la disponibilité algérienne :</w:t>
      </w:r>
      <w:r>
        <w:t xml:space="preserve"> À la date d'édition, le mannitol n'est plus commercialisé en Algérie (toutes les formes retirées). Cette pénurie expose les patients nécessitant un traitement d'urgence (œdème cérébal, hypertension intracrânienne, glaucome aigu) à un véritable risque vital. Les alternatives temporaires possibles sont : (i) le sérum salé hypertonique 3 % ou 7,5 % (en attendant la réhabilitation du mannitol), (ii) le furosémide IV à dose élevée (efficacité moindre sur l'œdème cérébral), (iii) l'importation temporaire (ATU nominative) pour les structures de neurochirurgie. Une réhabilitation urgente du mannitol par les autorités algériennes de santé est indispensable.</w:t>
      </w:r>
    </w:p>
    <w:p>
      <w:r/>
      <w:r>
        <w:rPr>
          <w:b/>
        </w:rPr>
        <w:t>Sous-classe et Mécanisme d'action :</w:t>
      </w:r>
      <w:r/>
    </w:p>
    <w:p>
      <w:pPr>
        <w:pStyle w:val="ListBullet"/>
      </w:pPr>
      <w:r>
        <w:t>Sous-classe : Diurétiques osmotiques.</w:t>
      </w:r>
    </w:p>
    <w:p>
      <w:pPr>
        <w:pStyle w:val="ListBullet"/>
      </w:pPr>
      <w:r>
        <w:t>Mécanisme d'action : Le mannitol est un polyol (alcool hexahydrique) de faible poids moléculaire (182 Da), administré par voie IV. Il est filtré librement par le glomérule (pas de liaison protéique, pas de métabolisme), non réabsorbé par le tubule, et exerce une pression osmotique élevée dans la lumière tubulaire. Cette pression osmotique entrave la réabsorption de l'eau et, secondairement, du sodium (effet natriurétique modéré). Le mannitol augmente également le volume plasmatique (effet volume-expanding) et la pression oncotique, ce qui attire l'eau du compartiment interstitiel vers le compartiment vasculaire — d'où son efficacité dans l'œdème cérébral (diminution de la pression intracrânienne) et le glaucome aigu (diminution de la pression intraoculaire par déshydratation du vitré).</w:t>
      </w:r>
    </w:p>
    <w:p>
      <w:r/>
      <w:r>
        <w:rPr>
          <w:b/>
        </w:rPr>
        <w:t>Profil Pharmacologique :</w:t>
      </w:r>
      <w:r/>
    </w:p>
    <w:p>
      <w:pPr>
        <w:pStyle w:val="ListBullet"/>
      </w:pPr>
      <w:r>
        <w:t>Indications : Œdème cérébral (traumatique, tumoral, post-opératoire, post-AVC), hypertension intracrânienne, glaucome aigu à angle fermé (avant chirurgie), prévention de l'insuffisance rénale aiguë post-opératoire (chirurgie cardiaque, transplantations), rhabdomyolyse massive (prévention de l'enclavement tubulaire), intoxications (forçage diurétique alcalin pour salicylés, barbituriques, lithium), préparation colique (rare).</w:t>
      </w:r>
    </w:p>
    <w:p>
      <w:pPr>
        <w:pStyle w:val="ListBullet"/>
      </w:pPr>
      <w:r>
        <w:t>Contre-indications : Anurie, insuffisance rénale sévère (la filtration du mannitol est impossible), déshydratation sévère, congestion pulmonaire active (insuffisance cardiaque décompensée — le mannitol aggrave l'œdème pulmonaire), œdème pulmonaire aigu, hémorragie intracrânienne active (sauf neurochirurgie), hypersensibilité au mannitol.</w:t>
      </w:r>
    </w:p>
    <w:p>
      <w:pPr>
        <w:pStyle w:val="ListBullet"/>
      </w:pPr>
      <w:r>
        <w:t>Effets Indésirables : Expansion volémique (risque d'insuffisance cardiaque aiguë, d'œdème pulmonaire), déshydratation, hypernatrémie, hypo-osmolarité plasmatique, hypokaliémie, acidose métabolique, hypotension, hypertension transitoire, céphalées, vertiges, convulsions (en cas de déséquilibre osmotique rapide), thrombophlébite au site d'injection, rash, exceptionnellement anaphylaxie. Risque d'encéphalopathie osmotique en cas d'administration prolongée.</w:t>
      </w:r>
    </w:p>
    <w:p>
      <w:r/>
      <w:r>
        <w:rPr>
          <w:b/>
        </w:rPr>
        <w:t>Prévention et Gestion des Effets Indésirables :</w:t>
      </w:r>
      <w:r/>
    </w:p>
    <w:p>
      <w:pPr>
        <w:pStyle w:val="ListBullet"/>
      </w:pPr>
      <w:r>
        <w:t>Mesures Préventives : Surveillance continue de la PA, de la diurèse, de l'osmolarité plasmatique (objectif 300–320 mOsm/kg), de la natrémie. Pose d'une sonde urinaire pour mesurer la diurèse horaire. Vérifier l'absence de signes d'insuffisance cardiaque avant administration. Voie veineuse périphérique de gros calibre (cathéter 16–18 G) pour éviter la thrombophlébite.</w:t>
      </w:r>
    </w:p>
    <w:p>
      <w:pPr>
        <w:pStyle w:val="ListBullet"/>
      </w:pPr>
      <w:r>
        <w:t>Conduite à Tenir : En cas d'œdème pulmonaire (détresse respiratoire, râles crépitants), arrêt immédiat, furosémide IV, oxygène, ventilation non invasive si nécessaire. En cas de déséquilibre osmotique majeur, correction prudente et lente.</w:t>
      </w:r>
    </w:p>
    <w:p>
      <w:r/>
      <w:r>
        <w:rPr>
          <w:b/>
        </w:rPr>
        <w:t>Interactions Importantes :</w:t>
      </w:r>
      <w:r/>
    </w:p>
    <w:p>
      <w:pPr>
        <w:pStyle w:val="ListBullet"/>
      </w:pPr>
      <w:r>
        <w:t>Mannitol + Diurétiques de l'anse (furosémide) : Potentialisation de l'effet diurétique et de la déshydratation, surveillance stricte.</w:t>
      </w:r>
    </w:p>
    <w:p>
      <w:pPr>
        <w:pStyle w:val="ListBullet"/>
      </w:pPr>
      <w:r>
        <w:t>Mannitol + Inhibiteurs de l'ECA, ARA2 : Risque d'hypotension sévère (effet additif sur la volémie).</w:t>
      </w:r>
    </w:p>
    <w:p>
      <w:pPr>
        <w:pStyle w:val="ListBullet"/>
      </w:pPr>
      <w:r>
        <w:t>Mannitol + Digitaliques (digoxine) : Hypokaliémie induite → potentialisation de la toxicité digitalique.</w:t>
      </w:r>
    </w:p>
    <w:p>
      <w:pPr>
        <w:pStyle w:val="ListBullet"/>
      </w:pPr>
      <w:r>
        <w:t>Mannitol + Aminosides : Ototoxicité et néphrotoxicité additives.</w:t>
      </w:r>
    </w:p>
    <w:p>
      <w:pPr>
        <w:pStyle w:val="ListBullet"/>
      </w:pPr>
      <w:r>
        <w:t>Mannitol + Lithium : Augmentation de l'excrétion du lithium (effet protecteur utilisé en cas d'intoxication).</w:t>
      </w:r>
    </w:p>
    <w:p>
      <w:r/>
      <w:r>
        <w:rPr>
          <w:b/>
        </w:rPr>
        <w:t>Grossesse et Allaitement :</w:t>
      </w:r>
      <w:r/>
    </w:p>
    <w:p>
      <w:pPr>
        <w:pStyle w:val="ListBullet"/>
      </w:pPr>
      <w:r>
        <w:t>Grossesse : Compatible selon le CRAT en cas de nécessité absolue (œdème cérébral menaçant). À éviter en routine, en raison de l'expansion volémique qui peut aggraver une pré-éclampsie. Surveillance de la volémie maternelle et fœtale.</w:t>
      </w:r>
    </w:p>
    <w:p>
      <w:pPr>
        <w:pStyle w:val="ListBullet"/>
      </w:pPr>
      <w:r>
        <w:t>Allaitement : Compatible (pas de passage significatif dans le lait, courte demi-vie).</w:t>
      </w:r>
    </w:p>
    <w:p>
      <w:pPr>
        <w:pStyle w:val="ListBullet"/>
      </w:pPr>
      <w:r>
        <w:t>Précisions : À réserver aux urgences vitales.</w:t>
      </w:r>
    </w:p>
    <w:p>
      <w:r/>
      <w:r>
        <w:rPr>
          <w:b/>
        </w:rPr>
        <w:t>Posologie et Mode d'administration (Standard) :</w:t>
      </w:r>
      <w:r/>
    </w:p>
    <w:p>
      <w:pPr>
        <w:pStyle w:val="ListBullet"/>
      </w:pPr>
      <w:r>
        <w:t>Adulte : Œdème cérébral — 1 à 2 g/kg IV en 15–30 min (perfusion rapide), à renouveler selon réponse toutes les 4–6 h ou en perfusion continue 0,25–0,5 g/kg/h. Glaucome aigu — 1 à 2 g/kg IV en 30–45 min. Prévention de l'IRA — 0,5 à 1 g/kg IV en 30–60 min avant le geste. Forçage diurétique — 0,5 g/kg IV en bolus puis perfusion continue.</w:t>
      </w:r>
    </w:p>
    <w:p>
      <w:pPr>
        <w:pStyle w:val="ListBullet"/>
      </w:pPr>
      <w:r>
        <w:t>Sujet âgé : Posologie identique, surveillance rapprochée (insuffisance cardiaque, insuffisance rénale).</w:t>
      </w:r>
    </w:p>
    <w:p>
      <w:pPr>
        <w:pStyle w:val="ListBullet"/>
      </w:pPr>
      <w:r>
        <w:t>Durée : Cure courte généralement (24–72 h).</w:t>
      </w:r>
    </w:p>
    <w:p>
      <w:pPr>
        <w:pStyle w:val="ListBullet"/>
      </w:pPr>
      <w:r>
        <w:t>Moment de prise : À la demande selon indication (urgence).</w:t>
      </w:r>
    </w:p>
    <w:p>
      <w:r/>
      <w:r>
        <w:rPr>
          <w:b/>
        </w:rPr>
        <w:t>Arbitrage et Bénéfices des Formes Galéniques :</w:t>
      </w:r>
      <w:r/>
    </w:p>
    <w:p>
      <w:r>
        <w:t>La forme 10 % (concentration 100 mg/mL) est utilisée pour les perfusions de volume plus important (1 L pour 100 g), tandis que la forme 20 % (concentration 200 mg/mL) est utilisée pour les bolus rapides (250 mL pour 50 g). La concentration 20 % présente un risque de cristallisation à basse température (à réchauffer avant administration) et de thrombophlébite. La perfusion doit toujours être faite via un filtre en ligne (pour retenir les cristaux éventuels). Le mannitol n'est pas métabolisé, éliminé à 100 % par filtration glomérulaire en 30–60 min (demi-vie chez le sujet à fonction rénale normale).</w:t>
      </w:r>
    </w:p>
    <w:p>
      <w:r/>
      <w:r>
        <w:rPr>
          <w:b/>
        </w:rPr>
        <w:t>Instructions et Conseils au Patient :</w:t>
      </w:r>
      <w:r/>
    </w:p>
    <w:p>
      <w:pPr>
        <w:pStyle w:val="ListBullet"/>
      </w:pPr>
      <w:r>
        <w:t>Communication au comptoir : Ce médicament est réservé à l'usage hospitalier (urgences, réanimation, bloc opératoire). Le patient n'a pas à le manipuler lui-même. Le pharmacien d'officine n'a pas à le délivrer en routine.</w:t>
      </w:r>
    </w:p>
    <w:p>
      <w:pPr>
        <w:pStyle w:val="ListBullet"/>
      </w:pPr>
      <w:r>
        <w:t>Mode d'utilisation pratique : Vérifier la limpidité de la solution avant administration (risque de cristaux). Réchauffer si nécessaire. Ne pas administrer en IV directe (risque d'hémolyse) — perfusion lente à rapide selon indication. Filtrer en ligne.</w:t>
      </w:r>
    </w:p>
    <w:p>
      <w:r/>
      <w:r>
        <w:rPr>
          <w:b/>
        </w:rPr>
        <w:t>Notes, Règles d'Or &amp; Pièges au Comptoir :</w:t>
      </w:r>
      <w:r/>
    </w:p>
    <w:p>
      <w:pPr>
        <w:pStyle w:val="ListBullet"/>
      </w:pPr>
      <w:r>
        <w:t>Piège classique : Administration de mannitol à un patient en insuffisance cardiaque décompensée ou en anurie — risque vital (œdème pulmonaire aigu, surcharge). Toujours vérifier la fonction rénale et l'absence de signes d'insuffisance cardiaque avant administration.</w:t>
      </w:r>
    </w:p>
    <w:p>
      <w:pPr>
        <w:pStyle w:val="ListBullet"/>
      </w:pPr>
      <w:r>
        <w:t>Règle de prise : Usage hospitalier exclusif.</w:t>
      </w:r>
    </w:p>
    <w:p>
      <w:pPr>
        <w:pStyle w:val="ListBullet"/>
      </w:pPr>
      <w:r>
        <w:t>Préparation et Conservation : Solution à conserver à température ambiante (15–25 °C), à l'abri du froid (risque de cristallisation). Vérifier la limpidité avant emploi. Ne pas utiliser si la solution est trouble ou cristallisée.</w:t>
      </w:r>
    </w:p>
    <w:p>
      <w:pPr>
        <w:pStyle w:val="ListBullet"/>
      </w:pPr>
      <w:r>
        <w:t>Piège du surdosage / Substitution : En cas de surdosage (hyperosmolarité &gt; 320 mOsm/kg, déshydratation, hypernatrémie), arrêt immédiat, perfusion de sérum salé isotonique, surveillance de l'osmolarité. En cas de non-disponibilité (situation actuelle en Algérie), alternatives : sérum salé hypertonique 3 % ou 7,5 %, furosémide IV (efficacité moindre sur œdème cérébral).</w:t>
      </w:r>
    </w:p>
    <w:p>
      <w:pPr>
        <w:pStyle w:val="Heading3"/>
      </w:pPr>
      <w:r>
        <w:t>15. DCI : Digoxine (Seule)</w:t>
      </w:r>
    </w:p>
    <w:p>
      <w:r>
        <w:t>La digoxine est le seul digitalique commercialisé en Algérie (la digitoxine, autre digitalique historique, n'est plus disponible). Glycoside extrait de la Digitale pourpre (Digitalis purpurea) et de la Digitale laineuse (Digitalis lanata), elle est utilisée depuis le XVIIIᵉ siècle (William Withering, 1785). Son index thérapeutique étroit (zone thérapeutique 0,8–2 ng/mL), sa toxicité cumulative et la multiplication des alternatives (amiodarone, bêta-bloquants) ont réduit son usage, mais elle conserve des indications majeures : contrôle de la fréquence ventriculaire dans la fibrillation auriculaire (notamment chez le sujet sédentaire, en association aux bêta-bloquants) et l'insuffisance cardiaque chronique avec dysfonction systolique (essai DIG, réduction des hospitalisations mais pas de la mortalité globale).</w:t>
      </w:r>
    </w:p>
    <w:p>
      <w:r/>
      <w:r>
        <w:rPr>
          <w:b/>
        </w:rPr>
        <w:t>Médicaments disponibles en Algérie (Marques, Laboratoires, Formes et Dosages) :</w:t>
      </w:r>
      <w:r/>
    </w:p>
    <w:p>
      <w:pPr>
        <w:pStyle w:val="ListBullet"/>
      </w:pPr>
      <w:r/>
      <w:r>
        <w:rPr>
          <w:b/>
        </w:rPr>
        <w:t>DIGOXINE CPCM</w:t>
      </w:r>
      <w:r>
        <w:t xml:space="preserve"> (CHIMIE PHARMACIE COMMERCE MULTIPLE SARL — CPCM)</w:t>
      </w:r>
    </w:p>
    <w:p>
      <w:pPr>
        <w:pStyle w:val="ListBullet"/>
      </w:pPr>
      <w:r>
        <w:t>Formes et Dosages : Comprimé 0,25 mg (boîte de 30)</w:t>
      </w:r>
    </w:p>
    <w:p>
      <w:pPr>
        <w:pStyle w:val="ListBullet"/>
      </w:pPr>
      <w:r>
        <w:t>Statut : Actif (Liste I)</w:t>
      </w:r>
    </w:p>
    <w:p>
      <w:pPr>
        <w:pStyle w:val="ListBullet"/>
      </w:pPr>
      <w:r/>
      <w:r>
        <w:rPr>
          <w:b/>
        </w:rPr>
        <w:t>NAGOXIN</w:t>
      </w:r>
      <w:r>
        <w:t xml:space="preserve"> (GENERIC LAB)</w:t>
      </w:r>
    </w:p>
    <w:p>
      <w:pPr>
        <w:pStyle w:val="ListBullet"/>
      </w:pPr>
      <w:r>
        <w:t>Formes et Dosages : Comprimé sécable 0,25 mg (B/30)</w:t>
      </w:r>
    </w:p>
    <w:p>
      <w:pPr>
        <w:pStyle w:val="ListBullet"/>
      </w:pPr>
      <w:r>
        <w:t>Statut : Actif (Liste I)</w:t>
      </w:r>
    </w:p>
    <w:p>
      <w:pPr>
        <w:pStyle w:val="ListBullet"/>
      </w:pPr>
      <w:r/>
      <w:r>
        <w:rPr>
          <w:b/>
        </w:rPr>
        <w:t>XINECOR</w:t>
      </w:r>
      <w:r>
        <w:t xml:space="preserve"> (GENCOPHARM)</w:t>
      </w:r>
    </w:p>
    <w:p>
      <w:pPr>
        <w:pStyle w:val="ListBullet"/>
      </w:pPr>
      <w:r>
        <w:t>Formes et Dosages : Solution buvable 0,05 mg/mL — flacon 50 mL avec pipette graduée</w:t>
      </w:r>
    </w:p>
    <w:p>
      <w:pPr>
        <w:pStyle w:val="ListBullet"/>
      </w:pPr>
      <w:r>
        <w:t>Statut : Actif (Liste I)</w:t>
      </w:r>
    </w:p>
    <w:p>
      <w:pPr>
        <w:pStyle w:val="ListBullet"/>
      </w:pPr>
      <w:r/>
      <w:r>
        <w:rPr>
          <w:b/>
        </w:rPr>
        <w:t>DEXOREN</w:t>
      </w:r>
      <w:r>
        <w:t xml:space="preserve"> (GROUPE SANTE) — Historique</w:t>
      </w:r>
    </w:p>
    <w:p>
      <w:pPr>
        <w:pStyle w:val="ListBullet"/>
      </w:pPr>
      <w:r>
        <w:t>Formes et Dosages : Comprimé sécable 0,25 mg (B/20)</w:t>
      </w:r>
    </w:p>
    <w:p>
      <w:pPr>
        <w:pStyle w:val="ListBullet"/>
      </w:pPr>
      <w:r>
        <w:t>Statut : Non Renouvelable</w:t>
      </w:r>
    </w:p>
    <w:p>
      <w:pPr>
        <w:pStyle w:val="ListBullet"/>
      </w:pPr>
      <w:r/>
      <w:r>
        <w:rPr>
          <w:b/>
        </w:rPr>
        <w:t>DIGOXINE NATIVELLE</w:t>
      </w:r>
      <w:r>
        <w:t xml:space="preserve"> (PROCTER &amp; GAMBLE PHARMACEUTICALS France) — Historique</w:t>
      </w:r>
    </w:p>
    <w:p>
      <w:pPr>
        <w:pStyle w:val="ListBullet"/>
      </w:pPr>
      <w:r>
        <w:t>Formes et Dosages : Comprimé sécable 0,25 mg (B/30) ; Solution buvable 0,05 mg/mL (flacon 60 mL)</w:t>
      </w:r>
    </w:p>
    <w:p>
      <w:pPr>
        <w:pStyle w:val="ListBullet"/>
      </w:pPr>
      <w:r>
        <w:t>Statut : Non Renouvelable / Retiré (R)</w:t>
      </w:r>
    </w:p>
    <w:p>
      <w:pPr>
        <w:pStyle w:val="ListBullet"/>
      </w:pPr>
      <w:r/>
      <w:r>
        <w:rPr>
          <w:b/>
        </w:rPr>
        <w:t>DIGOXINE STREULI</w:t>
      </w:r>
      <w:r>
        <w:t xml:space="preserve"> (STREULI PHARMA AG) — Historique</w:t>
      </w:r>
    </w:p>
    <w:p>
      <w:pPr>
        <w:pStyle w:val="ListBullet"/>
      </w:pPr>
      <w:r>
        <w:t>Formes et Dosages : Comprimé 0,25 mg (B/30) ; Comprimé 0,125 mg (B/30)</w:t>
      </w:r>
    </w:p>
    <w:p>
      <w:pPr>
        <w:pStyle w:val="ListBullet"/>
      </w:pPr>
      <w:r>
        <w:t>Statut : Non Renouvelable</w:t>
      </w:r>
    </w:p>
    <w:p>
      <w:pPr>
        <w:pStyle w:val="ListBullet"/>
      </w:pPr>
      <w:r/>
      <w:r>
        <w:rPr>
          <w:b/>
        </w:rPr>
        <w:t>DIGOXINE</w:t>
      </w:r>
      <w:r>
        <w:t xml:space="preserve"> (BIOLOGICI ITALIA) — Historique</w:t>
      </w:r>
    </w:p>
    <w:p>
      <w:pPr>
        <w:pStyle w:val="ListBullet"/>
      </w:pPr>
      <w:r>
        <w:t>Formes et Dosages : Solution injectable IV 0,5 mg/2 mL (B/5)</w:t>
      </w:r>
    </w:p>
    <w:p>
      <w:pPr>
        <w:pStyle w:val="ListBullet"/>
      </w:pPr>
      <w:r>
        <w:t>Statut : Non Renouvelable</w:t>
      </w:r>
    </w:p>
    <w:p>
      <w:pPr>
        <w:pStyle w:val="ListBullet"/>
      </w:pPr>
      <w:r/>
      <w:r>
        <w:rPr>
          <w:b/>
        </w:rPr>
        <w:t>PURGOXIN</w:t>
      </w:r>
      <w:r>
        <w:t xml:space="preserve"> (PHARMACARE LIMITED) — Historique</w:t>
      </w:r>
    </w:p>
    <w:p>
      <w:pPr>
        <w:pStyle w:val="ListBullet"/>
      </w:pPr>
      <w:r>
        <w:t>Formes et Dosages : Comprimé 0,25 mg (B/30)</w:t>
      </w:r>
    </w:p>
    <w:p>
      <w:pPr>
        <w:pStyle w:val="ListBullet"/>
      </w:pPr>
      <w:r>
        <w:t>Statut : Retiré (R)</w:t>
      </w:r>
    </w:p>
    <w:p>
      <w:pPr>
        <w:pStyle w:val="ListBullet"/>
      </w:pPr>
      <w:r/>
      <w:r>
        <w:rPr>
          <w:b/>
        </w:rPr>
        <w:t>WERADOXIN 0.25</w:t>
      </w:r>
      <w:r>
        <w:t xml:space="preserve"> (WEIMER PHARMA GmbH) — Historique</w:t>
      </w:r>
    </w:p>
    <w:p>
      <w:pPr>
        <w:pStyle w:val="ListBullet"/>
      </w:pPr>
      <w:r>
        <w:t>Formes et Dosages : Comprimé 0,25 mg (B/30)</w:t>
      </w:r>
    </w:p>
    <w:p>
      <w:pPr>
        <w:pStyle w:val="ListBullet"/>
      </w:pPr>
      <w:r>
        <w:t>Statut : Retiré (R)</w:t>
      </w:r>
    </w:p>
    <w:p>
      <w:r/>
      <w:r>
        <w:rPr>
          <w:b/>
        </w:rPr>
        <w:t>Remarque sur la disponibilité algérienne :</w:t>
      </w:r>
      <w:r>
        <w:t xml:space="preserve"> À la date d'édition, la digoxine est disponible en Algérie en deux formes orales (comprimé 0,25 mg et solution buvable 0,05 mg/mL). La forme injectable IV (autrefois DIGOXINE BIOLOGICI ITALIA) n'est plus disponible, ce qui prive les urgentistes d'un outil historique dans le contrôle rapide de la FA à fréquence ventriculaire rapide. Les alternatives hospitalières sont l'amiodarone IV, le vérapamil IV, ou les bêta-bloquants IV (esmolol). Cette pénurie de la forme injectable expose à un retard de prise en charge dans certaines situations d'urgence.</w:t>
      </w:r>
    </w:p>
    <w:p>
      <w:r/>
      <w:r>
        <w:rPr>
          <w:b/>
        </w:rPr>
        <w:t>Sous-classe et Mécanisme d'action :</w:t>
      </w:r>
      <w:r/>
    </w:p>
    <w:p>
      <w:pPr>
        <w:pStyle w:val="ListBullet"/>
      </w:pPr>
      <w:r>
        <w:t>Sous-classe : Digitaliques — Inhibiteurs de la Na⁺/K⁺-ATPase.</w:t>
      </w:r>
    </w:p>
    <w:p>
      <w:pPr>
        <w:pStyle w:val="ListBullet"/>
      </w:pPr>
      <w:r>
        <w:t xml:space="preserve">Mécanisme d'action : La digoxine inhibe de manière spécifique et reversible la </w:t>
      </w:r>
      <w:r>
        <w:rPr>
          <w:b/>
        </w:rPr>
        <w:t>Na⁺/K⁺-ATPase</w:t>
      </w:r>
      <w:r>
        <w:t xml:space="preserve"> membranaire (sous-unité α) des cellules myocardiques, diminuant l'efflux de Na⁺ et l'influx de K⁺. L'augmentation du Na⁺ intracellulaire réduit le gradient conduisant l'entrée du Ca²⁺ par l'échangeur Na⁺/Ca²⁺ (NCX) — en pratique, l'échangeur NCX fonctionne en mode "Ca²⁺ out / Na⁺ in" habituellement ; l'excès de Na⁺ intracellulaire ralentit cet échange, augmentant ainsi le Ca²⁺ cytosolique. Le Ca²⁺ est repris par le réticulum sarcoplasmique via SERCA, augmentant la charge calcique systolique et donc la force de contraction (effet inotrope positif). Sur le nœud sinusal et le nœud auriculo-ventriculaire, la digoxine augmente le tonus vagal (effet vagomimétique) et ralentit la conduction AV (effet dromotrope négatif), ce qui justifie son utilisation dans le contrôle de la fréquence ventriculaire de la FA. Effet bathmotrope positif (augmentation de l'excitabilité myocardique — à l'origine des arythmies en cas de surdosage).</w:t>
      </w:r>
    </w:p>
    <w:p>
      <w:r/>
      <w:r>
        <w:rPr>
          <w:b/>
        </w:rPr>
        <w:t>Profil Pharmacologique :</w:t>
      </w:r>
      <w:r/>
    </w:p>
    <w:p>
      <w:pPr>
        <w:pStyle w:val="ListBullet"/>
      </w:pPr>
      <w:r>
        <w:t>Indications : Fibrillation auriculaire (contrôle de la fréquence ventriculaire chez le sujet sédentaire, en association aux bêta-bloquants), flutter auriculaire, insuffisance cardiaque chronique avec dysfonction systolique (FEVG ≤ 45 %) en association aux IEC/ARA2, bêta-bloquants, antagonistes minéralocorticoïdes (essai DIG — réduction des hospitalisations mais pas de la mortalité globale). À éviter dans la FA du sujet jeune actif (préférer bêta-bloquants) et dans la cardiomyopathie hypertrophique obstructive.</w:t>
      </w:r>
    </w:p>
    <w:p>
      <w:pPr>
        <w:pStyle w:val="ListBullet"/>
      </w:pPr>
      <w:r>
        <w:t>Contre-indications : BAV de 2ᵉ et 3ᵉ degré non appareillé, tachycardie ventriculaire, fibrillation ventriculaire, cardiomyopathie hypertrophique obstructive, Wolff-Parkinson-White (risque de conduction accélérée par la voie accessoire), péricardite constrictive, tamponnade, intolérance au digitalique, hypokaliémie non corrigée, hypercalcémie, hypomagnésémie, maladie du nœud sinusal non appareillée, syndrome de WPW avec FA, cardiomyopathie obstructive rétrécissement aortique serré, myxœdème.</w:t>
      </w:r>
    </w:p>
    <w:p>
      <w:pPr>
        <w:pStyle w:val="ListBullet"/>
      </w:pPr>
      <w:r>
        <w:t>Effets Indésirables : Troubles digestifs (anorexie, nausées, vomissements — signes précurseurs d'intoxication), troubles visuels (vision jaune-vert ou "jaune digitalique", scotomes, scintillements), troubles du rythme (extrasystoles ventriculaires, tachycardie ventriculaire bidirectionnelle — pathognomonique, FA, BAV), troubles neuropsychiatriques (confusion, asthénie, céphalées, vertiges, rarement hallucinations), gynécomastie (effet œstrogène-like), troubles ioniques (hyperkaliémie paradoxale en cas d'intoxication massive par inhibition massive de la Na⁺/K⁺-ATPase). La toxicité digitalique est potentialisée par l'hypokaliémie, l'hypomagnésémie, l'hypercalcémie, l'hypothyroïdie, l'hypoxie, l'insuffisance rénale.</w:t>
      </w:r>
    </w:p>
    <w:p>
      <w:r/>
      <w:r>
        <w:rPr>
          <w:b/>
        </w:rPr>
        <w:t>Prévention et Gestion des Effets Indésirables :</w:t>
      </w:r>
      <w:r/>
    </w:p>
    <w:p>
      <w:pPr>
        <w:pStyle w:val="ListBullet"/>
      </w:pPr>
      <w:r>
        <w:t>Mesures Préventives : Dosage de la digoxinémie (zone thérapeutique 0,8–2 ng/mL, à doser 6–8 h après la dernière prise) en début de traitement puis tous les 3–6 mois. Ionogramme (K⁺, Mg²⁺, Ca²⁺) avant puis régulièrement. Fonction rénale (clairance créatinine) avant puis régulièrement — adaptation posologique. ECG avant puis régulièrement. Chez le sujet âgé, insuffisant rénal, ou en cas d'hypokaliémie, posologie réduite (0,125 mg/jour ou un jour sur deux). Surveillance accrue en cas d'association aux médicaments augmentant la digoxinémie (vérapamil, amiodarone, quinidine, ciclosporine).</w:t>
      </w:r>
    </w:p>
    <w:p>
      <w:pPr>
        <w:pStyle w:val="ListBullet"/>
      </w:pPr>
      <w:r>
        <w:t>Conduite à Tenir : En cas de signes précoces d'intoxication (anorexie, nausées, troubles visuels), arrêt immédiat et dosage de la digoxinémie. En cas d'intoxication sévère (arythmies, hyperkaliémie &gt; 5 mmol/L, digoxinémie &gt; 10 ng/mL), administration d'anticorps spécifiques anti-digoxine (Fab — DigiFab®, non disponibles en Algérie actuellement, à importer en ATU) à la dose de 80 mg (2 flacons) par 1 mg de digoxine à neutraliser. Traitement symptomatique : correction de l'hypokaliémie, antiarythmiques de classe I (lidocaïne, phénytoïne) en cas d'arythmies ventriculaires, atropine ou entraînement électrosystolique en cas de bradycardie ou BAV. Ne pas utiliser le calcium IV (risque d'arrêt cardiaque — effet "stone heart").</w:t>
      </w:r>
    </w:p>
    <w:p>
      <w:r/>
      <w:r>
        <w:rPr>
          <w:b/>
        </w:rPr>
        <w:t>Interactions Importantes :</w:t>
      </w:r>
      <w:r/>
    </w:p>
    <w:p>
      <w:pPr>
        <w:pStyle w:val="ListBullet"/>
      </w:pPr>
      <w:r>
        <w:t>Digoxine + Vérapamil : Augmentation de 50–80 % de la digoxinémie (inhibition de la P-gp rénale) — diminution de la dose de digoxine de 50 %.</w:t>
      </w:r>
    </w:p>
    <w:p>
      <w:pPr>
        <w:pStyle w:val="ListBullet"/>
      </w:pPr>
      <w:r>
        <w:t>Digoxine + Amiodarone : Augmentation de 50–100 % de la digoxinémie (inhibition de la P-gp) — diminution de moitié de la dose de digoxine.</w:t>
      </w:r>
    </w:p>
    <w:p>
      <w:pPr>
        <w:pStyle w:val="ListBullet"/>
      </w:pPr>
      <w:r>
        <w:t>Digoxine + Quinidine : Augmentation majeure de la digoxinémie (CI relative ou surveillance stricte).</w:t>
      </w:r>
    </w:p>
    <w:p>
      <w:pPr>
        <w:pStyle w:val="ListBullet"/>
      </w:pPr>
      <w:r>
        <w:t>Digoxine + Ciclosporine : Augmentation de la digoxinémie.</w:t>
      </w:r>
    </w:p>
    <w:p>
      <w:pPr>
        <w:pStyle w:val="ListBullet"/>
      </w:pPr>
      <w:r>
        <w:t>Digoxine + Diurétiques (furosémide, HCTZ, indapamide) : Hypokaliémie induite → potentialisation majeure de la toxicité digitalique (surveillance stricte de la kaliémie, supplémentation).</w:t>
      </w:r>
    </w:p>
    <w:p>
      <w:pPr>
        <w:pStyle w:val="ListBullet"/>
      </w:pPr>
      <w:r>
        <w:t>Digoxine + Spironolactone : Augmentation modérée de la digoxinémie (compétition P-gp), mais la spironolactone épargne le K⁺ et protège donc de l'hypokaliémie — bénéfice global, surveillance quand même.</w:t>
      </w:r>
    </w:p>
    <w:p>
      <w:pPr>
        <w:pStyle w:val="ListBullet"/>
      </w:pPr>
      <w:r>
        <w:t>Digoxine + Macrolides (clarithromycine, érythromycine) : Augmentation de la digoxinémie (inhibition de la flore intestinale qui métabolise 10 % de la digoxine).</w:t>
      </w:r>
    </w:p>
    <w:p>
      <w:pPr>
        <w:pStyle w:val="ListBullet"/>
      </w:pPr>
      <w:r>
        <w:t>Digoxine + Tétracyclines : Idem.</w:t>
      </w:r>
    </w:p>
    <w:p>
      <w:pPr>
        <w:pStyle w:val="ListBullet"/>
      </w:pPr>
      <w:r>
        <w:t>Digoxine + Charbon activé, cholestyramine : Diminution de l'absorption de la digoxine.</w:t>
      </w:r>
    </w:p>
    <w:p>
      <w:pPr>
        <w:pStyle w:val="ListBullet"/>
      </w:pPr>
      <w:r>
        <w:t>Digoxine + Antiacides : Diminution de l'absorption de la digoxine (espacer de 2 h).</w:t>
      </w:r>
    </w:p>
    <w:p>
      <w:pPr>
        <w:pStyle w:val="ListBullet"/>
      </w:pPr>
      <w:r>
        <w:t>Digoxine + Thyroïde (lévothyrox) : L'hypothyroïdie diminue la clearance de la digoxine ; l'hyperthyroïdie l'augmente.</w:t>
      </w:r>
    </w:p>
    <w:p>
      <w:pPr>
        <w:pStyle w:val="ListBullet"/>
      </w:pPr>
      <w:r>
        <w:t>Digoxine + Bêta-bloquants : Effet additif sur la conduction AV (bradycardie, BAV).</w:t>
      </w:r>
    </w:p>
    <w:p>
      <w:r/>
      <w:r>
        <w:rPr>
          <w:b/>
        </w:rPr>
        <w:t>Grossesse et Allaitement :</w:t>
      </w:r>
      <w:r/>
    </w:p>
    <w:p>
      <w:pPr>
        <w:pStyle w:val="ListBullet"/>
      </w:pPr>
      <w:r>
        <w:t>Grossesse : Compatible selon le CRAT. La digoxine traverse le placenta. Utilisée dans le traitement des tachycardies fœtales (tachycardie supraventriculaire fœtale réfractaire,Flutter ou FA fœtal). À dose maternelle standard, le fœtus est exposé mais sans effet tératogène connu. Surveillance de la fréquence cardiaque fœtale.</w:t>
      </w:r>
    </w:p>
    <w:p>
      <w:pPr>
        <w:pStyle w:val="ListBullet"/>
      </w:pPr>
      <w:r>
        <w:t>Allaitement : Compatible selon le CRAT (passage faible dans le lait, rapport lait/plasma = 0,6–0,9). À la dose maternelle de 0,25 mg/jour, le nourrisson reçoit une dose sub-thérapeutique (sans effet cardiaque). Surveillance de la fréquence cardiaque du nourrisson.</w:t>
      </w:r>
    </w:p>
    <w:p>
      <w:pPr>
        <w:pStyle w:val="ListBullet"/>
      </w:pPr>
      <w:r>
        <w:t>Précisions : La digoxine est l'un des rares antiarythmiques compatibles avec la grossesse et l'allaitement — utile dans la FA maternelle.</w:t>
      </w:r>
    </w:p>
    <w:p>
      <w:r/>
      <w:r>
        <w:rPr>
          <w:b/>
        </w:rPr>
        <w:t>Posologie et Mode d'administration (Standard) :</w:t>
      </w:r>
      <w:r/>
    </w:p>
    <w:p>
      <w:pPr>
        <w:pStyle w:val="ListBullet"/>
      </w:pPr>
      <w:r>
        <w:t>Adulte : Dose d'attaque (rarement utilisée aujourd'hui) — 0,5 à 1 mg IV en 24 h, ou 1 à 1,5 mg per os en 24 h (en 3 prises espacées de 6 h). Dose d'entretien — 0,125 à 0,25 mg/jour per os en une prise. Chez le sujet âgé, insuffisant rénal, ou de poids &lt; 60 kg : 0,0625 à 0,125 mg/jour. Solution buvable (0,05 mg/mL = 5 mL) : utile chez le sujet âgé pour adaptation fine (ex : 2,5 mL = 0,125 mg).</w:t>
      </w:r>
    </w:p>
    <w:p>
      <w:pPr>
        <w:pStyle w:val="ListBullet"/>
      </w:pPr>
      <w:r>
        <w:t>Sujet âgé : Dose initiale réduite (0,125 mg/jour), surveillance stricte (fonction rénale, digoxinémie, ECG).</w:t>
      </w:r>
    </w:p>
    <w:p>
      <w:pPr>
        <w:pStyle w:val="ListBullet"/>
      </w:pPr>
      <w:r>
        <w:t>Durée : Au long cours.</w:t>
      </w:r>
    </w:p>
    <w:p>
      <w:pPr>
        <w:pStyle w:val="ListBullet"/>
      </w:pPr>
      <w:r>
        <w:t>Moment de prise : Matin (préférentiellement), à heure fixe. Prise indépendante des repas possible (l'alimentation n'affecte pas significativement l'absorption).</w:t>
      </w:r>
    </w:p>
    <w:p>
      <w:r/>
      <w:r>
        <w:rPr>
          <w:b/>
        </w:rPr>
        <w:t>Arbitrage et Bénéfices des Formes Galéniques :</w:t>
      </w:r>
      <w:r/>
    </w:p>
    <w:p>
      <w:r>
        <w:t>La forme comprimé 0,25 mg sécable permet une adaptation posologique (demi-comprimé = 0,125 mg). La solution buvable 0,05 mg/mL (5 mL = 0,25 mg) est utile chez le sujet âgé ou en pédiatrie pour une adaptation très fine (1 mL = 0,05 mg). La forme injectable IV (0,5 mg/2 mL), retirée du marché algérien, était historiquement utilisée dans l'urgence (FA à fréquence ventriculaire rapide menaçante). La biodisponibilité per os est de 70–80 %, avec un pic à 2–3 h, une demi-vie de 36–48 h (autorisation de la prise quotidienne), une élimination principalement rénale (60–80 % inchangée). La digoxine a un volume de distribution élevé (5–7 L/kg), avec fixation myocardique importante (d'où l'effet cardiaque retardé et prolongé).</w:t>
      </w:r>
    </w:p>
    <w:p>
      <w:r/>
      <w:r>
        <w:rPr>
          <w:b/>
        </w:rPr>
        <w:t>Instructions et Conseils au Patient :</w:t>
      </w:r>
      <w:r/>
    </w:p>
    <w:p>
      <w:pPr>
        <w:pStyle w:val="ListBullet"/>
      </w:pPr>
      <w:r>
        <w:t>Communication au comptoir : "Ce médicament régule le rythme cardiaque. La dose est très précise — ne changez jamais la dose sans avis médical. Ne prenez jamais de suppléments de potassium sans avis médical (risque d'interaction). Prévenez votre médecin si vous prenez aussi un diurétique (risque de baisse de potassium qui peut rendre ce médicament toxique). En cas de nausées, vomissements, troubles de la vue (couleurs, vision floue), fatigue, arrêtez et prévenez immédiatement votre médecin."</w:t>
      </w:r>
    </w:p>
    <w:p>
      <w:pPr>
        <w:pStyle w:val="ListBullet"/>
      </w:pPr>
      <w:r>
        <w:t>Mode d'utilisation pratique : Prise à heure fixe, le matin. Surveillance de la fréquence cardiaque (auto-mesure du pouls). En cas d'oubli, ne pas doubler la dose suivante (dose toxique). Ne pas arrêter brutalement (risque de rebond). Éviter le pamplemousse (interaction discutée). Surveillance du poids (prise de poids = surcharge = consultation médicale).</w:t>
      </w:r>
    </w:p>
    <w:p>
      <w:r/>
      <w:r>
        <w:rPr>
          <w:b/>
        </w:rPr>
        <w:t>Notes, Règles d'Or &amp; Pièges au Comptoir :</w:t>
      </w:r>
      <w:r/>
    </w:p>
    <w:p>
      <w:pPr>
        <w:pStyle w:val="ListBullet"/>
      </w:pPr>
      <w:r>
        <w:t>Piège classique : Patient sous digoxine et furosémide (ou HCTZ, indapamide) sans surveillance de la kaliémie — risque majeur d'intoxication digitalique (l'hypokaliémie potentialise la toxicité digoxine). Patient sous digoxine et vérapamil (ou amiodarone) sans adaptation de dose — risque d'augmentation de la digoxinémie (×2). Patient sous digoxine et clarithromycine — augmentation de la digoxinémie.</w:t>
      </w:r>
    </w:p>
    <w:p>
      <w:pPr>
        <w:pStyle w:val="ListBullet"/>
      </w:pPr>
      <w:r>
        <w:t>Règle de prise : Une prise par jour, à heure fixe. Ne jamais doubler la dose en cas d'oubli.</w:t>
      </w:r>
    </w:p>
    <w:p>
      <w:pPr>
        <w:pStyle w:val="ListBullet"/>
      </w:pPr>
      <w:r>
        <w:t>Préparation et Conservation : À température ambiante (15–25 °C), à l'abri de la lumière et de l'humidité. Solution buvable : bien agiter avant emploi, utiliser la pipette graduée.</w:t>
      </w:r>
    </w:p>
    <w:p>
      <w:pPr>
        <w:pStyle w:val="ListBullet"/>
      </w:pPr>
      <w:r>
        <w:t>Piège du surdosage / Substitution : La digoxine a un index thérapeutique étroit (zone 0,8–2 ng/mL). En cas d'intoxication (digoxinémie &gt; 2 ng/mL, ou signes cliniques), arrêt immédiat, hospitalisation. Les anticorps Fab (DigiFab®) sont l'antidote spécifique — non disponibles en Algérie couramment, à importer en ATU. Ne pas substituer la forme 0,25 mg par deux comprimés de 0,125 mg si cette forme n'existe pas en Algérie (réservé au fractionnement du 0,25 mg sécable).</w:t>
      </w:r>
    </w:p>
    <w:p>
      <w:pPr>
        <w:pStyle w:val="Heading2"/>
      </w:pPr>
      <w:r>
        <w:t>Tableau Comparatif Synthétique des 15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Site d'action principal</w:t>
            </w:r>
          </w:p>
        </w:tc>
        <w:tc>
          <w:tcPr>
            <w:tcW w:type="dxa" w:w="1336"/>
          </w:tcPr>
          <w:p>
            <w:r>
              <w:rPr>
                <w:b/>
                <w:sz w:val="20"/>
              </w:rPr>
              <w:t>Demi-vie</w:t>
            </w:r>
          </w:p>
        </w:tc>
        <w:tc>
          <w:tcPr>
            <w:tcW w:type="dxa" w:w="1336"/>
          </w:tcPr>
          <w:p>
            <w:r>
              <w:rPr>
                <w:b/>
                <w:sz w:val="20"/>
              </w:rPr>
              <w:t>Posologie standard adulte</w:t>
            </w:r>
          </w:p>
        </w:tc>
        <w:tc>
          <w:tcPr>
            <w:tcW w:type="dxa" w:w="1336"/>
          </w:tcPr>
          <w:p>
            <w:r>
              <w:rPr>
                <w:b/>
                <w:sz w:val="20"/>
              </w:rPr>
              <w:t>Effet indésirable majeur</w:t>
            </w:r>
          </w:p>
        </w:tc>
        <w:tc>
          <w:tcPr>
            <w:tcW w:type="dxa" w:w="1336"/>
          </w:tcPr>
          <w:p>
            <w:r>
              <w:rPr>
                <w:b/>
                <w:sz w:val="20"/>
              </w:rPr>
              <w:t>Grossesse</w:t>
            </w:r>
          </w:p>
        </w:tc>
      </w:tr>
      <w:tr>
        <w:tc>
          <w:tcPr>
            <w:tcW w:type="dxa" w:w="1336"/>
          </w:tcPr>
          <w:p>
            <w:r>
              <w:rPr>
                <w:sz w:val="20"/>
              </w:rPr>
              <w:t>Trinitrine</w:t>
            </w:r>
          </w:p>
        </w:tc>
        <w:tc>
          <w:tcPr>
            <w:tcW w:type="dxa" w:w="1336"/>
          </w:tcPr>
          <w:p>
            <w:r>
              <w:rPr>
                <w:sz w:val="20"/>
              </w:rPr>
              <w:t>Nitrés</w:t>
            </w:r>
          </w:p>
        </w:tc>
        <w:tc>
          <w:tcPr>
            <w:tcW w:type="dxa" w:w="1336"/>
          </w:tcPr>
          <w:p>
            <w:r>
              <w:rPr>
                <w:sz w:val="20"/>
              </w:rPr>
              <w:t>Cellule musculaire lisse vasculaire (NO → GMPc)</w:t>
            </w:r>
          </w:p>
        </w:tc>
        <w:tc>
          <w:tcPr>
            <w:tcW w:type="dxa" w:w="1336"/>
          </w:tcPr>
          <w:p>
            <w:r>
              <w:rPr>
                <w:sz w:val="20"/>
              </w:rPr>
              <w:t>2–4 min (IV)</w:t>
            </w:r>
          </w:p>
        </w:tc>
        <w:tc>
          <w:tcPr>
            <w:tcW w:type="dxa" w:w="1336"/>
          </w:tcPr>
          <w:p>
            <w:r>
              <w:rPr>
                <w:sz w:val="20"/>
              </w:rPr>
              <w:t>0,4 mg sublingual crise ; 1–10 mg/h IV</w:t>
            </w:r>
          </w:p>
        </w:tc>
        <w:tc>
          <w:tcPr>
            <w:tcW w:type="dxa" w:w="1336"/>
          </w:tcPr>
          <w:p>
            <w:r>
              <w:rPr>
                <w:sz w:val="20"/>
              </w:rPr>
              <w:t>Céphalées, hypotension, tolérance</w:t>
            </w:r>
          </w:p>
        </w:tc>
        <w:tc>
          <w:tcPr>
            <w:tcW w:type="dxa" w:w="1336"/>
          </w:tcPr>
          <w:p>
            <w:r>
              <w:rPr>
                <w:sz w:val="20"/>
              </w:rPr>
              <w:t>Compatible (2ᵉ intention)</w:t>
            </w:r>
          </w:p>
        </w:tc>
      </w:tr>
      <w:tr>
        <w:tc>
          <w:tcPr>
            <w:tcW w:type="dxa" w:w="1336"/>
          </w:tcPr>
          <w:p>
            <w:r>
              <w:rPr>
                <w:sz w:val="20"/>
              </w:rPr>
              <w:t>Dinitrate d'isosorbide</w:t>
            </w:r>
          </w:p>
        </w:tc>
        <w:tc>
          <w:tcPr>
            <w:tcW w:type="dxa" w:w="1336"/>
          </w:tcPr>
          <w:p>
            <w:r>
              <w:rPr>
                <w:sz w:val="20"/>
              </w:rPr>
              <w:t>Nitrés</w:t>
            </w:r>
          </w:p>
        </w:tc>
        <w:tc>
          <w:tcPr>
            <w:tcW w:type="dxa" w:w="1336"/>
          </w:tcPr>
          <w:p>
            <w:r>
              <w:rPr>
                <w:sz w:val="20"/>
              </w:rPr>
              <w:t>Idem</w:t>
            </w:r>
          </w:p>
        </w:tc>
        <w:tc>
          <w:tcPr>
            <w:tcW w:type="dxa" w:w="1336"/>
          </w:tcPr>
          <w:p>
            <w:r>
              <w:rPr>
                <w:sz w:val="20"/>
              </w:rPr>
              <w:t>1 h (parent), 5 h (métabolite 5-ISMN)</w:t>
            </w:r>
          </w:p>
        </w:tc>
        <w:tc>
          <w:tcPr>
            <w:tcW w:type="dxa" w:w="1336"/>
          </w:tcPr>
          <w:p>
            <w:r>
              <w:rPr>
                <w:sz w:val="20"/>
              </w:rPr>
              <w:t>10–20 mg x 2–3/j ou LP 40 mg/j ; spray 1,25 mg crise</w:t>
            </w:r>
          </w:p>
        </w:tc>
        <w:tc>
          <w:tcPr>
            <w:tcW w:type="dxa" w:w="1336"/>
          </w:tcPr>
          <w:p>
            <w:r>
              <w:rPr>
                <w:sz w:val="20"/>
              </w:rPr>
              <w:t>Céphalées, tolérance</w:t>
            </w:r>
          </w:p>
        </w:tc>
        <w:tc>
          <w:tcPr>
            <w:tcW w:type="dxa" w:w="1336"/>
          </w:tcPr>
          <w:p>
            <w:r>
              <w:rPr>
                <w:sz w:val="20"/>
              </w:rPr>
              <w:t>Compatible (2ᵉ intention)</w:t>
            </w:r>
          </w:p>
        </w:tc>
      </w:tr>
      <w:tr>
        <w:tc>
          <w:tcPr>
            <w:tcW w:type="dxa" w:w="1336"/>
          </w:tcPr>
          <w:p>
            <w:r>
              <w:rPr>
                <w:sz w:val="20"/>
              </w:rPr>
              <w:t>Molsidomine</w:t>
            </w:r>
          </w:p>
        </w:tc>
        <w:tc>
          <w:tcPr>
            <w:tcW w:type="dxa" w:w="1336"/>
          </w:tcPr>
          <w:p>
            <w:r>
              <w:rPr>
                <w:sz w:val="20"/>
              </w:rPr>
              <w:t>Donneur de NO non nitré</w:t>
            </w:r>
          </w:p>
        </w:tc>
        <w:tc>
          <w:tcPr>
            <w:tcW w:type="dxa" w:w="1336"/>
          </w:tcPr>
          <w:p>
            <w:r>
              <w:rPr>
                <w:sz w:val="20"/>
              </w:rPr>
              <w:t>Idem (libération non enzymatique)</w:t>
            </w:r>
          </w:p>
        </w:tc>
        <w:tc>
          <w:tcPr>
            <w:tcW w:type="dxa" w:w="1336"/>
          </w:tcPr>
          <w:p>
            <w:r>
              <w:rPr>
                <w:sz w:val="20"/>
              </w:rPr>
              <w:t>4 h (prodrogue), 4–6 h (SIN-1)</w:t>
            </w:r>
          </w:p>
        </w:tc>
        <w:tc>
          <w:tcPr>
            <w:tcW w:type="dxa" w:w="1336"/>
          </w:tcPr>
          <w:p>
            <w:r>
              <w:rPr>
                <w:sz w:val="20"/>
              </w:rPr>
              <w:t>2 mg x 2–3/j ou 4 mg x 2/j</w:t>
            </w:r>
          </w:p>
        </w:tc>
        <w:tc>
          <w:tcPr>
            <w:tcW w:type="dxa" w:w="1336"/>
          </w:tcPr>
          <w:p>
            <w:r>
              <w:rPr>
                <w:sz w:val="20"/>
              </w:rPr>
              <w:t>Hypotension, céphalées (mineures)</w:t>
            </w:r>
          </w:p>
        </w:tc>
        <w:tc>
          <w:tcPr>
            <w:tcW w:type="dxa" w:w="1336"/>
          </w:tcPr>
          <w:p>
            <w:r>
              <w:rPr>
                <w:sz w:val="20"/>
              </w:rPr>
              <w:t>À éviter par prudence</w:t>
            </w:r>
          </w:p>
        </w:tc>
      </w:tr>
      <w:tr>
        <w:tc>
          <w:tcPr>
            <w:tcW w:type="dxa" w:w="1336"/>
          </w:tcPr>
          <w:p>
            <w:r>
              <w:rPr>
                <w:sz w:val="20"/>
              </w:rPr>
              <w:t>Minoxidil</w:t>
            </w:r>
          </w:p>
        </w:tc>
        <w:tc>
          <w:tcPr>
            <w:tcW w:type="dxa" w:w="1336"/>
          </w:tcPr>
          <w:p>
            <w:r>
              <w:rPr>
                <w:sz w:val="20"/>
              </w:rPr>
              <w:t>Vasodilatateur direct (topique)</w:t>
            </w:r>
          </w:p>
        </w:tc>
        <w:tc>
          <w:tcPr>
            <w:tcW w:type="dxa" w:w="1336"/>
          </w:tcPr>
          <w:p>
            <w:r>
              <w:rPr>
                <w:sz w:val="20"/>
              </w:rPr>
              <w:t>Canaux K⁺ ATP Kir6/SUR</w:t>
            </w:r>
          </w:p>
        </w:tc>
        <w:tc>
          <w:tcPr>
            <w:tcW w:type="dxa" w:w="1336"/>
          </w:tcPr>
          <w:p>
            <w:r>
              <w:rPr>
                <w:sz w:val="20"/>
              </w:rPr>
              <w:t>22 h (systémique)</w:t>
            </w:r>
          </w:p>
        </w:tc>
        <w:tc>
          <w:tcPr>
            <w:tcW w:type="dxa" w:w="1336"/>
          </w:tcPr>
          <w:p>
            <w:r>
              <w:rPr>
                <w:sz w:val="20"/>
              </w:rPr>
              <w:t>1 mL solution 5 % x 2/j (homme) ; 2 % (femme)</w:t>
            </w:r>
          </w:p>
        </w:tc>
        <w:tc>
          <w:tcPr>
            <w:tcW w:type="dxa" w:w="1336"/>
          </w:tcPr>
          <w:p>
            <w:r>
              <w:rPr>
                <w:sz w:val="20"/>
              </w:rPr>
              <w:t>Irritation locale, hypertrichose à distance, palpitations</w:t>
            </w:r>
          </w:p>
        </w:tc>
        <w:tc>
          <w:tcPr>
            <w:tcW w:type="dxa" w:w="1336"/>
          </w:tcPr>
          <w:p>
            <w:r>
              <w:rPr>
                <w:sz w:val="20"/>
              </w:rPr>
              <w:t>Contre-indiqué</w:t>
            </w:r>
          </w:p>
        </w:tc>
      </w:tr>
      <w:tr>
        <w:tc>
          <w:tcPr>
            <w:tcW w:type="dxa" w:w="1336"/>
          </w:tcPr>
          <w:p>
            <w:r>
              <w:rPr>
                <w:sz w:val="20"/>
              </w:rPr>
              <w:t>Furosémide</w:t>
            </w:r>
          </w:p>
        </w:tc>
        <w:tc>
          <w:tcPr>
            <w:tcW w:type="dxa" w:w="1336"/>
          </w:tcPr>
          <w:p>
            <w:r>
              <w:rPr>
                <w:sz w:val="20"/>
              </w:rPr>
              <w:t>Diurétique de l'anse</w:t>
            </w:r>
          </w:p>
        </w:tc>
        <w:tc>
          <w:tcPr>
            <w:tcW w:type="dxa" w:w="1336"/>
          </w:tcPr>
          <w:p>
            <w:r>
              <w:rPr>
                <w:sz w:val="20"/>
              </w:rPr>
              <w:t>NKCC2 (anse de Henle)</w:t>
            </w:r>
          </w:p>
        </w:tc>
        <w:tc>
          <w:tcPr>
            <w:tcW w:type="dxa" w:w="1336"/>
          </w:tcPr>
          <w:p>
            <w:r>
              <w:rPr>
                <w:sz w:val="20"/>
              </w:rPr>
              <w:t>1–2 h (IV), 6 h (per os)</w:t>
            </w:r>
          </w:p>
        </w:tc>
        <w:tc>
          <w:tcPr>
            <w:tcW w:type="dxa" w:w="1336"/>
          </w:tcPr>
          <w:p>
            <w:r>
              <w:rPr>
                <w:sz w:val="20"/>
              </w:rPr>
              <w:t>20–80 mg/j per os ; 20–40 mg IV (jusqu'à 250 mg)</w:t>
            </w:r>
          </w:p>
        </w:tc>
        <w:tc>
          <w:tcPr>
            <w:tcW w:type="dxa" w:w="1336"/>
          </w:tcPr>
          <w:p>
            <w:r>
              <w:rPr>
                <w:sz w:val="20"/>
              </w:rPr>
              <w:t>Hypokaliémie, hypoNa, hypoMg, hyperuricémie, ototoxicité</w:t>
            </w:r>
          </w:p>
        </w:tc>
        <w:tc>
          <w:tcPr>
            <w:tcW w:type="dxa" w:w="1336"/>
          </w:tcPr>
          <w:p>
            <w:r>
              <w:rPr>
                <w:sz w:val="20"/>
              </w:rPr>
              <w:t>Compatible (cure courte)</w:t>
            </w:r>
          </w:p>
        </w:tc>
      </w:tr>
      <w:tr>
        <w:tc>
          <w:tcPr>
            <w:tcW w:type="dxa" w:w="1336"/>
          </w:tcPr>
          <w:p>
            <w:r>
              <w:rPr>
                <w:sz w:val="20"/>
              </w:rPr>
              <w:t>Bumétanide</w:t>
            </w:r>
          </w:p>
        </w:tc>
        <w:tc>
          <w:tcPr>
            <w:tcW w:type="dxa" w:w="1336"/>
          </w:tcPr>
          <w:p>
            <w:r>
              <w:rPr>
                <w:sz w:val="20"/>
              </w:rPr>
              <w:t>Diurétique de l'anse</w:t>
            </w:r>
          </w:p>
        </w:tc>
        <w:tc>
          <w:tcPr>
            <w:tcW w:type="dxa" w:w="1336"/>
          </w:tcPr>
          <w:p>
            <w:r>
              <w:rPr>
                <w:sz w:val="20"/>
              </w:rPr>
              <w:t>NKCC2 (anse de Henle)</w:t>
            </w:r>
          </w:p>
        </w:tc>
        <w:tc>
          <w:tcPr>
            <w:tcW w:type="dxa" w:w="1336"/>
          </w:tcPr>
          <w:p>
            <w:r>
              <w:rPr>
                <w:sz w:val="20"/>
              </w:rPr>
              <w:t>1,5 h</w:t>
            </w:r>
          </w:p>
        </w:tc>
        <w:tc>
          <w:tcPr>
            <w:tcW w:type="dxa" w:w="1336"/>
          </w:tcPr>
          <w:p>
            <w:r>
              <w:rPr>
                <w:sz w:val="20"/>
              </w:rPr>
              <w:t>0,5–2 mg/j per os ; 0,5–1 mg IV</w:t>
            </w:r>
          </w:p>
        </w:tc>
        <w:tc>
          <w:tcPr>
            <w:tcW w:type="dxa" w:w="1336"/>
          </w:tcPr>
          <w:p>
            <w:r>
              <w:rPr>
                <w:sz w:val="20"/>
              </w:rPr>
              <w:t>Hypokaliémie, ototoxicité moindre que furosémide</w:t>
            </w:r>
          </w:p>
        </w:tc>
        <w:tc>
          <w:tcPr>
            <w:tcW w:type="dxa" w:w="1336"/>
          </w:tcPr>
          <w:p>
            <w:r>
              <w:rPr>
                <w:sz w:val="20"/>
              </w:rPr>
              <w:t>Compatible (cure courte)</w:t>
            </w:r>
          </w:p>
        </w:tc>
      </w:tr>
      <w:tr>
        <w:tc>
          <w:tcPr>
            <w:tcW w:type="dxa" w:w="1336"/>
          </w:tcPr>
          <w:p>
            <w:r>
              <w:rPr>
                <w:sz w:val="20"/>
              </w:rPr>
              <w:t>Hydrochlorothiazide</w:t>
            </w:r>
          </w:p>
        </w:tc>
        <w:tc>
          <w:tcPr>
            <w:tcW w:type="dxa" w:w="1336"/>
          </w:tcPr>
          <w:p>
            <w:r>
              <w:rPr>
                <w:sz w:val="20"/>
              </w:rPr>
              <w:t>Thiazidique</w:t>
            </w:r>
          </w:p>
        </w:tc>
        <w:tc>
          <w:tcPr>
            <w:tcW w:type="dxa" w:w="1336"/>
          </w:tcPr>
          <w:p>
            <w:r>
              <w:rPr>
                <w:sz w:val="20"/>
              </w:rPr>
              <w:t>NCC (tube contourné distal)</w:t>
            </w:r>
          </w:p>
        </w:tc>
        <w:tc>
          <w:tcPr>
            <w:tcW w:type="dxa" w:w="1336"/>
          </w:tcPr>
          <w:p>
            <w:r>
              <w:rPr>
                <w:sz w:val="20"/>
              </w:rPr>
              <w:t>6–15 h</w:t>
            </w:r>
          </w:p>
        </w:tc>
        <w:tc>
          <w:tcPr>
            <w:tcW w:type="dxa" w:w="1336"/>
          </w:tcPr>
          <w:p>
            <w:r>
              <w:rPr>
                <w:sz w:val="20"/>
              </w:rPr>
              <w:t>12,5–25 mg/j (HTA) ; 25–50 mg/j (ICC)</w:t>
            </w:r>
          </w:p>
        </w:tc>
        <w:tc>
          <w:tcPr>
            <w:tcW w:type="dxa" w:w="1336"/>
          </w:tcPr>
          <w:p>
            <w:r>
              <w:rPr>
                <w:sz w:val="20"/>
              </w:rPr>
              <w:t>Hypokaliémie, hyponatrémie (sujet âgé), hyperuricémie, hyperglycémie</w:t>
            </w:r>
          </w:p>
        </w:tc>
        <w:tc>
          <w:tcPr>
            <w:tcW w:type="dxa" w:w="1336"/>
          </w:tcPr>
          <w:p>
            <w:r>
              <w:rPr>
                <w:sz w:val="20"/>
              </w:rPr>
              <w:t>À éviter (préférer autres)</w:t>
            </w:r>
          </w:p>
        </w:tc>
      </w:tr>
      <w:tr>
        <w:tc>
          <w:tcPr>
            <w:tcW w:type="dxa" w:w="1336"/>
          </w:tcPr>
          <w:p>
            <w:r>
              <w:rPr>
                <w:sz w:val="20"/>
              </w:rPr>
              <w:t>Indapamide</w:t>
            </w:r>
          </w:p>
        </w:tc>
        <w:tc>
          <w:tcPr>
            <w:tcW w:type="dxa" w:w="1336"/>
          </w:tcPr>
          <w:p>
            <w:r>
              <w:rPr>
                <w:sz w:val="20"/>
              </w:rPr>
              <w:t>Thiazidique-like</w:t>
            </w:r>
          </w:p>
        </w:tc>
        <w:tc>
          <w:tcPr>
            <w:tcW w:type="dxa" w:w="1336"/>
          </w:tcPr>
          <w:p>
            <w:r>
              <w:rPr>
                <w:sz w:val="20"/>
              </w:rPr>
              <w:t>NCC + effet vasculaire direct</w:t>
            </w:r>
          </w:p>
        </w:tc>
        <w:tc>
          <w:tcPr>
            <w:tcW w:type="dxa" w:w="1336"/>
          </w:tcPr>
          <w:p>
            <w:r>
              <w:rPr>
                <w:sz w:val="20"/>
              </w:rPr>
              <w:t>14–18 h</w:t>
            </w:r>
          </w:p>
        </w:tc>
        <w:tc>
          <w:tcPr>
            <w:tcW w:type="dxa" w:w="1336"/>
          </w:tcPr>
          <w:p>
            <w:r>
              <w:rPr>
                <w:sz w:val="20"/>
              </w:rPr>
              <w:t>1,5 mg LP/j</w:t>
            </w:r>
          </w:p>
        </w:tc>
        <w:tc>
          <w:tcPr>
            <w:tcW w:type="dxa" w:w="1336"/>
          </w:tcPr>
          <w:p>
            <w:r>
              <w:rPr>
                <w:sz w:val="20"/>
              </w:rPr>
              <w:t>Hypokaliémie (modérée), hyponatrémie</w:t>
            </w:r>
          </w:p>
        </w:tc>
        <w:tc>
          <w:tcPr>
            <w:tcW w:type="dxa" w:w="1336"/>
          </w:tcPr>
          <w:p>
            <w:r>
              <w:rPr>
                <w:sz w:val="20"/>
              </w:rPr>
              <w:t>À éviter (préférer autres)</w:t>
            </w:r>
          </w:p>
        </w:tc>
      </w:tr>
      <w:tr>
        <w:tc>
          <w:tcPr>
            <w:tcW w:type="dxa" w:w="1336"/>
          </w:tcPr>
          <w:p>
            <w:r>
              <w:rPr>
                <w:sz w:val="20"/>
              </w:rPr>
              <w:t>Spironolactone</w:t>
            </w:r>
          </w:p>
        </w:tc>
        <w:tc>
          <w:tcPr>
            <w:tcW w:type="dxa" w:w="1336"/>
          </w:tcPr>
          <w:p>
            <w:r>
              <w:rPr>
                <w:sz w:val="20"/>
              </w:rPr>
              <w:t>Anti-aldostérone</w:t>
            </w:r>
          </w:p>
        </w:tc>
        <w:tc>
          <w:tcPr>
            <w:tcW w:type="dxa" w:w="1336"/>
          </w:tcPr>
          <w:p>
            <w:r>
              <w:rPr>
                <w:sz w:val="20"/>
              </w:rPr>
              <w:t>Récepteur minéralocorticoïde (tube collecteur)</w:t>
            </w:r>
          </w:p>
        </w:tc>
        <w:tc>
          <w:tcPr>
            <w:tcW w:type="dxa" w:w="1336"/>
          </w:tcPr>
          <w:p>
            <w:r>
              <w:rPr>
                <w:sz w:val="20"/>
              </w:rPr>
              <w:t>13–24 h (canrénone)</w:t>
            </w:r>
          </w:p>
        </w:tc>
        <w:tc>
          <w:tcPr>
            <w:tcW w:type="dxa" w:w="1336"/>
          </w:tcPr>
          <w:p>
            <w:r>
              <w:rPr>
                <w:sz w:val="20"/>
              </w:rPr>
              <w:t>25–50 mg/j (ICC) ; 75–400 mg/j (hyperaldostéronisme)</w:t>
            </w:r>
          </w:p>
        </w:tc>
        <w:tc>
          <w:tcPr>
            <w:tcW w:type="dxa" w:w="1336"/>
          </w:tcPr>
          <w:p>
            <w:r>
              <w:rPr>
                <w:sz w:val="20"/>
              </w:rPr>
              <w:t>Hyperkaliémie, gynécomastie, impuissance</w:t>
            </w:r>
          </w:p>
        </w:tc>
        <w:tc>
          <w:tcPr>
            <w:tcW w:type="dxa" w:w="1336"/>
          </w:tcPr>
          <w:p>
            <w:r>
              <w:rPr>
                <w:sz w:val="20"/>
              </w:rPr>
              <w:t>À éviter (anti-androgène)</w:t>
            </w:r>
          </w:p>
        </w:tc>
      </w:tr>
      <w:tr>
        <w:tc>
          <w:tcPr>
            <w:tcW w:type="dxa" w:w="1336"/>
          </w:tcPr>
          <w:p>
            <w:r>
              <w:rPr>
                <w:sz w:val="20"/>
              </w:rPr>
              <w:t>Eplérénone</w:t>
            </w:r>
          </w:p>
        </w:tc>
        <w:tc>
          <w:tcPr>
            <w:tcW w:type="dxa" w:w="1336"/>
          </w:tcPr>
          <w:p>
            <w:r>
              <w:rPr>
                <w:sz w:val="20"/>
              </w:rPr>
              <w:t>Anti-aldostérone sélectif</w:t>
            </w:r>
          </w:p>
        </w:tc>
        <w:tc>
          <w:tcPr>
            <w:tcW w:type="dxa" w:w="1336"/>
          </w:tcPr>
          <w:p>
            <w:r>
              <w:rPr>
                <w:sz w:val="20"/>
              </w:rPr>
              <w:t>Récepteur minéralocorticoïde (tube collecteur)</w:t>
            </w:r>
          </w:p>
        </w:tc>
        <w:tc>
          <w:tcPr>
            <w:tcW w:type="dxa" w:w="1336"/>
          </w:tcPr>
          <w:p>
            <w:r>
              <w:rPr>
                <w:sz w:val="20"/>
              </w:rPr>
              <w:t>4–6 h</w:t>
            </w:r>
          </w:p>
        </w:tc>
        <w:tc>
          <w:tcPr>
            <w:tcW w:type="dxa" w:w="1336"/>
          </w:tcPr>
          <w:p>
            <w:r>
              <w:rPr>
                <w:sz w:val="20"/>
              </w:rPr>
              <w:t>25–50 mg/j</w:t>
            </w:r>
          </w:p>
        </w:tc>
        <w:tc>
          <w:tcPr>
            <w:tcW w:type="dxa" w:w="1336"/>
          </w:tcPr>
          <w:p>
            <w:r>
              <w:rPr>
                <w:sz w:val="20"/>
              </w:rPr>
              <w:t>Hyperkaliémie (pas de gynécomastie)</w:t>
            </w:r>
          </w:p>
        </w:tc>
        <w:tc>
          <w:tcPr>
            <w:tcW w:type="dxa" w:w="1336"/>
          </w:tcPr>
          <w:p>
            <w:r>
              <w:rPr>
                <w:sz w:val="20"/>
              </w:rPr>
              <w:t>À éviter</w:t>
            </w:r>
          </w:p>
        </w:tc>
      </w:tr>
      <w:tr>
        <w:tc>
          <w:tcPr>
            <w:tcW w:type="dxa" w:w="1336"/>
          </w:tcPr>
          <w:p>
            <w:r>
              <w:rPr>
                <w:sz w:val="20"/>
              </w:rPr>
              <w:t>Amiloride + HCTZ</w:t>
            </w:r>
          </w:p>
        </w:tc>
        <w:tc>
          <w:tcPr>
            <w:tcW w:type="dxa" w:w="1336"/>
          </w:tcPr>
          <w:p>
            <w:r>
              <w:rPr>
                <w:sz w:val="20"/>
              </w:rPr>
              <w:t>Association fixe</w:t>
            </w:r>
          </w:p>
        </w:tc>
        <w:tc>
          <w:tcPr>
            <w:tcW w:type="dxa" w:w="1336"/>
          </w:tcPr>
          <w:p>
            <w:r>
              <w:rPr>
                <w:sz w:val="20"/>
              </w:rPr>
              <w:t>ENaC + NCC</w:t>
            </w:r>
          </w:p>
        </w:tc>
        <w:tc>
          <w:tcPr>
            <w:tcW w:type="dxa" w:w="1336"/>
          </w:tcPr>
          <w:p>
            <w:r>
              <w:rPr>
                <w:sz w:val="20"/>
              </w:rPr>
              <w:t>6–9 h (amiloride), 6–15 h (HCTZ)</w:t>
            </w:r>
          </w:p>
        </w:tc>
        <w:tc>
          <w:tcPr>
            <w:tcW w:type="dxa" w:w="1336"/>
          </w:tcPr>
          <w:p>
            <w:r>
              <w:rPr>
                <w:sz w:val="20"/>
              </w:rPr>
              <w:t>1 cp 5/50 mg/j</w:t>
            </w:r>
          </w:p>
        </w:tc>
        <w:tc>
          <w:tcPr>
            <w:tcW w:type="dxa" w:w="1336"/>
          </w:tcPr>
          <w:p>
            <w:r>
              <w:rPr>
                <w:sz w:val="20"/>
              </w:rPr>
              <w:t>Hyperkaliémie, hyponatrémie</w:t>
            </w:r>
          </w:p>
        </w:tc>
        <w:tc>
          <w:tcPr>
            <w:tcW w:type="dxa" w:w="1336"/>
          </w:tcPr>
          <w:p>
            <w:r>
              <w:rPr>
                <w:sz w:val="20"/>
              </w:rPr>
              <w:t>À éviter</w:t>
            </w:r>
          </w:p>
        </w:tc>
      </w:tr>
      <w:tr>
        <w:tc>
          <w:tcPr>
            <w:tcW w:type="dxa" w:w="1336"/>
          </w:tcPr>
          <w:p>
            <w:r>
              <w:rPr>
                <w:sz w:val="20"/>
              </w:rPr>
              <w:t>Spironolactone + Altizide</w:t>
            </w:r>
          </w:p>
        </w:tc>
        <w:tc>
          <w:tcPr>
            <w:tcW w:type="dxa" w:w="1336"/>
          </w:tcPr>
          <w:p>
            <w:r>
              <w:rPr>
                <w:sz w:val="20"/>
              </w:rPr>
              <w:t>Association fixe</w:t>
            </w:r>
          </w:p>
        </w:tc>
        <w:tc>
          <w:tcPr>
            <w:tcW w:type="dxa" w:w="1336"/>
          </w:tcPr>
          <w:p>
            <w:r>
              <w:rPr>
                <w:sz w:val="20"/>
              </w:rPr>
              <w:t>Récepteur MR + NCC</w:t>
            </w:r>
          </w:p>
        </w:tc>
        <w:tc>
          <w:tcPr>
            <w:tcW w:type="dxa" w:w="1336"/>
          </w:tcPr>
          <w:p>
            <w:r>
              <w:rPr>
                <w:sz w:val="20"/>
              </w:rPr>
              <w:t>13–24 h / 6–15 h</w:t>
            </w:r>
          </w:p>
        </w:tc>
        <w:tc>
          <w:tcPr>
            <w:tcW w:type="dxa" w:w="1336"/>
          </w:tcPr>
          <w:p>
            <w:r>
              <w:rPr>
                <w:sz w:val="20"/>
              </w:rPr>
              <w:t>1–2 cp 25/15 mg/j</w:t>
            </w:r>
          </w:p>
        </w:tc>
        <w:tc>
          <w:tcPr>
            <w:tcW w:type="dxa" w:w="1336"/>
          </w:tcPr>
          <w:p>
            <w:r>
              <w:rPr>
                <w:sz w:val="20"/>
              </w:rPr>
              <w:t>Hyperkaliémie, gynécomastie</w:t>
            </w:r>
          </w:p>
        </w:tc>
        <w:tc>
          <w:tcPr>
            <w:tcW w:type="dxa" w:w="1336"/>
          </w:tcPr>
          <w:p>
            <w:r>
              <w:rPr>
                <w:sz w:val="20"/>
              </w:rPr>
              <w:t>À éviter</w:t>
            </w:r>
          </w:p>
        </w:tc>
      </w:tr>
      <w:tr>
        <w:tc>
          <w:tcPr>
            <w:tcW w:type="dxa" w:w="1336"/>
          </w:tcPr>
          <w:p>
            <w:r>
              <w:rPr>
                <w:sz w:val="20"/>
              </w:rPr>
              <w:t>Acétazolamide</w:t>
            </w:r>
          </w:p>
        </w:tc>
        <w:tc>
          <w:tcPr>
            <w:tcW w:type="dxa" w:w="1336"/>
          </w:tcPr>
          <w:p>
            <w:r>
              <w:rPr>
                <w:sz w:val="20"/>
              </w:rPr>
              <w:t>IAC</w:t>
            </w:r>
          </w:p>
        </w:tc>
        <w:tc>
          <w:tcPr>
            <w:tcW w:type="dxa" w:w="1336"/>
          </w:tcPr>
          <w:p>
            <w:r>
              <w:rPr>
                <w:sz w:val="20"/>
              </w:rPr>
              <w:t>Anhydrase carbonique (tube proximal)</w:t>
            </w:r>
          </w:p>
        </w:tc>
        <w:tc>
          <w:tcPr>
            <w:tcW w:type="dxa" w:w="1336"/>
          </w:tcPr>
          <w:p>
            <w:r>
              <w:rPr>
                <w:sz w:val="20"/>
              </w:rPr>
              <w:t>6–9 h</w:t>
            </w:r>
          </w:p>
        </w:tc>
        <w:tc>
          <w:tcPr>
            <w:tcW w:type="dxa" w:w="1336"/>
          </w:tcPr>
          <w:p>
            <w:r>
              <w:rPr>
                <w:sz w:val="20"/>
              </w:rPr>
              <w:t>250 mg x 1–4/j</w:t>
            </w:r>
          </w:p>
        </w:tc>
        <w:tc>
          <w:tcPr>
            <w:tcW w:type="dxa" w:w="1336"/>
          </w:tcPr>
          <w:p>
            <w:r>
              <w:rPr>
                <w:sz w:val="20"/>
              </w:rPr>
              <w:t>Acidose métabolique, hypokaliémie, lithiase</w:t>
            </w:r>
          </w:p>
        </w:tc>
        <w:tc>
          <w:tcPr>
            <w:tcW w:type="dxa" w:w="1336"/>
          </w:tcPr>
          <w:p>
            <w:r>
              <w:rPr>
                <w:sz w:val="20"/>
              </w:rPr>
              <w:t>À éviter (1ᵉʳ trimestre CI)</w:t>
            </w:r>
          </w:p>
        </w:tc>
      </w:tr>
      <w:tr>
        <w:tc>
          <w:tcPr>
            <w:tcW w:type="dxa" w:w="1336"/>
          </w:tcPr>
          <w:p>
            <w:r>
              <w:rPr>
                <w:sz w:val="20"/>
              </w:rPr>
              <w:t>Mannitol</w:t>
            </w:r>
          </w:p>
        </w:tc>
        <w:tc>
          <w:tcPr>
            <w:tcW w:type="dxa" w:w="1336"/>
          </w:tcPr>
          <w:p>
            <w:r>
              <w:rPr>
                <w:sz w:val="20"/>
              </w:rPr>
              <w:t>Osmotique</w:t>
            </w:r>
          </w:p>
        </w:tc>
        <w:tc>
          <w:tcPr>
            <w:tcW w:type="dxa" w:w="1336"/>
          </w:tcPr>
          <w:p>
            <w:r>
              <w:rPr>
                <w:sz w:val="20"/>
              </w:rPr>
              <w:t>Lumière tubulaire (tous segments)</w:t>
            </w:r>
          </w:p>
        </w:tc>
        <w:tc>
          <w:tcPr>
            <w:tcW w:type="dxa" w:w="1336"/>
          </w:tcPr>
          <w:p>
            <w:r>
              <w:rPr>
                <w:sz w:val="20"/>
              </w:rPr>
              <w:t>30–60 min</w:t>
            </w:r>
          </w:p>
        </w:tc>
        <w:tc>
          <w:tcPr>
            <w:tcW w:type="dxa" w:w="1336"/>
          </w:tcPr>
          <w:p>
            <w:r>
              <w:rPr>
                <w:sz w:val="20"/>
              </w:rPr>
              <w:t>1–2 g/kg IV (œdème cérébral)</w:t>
            </w:r>
          </w:p>
        </w:tc>
        <w:tc>
          <w:tcPr>
            <w:tcW w:type="dxa" w:w="1336"/>
          </w:tcPr>
          <w:p>
            <w:r>
              <w:rPr>
                <w:sz w:val="20"/>
              </w:rPr>
              <w:t>Expansion volémique, œdème pulmonaire, déshydratation</w:t>
            </w:r>
          </w:p>
        </w:tc>
        <w:tc>
          <w:tcPr>
            <w:tcW w:type="dxa" w:w="1336"/>
          </w:tcPr>
          <w:p>
            <w:r>
              <w:rPr>
                <w:sz w:val="20"/>
              </w:rPr>
              <w:t>Compatible (urgence vitale)</w:t>
            </w:r>
          </w:p>
        </w:tc>
      </w:tr>
      <w:tr>
        <w:tc>
          <w:tcPr>
            <w:tcW w:type="dxa" w:w="1336"/>
          </w:tcPr>
          <w:p>
            <w:r>
              <w:rPr>
                <w:sz w:val="20"/>
              </w:rPr>
              <w:t>Digoxine</w:t>
            </w:r>
          </w:p>
        </w:tc>
        <w:tc>
          <w:tcPr>
            <w:tcW w:type="dxa" w:w="1336"/>
          </w:tcPr>
          <w:p>
            <w:r>
              <w:rPr>
                <w:sz w:val="20"/>
              </w:rPr>
              <w:t>Digitalique</w:t>
            </w:r>
          </w:p>
        </w:tc>
        <w:tc>
          <w:tcPr>
            <w:tcW w:type="dxa" w:w="1336"/>
          </w:tcPr>
          <w:p>
            <w:r>
              <w:rPr>
                <w:sz w:val="20"/>
              </w:rPr>
              <w:t>Na⁺/K⁺-ATPase myocardique</w:t>
            </w:r>
          </w:p>
        </w:tc>
        <w:tc>
          <w:tcPr>
            <w:tcW w:type="dxa" w:w="1336"/>
          </w:tcPr>
          <w:p>
            <w:r>
              <w:rPr>
                <w:sz w:val="20"/>
              </w:rPr>
              <w:t>36–48 h</w:t>
            </w:r>
          </w:p>
        </w:tc>
        <w:tc>
          <w:tcPr>
            <w:tcW w:type="dxa" w:w="1336"/>
          </w:tcPr>
          <w:p>
            <w:r>
              <w:rPr>
                <w:sz w:val="20"/>
              </w:rPr>
              <w:t>0,125–0,25 mg/j</w:t>
            </w:r>
          </w:p>
        </w:tc>
        <w:tc>
          <w:tcPr>
            <w:tcW w:type="dxa" w:w="1336"/>
          </w:tcPr>
          <w:p>
            <w:r>
              <w:rPr>
                <w:sz w:val="20"/>
              </w:rPr>
              <w:t>Troubles visuels, arythmies, hyperkaliémie paradoxale (intoxication)</w:t>
            </w:r>
          </w:p>
        </w:tc>
        <w:tc>
          <w:tcPr>
            <w:tcW w:type="dxa" w:w="1336"/>
          </w:tcPr>
          <w:p>
            <w:r>
              <w:rPr>
                <w:sz w:val="20"/>
              </w:rPr>
              <w:t>Compatible (rare antiarythmique FA fœtale)</w:t>
            </w:r>
          </w:p>
        </w:tc>
      </w:tr>
    </w:tbl>
    <w:p/>
    <w:p>
      <w:pPr>
        <w:pStyle w:val="Heading2"/>
      </w:pPr>
      <w:r>
        <w:t>Synthèse, Règles d'Or Transversales et Recommandations pour le Pharmacien d'Officine</w:t>
      </w:r>
    </w:p>
    <w:p>
      <w:pPr>
        <w:pStyle w:val="Heading3"/>
      </w:pPr>
      <w:r>
        <w:t>1. Reconnaître les associations à risque vital</w:t>
      </w:r>
    </w:p>
    <w:p>
      <w:r>
        <w:t>Plusieurs combinaisons médicamenteuses exposent à un risque vital et doivent systématiquement être identifiées au comptoir :</w:t>
      </w:r>
    </w:p>
    <w:p>
      <w:pPr>
        <w:pStyle w:val="ListBullet"/>
      </w:pPr>
      <w:r/>
      <w:r>
        <w:rPr>
          <w:b/>
        </w:rPr>
        <w:t>Nitrés (trinitrine, dinitrate d'isosorbide, molsidomine par prudence) + Inhibiteurs de la PDE5 (sildénafil, tadalafil, vardenafil)</w:t>
      </w:r>
      <w:r>
        <w:t xml:space="preserve"> : hypotension artérielle sévère pouvant entraîner le décès (choc vasoplégique réfractaire aux catécholamines). Le pharmacien doit toujours interroger le patient sur ses éventuels traitements de la dysfonction érectile, particulièrement chez l'homme de plus de 50 ans consultant pour angor ou insuffisance cardiaque. Respecter un délai de 24 h (sildénafil, vardenafil) à 48 h (tadalafil) entre la dernière prise d'IPDE5 et l'administration d'un nitré.</w:t>
      </w:r>
    </w:p>
    <w:p>
      <w:pPr>
        <w:pStyle w:val="ListBullet"/>
      </w:pPr>
      <w:r/>
      <w:r>
        <w:rPr>
          <w:b/>
        </w:rPr>
        <w:t>Digoxine + Hypokaliémiants (furosémide, HCTZ, indapamide, bumétanide)</w:t>
      </w:r>
      <w:r>
        <w:t xml:space="preserve"> : potentialisation majeure de la toxicité digitalique. La surveillance de la kaliémie est obligatoire en début de traitement puis tous les 3–6 mois. La supplémentation potassique ou l'association à un épargneur de potassium (amiloride, spironolactone) peut être proposée.</w:t>
      </w:r>
    </w:p>
    <w:p>
      <w:pPr>
        <w:pStyle w:val="ListBullet"/>
      </w:pPr>
      <w:r/>
      <w:r>
        <w:rPr>
          <w:b/>
        </w:rPr>
        <w:t>Spironolactone/Eplérénone + IEC/ARA2 + Suppléments potassiques</w:t>
      </w:r>
      <w:r>
        <w:t xml:space="preserve"> : triple effet épargneur de K⁺, risque d'hyperkaliémie potentiellement létale. Le pharmacien doit refuser la délivrance de suppléments potassiques à un patient sous spironolactone ou eplérénone sans prescription médicale explicite et surveillance de la kaliémie.</w:t>
      </w:r>
    </w:p>
    <w:p>
      <w:pPr>
        <w:pStyle w:val="ListBullet"/>
      </w:pPr>
      <w:r/>
      <w:r>
        <w:rPr>
          <w:b/>
        </w:rPr>
        <w:t>Spironolactone/Eplérénone + Inhibiteurs puissants du CYP3A4 (clarithromycine, kétoconazole, itraconazole, ritonavir)</w:t>
      </w:r>
      <w:r>
        <w:t xml:space="preserve"> (eplérénone surtout) : augmentation majeure des concentrations plasmatiques.</w:t>
      </w:r>
    </w:p>
    <w:p>
      <w:pPr>
        <w:pStyle w:val="Heading3"/>
      </w:pPr>
      <w:r>
        <w:t>2. Adaptation posologique chez le sujet âgé</w:t>
      </w:r>
    </w:p>
    <w:p>
      <w:r>
        <w:t>Le sujet âgé (&gt; 75 ans) cumule plusieurs facteurs de risque pour cette classe pharmacologique :</w:t>
      </w:r>
    </w:p>
    <w:p>
      <w:pPr>
        <w:pStyle w:val="ListBullet"/>
      </w:pPr>
      <w:r/>
      <w:r>
        <w:rPr>
          <w:b/>
        </w:rPr>
        <w:t>Baisse de la fonction rénale</w:t>
      </w:r>
      <w:r>
        <w:t xml:space="preserve"> (clairance créatinine réduite) : augmentation de la demi-vie du furosémide, HCTZ, spironolactone, eplérénone, digoxine. Adaptation posologique systématique (–25 à –50 %).</w:t>
      </w:r>
    </w:p>
    <w:p>
      <w:pPr>
        <w:pStyle w:val="ListBullet"/>
      </w:pPr>
      <w:r/>
      <w:r>
        <w:rPr>
          <w:b/>
        </w:rPr>
        <w:t>Hyponatrémie iatrogène</w:t>
      </w:r>
      <w:r>
        <w:t xml:space="preserve"> (surtout sous thiazidiques et IEC, association particulièrement à risque) : surveillance de la natrémie à 7 jours puis mensuelle.</w:t>
      </w:r>
    </w:p>
    <w:p>
      <w:pPr>
        <w:pStyle w:val="ListBullet"/>
      </w:pPr>
      <w:r/>
      <w:r>
        <w:rPr>
          <w:b/>
        </w:rPr>
        <w:t>Hypotension orthostatique</w:t>
      </w:r>
      <w:r>
        <w:t xml:space="preserve"> (surtout sous nitrés, furosémide, minoxidil systémique) : risque de chute et fracture du col fémoral. Conseils de lever progressif, hydratation suffisante.</w:t>
      </w:r>
    </w:p>
    <w:p>
      <w:pPr>
        <w:pStyle w:val="ListBullet"/>
      </w:pPr>
      <w:r/>
      <w:r>
        <w:rPr>
          <w:b/>
        </w:rPr>
        <w:t>Polypharmacie</w:t>
      </w:r>
      <w:r>
        <w:t xml:space="preserve"> : risque d'interactions accru (digoxine + vérapamil/amiodarone/clarithromycine).</w:t>
      </w:r>
    </w:p>
    <w:p>
      <w:pPr>
        <w:pStyle w:val="ListBullet"/>
      </w:pPr>
      <w:r/>
      <w:r>
        <w:rPr>
          <w:b/>
        </w:rPr>
        <w:t>Index thérapeutique étroit</w:t>
      </w:r>
      <w:r>
        <w:t xml:space="preserve"> (digoxine) : dose initiale réduite (0,125 mg/jour), surveillance de la digoxinémie et de la fonction rénale.</w:t>
      </w:r>
    </w:p>
    <w:p>
      <w:pPr>
        <w:pStyle w:val="Heading3"/>
      </w:pPr>
      <w:r>
        <w:t>3. Prévention de la tolérance nitrate</w:t>
      </w:r>
    </w:p>
    <w:p>
      <w:r>
        <w:t>Pour les dérivés nitrés (trinitrine, dinitrate d'isosorbide), la tolérance nitrate est quasi constante en cas d'administration continue &gt; 24 h. Elle se manifeste par une perte d'efficacité et nécessite :</w:t>
      </w:r>
    </w:p>
    <w:p>
      <w:pPr>
        <w:pStyle w:val="ListBullet"/>
      </w:pPr>
      <w:r>
        <w:t xml:space="preserve">Une </w:t>
      </w:r>
      <w:r>
        <w:rPr>
          <w:b/>
        </w:rPr>
        <w:t>fenêtre thérapeutique quotidienne</w:t>
      </w:r>
      <w:r>
        <w:t xml:space="preserve"> de 6–12 heures (retrait du patch nocturne, ou administration discontinue en IV).</w:t>
      </w:r>
    </w:p>
    <w:p>
      <w:pPr>
        <w:pStyle w:val="ListBullet"/>
      </w:pPr>
      <w:r>
        <w:t xml:space="preserve">Une </w:t>
      </w:r>
      <w:r>
        <w:rPr>
          <w:b/>
        </w:rPr>
        <w:t>stratégie d'administration irrégulière</w:t>
      </w:r>
      <w:r>
        <w:t xml:space="preserve"> : par exemple trinitrine patch 7 h–19 h, ou dinitrate d'isosorbide en 2 prises à 8 h et 14 h sans prise du soir.</w:t>
      </w:r>
    </w:p>
    <w:p>
      <w:pPr>
        <w:pStyle w:val="ListBullet"/>
      </w:pPr>
      <w:r>
        <w:t xml:space="preserve">Un </w:t>
      </w:r>
      <w:r>
        <w:rPr>
          <w:b/>
        </w:rPr>
        <w:t>relais par molsidomine</w:t>
      </w:r>
      <w:r>
        <w:t xml:space="preserve"> en cas d'impossibilité d'assurer une fenêtre thérapeutique (la molsidomine n'induit pas de tolérance).</w:t>
      </w:r>
    </w:p>
    <w:p>
      <w:pPr>
        <w:pStyle w:val="Heading3"/>
      </w:pPr>
      <w:r>
        <w:t>4. Surveillance biologique minimale</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Médicament</w:t>
            </w:r>
          </w:p>
        </w:tc>
        <w:tc>
          <w:tcPr>
            <w:tcW w:type="dxa" w:w="1336"/>
          </w:tcPr>
          <w:p>
            <w:r>
              <w:rPr>
                <w:b/>
                <w:sz w:val="20"/>
              </w:rPr>
              <w:t>Ionogramme</w:t>
            </w:r>
          </w:p>
        </w:tc>
        <w:tc>
          <w:tcPr>
            <w:tcW w:type="dxa" w:w="1336"/>
          </w:tcPr>
          <w:p>
            <w:r>
              <w:rPr>
                <w:b/>
                <w:sz w:val="20"/>
              </w:rPr>
              <w:t>Créatinine</w:t>
            </w:r>
          </w:p>
        </w:tc>
        <w:tc>
          <w:tcPr>
            <w:tcW w:type="dxa" w:w="1336"/>
          </w:tcPr>
          <w:p>
            <w:r>
              <w:rPr>
                <w:b/>
                <w:sz w:val="20"/>
              </w:rPr>
              <w:t>Glycémie</w:t>
            </w:r>
          </w:p>
        </w:tc>
        <w:tc>
          <w:tcPr>
            <w:tcW w:type="dxa" w:w="1336"/>
          </w:tcPr>
          <w:p>
            <w:r>
              <w:rPr>
                <w:b/>
                <w:sz w:val="20"/>
              </w:rPr>
              <w:t>Uricémie</w:t>
            </w:r>
          </w:p>
        </w:tc>
        <w:tc>
          <w:tcPr>
            <w:tcW w:type="dxa" w:w="1336"/>
          </w:tcPr>
          <w:p>
            <w:r>
              <w:rPr>
                <w:b/>
                <w:sz w:val="20"/>
              </w:rPr>
              <w:t>Digoxinémie</w:t>
            </w:r>
          </w:p>
        </w:tc>
        <w:tc>
          <w:tcPr>
            <w:tcW w:type="dxa" w:w="1336"/>
          </w:tcPr>
          <w:p>
            <w:r>
              <w:rPr>
                <w:b/>
                <w:sz w:val="20"/>
              </w:rPr>
              <w:t>ECG</w:t>
            </w:r>
          </w:p>
        </w:tc>
      </w:tr>
      <w:tr>
        <w:tc>
          <w:tcPr>
            <w:tcW w:type="dxa" w:w="1336"/>
          </w:tcPr>
          <w:p>
            <w:r>
              <w:rPr>
                <w:sz w:val="20"/>
              </w:rPr>
              <w:t>Furosémide</w:t>
            </w:r>
          </w:p>
        </w:tc>
        <w:tc>
          <w:tcPr>
            <w:tcW w:type="dxa" w:w="1336"/>
          </w:tcPr>
          <w:p>
            <w:r>
              <w:rPr>
                <w:sz w:val="20"/>
              </w:rPr>
              <w:t>Avant, J7, M3</w:t>
            </w:r>
          </w:p>
        </w:tc>
        <w:tc>
          <w:tcPr>
            <w:tcW w:type="dxa" w:w="1336"/>
          </w:tcPr>
          <w:p>
            <w:r>
              <w:rPr>
                <w:sz w:val="20"/>
              </w:rPr>
              <w:t>Avant, J7</w:t>
            </w:r>
          </w:p>
        </w:tc>
        <w:tc>
          <w:tcPr>
            <w:tcW w:type="dxa" w:w="1336"/>
          </w:tcPr>
          <w:p>
            <w:r>
              <w:rPr>
                <w:sz w:val="20"/>
              </w:rPr>
              <w:t>Selon risque</w:t>
            </w:r>
          </w:p>
        </w:tc>
        <w:tc>
          <w:tcPr>
            <w:tcW w:type="dxa" w:w="1336"/>
          </w:tcPr>
          <w:p>
            <w:r>
              <w:rPr>
                <w:sz w:val="20"/>
              </w:rPr>
              <w:t>Selon risque</w:t>
            </w:r>
          </w:p>
        </w:tc>
        <w:tc>
          <w:tcPr>
            <w:tcW w:type="dxa" w:w="1336"/>
          </w:tcPr>
          <w:p>
            <w:r>
              <w:rPr>
                <w:sz w:val="20"/>
              </w:rPr>
              <w:t>–</w:t>
            </w:r>
          </w:p>
        </w:tc>
        <w:tc>
          <w:tcPr>
            <w:tcW w:type="dxa" w:w="1336"/>
          </w:tcPr>
          <w:p>
            <w:r>
              <w:rPr>
                <w:sz w:val="20"/>
              </w:rPr>
              <w:t>–</w:t>
            </w:r>
          </w:p>
        </w:tc>
      </w:tr>
      <w:tr>
        <w:tc>
          <w:tcPr>
            <w:tcW w:type="dxa" w:w="1336"/>
          </w:tcPr>
          <w:p>
            <w:r>
              <w:rPr>
                <w:sz w:val="20"/>
              </w:rPr>
              <w:t>HCTZ/Indapamide</w:t>
            </w:r>
          </w:p>
        </w:tc>
        <w:tc>
          <w:tcPr>
            <w:tcW w:type="dxa" w:w="1336"/>
          </w:tcPr>
          <w:p>
            <w:r>
              <w:rPr>
                <w:sz w:val="20"/>
              </w:rPr>
              <w:t>Avant, J7, M3</w:t>
            </w:r>
          </w:p>
        </w:tc>
        <w:tc>
          <w:tcPr>
            <w:tcW w:type="dxa" w:w="1336"/>
          </w:tcPr>
          <w:p>
            <w:r>
              <w:rPr>
                <w:sz w:val="20"/>
              </w:rPr>
              <w:t>Avant, J7</w:t>
            </w:r>
          </w:p>
        </w:tc>
        <w:tc>
          <w:tcPr>
            <w:tcW w:type="dxa" w:w="1336"/>
          </w:tcPr>
          <w:p>
            <w:r>
              <w:rPr>
                <w:sz w:val="20"/>
              </w:rPr>
              <w:t>Selon risque</w:t>
            </w:r>
          </w:p>
        </w:tc>
        <w:tc>
          <w:tcPr>
            <w:tcW w:type="dxa" w:w="1336"/>
          </w:tcPr>
          <w:p>
            <w:r>
              <w:rPr>
                <w:sz w:val="20"/>
              </w:rPr>
              <w:t>Selon risque</w:t>
            </w:r>
          </w:p>
        </w:tc>
        <w:tc>
          <w:tcPr>
            <w:tcW w:type="dxa" w:w="1336"/>
          </w:tcPr>
          <w:p>
            <w:r>
              <w:rPr>
                <w:sz w:val="20"/>
              </w:rPr>
              <w:t>–</w:t>
            </w:r>
          </w:p>
        </w:tc>
        <w:tc>
          <w:tcPr>
            <w:tcW w:type="dxa" w:w="1336"/>
          </w:tcPr>
          <w:p>
            <w:r>
              <w:rPr>
                <w:sz w:val="20"/>
              </w:rPr>
              <w:t>Si hypokaliémie</w:t>
            </w:r>
          </w:p>
        </w:tc>
      </w:tr>
      <w:tr>
        <w:tc>
          <w:tcPr>
            <w:tcW w:type="dxa" w:w="1336"/>
          </w:tcPr>
          <w:p>
            <w:r>
              <w:rPr>
                <w:sz w:val="20"/>
              </w:rPr>
              <w:t>Spironolactone/Eplérénone</w:t>
            </w:r>
          </w:p>
        </w:tc>
        <w:tc>
          <w:tcPr>
            <w:tcW w:type="dxa" w:w="1336"/>
          </w:tcPr>
          <w:p>
            <w:r>
              <w:rPr>
                <w:sz w:val="20"/>
              </w:rPr>
              <w:t>Avant, J7, M1, M3</w:t>
            </w:r>
          </w:p>
        </w:tc>
        <w:tc>
          <w:tcPr>
            <w:tcW w:type="dxa" w:w="1336"/>
          </w:tcPr>
          <w:p>
            <w:r>
              <w:rPr>
                <w:sz w:val="20"/>
              </w:rPr>
              <w:t>Avant, J7</w:t>
            </w:r>
          </w:p>
        </w:tc>
        <w:tc>
          <w:tcPr>
            <w:tcW w:type="dxa" w:w="1336"/>
          </w:tcPr>
          <w:p>
            <w:r>
              <w:rPr>
                <w:sz w:val="20"/>
              </w:rPr>
              <w:t>–</w:t>
            </w:r>
          </w:p>
        </w:tc>
        <w:tc>
          <w:tcPr>
            <w:tcW w:type="dxa" w:w="1336"/>
          </w:tcPr>
          <w:p>
            <w:r>
              <w:rPr>
                <w:sz w:val="20"/>
              </w:rPr>
              <w:t>–</w:t>
            </w:r>
          </w:p>
        </w:tc>
        <w:tc>
          <w:tcPr>
            <w:tcW w:type="dxa" w:w="1336"/>
          </w:tcPr>
          <w:p>
            <w:r>
              <w:rPr>
                <w:sz w:val="20"/>
              </w:rPr>
              <w:t>–</w:t>
            </w:r>
          </w:p>
        </w:tc>
        <w:tc>
          <w:tcPr>
            <w:tcW w:type="dxa" w:w="1336"/>
          </w:tcPr>
          <w:p>
            <w:r>
              <w:rPr>
                <w:sz w:val="20"/>
              </w:rPr>
              <w:t>Si hyperkaliémie</w:t>
            </w:r>
          </w:p>
        </w:tc>
      </w:tr>
      <w:tr>
        <w:tc>
          <w:tcPr>
            <w:tcW w:type="dxa" w:w="1336"/>
          </w:tcPr>
          <w:p>
            <w:r>
              <w:rPr>
                <w:sz w:val="20"/>
              </w:rPr>
              <w:t>Digoxine</w:t>
            </w:r>
          </w:p>
        </w:tc>
        <w:tc>
          <w:tcPr>
            <w:tcW w:type="dxa" w:w="1336"/>
          </w:tcPr>
          <w:p>
            <w:r>
              <w:rPr>
                <w:sz w:val="20"/>
              </w:rPr>
              <w:t>Avant, M3</w:t>
            </w:r>
          </w:p>
        </w:tc>
        <w:tc>
          <w:tcPr>
            <w:tcW w:type="dxa" w:w="1336"/>
          </w:tcPr>
          <w:p>
            <w:r>
              <w:rPr>
                <w:sz w:val="20"/>
              </w:rPr>
              <w:t>Avant, M3</w:t>
            </w:r>
          </w:p>
        </w:tc>
        <w:tc>
          <w:tcPr>
            <w:tcW w:type="dxa" w:w="1336"/>
          </w:tcPr>
          <w:p>
            <w:r>
              <w:rPr>
                <w:sz w:val="20"/>
              </w:rPr>
              <w:t>–</w:t>
            </w:r>
          </w:p>
        </w:tc>
        <w:tc>
          <w:tcPr>
            <w:tcW w:type="dxa" w:w="1336"/>
          </w:tcPr>
          <w:p>
            <w:r>
              <w:rPr>
                <w:sz w:val="20"/>
              </w:rPr>
              <w:t>–</w:t>
            </w:r>
          </w:p>
        </w:tc>
        <w:tc>
          <w:tcPr>
            <w:tcW w:type="dxa" w:w="1336"/>
          </w:tcPr>
          <w:p>
            <w:r>
              <w:rPr>
                <w:sz w:val="20"/>
              </w:rPr>
              <w:t>Avant, M3, si suspicion intoxication</w:t>
            </w:r>
          </w:p>
        </w:tc>
        <w:tc>
          <w:tcPr>
            <w:tcW w:type="dxa" w:w="1336"/>
          </w:tcPr>
          <w:p>
            <w:r>
              <w:rPr>
                <w:sz w:val="20"/>
              </w:rPr>
              <w:t>Avant, M3</w:t>
            </w:r>
          </w:p>
        </w:tc>
      </w:tr>
      <w:tr>
        <w:tc>
          <w:tcPr>
            <w:tcW w:type="dxa" w:w="1336"/>
          </w:tcPr>
          <w:p>
            <w:r>
              <w:rPr>
                <w:sz w:val="20"/>
              </w:rPr>
              <w:t>Acétazolamide</w:t>
            </w:r>
          </w:p>
        </w:tc>
        <w:tc>
          <w:tcPr>
            <w:tcW w:type="dxa" w:w="1336"/>
          </w:tcPr>
          <w:p>
            <w:r>
              <w:rPr>
                <w:sz w:val="20"/>
              </w:rPr>
              <w:t>Avant, J7, M1</w:t>
            </w:r>
          </w:p>
        </w:tc>
        <w:tc>
          <w:tcPr>
            <w:tcW w:type="dxa" w:w="1336"/>
          </w:tcPr>
          <w:p>
            <w:r>
              <w:rPr>
                <w:sz w:val="20"/>
              </w:rPr>
              <w:t>Avant</w:t>
            </w:r>
          </w:p>
        </w:tc>
        <w:tc>
          <w:tcPr>
            <w:tcW w:type="dxa" w:w="1336"/>
          </w:tcPr>
          <w:p>
            <w:r>
              <w:rPr>
                <w:sz w:val="20"/>
              </w:rPr>
              <w:t>–</w:t>
            </w:r>
          </w:p>
        </w:tc>
        <w:tc>
          <w:tcPr>
            <w:tcW w:type="dxa" w:w="1336"/>
          </w:tcPr>
          <w:p>
            <w:r>
              <w:rPr>
                <w:sz w:val="20"/>
              </w:rPr>
              <w:t>–</w:t>
            </w:r>
          </w:p>
        </w:tc>
        <w:tc>
          <w:tcPr>
            <w:tcW w:type="dxa" w:w="1336"/>
          </w:tcPr>
          <w:p>
            <w:r>
              <w:rPr>
                <w:sz w:val="20"/>
              </w:rPr>
              <w:t>–</w:t>
            </w:r>
          </w:p>
        </w:tc>
        <w:tc>
          <w:tcPr>
            <w:tcW w:type="dxa" w:w="1336"/>
          </w:tcPr>
          <w:p>
            <w:r>
              <w:rPr>
                <w:sz w:val="20"/>
              </w:rPr>
              <w:t>–</w:t>
            </w:r>
          </w:p>
        </w:tc>
      </w:tr>
    </w:tbl>
    <w:p/>
    <w:p>
      <w:pPr>
        <w:pStyle w:val="Heading3"/>
      </w:pPr>
      <w:r>
        <w:t>5. Disponibilité algérienne : alertes et alternatives</w:t>
      </w:r>
    </w:p>
    <w:p>
      <w:r>
        <w:t>Plusieurs médicaments de cette classe sont actuellement en tension d'approvisionnement ou retirés du marché algérien, exposant les patients à des ruptures de traitement :</w:t>
      </w:r>
    </w:p>
    <w:p>
      <w:pPr>
        <w:pStyle w:val="ListBullet"/>
      </w:pPr>
      <w:r/>
      <w:r>
        <w:rPr>
          <w:b/>
        </w:rPr>
        <w:t>Trinitrine sublinguale (comprimé et spray)</w:t>
      </w:r>
      <w:r>
        <w:t xml:space="preserve"> : non disponible. Alternative : molsidomine per os en prévention (mais pas en crise).</w:t>
      </w:r>
    </w:p>
    <w:p>
      <w:pPr>
        <w:pStyle w:val="ListBullet"/>
      </w:pPr>
      <w:r/>
      <w:r>
        <w:rPr>
          <w:b/>
        </w:rPr>
        <w:t>Bumétanide</w:t>
      </w:r>
      <w:r>
        <w:t xml:space="preserve"> : retirée (BURINEX). Alternative : furosémide.</w:t>
      </w:r>
    </w:p>
    <w:p>
      <w:pPr>
        <w:pStyle w:val="ListBullet"/>
      </w:pPr>
      <w:r/>
      <w:r>
        <w:rPr>
          <w:b/>
        </w:rPr>
        <w:t>Hydrochlorothiazide monopréparation</w:t>
      </w:r>
      <w:r>
        <w:t xml:space="preserve"> : retirée (HYDREX). Alternative : indapamide LP 1,5 mg ou association fixe (amiloride + HCTZ : DUDREX/AMURETIC).</w:t>
      </w:r>
    </w:p>
    <w:p>
      <w:pPr>
        <w:pStyle w:val="ListBullet"/>
      </w:pPr>
      <w:r/>
      <w:r>
        <w:rPr>
          <w:b/>
        </w:rPr>
        <w:t>Mannitol</w:t>
      </w:r>
      <w:r>
        <w:t xml:space="preserve"> : retiré. Alternative : sérum salé hypertonique 3 % ou 7,5 % (neurochirurgie) ; furosémide IV (efficacité moindre).</w:t>
      </w:r>
    </w:p>
    <w:p>
      <w:pPr>
        <w:pStyle w:val="ListBullet"/>
      </w:pPr>
      <w:r/>
      <w:r>
        <w:rPr>
          <w:b/>
        </w:rPr>
        <w:t>Digoxine injectable IV</w:t>
      </w:r>
      <w:r>
        <w:t xml:space="preserve"> : non disponible. Alternative hospitalière : amiodarone IV, vérapamil IV, esmolol IV.</w:t>
      </w:r>
    </w:p>
    <w:p>
      <w:r>
        <w:t>Le pharmacien d'officina doit connaître ces ruptures pour orienter le patient vers le médecin prescripteur en vue d'une adaptation thérapeutique. L'information des patients est essentielle pour prévenir les interruptions brutales de traitement qui pourraient avoir des conséquences graves (décompensation cardiaque, crise d'angor, FA non contrôlée).</w:t>
      </w:r>
    </w:p>
    <w:p>
      <w:pPr>
        <w:pStyle w:val="Heading3"/>
      </w:pPr>
      <w:r>
        <w:t>6. Conseils pratiques au comptoir</w:t>
      </w:r>
    </w:p>
    <w:p>
      <w:pPr>
        <w:pStyle w:val="ListBullet"/>
      </w:pPr>
      <w:r/>
      <w:r>
        <w:rPr>
          <w:b/>
        </w:rPr>
        <w:t>Toujours demander la dernière kaliémie</w:t>
      </w:r>
      <w:r>
        <w:t xml:space="preserve"> chez un patient sous digoxine ou diurétique.</w:t>
      </w:r>
    </w:p>
    <w:p>
      <w:pPr>
        <w:pStyle w:val="ListBullet"/>
      </w:pPr>
      <w:r/>
      <w:r>
        <w:rPr>
          <w:b/>
        </w:rPr>
        <w:t>Toujours interroger sur les traitements de la dysfonction érectile</w:t>
      </w:r>
      <w:r>
        <w:t xml:space="preserve"> chez un patient venant chercher un nitré.</w:t>
      </w:r>
    </w:p>
    <w:p>
      <w:pPr>
        <w:pStyle w:val="ListBullet"/>
      </w:pPr>
      <w:r/>
      <w:r>
        <w:rPr>
          <w:b/>
        </w:rPr>
        <w:t>Toujours demander la prescription</w:t>
      </w:r>
      <w:r>
        <w:t xml:space="preserve"> pour les suppléments potassiques (CI avec spironolactone/eplérénone sans surveillance).</w:t>
      </w:r>
    </w:p>
    <w:p>
      <w:pPr>
        <w:pStyle w:val="ListBullet"/>
      </w:pPr>
      <w:r/>
      <w:r>
        <w:rPr>
          <w:b/>
        </w:rPr>
        <w:t>Toujours vérifier la fonction rénale</w:t>
      </w:r>
      <w:r>
        <w:t xml:space="preserve"> avant toute initiation de diurétique ou de digoxine.</w:t>
      </w:r>
    </w:p>
    <w:p>
      <w:pPr>
        <w:pStyle w:val="ListBullet"/>
      </w:pPr>
      <w:r/>
      <w:r>
        <w:rPr>
          <w:b/>
        </w:rPr>
        <w:t>Toujours conseiller un schéma de prise matinale</w:t>
      </w:r>
      <w:r>
        <w:t xml:space="preserve"> pour les diurétiques (éviter la nycturie et les chutes nocturnes du sujet âgé).</w:t>
      </w:r>
    </w:p>
    <w:p>
      <w:pPr>
        <w:pStyle w:val="ListBullet"/>
      </w:pPr>
      <w:r/>
      <w:r>
        <w:rPr>
          <w:b/>
        </w:rPr>
        <w:t>Toujours rappeler la nécessité d'une fenêtre thérapeurique</w:t>
      </w:r>
      <w:r>
        <w:t xml:space="preserve"> pour les nitrés en traitement de fond.</w:t>
      </w:r>
    </w:p>
    <w:p>
      <w:pPr>
        <w:pStyle w:val="ListBullet"/>
      </w:pPr>
      <w:r/>
      <w:r>
        <w:rPr>
          <w:b/>
        </w:rPr>
        <w:t>Toujours vérifier l'absence de grossesse</w:t>
      </w:r>
      <w:r>
        <w:t xml:space="preserve"> avant délivrance de minoxidil topique chez la femme.</w:t>
      </w:r>
    </w:p>
    <w:p>
      <w:pPr>
        <w:pStyle w:val="ListBullet"/>
      </w:pPr>
      <w:r/>
      <w:r>
        <w:rPr>
          <w:b/>
        </w:rPr>
        <w:t>Toujours assurer le suivi de la PA à domicile</w:t>
      </w:r>
      <w:r>
        <w:t xml:space="preserve"> pour les antihypertenseurs (carnet d'auto-mesures).</w:t>
      </w:r>
    </w:p>
    <w:p>
      <w:pPr>
        <w:pStyle w:val="Heading3"/>
      </w:pPr>
      <w:r>
        <w:t>7. Conclusion du chapitre</w:t>
      </w:r>
    </w:p>
    <w:p>
      <w:r>
        <w:t>L'arsenal algérien des vasodilatateurs, diurétiques et digitaliques couvre la quasi-totalité des besoins cardiologiques et néphrologiques courants, malgré les ruptures d'approvisionnement affectant certaines molécules (trinitrine sublinguale, bumétanide, mannitol, digoxine injectable). La maîtrise par le pharmacien d'officina des mécanismes pharmacologiques (NKCC2, NCC, ENaC, récepteur minéralocorticoïde, Na⁺/K⁺-ATPase, voie NO-GMPc), des interactions médicamenteuses (surtout IPDE5+nitrés, IEC+spironolactone, digoxine+vérapamil/amiodarone, digoxine+hypokaliémiants) et des surveillances biologiques (ionogramme, créatinine, digoxinémie) est essentielle à la sécurité d'emploi de ces médicaments à index thérapeutique souvent étroit. Les règles transversales énoncées dans ce chapitre doivent guider la dispensation au comptoir et le conseil aux patients, dans une logique de co-gestion de la maladie chronique cardiovasculaire entre médecin, pharmacien et patient.</w:t>
      </w:r>
    </w:p>
    <w:p>
      <w:pPr>
        <w:pStyle w:val="Heading2"/>
      </w:pPr>
      <w:r>
        <w:t>Références bibliographiques</w:t>
      </w:r>
    </w:p>
    <w:p>
      <w:pPr>
        <w:pStyle w:val="ListNumber"/>
      </w:pPr>
      <w:r/>
      <w:r>
        <w:rPr>
          <w:b/>
        </w:rPr>
        <w:t>ANSM</w:t>
      </w:r>
      <w:r>
        <w:t xml:space="preserve"> (Agence Nationale de Sécurité du Médicament et des produits de santé). Résumés des Caractéristiques du Produit (RCP) des spécialités pharmaceutiques.</w:t>
      </w:r>
    </w:p>
    <w:p>
      <w:pPr>
        <w:pStyle w:val="ListNumber"/>
      </w:pPr>
      <w:r/>
      <w:r>
        <w:rPr>
          <w:b/>
        </w:rPr>
        <w:t>VIDAL</w:t>
      </w:r>
      <w:r>
        <w:t xml:space="preserve"> Vidal 2024. Dictionnaire des médicaments.</w:t>
      </w:r>
    </w:p>
    <w:p>
      <w:pPr>
        <w:pStyle w:val="ListNumber"/>
      </w:pPr>
      <w:r/>
      <w:r>
        <w:rPr>
          <w:b/>
        </w:rPr>
        <w:t>Thériaque</w:t>
      </w:r>
      <w:r>
        <w:t>. Banque de données sur les médicaments. www.theriaque.org</w:t>
      </w:r>
    </w:p>
    <w:p>
      <w:pPr>
        <w:pStyle w:val="ListNumber"/>
      </w:pPr>
      <w:r/>
      <w:r>
        <w:rPr>
          <w:b/>
        </w:rPr>
        <w:t>CRAT</w:t>
      </w:r>
      <w:r>
        <w:t xml:space="preserve"> (Centre de Référence sur les Agents Tératogènes). www.lecrat.fr</w:t>
      </w:r>
    </w:p>
    <w:p>
      <w:pPr>
        <w:pStyle w:val="ListNumber"/>
      </w:pPr>
      <w:r/>
      <w:r>
        <w:rPr>
          <w:b/>
        </w:rPr>
        <w:t>ESC</w:t>
      </w:r>
      <w:r>
        <w:t xml:space="preserve"> (European Society of Cardiology). Guidelines 2023 — Hypertension, Heart Failure, Atrial Fibrillation.</w:t>
      </w:r>
    </w:p>
    <w:p>
      <w:pPr>
        <w:pStyle w:val="ListNumber"/>
      </w:pPr>
      <w:r/>
      <w:r>
        <w:rPr>
          <w:b/>
        </w:rPr>
        <w:t>HAS</w:t>
      </w:r>
      <w:r>
        <w:t xml:space="preserve"> (Haute Autorité de Santé). Recommandations de bonne pratique — HTA, insuffisance cardiaque.</w:t>
      </w:r>
    </w:p>
    <w:p>
      <w:pPr>
        <w:pStyle w:val="ListNumber"/>
      </w:pPr>
      <w:r/>
      <w:r>
        <w:rPr>
          <w:b/>
        </w:rPr>
        <w:t>UpToDate</w:t>
      </w:r>
      <w:r>
        <w:t>. Clinical decision support — Diuretics, Nitrates, Digitalis.</w:t>
      </w:r>
    </w:p>
    <w:p>
      <w:pPr>
        <w:pStyle w:val="ListNumber"/>
      </w:pPr>
      <w:r/>
      <w:r>
        <w:rPr>
          <w:b/>
        </w:rPr>
        <w:t>Micromedex</w:t>
      </w:r>
      <w:r>
        <w:t>. Drug information database.</w:t>
      </w:r>
    </w:p>
    <w:p>
      <w:pPr>
        <w:pStyle w:val="ListNumber"/>
      </w:pPr>
      <w:r/>
      <w:r>
        <w:rPr>
          <w:b/>
        </w:rPr>
        <w:t>Goodman &amp; Gilman's</w:t>
      </w:r>
      <w:r>
        <w:t>. The Pharmacological Basis of Therapeutics, 14e éd., McGraw-Hill, 2023.</w:t>
      </w:r>
    </w:p>
    <w:p>
      <w:pPr>
        <w:pStyle w:val="ListNumber"/>
      </w:pPr>
      <w:r/>
      <w:r>
        <w:rPr>
          <w:b/>
        </w:rPr>
        <w:t>Katzung</w:t>
      </w:r>
      <w:r>
        <w:t>. Basic and Clinical Pharmacology, 15e éd., McGraw-Hill, 2021.</w:t>
      </w:r>
    </w:p>
    <w:p>
      <w:pPr>
        <w:pStyle w:val="ListNumber"/>
      </w:pPr>
      <w:r/>
      <w:r>
        <w:rPr>
          <w:b/>
        </w:rPr>
        <w:t>Nomenclature algérienne des médicaments</w:t>
      </w:r>
      <w:r>
        <w:t>. Avril 2026. Ministère de la Santé.</w:t>
      </w:r>
    </w:p>
    <w:p>
      <w:pPr>
        <w:pStyle w:val="ListNumber"/>
      </w:pPr>
      <w:r/>
      <w:r>
        <w:rPr>
          <w:b/>
        </w:rPr>
        <w:t>Essais cliniques pivots</w:t>
      </w:r>
      <w:r>
        <w:t xml:space="preserve"> : RALES (spironolactone, 1999), EPHESUS (eplérénone, 2003), EMPHASIS-HF (eplérénone, 2011), DIG (digoxine, 1997), HYVET (indapamide, 2008), ADVANCE (indapamide+perindopril, 2007), IONA (nicorandil, 2002).</w:t>
      </w:r>
    </w:p>
    <w:p>
      <w:pPr>
        <w:pStyle w:val="Heading2"/>
      </w:pPr>
      <w:r>
        <w:t>Annexe — Cas Cliniques Illustratifs</w:t>
      </w:r>
    </w:p>
    <w:p>
      <w:pPr>
        <w:pStyle w:val="Heading3"/>
      </w:pPr>
      <w:r>
        <w:t>Cas n°1 : Patient sous trinitrine et sildénafil</w:t>
      </w:r>
    </w:p>
    <w:p>
      <w:r>
        <w:t>M. A., 65 ans, hypertendu et coronarien, vient chercher à l'officine une prescription de trinitrine spray pour des crises d'angor récidivantes. Il mentionne accessoirement prendre du sildénafil (VIAGRA) pour dysfonction érectile. Le pharmacien d'officina doit refuser la délivrance simultanée et alerter le patient sur le risque vital. La conduite à tenir est : (i) informer le patient de l'interaction contre-indiquée ; (ii) lui demander d'arrêter le sildénafil ; (iii) le renvoyer chez son cardiologue pour évaluation de la fonction érectile et des alternatives (prothèse pénienne, vacuum, injection intracaverneuse de prostaglandine E1 — alprostadil). En cas de prise accidentelle d'un nitré après sildénafil, appeler le 15 (urgences) — risque de choc vasoplégique réfractaire.</w:t>
      </w:r>
    </w:p>
    <w:p>
      <w:pPr>
        <w:pStyle w:val="Heading3"/>
      </w:pPr>
      <w:r>
        <w:t>Cas n°2 : Patiente âgée sous furosémide et digoxine</w:t>
      </w:r>
    </w:p>
    <w:p>
      <w:r>
        <w:t>Mme B., 82 ans, insuffisante cardiaque chronique, FA permanente, sous furosémide 40 mg le matin et digoxine 0,25 mg/j. Elle présente depuis 3 jours des nausées, des vomissements, une vision "jaune", une confusion. Le pharmacien doit évoquer une intoxication digitalique et demander à voir les résultats biologiques récents (kaliémie, créatinine, digoxinémie). Conduite à tenir : (i) orienter en urgence vers les urgences hospitalières ; (ii) prévenir le médecin prescripteur ; (iii) ne pas donner d'antiémétique (risque de masquer les symptômes). L'intoxication digitalique se confirme par digoxinémie &gt; 2 ng/mL, kaliémie normale ou élevée (paradoxalement). L'antidote spécifique (anticorps Fab anti-digoxine, DigiFab®) n'est pas disponible en routine en Algérie — traitement symptomatique (correction de l'hypokaliémie si présente, atropine si bradycardie, lidocaïne si ESV/tachycardie ventriculaire).</w:t>
      </w:r>
    </w:p>
    <w:p>
      <w:pPr>
        <w:pStyle w:val="Heading3"/>
      </w:pPr>
      <w:r>
        <w:t>Cas n°3 : Insuffisant rénal sous spironolactone et ramipril</w:t>
      </w:r>
    </w:p>
    <w:p>
      <w:r>
        <w:t>M. C., 70 ans, insuffisant cardiaque chronique, sous ramipril 10 mg et spironolactone 25 mg/j. Dernière kaliémie à 5,3 mmol/L (limite haute), créatininémie 130 µmol/L (DFG 45 mL/min). Le pharmacien doit alerter le patient sur le risque d'hyperkaliémie et proposer une consultation médicale pour surveillance accrue (kaliémie à 7 jours puis mensuelle, voire arrêt transitoire). Le patient doit éviter les substituts de sel (riches en KCl) et les régimes riches en potassium (bananes, agrumes, fruits secs, légumes verts feuillus). En cas d'asthénie, faiblesse musculaire, palpitations, consultation en urgence (ECG à la recherche d'ondes T pointues, d'un élargissement QRS, d'une bradycardie).</w:t>
      </w:r>
    </w:p>
    <w:p>
      <w:pPr>
        <w:pStyle w:val="Heading3"/>
      </w:pPr>
      <w:r>
        <w:t>Cas n°4 : Crise d'angor sous molsidomine — alternative aux nitrés</w:t>
      </w:r>
    </w:p>
    <w:p>
      <w:r>
        <w:t>Mme D., 58 ans, présentant un angor stable, initialement sous dinitrate d'isosorbide, mais présentant des céphalées intolérables et une tolérance nitrate malgré une fenêtre thérapeutique. Son cardiologue a substitué par molsidomine 4 mg x 2/j. Le pharmacien doit expliquer à la patiente que la molsidomine a un profil d'efficacité équivalent aux nitrés sans tolérance, mais avec un délai d'action plus long (per os uniquement — pas de forme sublinguale). En cas de crise d'angor aiguë, le patient doit consulter en urgence (la molsidomine n'est pas un traitement de la crise aiguë). Ne pas arrêter brutalement le traitement.</w:t>
      </w:r>
    </w:p>
    <w:p>
      <w:pPr>
        <w:pStyle w:val="Heading3"/>
      </w:pPr>
      <w:r>
        <w:t>Cas n°5 : Patiente enceinte hypertendue</w:t>
      </w:r>
    </w:p>
    <w:p>
      <w:r>
        <w:t>Mme E., 32 ans, enceinte à 24 SA, présente une HTA gravidique modérée (PA 145/90 mmHg). Le médecin a initialement prescrit de l'hydrochlorothiazide 25 mg, mais le pharmacien doit alerter sur le risque d'oligoamnios et préférer les antihypertenseurs compatibles : labétalol (LOLB), méthyldopa (ALDOMET), nicardipine (LOXEN) en première intention. La spironolactone est contre-indiquée (effet anti-androgène théorique sur fœtus mâle). L'HCTZ est à éviter sauf HTA réfractaire aux autres classes.</w:t>
      </w:r>
    </w:p>
    <w:p>
      <w:pPr>
        <w:pStyle w:val="Heading3"/>
      </w:pPr>
      <w:r>
        <w:t>Cas n°6 : Patient en surdosage digitalique massif</w:t>
      </w:r>
    </w:p>
    <w:p>
      <w:r>
        <w:t>M. F., 78 ans, retrouvé confus, ayant absorbé accidentellement 5 mg de digoxine en 24 h (erreur de comptage). ECG : bradycardie sinusale à 30/min, ondes T inversées, BAV de 2ᵉ degré. Kaliémie 6,5 mmol/L, digoxinémie 15 ng/mL. Prise en charge hospitalière urgente : (i) arrêt immédiat de la digoxine ; (ii) anticorps Fab anti-digoxine (DigiFab®) à la dose de 80 mg (2 flacons) par mg de digoxine ingéré (à importer en ATU) ; (iii) correction de l'hyperkaliémie (insuline + glucose, bicarbonate de sodium IV, kayexalate) ; (iv) entraînement électrosystolique temporaire si BAV symptomatique ; (v) surveillance ECG continue 24–48 h. Ne pas administrer de calcium IV (risque d'arrêt cardiaque en "stone heart").</w:t>
      </w:r>
    </w:p>
    <w:p>
      <w:pPr>
        <w:pStyle w:val="Heading2"/>
      </w:pPr>
      <w:r>
        <w:t>Abréviations</w:t>
      </w:r>
    </w:p>
    <w:p>
      <w:pPr>
        <w:pStyle w:val="ListBullet"/>
      </w:pPr>
      <w:r/>
      <w:r>
        <w:rPr>
          <w:b/>
        </w:rPr>
        <w:t>AMM</w:t>
      </w:r>
      <w:r>
        <w:t xml:space="preserve"> : Autorisation de Mise sur le Marché</w:t>
      </w:r>
    </w:p>
    <w:p>
      <w:pPr>
        <w:pStyle w:val="ListBullet"/>
      </w:pPr>
      <w:r/>
      <w:r>
        <w:rPr>
          <w:b/>
        </w:rPr>
        <w:t>ANS</w:t>
      </w:r>
      <w:r>
        <w:t xml:space="preserve"> : Année Nominale Spéciale</w:t>
      </w:r>
    </w:p>
    <w:p>
      <w:pPr>
        <w:pStyle w:val="ListBullet"/>
      </w:pPr>
      <w:r/>
      <w:r>
        <w:rPr>
          <w:b/>
        </w:rPr>
        <w:t>ATU</w:t>
      </w:r>
      <w:r>
        <w:t xml:space="preserve"> : Autorisation Temporaire d'Utilisation</w:t>
      </w:r>
    </w:p>
    <w:p>
      <w:pPr>
        <w:pStyle w:val="ListBullet"/>
      </w:pPr>
      <w:r/>
      <w:r>
        <w:rPr>
          <w:b/>
        </w:rPr>
        <w:t>AVC</w:t>
      </w:r>
      <w:r>
        <w:t xml:space="preserve"> : Accident Vasculaire Cérébral</w:t>
      </w:r>
    </w:p>
    <w:p>
      <w:pPr>
        <w:pStyle w:val="ListBullet"/>
      </w:pPr>
      <w:r/>
      <w:r>
        <w:rPr>
          <w:b/>
        </w:rPr>
        <w:t>BAV</w:t>
      </w:r>
      <w:r>
        <w:t xml:space="preserve"> : Bloc Auriculo-Ventriculaire</w:t>
      </w:r>
    </w:p>
    <w:p>
      <w:pPr>
        <w:pStyle w:val="ListBullet"/>
      </w:pPr>
      <w:r/>
      <w:r>
        <w:rPr>
          <w:b/>
        </w:rPr>
        <w:t>CI</w:t>
      </w:r>
      <w:r>
        <w:t xml:space="preserve"> : Contre-Indication</w:t>
      </w:r>
    </w:p>
    <w:p>
      <w:pPr>
        <w:pStyle w:val="ListBullet"/>
      </w:pPr>
      <w:r/>
      <w:r>
        <w:rPr>
          <w:b/>
        </w:rPr>
        <w:t>CRAT</w:t>
      </w:r>
      <w:r>
        <w:t xml:space="preserve"> : Centre de Référence sur les Agents Tératogènes</w:t>
      </w:r>
    </w:p>
    <w:p>
      <w:pPr>
        <w:pStyle w:val="ListBullet"/>
      </w:pPr>
      <w:r/>
      <w:r>
        <w:rPr>
          <w:b/>
        </w:rPr>
        <w:t>DCI</w:t>
      </w:r>
      <w:r>
        <w:t xml:space="preserve"> : Dénomination Commune Internationale</w:t>
      </w:r>
    </w:p>
    <w:p>
      <w:pPr>
        <w:pStyle w:val="ListBullet"/>
      </w:pPr>
      <w:r/>
      <w:r>
        <w:rPr>
          <w:b/>
        </w:rPr>
        <w:t>DFG</w:t>
      </w:r>
      <w:r>
        <w:t xml:space="preserve"> : Débit de Filtration Glomérulaire</w:t>
      </w:r>
    </w:p>
    <w:p>
      <w:pPr>
        <w:pStyle w:val="ListBullet"/>
      </w:pPr>
      <w:r/>
      <w:r>
        <w:rPr>
          <w:b/>
        </w:rPr>
        <w:t>DNIS</w:t>
      </w:r>
      <w:r>
        <w:t xml:space="preserve"> : Dinitrate d'Isosorbide</w:t>
      </w:r>
    </w:p>
    <w:p>
      <w:pPr>
        <w:pStyle w:val="ListBullet"/>
      </w:pPr>
      <w:r/>
      <w:r>
        <w:rPr>
          <w:b/>
        </w:rPr>
        <w:t>ECG</w:t>
      </w:r>
      <w:r>
        <w:t xml:space="preserve"> : Électrocardiogramme</w:t>
      </w:r>
    </w:p>
    <w:p>
      <w:pPr>
        <w:pStyle w:val="ListBullet"/>
      </w:pPr>
      <w:r/>
      <w:r>
        <w:rPr>
          <w:b/>
        </w:rPr>
        <w:t>ENaC</w:t>
      </w:r>
      <w:r>
        <w:t xml:space="preserve"> : Canal sodique épithélial</w:t>
      </w:r>
    </w:p>
    <w:p>
      <w:pPr>
        <w:pStyle w:val="ListBullet"/>
      </w:pPr>
      <w:r/>
      <w:r>
        <w:rPr>
          <w:b/>
        </w:rPr>
        <w:t>ESC</w:t>
      </w:r>
      <w:r>
        <w:t xml:space="preserve"> : European Society of Cardiology</w:t>
      </w:r>
    </w:p>
    <w:p>
      <w:pPr>
        <w:pStyle w:val="ListBullet"/>
      </w:pPr>
      <w:r/>
      <w:r>
        <w:rPr>
          <w:b/>
        </w:rPr>
        <w:t>ESV</w:t>
      </w:r>
      <w:r>
        <w:t xml:space="preserve"> : Extrasystoles Ventriculaires</w:t>
      </w:r>
    </w:p>
    <w:p>
      <w:pPr>
        <w:pStyle w:val="ListBullet"/>
      </w:pPr>
      <w:r/>
      <w:r>
        <w:rPr>
          <w:b/>
        </w:rPr>
        <w:t>FA</w:t>
      </w:r>
      <w:r>
        <w:t xml:space="preserve"> : Fibrillation Auriculaire</w:t>
      </w:r>
    </w:p>
    <w:p>
      <w:pPr>
        <w:pStyle w:val="ListBullet"/>
      </w:pPr>
      <w:r/>
      <w:r>
        <w:rPr>
          <w:b/>
        </w:rPr>
        <w:t>FEVG</w:t>
      </w:r>
      <w:r>
        <w:t xml:space="preserve"> : Fraction d'Éjection Ventriculaire Gauche</w:t>
      </w:r>
    </w:p>
    <w:p>
      <w:pPr>
        <w:pStyle w:val="ListBullet"/>
      </w:pPr>
      <w:r/>
      <w:r>
        <w:rPr>
          <w:b/>
        </w:rPr>
        <w:t>GMPc</w:t>
      </w:r>
      <w:r>
        <w:t xml:space="preserve"> : Guanosine Monophosphate cyclique</w:t>
      </w:r>
    </w:p>
    <w:p>
      <w:pPr>
        <w:pStyle w:val="ListBullet"/>
      </w:pPr>
      <w:r/>
      <w:r>
        <w:rPr>
          <w:b/>
        </w:rPr>
        <w:t>GTN</w:t>
      </w:r>
      <w:r>
        <w:t xml:space="preserve"> : Glycéryl Trinitrate</w:t>
      </w:r>
    </w:p>
    <w:p>
      <w:pPr>
        <w:pStyle w:val="ListBullet"/>
      </w:pPr>
      <w:r/>
      <w:r>
        <w:rPr>
          <w:b/>
        </w:rPr>
        <w:t>HAS</w:t>
      </w:r>
      <w:r>
        <w:t xml:space="preserve"> : Haute Autorité de Santé</w:t>
      </w:r>
    </w:p>
    <w:p>
      <w:pPr>
        <w:pStyle w:val="ListBullet"/>
      </w:pPr>
      <w:r/>
      <w:r>
        <w:rPr>
          <w:b/>
        </w:rPr>
        <w:t>HCTZ</w:t>
      </w:r>
      <w:r>
        <w:t xml:space="preserve"> : Hydrochlorothiazide</w:t>
      </w:r>
    </w:p>
    <w:p>
      <w:pPr>
        <w:pStyle w:val="ListBullet"/>
      </w:pPr>
      <w:r/>
      <w:r>
        <w:rPr>
          <w:b/>
        </w:rPr>
        <w:t>HTA</w:t>
      </w:r>
      <w:r>
        <w:t xml:space="preserve"> : Hypertension Artérielle</w:t>
      </w:r>
    </w:p>
    <w:p>
      <w:pPr>
        <w:pStyle w:val="ListBullet"/>
      </w:pPr>
      <w:r/>
      <w:r>
        <w:rPr>
          <w:b/>
        </w:rPr>
        <w:t>ICC</w:t>
      </w:r>
      <w:r>
        <w:t xml:space="preserve"> : Insuffisance Cardiaque Chronique</w:t>
      </w:r>
    </w:p>
    <w:p>
      <w:pPr>
        <w:pStyle w:val="ListBullet"/>
      </w:pPr>
      <w:r/>
      <w:r>
        <w:rPr>
          <w:b/>
        </w:rPr>
        <w:t>IEC</w:t>
      </w:r>
      <w:r>
        <w:t xml:space="preserve"> : Inhibiteur de l'Enzyme de Conversion</w:t>
      </w:r>
    </w:p>
    <w:p>
      <w:pPr>
        <w:pStyle w:val="ListBullet"/>
      </w:pPr>
      <w:r/>
      <w:r>
        <w:rPr>
          <w:b/>
        </w:rPr>
        <w:t>IPDE5</w:t>
      </w:r>
      <w:r>
        <w:t xml:space="preserve"> : Inhibiteur de la Phosphodiestérase de type 5</w:t>
      </w:r>
    </w:p>
    <w:p>
      <w:pPr>
        <w:pStyle w:val="ListBullet"/>
      </w:pPr>
      <w:r/>
      <w:r>
        <w:rPr>
          <w:b/>
        </w:rPr>
        <w:t>IRA</w:t>
      </w:r>
      <w:r>
        <w:t xml:space="preserve"> : Insuffisance Rénale Aiguée</w:t>
      </w:r>
    </w:p>
    <w:p>
      <w:pPr>
        <w:pStyle w:val="ListBullet"/>
      </w:pPr>
      <w:r/>
      <w:r>
        <w:rPr>
          <w:b/>
        </w:rPr>
        <w:t>LP</w:t>
      </w:r>
      <w:r>
        <w:t xml:space="preserve"> : Libération Prolongée</w:t>
      </w:r>
    </w:p>
    <w:p>
      <w:pPr>
        <w:pStyle w:val="ListBullet"/>
      </w:pPr>
      <w:r/>
      <w:r>
        <w:rPr>
          <w:b/>
        </w:rPr>
        <w:t>MR</w:t>
      </w:r>
      <w:r>
        <w:t xml:space="preserve"> : Récepteur Minéralocorticoïde</w:t>
      </w:r>
    </w:p>
    <w:p>
      <w:pPr>
        <w:pStyle w:val="ListBullet"/>
      </w:pPr>
      <w:r/>
      <w:r>
        <w:rPr>
          <w:b/>
        </w:rPr>
        <w:t>NCC</w:t>
      </w:r>
      <w:r>
        <w:t xml:space="preserve"> : Co-transporteur Na-Cl</w:t>
      </w:r>
    </w:p>
    <w:p>
      <w:pPr>
        <w:pStyle w:val="ListBullet"/>
      </w:pPr>
      <w:r/>
      <w:r>
        <w:rPr>
          <w:b/>
        </w:rPr>
        <w:t>NKCC2</w:t>
      </w:r>
      <w:r>
        <w:t xml:space="preserve"> : Co-transporteur Na-K-2Cl de l'anse</w:t>
      </w:r>
    </w:p>
    <w:p>
      <w:pPr>
        <w:pStyle w:val="ListBullet"/>
      </w:pPr>
      <w:r/>
      <w:r>
        <w:rPr>
          <w:b/>
        </w:rPr>
        <w:t>NO</w:t>
      </w:r>
      <w:r>
        <w:t xml:space="preserve"> : Monoxyde d'Azote</w:t>
      </w:r>
    </w:p>
    <w:p>
      <w:pPr>
        <w:pStyle w:val="ListBullet"/>
      </w:pPr>
      <w:r/>
      <w:r>
        <w:rPr>
          <w:b/>
        </w:rPr>
        <w:t>PA</w:t>
      </w:r>
      <w:r>
        <w:t xml:space="preserve"> : Pression Artérielle</w:t>
      </w:r>
    </w:p>
    <w:p>
      <w:pPr>
        <w:pStyle w:val="ListBullet"/>
      </w:pPr>
      <w:r/>
      <w:r>
        <w:rPr>
          <w:b/>
        </w:rPr>
        <w:t>PDE5</w:t>
      </w:r>
      <w:r>
        <w:t xml:space="preserve"> : Phosphodiestérase de type 5</w:t>
      </w:r>
    </w:p>
    <w:p>
      <w:pPr>
        <w:pStyle w:val="ListBullet"/>
      </w:pPr>
      <w:r/>
      <w:r>
        <w:rPr>
          <w:b/>
        </w:rPr>
        <w:t>PK</w:t>
      </w:r>
      <w:r>
        <w:t xml:space="preserve"> : Pharmacocinétique</w:t>
      </w:r>
    </w:p>
    <w:p>
      <w:pPr>
        <w:pStyle w:val="ListBullet"/>
      </w:pPr>
      <w:r/>
      <w:r>
        <w:rPr>
          <w:b/>
        </w:rPr>
        <w:t>R</w:t>
      </w:r>
      <w:r>
        <w:t xml:space="preserve"> : Retiré</w:t>
      </w:r>
    </w:p>
    <w:p>
      <w:pPr>
        <w:pStyle w:val="ListBullet"/>
      </w:pPr>
      <w:r/>
      <w:r>
        <w:rPr>
          <w:b/>
        </w:rPr>
        <w:t>SIN-1</w:t>
      </w:r>
      <w:r>
        <w:t xml:space="preserve"> : 3-morpholinosydnonimine (métabolite actif de la molsidomine)</w:t>
      </w:r>
    </w:p>
    <w:p>
      <w:pPr>
        <w:pStyle w:val="ListBullet"/>
      </w:pPr>
      <w:r/>
      <w:r>
        <w:rPr>
          <w:b/>
        </w:rPr>
        <w:t>SMR</w:t>
      </w:r>
      <w:r>
        <w:t xml:space="preserve"> : Service Médical Rendu</w:t>
      </w:r>
    </w:p>
    <w:p>
      <w:pPr>
        <w:pStyle w:val="ListBullet"/>
      </w:pPr>
      <w:r/>
      <w:r>
        <w:rPr>
          <w:b/>
        </w:rPr>
        <w:t>SRAA</w:t>
      </w:r>
      <w:r>
        <w:t xml:space="preserve"> : Système Rénine-Angiotensine-Aldostérone</w:t>
      </w:r>
    </w:p>
    <w:p>
      <w:pPr>
        <w:pStyle w:val="Heading1"/>
      </w:pPr>
      <w:r>
        <w:t>Section 35 — Antiarythmiques : Classification de Vaughan-Williams (Classes Ia, Ib, Ic, III, Inhibiteurs du canal If et Purines)</w:t>
      </w:r>
    </w:p>
    <w:p>
      <w:pPr>
        <w:ind w:left="567"/>
      </w:pPr>
      <w:r>
        <w:rPr>
          <w:i/>
          <w:color w:val="606060"/>
        </w:rPr>
        <w:t>**Fascicule IV — Cardiologie**</w:t>
      </w:r>
    </w:p>
    <w:p>
      <w:pPr>
        <w:ind w:left="567"/>
      </w:pPr>
      <w:r>
        <w:rPr>
          <w:i/>
          <w:color w:val="606060"/>
        </w:rPr>
        <w:t>Chapitre : Antiarythmiques</w:t>
      </w:r>
    </w:p>
    <w:p>
      <w:pPr>
        <w:ind w:left="567"/>
      </w:pPr>
      <w:r>
        <w:rPr>
          <w:i/>
          <w:color w:val="606060"/>
        </w:rPr>
        <w:t>Nomenclature algérienne des médicaments (Avril 2026)</w:t>
      </w:r>
    </w:p>
    <w:p>
      <w:pPr>
        <w:ind w:left="567"/>
      </w:pPr>
      <w:r>
        <w:rPr>
          <w:i/>
          <w:color w:val="606060"/>
        </w:rPr>
        <w:t>Public cible : étudiants en pharmacie (cycle clinique, 5e année)</w:t>
      </w:r>
    </w:p>
    <w:p>
      <w:pPr>
        <w:pStyle w:val="Heading2"/>
      </w:pPr>
      <w:r>
        <w:t>Introduction générale à la classe des antiarythmiques</w:t>
      </w:r>
    </w:p>
    <w:p>
      <w:r>
        <w:t>Les antiarythmiques constituent un ensemble hétérogène de molécules destinées à prévenir, réduire ou supprimer les troubles du rythme cardiaque — troubles supraventriculaires (fibrillation atriale — FA, flutter atrial, tachycardie jonctionnelle réentrante — TJR, tachycardie atriale focale) et ventriculaires (extrasystoles ventriculaires — ESV, tachycardie ventriculaire — TV monomorphe ou polymorphe, fibrillation ventriculaire — FV). La classification de référence, dite *</w:t>
      </w:r>
      <w:r>
        <w:rPr>
          <w:i/>
        </w:rPr>
        <w:t xml:space="preserve">classification de Vaughan-Williams (VW) publiée en 1970 puis amendée en 1984 par le </w:t>
      </w:r>
      <w:r>
        <w:t>Sicilian Gambit</w:t>
      </w:r>
      <w:r>
        <w:rPr>
          <w:i/>
        </w:rPr>
        <w:t xml:space="preserve"> (1991)</w:t>
      </w:r>
      <w:r>
        <w:t>*, repose sur le mécanisme électrophysiologique principal de chaque molécule. Elle distingue :</w:t>
      </w:r>
    </w:p>
    <w:p>
      <w:pPr>
        <w:pStyle w:val="ListBullet"/>
      </w:pPr>
      <w:r/>
      <w:r>
        <w:rPr>
          <w:b/>
        </w:rPr>
        <w:t>Classe I</w:t>
      </w:r>
      <w:r>
        <w:t xml:space="preserve"> — bloc des canaux sodiques voltage-dépendants (NaV1.5, gène *SCN5A*). Trois sous-classes selon la cinétique d'association/dissociation au canal :</w:t>
      </w:r>
    </w:p>
    <w:p>
      <w:pPr>
        <w:pStyle w:val="ListBullet"/>
      </w:pPr>
      <w:r/>
      <w:r>
        <w:rPr>
          <w:b/>
        </w:rPr>
        <w:t>Ia</w:t>
      </w:r>
      <w:r>
        <w:t xml:space="preserve"> — cinétique intermédiaire, allonge la repolarisation (APD) par bloc accessoire des canaux potassiques : Disopyramide (la quinidine et l'ajmaline ne sont pas commercialisées en Algérie).</w:t>
      </w:r>
    </w:p>
    <w:p>
      <w:pPr>
        <w:pStyle w:val="ListBullet"/>
      </w:pPr>
      <w:r/>
      <w:r>
        <w:rPr>
          <w:b/>
        </w:rPr>
        <w:t>Ib</w:t>
      </w:r>
      <w:r>
        <w:t xml:space="preserve"> — cinétique rapide, préférence pour le tissu ischémique/dépolarisé, raccourcit l'APD : Lidocaïne.</w:t>
      </w:r>
    </w:p>
    <w:p>
      <w:pPr>
        <w:pStyle w:val="ListBullet"/>
      </w:pPr>
      <w:r/>
      <w:r>
        <w:rPr>
          <w:b/>
        </w:rPr>
        <w:t>Ic</w:t>
      </w:r>
      <w:r>
        <w:t xml:space="preserve"> — cinétique lente, marquée dépression de la conduction (ralentissement marqué QRS) : Flécaïnide, Propafénone.</w:t>
      </w:r>
    </w:p>
    <w:p>
      <w:pPr>
        <w:pStyle w:val="ListBullet"/>
      </w:pPr>
      <w:r/>
      <w:r>
        <w:rPr>
          <w:b/>
        </w:rPr>
        <w:t>Classe II</w:t>
      </w:r>
      <w:r>
        <w:t xml:space="preserve"> — bêtabloquants (cf. Section 33 — non traitée ici).</w:t>
      </w:r>
    </w:p>
    <w:p>
      <w:pPr>
        <w:pStyle w:val="ListBullet"/>
      </w:pPr>
      <w:r/>
      <w:r>
        <w:rPr>
          <w:b/>
        </w:rPr>
        <w:t>Classe III</w:t>
      </w:r>
      <w:r>
        <w:t xml:space="preserve"> — bloc des canaux potassiques (Kr, hERG) avec allongement marqué de la repolarisation et de la période réfractaire : Amiodarone (le sotalol, le dabrétilide et l'ibutilide ne sont pas disponibles en Algérie).</w:t>
      </w:r>
    </w:p>
    <w:p>
      <w:pPr>
        <w:pStyle w:val="ListBullet"/>
      </w:pPr>
      <w:r/>
      <w:r>
        <w:rPr>
          <w:b/>
        </w:rPr>
        <w:t>Classe IV</w:t>
      </w:r>
      <w:r>
        <w:t xml:space="preserve"> — inhibiteurs calciques non dihydropyridiniques (vérapamil, diltiazem — cf. Section 34).</w:t>
      </w:r>
    </w:p>
    <w:p>
      <w:pPr>
        <w:pStyle w:val="ListBullet"/>
      </w:pPr>
      <w:r/>
      <w:r>
        <w:rPr>
          <w:b/>
        </w:rPr>
        <w:t>Inhibiteurs du canal If</w:t>
      </w:r>
      <w:r>
        <w:t xml:space="preserve"> (courant « *funny current* ») : Ivabradine — classe à part, bradycardisante pure, sans effet inotrope négatif.</w:t>
      </w:r>
    </w:p>
    <w:p>
      <w:pPr>
        <w:pStyle w:val="ListBullet"/>
      </w:pPr>
      <w:r/>
      <w:r>
        <w:rPr>
          <w:b/>
        </w:rPr>
        <w:t>Purines</w:t>
      </w:r>
      <w:r>
        <w:t xml:space="preserve"> : Adénosine — agoniste des récepteurs A1 auriculaires et nodaux, utilisé par bolus IV court pour termination des TJR et tachycardies atriales.</w:t>
      </w:r>
    </w:p>
    <w:p>
      <w:r>
        <w:t xml:space="preserve">Sur le plan épidémiologique, la </w:t>
      </w:r>
      <w:r>
        <w:rPr>
          <w:b/>
        </w:rPr>
        <w:t>fibrillation atriale</w:t>
      </w:r>
      <w:r>
        <w:t xml:space="preserve"> touche 1 à 2 % de la population adulte en Algérie (prévalence augmentant avec l'âge, atteignant 8 à 10 % après 75 ans), avec un surrisque d'AVC ischémique cardioembolique (× 5) et d'insuffisance cardiaque. La tachycardie jonctionnelle réentrante (TJR — ancienne tachycardie par réentrée intranodale) est la plus fréquente des tachycardies supraventriculaires paroxystiques (TSVP) de l'adulte jeune, avec un sex-ratio féminin et un pic d'incidence entre 30 et 50 ans. La tachycardie ventriculaire monomorphe soutenue est dominée par l'origine post-infarctus (cicatrice myocardique), avec risque de dégénérescence en FV et mort subite.</w:t>
      </w:r>
    </w:p>
    <w:p>
      <w:r>
        <w:t xml:space="preserve">Le présent chapitre traite </w:t>
      </w:r>
      <w:r>
        <w:rPr>
          <w:b/>
        </w:rPr>
        <w:t>7 DCIs</w:t>
      </w:r>
      <w:r>
        <w:t xml:space="preserve"> disponibles (actives, non renouvelées ou retirées) dans la nomenclature algérienne — couvrant 6 sous-classes thérapeutiques. Une attention particulière est portée à l'</w:t>
      </w:r>
      <w:r>
        <w:rPr>
          <w:b/>
        </w:rPr>
        <w:t>amiodarone</w:t>
      </w:r>
      <w:r>
        <w:t xml:space="preserve">, chef de file de la classe III, dont la longue demi-vie (50–60 jours), l'accumulation tissulaire massive (concentrations pulmonaires, hépatiques, thyroïdiennes et cornéennes 100 à 1000 fois supérieures aux concentrations plasmatiques), le métabolisme en </w:t>
      </w:r>
      <w:r>
        <w:rPr>
          <w:b/>
        </w:rPr>
        <w:t>déséthylamiodarone</w:t>
      </w:r>
      <w:r>
        <w:t xml:space="preserve"> (actif) et le profil d'effets indésirables multiviscéraux (dysthyroïdie, fibrose pulmonaire, dépôts cornéens, hépatotoxicité, photosensibilité, neuropathie) en font un médicament à prescription spécialisée, à surveillance prolongée et à interactions multiples. L'</w:t>
      </w:r>
      <w:r>
        <w:rPr>
          <w:b/>
        </w:rPr>
        <w:t>ivabradine</w:t>
      </w:r>
      <w:r>
        <w:t xml:space="preserve"> est l'unique inhibiteur du canal If disponible, indiqué dans l'insuffisance cardiaque chronique stable avec fraction d'éjection altérée (FEVG ≤ 35 %) en rythme sinusal et FC ≥ 70 bpm, ainsi que dans l'angor stable chronique. L'</w:t>
      </w:r>
      <w:r>
        <w:rPr>
          <w:b/>
        </w:rPr>
        <w:t>adénosine</w:t>
      </w:r>
      <w:r>
        <w:t xml:space="preserve"> est l'antagoniste des TJR par excellence, à utiliser en urgence par bolus IV strict, avec un maniement strictement médical.</w:t>
      </w:r>
    </w:p>
    <w:p>
      <w:r>
        <w:t xml:space="preserve">Les sources de référence mobilisées sont : </w:t>
      </w:r>
      <w:r>
        <w:rPr>
          <w:b/>
        </w:rPr>
        <w:t>VIDAL 2024, ANSM (RCP des spécialités), Thériaque, CRAT (Centre de Renseignement sur les Agents Tératogènes), UpToDate, Micromedex, ESC guidelines 2020 (FA), ESC guidelines 2021 (insuffisance cardiaque), ESC guidelines 2019 (supraventricular tachycardias), ACC/AHA/HRS 2017</w:t>
      </w:r>
      <w:r>
        <w:t>.</w:t>
      </w:r>
    </w:p>
    <w:p>
      <w:pPr>
        <w:pStyle w:val="Heading2"/>
      </w:pPr>
      <w:r>
        <w:t>Sous-classe : Antiarythmiques classe Ia — Bloqueurs des canaux sodiques à cinétique intermédiaire avec allongement de la repolarisation</w:t>
      </w:r>
    </w:p>
    <w:p>
      <w:r>
        <w:t xml:space="preserve">La </w:t>
      </w:r>
      <w:r>
        <w:rPr>
          <w:b/>
        </w:rPr>
        <w:t>classe Ia</w:t>
      </w:r>
      <w:r>
        <w:t xml:space="preserve"> de Vaughan-Williams regroupe les molécules bloquant les canaux sodiques voltage-dépendants (NaV1.5) avec une </w:t>
      </w:r>
      <w:r>
        <w:rPr>
          <w:b/>
        </w:rPr>
        <w:t>cinétique d'association/dissociation intermédiaire</w:t>
      </w:r>
      <w:r>
        <w:t xml:space="preserve"> (constante de temps de récupération τ ≈ 1 à 10 s), et exerçant parallèlement un </w:t>
      </w:r>
      <w:r>
        <w:rPr>
          <w:b/>
        </w:rPr>
        <w:t>bloc accessoire des canaux potassiques Kr (hERG)</w:t>
      </w:r>
      <w:r>
        <w:t xml:space="preserve"> à l'origine d'un </w:t>
      </w:r>
      <w:r>
        <w:rPr>
          <w:b/>
        </w:rPr>
        <w:t>allongement de la durée du potentiel d'action (APD)</w:t>
      </w:r>
      <w:r>
        <w:t xml:space="preserve"> et de la période réfractaire effective (ERP). Cette double action (bloc Na+ d'entrée + bloc K+ de repolarisation) explique le profil électrocardiographique caractéristique : </w:t>
      </w:r>
      <w:r>
        <w:rPr>
          <w:b/>
        </w:rPr>
        <w:t>élargissement du QRS</w:t>
      </w:r>
      <w:r>
        <w:t xml:space="preserve"> (ralentissement conduction His-Purkinje) + </w:t>
      </w:r>
      <w:r>
        <w:rPr>
          <w:b/>
        </w:rPr>
        <w:t>allongement du QT</w:t>
      </w:r>
      <w:r>
        <w:t xml:space="preserve"> (repolarisation prolongée), avec risque </w:t>
      </w:r>
      <w:r>
        <w:rPr>
          <w:b/>
        </w:rPr>
        <w:t>proarythmique torsadogène</w:t>
      </w:r>
      <w:r>
        <w:t>.</w:t>
      </w:r>
    </w:p>
    <w:p>
      <w:r>
        <w:t xml:space="preserve">Les molécules historiques de cette classe sont la </w:t>
      </w:r>
      <w:r>
        <w:rPr>
          <w:b/>
        </w:rPr>
        <w:t>quinidine</w:t>
      </w:r>
      <w:r>
        <w:t xml:space="preserve"> (alcaloïde du quinquina, premier antiarythmique décrit en 1918), la </w:t>
      </w:r>
      <w:r>
        <w:rPr>
          <w:b/>
        </w:rPr>
        <w:t>procainamide</w:t>
      </w:r>
      <w:r>
        <w:t xml:space="preserve"> (analogue synthétique), et le </w:t>
      </w:r>
      <w:r>
        <w:rPr>
          <w:b/>
        </w:rPr>
        <w:t>disopyramide</w:t>
      </w:r>
      <w:r>
        <w:t xml:space="preserve"> (introduit en 1967, pyramide disopropyl). La </w:t>
      </w:r>
      <w:r>
        <w:rPr>
          <w:b/>
        </w:rPr>
        <w:t>quinidine</w:t>
      </w:r>
      <w:r>
        <w:t xml:space="preserve"> a été retirée du marché algérien depuis les années 2000 (ainsi que du marché français en 2019 — retrait mondial lié au risque de torsades de pointe et à la disponibilité d'alternatives plus sûres) et la </w:t>
      </w:r>
      <w:r>
        <w:rPr>
          <w:b/>
        </w:rPr>
        <w:t>procainamide</w:t>
      </w:r>
      <w:r>
        <w:t xml:space="preserve"> n'a jamais été commercialisée en Algérie. </w:t>
      </w:r>
      <w:r>
        <w:rPr>
          <w:b/>
        </w:rPr>
        <w:t>Seul le disopyramide reste accessible</w:t>
      </w:r>
      <w:r>
        <w:t xml:space="preserve"> en Algérie — sous forme de comprimés à libération prolongée (250 mg) —, en statut </w:t>
      </w:r>
      <w:r>
        <w:rPr>
          <w:b/>
        </w:rPr>
        <w:t>Non Renouvelable</w:t>
      </w:r>
      <w:r>
        <w:t xml:space="preserve"> (commercialisation en cours d'extinction progressive). Son utilisation en pratique clinique est devenue très marginale : il était historiquement indiqué dans la prévention des rechutes de FA paroxystique, des ESV ventriculaires symptomatiques et du syndrome de Brugada type 1 (révélateur pharmacologique à doses modérées). Aujourd'hui, ses indications sont quasi exclusivement hospitalières spécialisées (cardiologie interventionnelle rythmologique), en seconde ou troisième ligne, en raison de sa </w:t>
      </w:r>
      <w:r>
        <w:rPr>
          <w:b/>
        </w:rPr>
        <w:t>toxicité anticholinergique</w:t>
      </w:r>
      <w:r>
        <w:t xml:space="preserve"> marquée (rétention urinaire, glaucome, sécheresse buccale, constipation) et de son </w:t>
      </w:r>
      <w:r>
        <w:rPr>
          <w:b/>
        </w:rPr>
        <w:t>allongement du QT</w:t>
      </w:r>
      <w:r>
        <w:t xml:space="preserve"> à risque torsadogène.</w:t>
      </w:r>
    </w:p>
    <w:p>
      <w:r>
        <w:t>Les particularités de la classe Ia sont :</w:t>
      </w:r>
    </w:p>
    <w:p>
      <w:pPr>
        <w:pStyle w:val="ListBullet"/>
      </w:pPr>
      <w:r>
        <w:t xml:space="preserve">Action </w:t>
      </w:r>
      <w:r>
        <w:rPr>
          <w:b/>
        </w:rPr>
        <w:t>use-dependent</w:t>
      </w:r>
      <w:r>
        <w:t xml:space="preserve"> (dépendante de la fréquence) : le bloc Na+ augmente aux fréquences cardiaques élevées (tachycardies), avec risque de sur-bloc aux fréquences rapides.</w:t>
      </w:r>
    </w:p>
    <w:p>
      <w:pPr>
        <w:pStyle w:val="ListBullet"/>
      </w:pPr>
      <w:r>
        <w:t xml:space="preserve">Action </w:t>
      </w:r>
      <w:r>
        <w:rPr>
          <w:b/>
        </w:rPr>
        <w:t>reverse use-dependent</w:t>
      </w:r>
      <w:r>
        <w:t xml:space="preserve"> sur le QT : l'allongement du QT est </w:t>
      </w:r>
      <w:r>
        <w:rPr>
          <w:b/>
        </w:rPr>
        <w:t>plus marqué aux fréquences cardiaques lentes</w:t>
      </w:r>
      <w:r>
        <w:t>, augmentant le risque torsadogène en bradycardie — d'où la CI absolue de la classe Ia en cas de bradycardie sinusale &lt; 50 bpm, BAV non appareillé, hypokaliémie ou allongement QT préexistant.</w:t>
      </w:r>
    </w:p>
    <w:p>
      <w:pPr>
        <w:pStyle w:val="ListBullet"/>
      </w:pPr>
      <w:r>
        <w:t xml:space="preserve">Effet </w:t>
      </w:r>
      <w:r>
        <w:rPr>
          <w:b/>
        </w:rPr>
        <w:t>anticholinergique</w:t>
      </w:r>
      <w:r>
        <w:t xml:space="preserve"> (atropinique) du disopyramide : lié à sa structure chimique (double fonction amine et pyramide), ce qui contre-indique le glaucome à angle fermé, l'hypertrophie bénigne de la prostate (HBP) avec rétention, et justifie son retrait progressif du marché.</w:t>
      </w:r>
    </w:p>
    <w:p>
      <w:r>
        <w:t xml:space="preserve">La prescription est strictement </w:t>
      </w:r>
      <w:r>
        <w:rPr>
          <w:b/>
        </w:rPr>
        <w:t>hospitalière spécialisée</w:t>
      </w:r>
      <w:r>
        <w:t xml:space="preserve"> (Liste I, ordonnance réservée à la cardiologie rythmologique), avec surveillance ECG (QRS, QTc) et biologique (kaliémie, magnésémie, fonction rénale).</w:t>
      </w:r>
    </w:p>
    <w:p>
      <w:pPr>
        <w:pStyle w:val="Heading3"/>
      </w:pPr>
      <w:r>
        <w:t>1. DCI : Disopyramide (Seule)</w:t>
      </w:r>
    </w:p>
    <w:p>
      <w:r/>
      <w:r>
        <w:rPr>
          <w:b/>
        </w:rPr>
        <w:t>Liste des Catégories :</w:t>
      </w:r>
      <w:r>
        <w:t xml:space="preserve"> Antiarythmiques classe Ia (Vaughan-Williams) ; Antiarythmique supraventriculaire et ventriculaire.</w:t>
      </w:r>
    </w:p>
    <w:p>
      <w:r>
        <w:t xml:space="preserve">Le disopyramide (α-[2-(diisopropylamino)éthyl]-α-phényl-2-pyridineacétamide) est un antiarythmique de classe Ia introduit en clinique dans les années 1960. Sa demi-vie plasmatique brève (~6–8 h pour la forme immédiate, 10–12 h pour la forme LP) impose la formulation à </w:t>
      </w:r>
      <w:r>
        <w:rPr>
          <w:b/>
        </w:rPr>
        <w:t>libération prolongée</w:t>
      </w:r>
      <w:r>
        <w:t xml:space="preserve"> (LP) — seule disponible en Algérie (gélules LP 250 mg et comprimés enrobés LP 250 mg). La molécule existe sous deux formes : le </w:t>
      </w:r>
      <w:r>
        <w:rPr>
          <w:b/>
        </w:rPr>
        <w:t>disopyramide base</w:t>
      </w:r>
      <w:r>
        <w:t xml:space="preserve"> et le </w:t>
      </w:r>
      <w:r>
        <w:rPr>
          <w:b/>
        </w:rPr>
        <w:t>disopyramide phosphate</w:t>
      </w:r>
      <w:r>
        <w:t xml:space="preserve"> (prodrogue à la biodisponibilité équivalente). Sa particularité par rapport aux autres classes Ia est un </w:t>
      </w:r>
      <w:r>
        <w:rPr>
          <w:b/>
        </w:rPr>
        <w:t>effet anticholinergique périphérique</w:t>
      </w:r>
      <w:r>
        <w:t xml:space="preserve"> marqué (atropinique), source de nombreux effets indésirables limitants (sécheresse buccale, rétention urinaire, constipation, troubles de l'accommodation). Son index thérapeutique est étroit (concentrations thérapeutiques 2 à 5 mg/L, concentrations toxiques &gt; 7 mg/L), ce qui en fait un médicament à surveillance plasmatique thérapeutique utile (Suivi Thérapeutique Pharmacologique — STP). En raison de la disponibilité de la classe III (amiodarone), de la classe Ic (flécaïnide) et de l'ablation par radiofréquence des faisceaux accessoires, le disopyramide est aujourd'hui prescrit en seconde ou troisième ligne, en milieu spécialisé.</w:t>
      </w:r>
    </w:p>
    <w:p>
      <w:r/>
      <w:r>
        <w:rPr>
          <w:b/>
        </w:rPr>
        <w:t>Médicaments disponibles en Algérie (Marques, Laboratoires, Formes et Dosages) :</w:t>
      </w:r>
      <w:r/>
    </w:p>
    <w:p>
      <w:pPr>
        <w:pStyle w:val="ListBullet"/>
      </w:pPr>
      <w:r/>
      <w:r>
        <w:rPr>
          <w:b/>
        </w:rPr>
        <w:t>ISORYTHM LP</w:t>
      </w:r>
      <w:r>
        <w:t xml:space="preserve"> (MERCK LIPHA SANTE S.A.S)</w:t>
      </w:r>
    </w:p>
    <w:p>
      <w:pPr>
        <w:pStyle w:val="ListBullet"/>
      </w:pPr>
      <w:r>
        <w:t>Formes et Dosages : Gélules à libération prolongée (GLES LP) 250 mg ; boîte de 20</w:t>
      </w:r>
    </w:p>
    <w:p>
      <w:pPr>
        <w:pStyle w:val="ListBullet"/>
      </w:pPr>
      <w:r>
        <w:t>Statut : Non Renouvelable — Liste I</w:t>
      </w:r>
    </w:p>
    <w:p>
      <w:pPr>
        <w:pStyle w:val="ListBullet"/>
      </w:pPr>
      <w:r/>
      <w:r>
        <w:rPr>
          <w:b/>
        </w:rPr>
        <w:t>RYTHMODAN LP</w:t>
      </w:r>
      <w:r>
        <w:t xml:space="preserve"> (SANOFI AVENTIS FRANCE)</w:t>
      </w:r>
    </w:p>
    <w:p>
      <w:pPr>
        <w:pStyle w:val="ListBullet"/>
      </w:pPr>
      <w:r>
        <w:t>Formes et Dosages : Comprimé enrobé à libération prolongée (COMP. ENRO. LP) 250 mg ; boîte de 20</w:t>
      </w:r>
    </w:p>
    <w:p>
      <w:pPr>
        <w:pStyle w:val="ListBullet"/>
      </w:pPr>
      <w:r>
        <w:t>Statut : Non Renouvelable — Liste I</w:t>
      </w:r>
    </w:p>
    <w:p>
      <w:pPr>
        <w:pStyle w:val="ListBullet"/>
      </w:pPr>
      <w:r/>
      <w:r>
        <w:rPr>
          <w:b/>
        </w:rPr>
        <w:t>RYTHMODAN LP</w:t>
      </w:r>
      <w:r>
        <w:t xml:space="preserve"> (SANOFI AVENTIS FRANCE)</w:t>
      </w:r>
    </w:p>
    <w:p>
      <w:pPr>
        <w:pStyle w:val="ListBullet"/>
      </w:pPr>
      <w:r>
        <w:t>Formes et Dosages : Comprimé enrobé à libération prolongée 250 mg ; boîte de 20</w:t>
      </w:r>
    </w:p>
    <w:p>
      <w:pPr>
        <w:pStyle w:val="ListBullet"/>
      </w:pPr>
      <w:r>
        <w:t>Statut : Retiré (R) — Liste I</w:t>
      </w:r>
    </w:p>
    <w:p>
      <w:r/>
      <w:r>
        <w:rPr>
          <w:b/>
        </w:rPr>
        <w:t>Sous-classe et Mécanisme d'action :</w:t>
      </w:r>
      <w:r/>
    </w:p>
    <w:p>
      <w:pPr>
        <w:pStyle w:val="ListBullet"/>
      </w:pPr>
      <w:r>
        <w:t>Sous-classe : Antiarythmique de classe Ia selon Vaughan-Williams — bloqueur des canaux sodiques voltage-dépendants à cinétique intermédiaire avec allongement de la repolarisation (APD).</w:t>
      </w:r>
    </w:p>
    <w:p>
      <w:pPr>
        <w:pStyle w:val="ListBullet"/>
      </w:pPr>
      <w:r>
        <w:t xml:space="preserve">Mécanisme d'action : Le disopyramide se lie à l'état ouvert (open-state) et inactivé (inactivated-state) du canal sodique voltage-dépendant </w:t>
      </w:r>
      <w:r>
        <w:rPr>
          <w:b/>
        </w:rPr>
        <w:t>NaV1.5</w:t>
      </w:r>
      <w:r>
        <w:t xml:space="preserve"> (sous-unité α, gène *SCN5A*), avec une </w:t>
      </w:r>
      <w:r>
        <w:rPr>
          <w:b/>
        </w:rPr>
        <w:t>constante de dissociation τ_recovery ≈ 5–10 s</w:t>
      </w:r>
      <w:r>
        <w:t xml:space="preserve"> (cinétique intermédiaire, entre la classe Ib rapide &lt; 1 s et la classe Ic lente &gt; 10 s). Cette liaison use-dependent provoque une </w:t>
      </w:r>
      <w:r>
        <w:rPr>
          <w:b/>
        </w:rPr>
        <w:t>diminution de la vitesse de phase 0 (Vmax)</w:t>
      </w:r>
      <w:r>
        <w:t xml:space="preserve"> du potentiel d'action, ralentissant la conduction intra-atriale, intra-nodale (His-Purkinje) et intra-ventriculaire (élargissement du QRS à doses thérapeutiques). Parallèlement, le disopyramide bloque les </w:t>
      </w:r>
      <w:r>
        <w:rPr>
          <w:b/>
        </w:rPr>
        <w:t>canaux potassiques Kr (hERG / KCNH2)</w:t>
      </w:r>
      <w:r>
        <w:t xml:space="preserve"> et accessoirement </w:t>
      </w:r>
      <w:r>
        <w:rPr>
          <w:b/>
        </w:rPr>
        <w:t>Ks (KCNQ1)</w:t>
      </w:r>
      <w:r>
        <w:t xml:space="preserve"> à l'origine d'un </w:t>
      </w:r>
      <w:r>
        <w:rPr>
          <w:b/>
        </w:rPr>
        <w:t>allongement de la durée du potentiel d'action (APD90)</w:t>
      </w:r>
      <w:r>
        <w:t xml:space="preserve"> et de la période réfractaire effective (ERP) atriale, nodale et ventriculaire — d'où l'allongement du </w:t>
      </w:r>
      <w:r>
        <w:rPr>
          <w:b/>
        </w:rPr>
        <w:t>QTc</w:t>
      </w:r>
      <w:r>
        <w:t xml:space="preserve"> sur l'ECG (effet reverse use-dependent : majoré en bradycardie). Enfin, le disopyramide exerce un </w:t>
      </w:r>
      <w:r>
        <w:rPr>
          <w:b/>
        </w:rPr>
        <w:t>effet anticholinergique périphérique</w:t>
      </w:r>
      <w:r>
        <w:t xml:space="preserve"> par compétition avec l'acétylcholine au niveau des récepteurs muscariniques M2/M3 (sécheresse buccale, rétention urinaire, mydriase, tachycardie sinusale compensatrice). Cette triple action (bloc Na+, bloc K+, anticholinergique) explique le profil électrocardiographique et clinique. À doses thérapeutiques (2–5 mg/L), le QRS s'élargit modérément (+10–20 %), le QTc s'allonge (+30–60 ms). Aux doses toxiques (&gt; 7 mg/L) : QRS très large, allongement QT marqué, risque de </w:t>
      </w:r>
      <w:r>
        <w:rPr>
          <w:b/>
        </w:rPr>
        <w:t>torsades de pointe</w:t>
      </w:r>
      <w:r>
        <w:t>, dépression myocardique, hypotension.</w:t>
      </w:r>
    </w:p>
    <w:p>
      <w:r/>
      <w:r>
        <w:rPr>
          <w:b/>
        </w:rPr>
        <w:t>Profil Pharmacologique :</w:t>
      </w:r>
      <w:r/>
    </w:p>
    <w:p>
      <w:pPr>
        <w:pStyle w:val="ListBullet"/>
      </w:pPr>
      <w:r>
        <w:t xml:space="preserve">Indications : (1) </w:t>
      </w:r>
      <w:r>
        <w:rPr>
          <w:b/>
        </w:rPr>
        <w:t>Maintien du rythme sinusal</w:t>
      </w:r>
      <w:r>
        <w:t xml:space="preserve"> après cardioversion de FA ou flutter atrial (seconde ligne après amiodarone/flécaïnide) ; (2) Prévention des </w:t>
      </w:r>
      <w:r>
        <w:rPr>
          <w:b/>
        </w:rPr>
        <w:t>récidives de FA paroxystique</w:t>
      </w:r>
      <w:r>
        <w:t xml:space="preserve"> (rarement prescrit aujourd'hui) ; (3) </w:t>
      </w:r>
      <w:r>
        <w:rPr>
          <w:b/>
        </w:rPr>
        <w:t>Extrasystoles ventriculaires</w:t>
      </w:r>
      <w:r>
        <w:t xml:space="preserve"> symptomatiques et menaçantes (seconde ligne) ; (4) </w:t>
      </w:r>
      <w:r>
        <w:rPr>
          <w:b/>
        </w:rPr>
        <w:t>Tachycardie ventriculaire</w:t>
      </w:r>
      <w:r>
        <w:t xml:space="preserve"> non soutenue récidivante (seconde ligne, horsurgence) ; (5) Révélateur pharmacologique dans le </w:t>
      </w:r>
      <w:r>
        <w:rPr>
          <w:b/>
        </w:rPr>
        <w:t>syndrome de Brugada</w:t>
      </w:r>
      <w:r>
        <w:t xml:space="preserve"> (test à la flécaïde également utilisé) ; (6) </w:t>
      </w:r>
      <w:r>
        <w:rPr>
          <w:b/>
        </w:rPr>
        <w:t>Cardiomyopathie hypertrophique obstructive</w:t>
      </w:r>
      <w:r>
        <w:t xml:space="preserve"> (CMHO) — utilisation historique pour son effet inotrope négatif réduisant le gradient intraventriculaire (aujourd'hui remplacé par les bêtabloquants et la vérapamil). Posologie usuelle : 250 mg LP x 2/j (matin et soir), max 500 mg x 2/j (1 g/j).</w:t>
      </w:r>
    </w:p>
    <w:p>
      <w:pPr>
        <w:pStyle w:val="ListBullet"/>
      </w:pPr>
      <w:r>
        <w:t xml:space="preserve">Contre-indications : (1) </w:t>
      </w:r>
      <w:r>
        <w:rPr>
          <w:b/>
        </w:rPr>
        <w:t>Glaucome à angle fermé</w:t>
      </w:r>
      <w:r>
        <w:t xml:space="preserve"> non équilibré (effet mydriatique) ; (2) </w:t>
      </w:r>
      <w:r>
        <w:rPr>
          <w:b/>
        </w:rPr>
        <w:t>Hypertrophie bénigne de la prostate (HBP)</w:t>
      </w:r>
      <w:r>
        <w:t xml:space="preserve"> avec rétention urinaire ou post-mictionnel ; (3) </w:t>
      </w:r>
      <w:r>
        <w:rPr>
          <w:b/>
        </w:rPr>
        <w:t>Allongement du QTc</w:t>
      </w:r>
      <w:r>
        <w:t xml:space="preserve"> congénital ou acquis (&gt; 440 ms homme, &gt; 460 ms femme) ; (4) </w:t>
      </w:r>
      <w:r>
        <w:rPr>
          <w:b/>
        </w:rPr>
        <w:t>Hypokaliémie</w:t>
      </w:r>
      <w:r>
        <w:t xml:space="preserve"> non corrigée, hypomagnésémie ; (5) </w:t>
      </w:r>
      <w:r>
        <w:rPr>
          <w:b/>
        </w:rPr>
        <w:t>BAV de haut degré</w:t>
      </w:r>
      <w:r>
        <w:t xml:space="preserve"> non appareillé ; (6) </w:t>
      </w:r>
      <w:r>
        <w:rPr>
          <w:b/>
        </w:rPr>
        <w:t>Bradycardie sinusale</w:t>
      </w:r>
      <w:r>
        <w:t xml:space="preserve"> &lt; 50 bpm ; (7) </w:t>
      </w:r>
      <w:r>
        <w:rPr>
          <w:b/>
        </w:rPr>
        <w:t>Insuffisance cardiaque décompensée</w:t>
      </w:r>
      <w:r>
        <w:t xml:space="preserve"> (effet inotrope négatif) ; (8) </w:t>
      </w:r>
      <w:r>
        <w:rPr>
          <w:b/>
        </w:rPr>
        <w:t>Myasthénie</w:t>
      </w:r>
      <w:r>
        <w:t xml:space="preserve"> (effet curarisant direct sur la jonction neuromusculaire) ; (9) </w:t>
      </w:r>
      <w:r>
        <w:rPr>
          <w:b/>
        </w:rPr>
        <w:t>Cardiopathie ischémique</w:t>
      </w:r>
      <w:r>
        <w:t xml:space="preserve"> évolutive (risque proarythmique) ; (10) </w:t>
      </w:r>
      <w:r>
        <w:rPr>
          <w:b/>
        </w:rPr>
        <w:t>Ileus paralytique</w:t>
      </w:r>
      <w:r>
        <w:t xml:space="preserve"> ; (11) Rétention urinaire d'origine non prostatique ; (12) Hypersensibilité au disopyramide ; (13) Grossesse (cf. infra) ; (14) Allaitement. Associations CI : autres antiarythmiques Ia, III (amiodarone, sotalol), macrolides (érythromycine, clarithromycine), fluoroquinolones (lévofloxacine, moxifloxacine), antipsychotiques (halopéridol, thioridazine), IRS (paroxétine, fluoxétine) — toutes classes allongeant le QT.</w:t>
      </w:r>
    </w:p>
    <w:p>
      <w:pPr>
        <w:pStyle w:val="ListBullet"/>
      </w:pPr>
      <w:r>
        <w:t xml:space="preserve">Effets Indésirables : (1) </w:t>
      </w:r>
      <w:r>
        <w:rPr>
          <w:b/>
        </w:rPr>
        <w:t>Anticholinergiques</w:t>
      </w:r>
      <w:r>
        <w:t xml:space="preserve"> (très fréquents, &gt; 30 %) : sécheresse buccale, constipation, rétention urinaire (surtout homme âgé), troubles de l'accommodation, mydriase, glaucome aigu déclenché ; (2) </w:t>
      </w:r>
      <w:r>
        <w:rPr>
          <w:b/>
        </w:rPr>
        <w:t>Cardiaques</w:t>
      </w:r>
      <w:r>
        <w:t xml:space="preserve"> : allongement du QTc, élargissement du QRS, </w:t>
      </w:r>
      <w:r>
        <w:rPr>
          <w:b/>
        </w:rPr>
        <w:t>torsades de pointe</w:t>
      </w:r>
      <w:r>
        <w:t xml:space="preserve"> (rare mais grave, favorisée par hypokaliémie et bradycardie), dépression myocardique, hypotension, décompensation d'insuffisance cardiaque ; (3) </w:t>
      </w:r>
      <w:r>
        <w:rPr>
          <w:b/>
        </w:rPr>
        <w:t>Hypoglycémie</w:t>
      </w:r>
      <w:r>
        <w:t xml:space="preserve"> (effet direct sur la libération d'insuline par les cellules β pancréatiques — originalité du disopyramide, non partagée par les autres Ia) — parfois sévère, surtout chez le sujet âgé, diabétique ou insuffisant rénal ; (4) </w:t>
      </w:r>
      <w:r>
        <w:rPr>
          <w:b/>
        </w:rPr>
        <w:t>Cholestase</w:t>
      </w:r>
      <w:r>
        <w:t xml:space="preserve"> et cytolyse hépatique (rare) ; (5) </w:t>
      </w:r>
      <w:r>
        <w:rPr>
          <w:b/>
        </w:rPr>
        <w:t>Syndrome anticholinergique</w:t>
      </w:r>
      <w:r>
        <w:t xml:space="preserve"> central aux surdosages (confusion, hallucinations, agitation) ; (6) Thrombopénie, agranulocytose (très rares) ; (7) Éruptions cutanées (rare).</w:t>
      </w:r>
    </w:p>
    <w:p>
      <w:r/>
      <w:r>
        <w:rPr>
          <w:b/>
        </w:rPr>
        <w:t>Prévention et Gestion des Effets Indésirables :</w:t>
      </w:r>
      <w:r/>
    </w:p>
    <w:p>
      <w:pPr>
        <w:pStyle w:val="ListBullet"/>
      </w:pPr>
      <w:r>
        <w:t xml:space="preserve">Mesures Préventives : (a) </w:t>
      </w:r>
      <w:r>
        <w:rPr>
          <w:b/>
        </w:rPr>
        <w:t>ECG de référence</w:t>
      </w:r>
      <w:r>
        <w:t xml:space="preserve"> et surveillance régulière (QRS, QTc, rythme) avant initiation puis toutes les 1 à 2 semaines pendant la titration, puis mensuelle ; (b) </w:t>
      </w:r>
      <w:r>
        <w:rPr>
          <w:b/>
        </w:rPr>
        <w:t>Bilan biologique pré-thérapeutique</w:t>
      </w:r>
      <w:r>
        <w:t xml:space="preserve"> : kaliémie (&gt; 4 mmol/L), magnésémie, créatininémie, bilan hépatique ; (c) </w:t>
      </w:r>
      <w:r>
        <w:rPr>
          <w:b/>
        </w:rPr>
        <w:t>Recherche d'ATCD personnels ou familiaux</w:t>
      </w:r>
      <w:r>
        <w:t xml:space="preserve"> de syncope, mort subite, allongement QT congénital (Romano-Ward, Jervell-Lange-Nielsen), syndrome de Brugada connu ; (d) Vérification de l'absence de </w:t>
      </w:r>
      <w:r>
        <w:rPr>
          <w:b/>
        </w:rPr>
        <w:t>glaucome à angle fermé</w:t>
      </w:r>
      <w:r>
        <w:t xml:space="preserve"> (tonométrie) et de </w:t>
      </w:r>
      <w:r>
        <w:rPr>
          <w:b/>
        </w:rPr>
        <w:t>rétention urinaire</w:t>
      </w:r>
      <w:r>
        <w:t xml:space="preserve"> (échographie vésicale prostatique chez l'homme âgé) ; (e) </w:t>
      </w:r>
      <w:r>
        <w:rPr>
          <w:b/>
        </w:rPr>
        <w:t>Correction préalable de toute hypokaliémie</w:t>
      </w:r>
      <w:r>
        <w:t xml:space="preserve"> avant initiation (association systématique à un diurétique épargneur de potassium si besoin) ; (f) </w:t>
      </w:r>
      <w:r>
        <w:rPr>
          <w:b/>
        </w:rPr>
        <w:t>Suivi Thérapeutique Pharmacologique (STP)</w:t>
      </w:r>
      <w:r>
        <w:t xml:space="preserve"> du disopyramide plasmatique (cible 2–5 mg/L) utile en raison de l'index thérapeutique étroit et de la variabilité interindividuelle (métabolisme hépatique CYP3A4 avec polymorphisme) ; (g) Information de la patientèle sur les signes d'hypoglycémie et l'autosurveillance glycémique si diabète ; (h) Vérification systématique des </w:t>
      </w:r>
      <w:r>
        <w:rPr>
          <w:b/>
        </w:rPr>
        <w:t>interactions médicamenteuses</w:t>
      </w:r>
      <w:r>
        <w:t xml:space="preserve"> avant dispensation.</w:t>
      </w:r>
    </w:p>
    <w:p>
      <w:pPr>
        <w:pStyle w:val="ListBullet"/>
      </w:pPr>
      <w:r>
        <w:t>Conduite à Tenir : En cas d'</w:t>
      </w:r>
      <w:r>
        <w:rPr>
          <w:b/>
        </w:rPr>
        <w:t>hypoglycémie</w:t>
      </w:r>
      <w:r>
        <w:t xml:space="preserve"> : resucrage immédiat (15 g de glucose PO), surveillance glycémique, hospitalisation si sévère (glasgow &lt; 13, convulsions) — perfusion glucosée 30 % IV 100 mL puis G5 % entretien. En cas de </w:t>
      </w:r>
      <w:r>
        <w:rPr>
          <w:b/>
        </w:rPr>
        <w:t>rétention urinaire aiguë</w:t>
      </w:r>
      <w:r>
        <w:t xml:space="preserve"> : sondage évacuateur en urgence, arrêt du disopyramide, bilan urologique (échographie prostatique), relais par amiodarone ou flécaïnide. En cas de </w:t>
      </w:r>
      <w:r>
        <w:rPr>
          <w:b/>
        </w:rPr>
        <w:t>glaucome aigu déclenché</w:t>
      </w:r>
      <w:r>
        <w:t xml:space="preserve"> (œil rouge douloureux, baisse d'acuité visuelle, mydriase fixée, nausées) : urgence ophtalmologique immédiate — pilocarpine 2 %, acétazolamide IV, mannitol, iridotomie au laser à distance. En cas de </w:t>
      </w:r>
      <w:r>
        <w:rPr>
          <w:b/>
        </w:rPr>
        <w:t>torsades de pointe</w:t>
      </w:r>
      <w:r>
        <w:t xml:space="preserve"> : arrêt immédiat du disopyramide et de tout torsadogène associé, correction de l'hypokaliémie (KCl IV 1 g/h sous scope), sulfiate de magnésium IV 2 g en bolus, pacing temporaire si bradycardie ou pause (accélérer FC à 90 bpm). En cas de </w:t>
      </w:r>
      <w:r>
        <w:rPr>
          <w:b/>
        </w:rPr>
        <w:t>surdosage massif</w:t>
      </w:r>
      <w:r>
        <w:t xml:space="preserve"> (concentration &gt; 10 mg/L) : arrêt, surveillance USI, charbon activé si ingestion &lt; 1 h, bicarbonate de sodium IV 1,4 % pour alcalinisation (accélère la dissociation du bloc Na+), pacing temporaire si trouble de conduction, surveillance ECG prolongée 24–48 h (demi-vie allongée en surdosage).</w:t>
      </w:r>
    </w:p>
    <w:p>
      <w:r/>
      <w:r>
        <w:rPr>
          <w:b/>
        </w:rPr>
        <w:t>Interactions Importantes :</w:t>
      </w:r>
      <w:r/>
    </w:p>
    <w:p>
      <w:pPr>
        <w:pStyle w:val="ListBullet"/>
      </w:pPr>
      <w:r>
        <w:t xml:space="preserve">Disopyramide + </w:t>
      </w:r>
      <w:r>
        <w:rPr>
          <w:b/>
        </w:rPr>
        <w:t>Inhibiteurs du CYP3A4</w:t>
      </w:r>
      <w:r>
        <w:t xml:space="preserve"> (clarithromycine, érythromycine, ketoconazole, itraconazole, ritonavir, diltiazem, vérapamil, jus de pamplemousse) : </w:t>
      </w:r>
      <w:r>
        <w:rPr>
          <w:b/>
        </w:rPr>
        <w:t>augmentation des concentrations de disopyramide → toxicité majeure</w:t>
      </w:r>
      <w:r>
        <w:t xml:space="preserve"> (QT long, torsades, hypoglycémie, bloc). Éviter ou surveiller étroitement avec STP.</w:t>
      </w:r>
    </w:p>
    <w:p>
      <w:pPr>
        <w:pStyle w:val="ListBullet"/>
      </w:pPr>
      <w:r>
        <w:t xml:space="preserve">Disopyramide + </w:t>
      </w:r>
      <w:r>
        <w:rPr>
          <w:b/>
        </w:rPr>
        <w:t>Inducteurs du CYP3A4</w:t>
      </w:r>
      <w:r>
        <w:t xml:space="preserve"> (rifampicine, phénytoïne, carbamazépine, phénobarbital) : baisse des concentrations → perte d'efficacité.</w:t>
      </w:r>
    </w:p>
    <w:p>
      <w:pPr>
        <w:pStyle w:val="ListBullet"/>
      </w:pPr>
      <w:r>
        <w:t xml:space="preserve">Disopyramide + </w:t>
      </w:r>
      <w:r>
        <w:rPr>
          <w:b/>
        </w:rPr>
        <w:t>Autres allongeurs du QT</w:t>
      </w:r>
      <w:r>
        <w:t xml:space="preserve"> (amiodarone, sotalol, quinidine — non commercialisée, macrolides, fluoroquinolones, antipsychotiques, IRS, méthadone, halofantrine) : </w:t>
      </w:r>
      <w:r>
        <w:rPr>
          <w:b/>
        </w:rPr>
        <w:t>addition d'effets → risque torsadogène majeur</w:t>
      </w:r>
      <w:r>
        <w:t>. Association CI.</w:t>
      </w:r>
    </w:p>
    <w:p>
      <w:pPr>
        <w:pStyle w:val="ListBullet"/>
      </w:pPr>
      <w:r>
        <w:t xml:space="preserve">Disopyramide + </w:t>
      </w:r>
      <w:r>
        <w:rPr>
          <w:b/>
        </w:rPr>
        <w:t>Diurétiques hypokaliémiants</w:t>
      </w:r>
      <w:r>
        <w:t xml:space="preserve"> (furosémide, hydrochlorothiazide, indapamide) : hypokaliémie → potentialisation torsadogène. Correction systématique par associations à un épargneur de K+ (amiloride, spironolactone) ou supplémentation potassique.</w:t>
      </w:r>
    </w:p>
    <w:p>
      <w:pPr>
        <w:pStyle w:val="ListBullet"/>
      </w:pPr>
      <w:r>
        <w:t xml:space="preserve">Disopyramide + </w:t>
      </w:r>
      <w:r>
        <w:rPr>
          <w:b/>
        </w:rPr>
        <w:t>Bêtabloquants</w:t>
      </w:r>
      <w:r>
        <w:t xml:space="preserve"> (propranolol, bisoprolol, etc.) : bradycardie additive, BAV, dépression myocardique. Surveillance ECG.</w:t>
      </w:r>
    </w:p>
    <w:p>
      <w:pPr>
        <w:pStyle w:val="ListBullet"/>
      </w:pPr>
      <w:r>
        <w:t xml:space="preserve">Disopyramide + </w:t>
      </w:r>
      <w:r>
        <w:rPr>
          <w:b/>
        </w:rPr>
        <w:t>Anticholinergiques</w:t>
      </w:r>
      <w:r>
        <w:t xml:space="preserve"> (atropine, tropatépine, oxtybutinine, solifénacine, toltérodine) : addition d'effets atropiniques (rétention urinaire, glaucome, iléus, confusion). Association CI chez le sujet âgé.</w:t>
      </w:r>
    </w:p>
    <w:p>
      <w:pPr>
        <w:pStyle w:val="ListBullet"/>
      </w:pPr>
      <w:r>
        <w:t xml:space="preserve">Disopyramide + </w:t>
      </w:r>
      <w:r>
        <w:rPr>
          <w:b/>
        </w:rPr>
        <w:t>Anticoagulants oraux (AVK)</w:t>
      </w:r>
      <w:r>
        <w:t xml:space="preserve"> : décrit mais mécanisme mal élucidé — potentialisation possible de l'AVK, surveillance INR.</w:t>
      </w:r>
    </w:p>
    <w:p>
      <w:pPr>
        <w:pStyle w:val="ListBullet"/>
      </w:pPr>
      <w:r>
        <w:t xml:space="preserve">Disopyramide + </w:t>
      </w:r>
      <w:r>
        <w:rPr>
          <w:b/>
        </w:rPr>
        <w:t>Insuline/Sulfamides hypoglycémiants</w:t>
      </w:r>
      <w:r>
        <w:t xml:space="preserve"> : potentialisation de l'hypoglycémie (effet direct β-pancréatique du disopyramide). Surveillance glycémique, adaptation des doses d'antidiabétiques.</w:t>
      </w:r>
    </w:p>
    <w:p>
      <w:r/>
      <w:r>
        <w:rPr>
          <w:b/>
        </w:rPr>
        <w:t>Grossesse et Allaitement :</w:t>
      </w:r>
      <w:r/>
    </w:p>
    <w:p>
      <w:pPr>
        <w:pStyle w:val="ListBullet"/>
      </w:pPr>
      <w:r>
        <w:t xml:space="preserve">Grossesse : Selon le CRAT, le disopyramide est </w:t>
      </w:r>
      <w:r>
        <w:rPr>
          <w:b/>
        </w:rPr>
        <w:t>à éviter pendant la grossesse</w:t>
      </w:r>
      <w:r>
        <w:t xml:space="preserve"> — il traverse le placentat (rapport fœto-maternel ~ 1) et peut provoquer des </w:t>
      </w:r>
      <w:r>
        <w:rPr>
          <w:b/>
        </w:rPr>
        <w:t>contractions utérines</w:t>
      </w:r>
      <w:r>
        <w:t xml:space="preserve"> (effet oxytocique direct démontré in vitro), avec risque de </w:t>
      </w:r>
      <w:r>
        <w:rPr>
          <w:b/>
        </w:rPr>
        <w:t>fausse-couche</w:t>
      </w:r>
      <w:r>
        <w:t xml:space="preserve"> ou </w:t>
      </w:r>
      <w:r>
        <w:rPr>
          <w:b/>
        </w:rPr>
        <w:t>accouchement prématuré</w:t>
      </w:r>
      <w:r>
        <w:t xml:space="preserve">. Cet effet contracturant unique parmi les antiarythmiques Ia explique sa CI relative pendant la grossesse. En cas d'arythmie maternelle sévère nécessitant un traitement, préférer le </w:t>
      </w:r>
      <w:r>
        <w:rPr>
          <w:b/>
        </w:rPr>
        <w:t>sotalol</w:t>
      </w:r>
      <w:r>
        <w:t xml:space="preserve"> (si disponible à l'importation) ou le </w:t>
      </w:r>
      <w:r>
        <w:rPr>
          <w:b/>
        </w:rPr>
        <w:t>flécaïnide</w:t>
      </w:r>
      <w:r>
        <w:t xml:space="preserve"> (compatible selon CRAT) en cas de TJR / FA paroxystique. En cas d'arythmie ventriculaire menaçante, l'amiodarone reste CI (dysthyroïdie fœtale — voir infra), préférier un bêtabloquant (à surveiller : bradycardie fœtale, hypoglycémie néonatale) ou cardioversion électrique.</w:t>
      </w:r>
    </w:p>
    <w:p>
      <w:pPr>
        <w:pStyle w:val="ListBullet"/>
      </w:pPr>
      <w:r>
        <w:t xml:space="preserve">Allaitement : </w:t>
      </w:r>
      <w:r>
        <w:rPr>
          <w:b/>
        </w:rPr>
        <w:t>CI</w:t>
      </w:r>
      <w:r>
        <w:t xml:space="preserve"> — passage dans le lait maternel démontré, risque d'hypoglycémie néonatale (le nourrisson est particulièrement sensible à l'effet insulino-sécréteur du disopyramide). Préférer un autre antiarythmique compatible (sotalol, flécaïnide) ou suspendre l'allaitement pendant le traitement.</w:t>
      </w:r>
    </w:p>
    <w:p>
      <w:pPr>
        <w:pStyle w:val="ListBullet"/>
      </w:pPr>
      <w:r>
        <w:t>Précisions : La molécule étant en statut « Non Renouvelable » sur le marché algérien, son utilisation chez la femme enceinte est exceptionnelle et strictement spécialisée.</w:t>
      </w:r>
    </w:p>
    <w:p>
      <w:r/>
      <w:r>
        <w:rPr>
          <w:b/>
        </w:rPr>
        <w:t>Posologie et Mode d'administration (Standard) :</w:t>
      </w:r>
      <w:r/>
    </w:p>
    <w:p>
      <w:pPr>
        <w:pStyle w:val="ListBullet"/>
      </w:pPr>
      <w:r>
        <w:t>Adulte : Forme LP 250 mg — 1 gélule ou comprimé LP x 2/jour (matin et soir à 12 h d'intervalle), soit 500 mg/j. Dose d'attaque possible : 250 mg x 3/j pendant 24–48 h puis relais LP x 2/j. Posologie maximale : 500 mg x 2/j = 1 g/j (à réserver à l'hôpital, sous surveillance ECG).</w:t>
      </w:r>
    </w:p>
    <w:p>
      <w:pPr>
        <w:pStyle w:val="ListBullet"/>
      </w:pPr>
      <w:r>
        <w:t>Sujet âgé : dose initiale réduite à 250 mg LP x 2/jour puis adaptation selon STP (cible 2–4 mg/L) — la clairance du disopyramide diminue avec l'âge (clairance rénale et hépatique réduites).</w:t>
      </w:r>
    </w:p>
    <w:p>
      <w:pPr>
        <w:pStyle w:val="ListBullet"/>
      </w:pPr>
      <w:r>
        <w:t>Insuffisant rénal (DFG &lt; 50 mL/min) : espacement à 250 mg LP x 1/jour ou x 2/jour à 24 h d'intervalle selon STP — le disopyramide est éliminé à 50 % par le rein (clairance inchangée) et 50 % par métabolisme hépatique (mono-désisopropyl-disopyramide, actif).</w:t>
      </w:r>
    </w:p>
    <w:p>
      <w:pPr>
        <w:pStyle w:val="ListBullet"/>
      </w:pPr>
      <w:r>
        <w:t>Insuffisant hépatique : réduction de 25–50 % de la dose, surveillance STP.</w:t>
      </w:r>
    </w:p>
    <w:p>
      <w:pPr>
        <w:pStyle w:val="ListBullet"/>
      </w:pPr>
      <w:r>
        <w:t>Enfant : 6–15 mg/kg/jour en 3–4 prises (forme immédiate non disponible en Algérie — utilisation hors AMM en pédiatrie).</w:t>
      </w:r>
    </w:p>
    <w:p>
      <w:pPr>
        <w:pStyle w:val="ListBullet"/>
      </w:pPr>
      <w:r>
        <w:t>Durée : au long cours pour prévention des récidives — réévaluation trimestrielle de la pertinence (en raison de la disponibilité de l'ablation par radiofréquence).</w:t>
      </w:r>
    </w:p>
    <w:p>
      <w:pPr>
        <w:pStyle w:val="ListBullet"/>
      </w:pPr>
      <w:r>
        <w:t>Moment de prise : pendant ou après repas pour limiter les nausées (variables). Espacement strict de 12 h pour la forme LP (jamais plus rapproché).</w:t>
      </w:r>
    </w:p>
    <w:p>
      <w:r/>
      <w:r>
        <w:rPr>
          <w:b/>
        </w:rPr>
        <w:t>Arbitrage et Bénéfices des Formes Galéniques :</w:t>
      </w:r>
      <w:r/>
    </w:p>
    <w:p>
      <w:r>
        <w:t xml:space="preserve">Le disopyramide est disponible uniquement sous </w:t>
      </w:r>
      <w:r>
        <w:rPr>
          <w:b/>
        </w:rPr>
        <w:t>forme LP 250 mg</w:t>
      </w:r>
      <w:r>
        <w:t xml:space="preserve"> (comprimé enrobé ou gélule LP) en Algérie. Cette formulation a été conçue pour compenser la </w:t>
      </w:r>
      <w:r>
        <w:rPr>
          <w:b/>
        </w:rPr>
        <w:t>demi-vie brève</w:t>
      </w:r>
      <w:r>
        <w:t xml:space="preserve"> (6–8 h en forme immédiate) qui imposerait 4 prises/jour — source de mauvaise observance. La forme LP permet une bithérapie (matin-soir) avec des concentrations plasmatiques stables (peaks/trough ratio &lt; 2), réduisant le risque de pics toxiques (hypoglycémie, allongement QT transitoire) et de creux sous-thérapeutiques (récidive arythmique). </w:t>
      </w:r>
      <w:r>
        <w:rPr>
          <w:b/>
        </w:rPr>
        <w:t>Inconvénient de la forme LP</w:t>
      </w:r>
      <w:r>
        <w:t xml:space="preserve"> : ne pas écraser, croquer ou ouvrir les gélules (libération immédiate d'une dose de 250 mg → surdosage potentiel). En cas de sonde gastrique, utilisation de la forme LP contre-indiquée (utiliser la forme immédiate non disponible en Algérie → importation exceptionnelle ou switch vers flécaïnide). À l'officine, vérifier que le patient a bien compris la non-écrasabilité et l'espacement de 12 h strict.</w:t>
      </w:r>
    </w:p>
    <w:p>
      <w:r/>
      <w:r>
        <w:rPr>
          <w:b/>
        </w:rPr>
        <w:t>Instructions et Conseils au Patient :</w:t>
      </w:r>
      <w:r/>
    </w:p>
    <w:p>
      <w:pPr>
        <w:pStyle w:val="ListBullet"/>
      </w:pPr>
      <w:r>
        <w:t xml:space="preserve">Communication au comptoir : « Ce médicament (disopyramide LP 250 mg) est un antiarythmique réservé à la prévention des troubles du rythme cardiaque. Il agit en régulant l'activité électrique du cœur. </w:t>
      </w:r>
      <w:r>
        <w:rPr>
          <w:b/>
        </w:rPr>
        <w:t>Important</w:t>
      </w:r>
      <w:r>
        <w:t xml:space="preserve"> : prenez-le à heures fixes, matin et soir, à 12 heures d'intervalle, sans jamais écraser ni ouvrir la gélule. Prévenez immédiatement votre médecin si vous avez des vertiges, des malaises, des palpitations rapides, une rétention d'urine (surtout si vous êtes un homme avec prostate), une sécheresse de la bouche importante, des troubles de la vision, ou une faim intense avec sueurs (signe d'hypoglycémie). Évitez le pamplemousse (interaction médicamenteuse). Ne jamais associer à un autre médicament sans avis médical (notamment antibiotiques, antidépresseurs, antifongiques). Surveillance ECG régulière et prise de sang (kaliémie, dosage du médicament) indispensables. »</w:t>
      </w:r>
    </w:p>
    <w:p>
      <w:pPr>
        <w:pStyle w:val="ListBullet"/>
      </w:pPr>
      <w:r>
        <w:t>Mode d'utilisation pratique : (1) Prendre la gélule entière avec un grand verre d'eau, au cours d'un repas. (2) Noter l'heure des prises (matin vers 8 h, soir vers 20 h, par exemple). (3) En cas d'oubli &lt; 4 h : prendre la dose oubliée ; au-delà de 4 h : sauter la prise et reprendre à l'horaire suivant — ne jamais doubler la dose. (4) Ne pas arrêter brutalement le traitement (risque de rebond arythmique). (5) Tenir un carnet de surveillance : ECG, kaliémie, dosage plasmatique (STP), poids, FC, TA.</w:t>
      </w:r>
    </w:p>
    <w:p>
      <w:r/>
      <w:r>
        <w:rPr>
          <w:b/>
        </w:rPr>
        <w:t>Notes, Règles d'Or &amp; Pièges au Comptoir :</w:t>
      </w:r>
      <w:r/>
    </w:p>
    <w:p>
      <w:pPr>
        <w:pStyle w:val="ListBullet"/>
      </w:pPr>
      <w:r/>
      <w:r>
        <w:rPr>
          <w:b/>
        </w:rPr>
        <w:t>Piège classique — Hypoglycémie iatrogène</w:t>
      </w:r>
      <w:r>
        <w:t xml:space="preserve"> : le disopyramide est le seul antiarythmique à provoquer des hypoglycémies (par stimulation directe de la sécrétion d'insuline par les cellules β du pancréas). Le risque est majoré chez le sujet âgé, diabétique sous sulfamides ou insuline, insuffisant rénal, dénutri. Devant une confusion, des sueurs, des tremblements, une asthénie marquée, évoquer l'hypoglycémie et vérifier la glycémie capillaire. Prévenir les patients diabétiques : autosurveillance renforcée, adaptation de l'antidiabétique probable.</w:t>
      </w:r>
    </w:p>
    <w:p>
      <w:pPr>
        <w:pStyle w:val="ListBullet"/>
      </w:pPr>
      <w:r/>
      <w:r>
        <w:rPr>
          <w:b/>
        </w:rPr>
        <w:t>Piège — Effet anticholinergique masqué par la prescription chez la femme jeune</w:t>
      </w:r>
      <w:r>
        <w:t xml:space="preserve"> : risque de rétention urinaire aiguë chez la femme nullipare avec petit bassin (rare) — mais surtout chez l'homme âgé avec adénome prostatique (rechercher systématiquement un ATCD de dysurie, de miction difficile, de résidu post-mictionnel). Chez l'homme de &gt; 60 ans : échographie prostatique systématique avant prescription.</w:t>
      </w:r>
    </w:p>
    <w:p>
      <w:pPr>
        <w:pStyle w:val="ListBullet"/>
      </w:pPr>
      <w:r/>
      <w:r>
        <w:rPr>
          <w:b/>
        </w:rPr>
        <w:t>Piège — Syndrome de Brugada démasqué</w:t>
      </w:r>
      <w:r>
        <w:t xml:space="preserve"> : le disopyramide peut démasquer un syndrome de Brugada type 1 (aspect ST en coupole en V1–V3) — diagnostic à évoquer devant un ECG modifié après initiation, et à signaler au cardiologue.</w:t>
      </w:r>
    </w:p>
    <w:p>
      <w:pPr>
        <w:pStyle w:val="ListBullet"/>
      </w:pPr>
      <w:r/>
      <w:r>
        <w:rPr>
          <w:b/>
        </w:rPr>
        <w:t>Piège — Allongement QT et torsades</w:t>
      </w:r>
      <w:r>
        <w:t xml:space="preserve"> : surveillance ECG systématique, association CI aux autres torsadogènes (cf. interactions). En cas d'allongement QTc &gt; 500 ms, arrêt immédiat.</w:t>
      </w:r>
    </w:p>
    <w:p>
      <w:pPr>
        <w:pStyle w:val="ListBullet"/>
      </w:pPr>
      <w:r/>
      <w:r>
        <w:rPr>
          <w:b/>
        </w:rPr>
        <w:t>Piège — Statut Non Renouvelable en Algérie</w:t>
      </w:r>
      <w:r>
        <w:t xml:space="preserve"> : la molécule est en voie de retrait progressif du marché algérien (statut Non Renouvelable des deux spécialités disponibles, ISORYTHM LP et RYTHMODAN LP) — à l'officine, anticiper la rupture de stock et prévenir le patient et le médecin pour anticiper un switch thérapeutique vers une alternative disponible (amiodarone, flécaïnide).</w:t>
      </w:r>
    </w:p>
    <w:p>
      <w:pPr>
        <w:pStyle w:val="ListBullet"/>
      </w:pPr>
      <w:r/>
      <w:r>
        <w:rPr>
          <w:b/>
        </w:rPr>
        <w:t>Règle de prise</w:t>
      </w:r>
      <w:r>
        <w:t xml:space="preserve"> : 250 mg LP x 2/j à 12 h d'intervalle strict, sans écrasement.</w:t>
      </w:r>
    </w:p>
    <w:p>
      <w:pPr>
        <w:pStyle w:val="ListBullet"/>
      </w:pPr>
      <w:r/>
      <w:r>
        <w:rPr>
          <w:b/>
        </w:rPr>
        <w:t>Préparation et Conservation</w:t>
      </w:r>
      <w:r>
        <w:t xml:space="preserve"> : boîte d'origine, à température &lt; 25 °C, à l'abri de l'humidité. Conservation 3 ans. Tenir hors de portée des enfants.</w:t>
      </w:r>
    </w:p>
    <w:p>
      <w:pPr>
        <w:pStyle w:val="ListBullet"/>
      </w:pPr>
      <w:r/>
      <w:r>
        <w:rPr>
          <w:b/>
        </w:rPr>
        <w:t>Piège du surdosage / Substitution</w:t>
      </w:r>
      <w:r>
        <w:t xml:space="preserve"> : le surdosage volontaire au disopyramide est grave — tableau de collapsus avec QRS très large, allongement QT majeur, torsades, hypoglycémie sévère, coma. Prise en charge USI : bicarbonate 1,4 % IV, KCl IV, pacing temporaire, perfusion glucosée. À signaler au centre antipoison. Pas d'antidote spécifique. Substitution : interdite en officine (médicament à prescription initiale hospitalière spécialisée).</w:t>
      </w:r>
    </w:p>
    <w:p>
      <w:pPr>
        <w:pStyle w:val="Heading2"/>
      </w:pPr>
      <w:r>
        <w:t>Sous-classe : Antiarythmiques classe Ib — Bloqueurs des canaux sodiques à cinétique rapide avec préférence pour le tissu ischémique</w:t>
      </w:r>
    </w:p>
    <w:p>
      <w:r>
        <w:t xml:space="preserve">La </w:t>
      </w:r>
      <w:r>
        <w:rPr>
          <w:b/>
        </w:rPr>
        <w:t>classe Ib</w:t>
      </w:r>
      <w:r>
        <w:t xml:space="preserve"> de Vaughan-Williams regroupe les molécules bloquant les canaux sodiques voltage-dépendants (NaV1.5) avec une </w:t>
      </w:r>
      <w:r>
        <w:rPr>
          <w:b/>
        </w:rPr>
        <w:t>cinétique d'association/dissociation rapide</w:t>
      </w:r>
      <w:r>
        <w:t xml:space="preserve"> (τ_recovery &lt; 1 s). Cette cinétique rapide signifie que le bloc se </w:t>
      </w:r>
      <w:r>
        <w:rPr>
          <w:b/>
        </w:rPr>
        <w:t>dissocie complètement entre deux potentiels d'action</w:t>
      </w:r>
      <w:r>
        <w:t xml:space="preserve"> aux fréquences cardiaques physiologiques (60–100 bpm) — d'où un effet antiarythmique </w:t>
      </w:r>
      <w:r>
        <w:rPr>
          <w:b/>
        </w:rPr>
        <w:t>quasi nul sur le myocarde sain</w:t>
      </w:r>
      <w:r>
        <w:t xml:space="preserve"> et une action </w:t>
      </w:r>
      <w:r>
        <w:rPr>
          <w:b/>
        </w:rPr>
        <w:t>privilégiée sur le tissu dépolarisé ou ischémique</w:t>
      </w:r>
      <w:r>
        <w:t xml:space="preserve"> (où le potentiel de repos est moins négatif, où les canaux restent inactivés plus longtemps, et où la dissociation ne se fait pas entre deux PA). Cette propriété pharmacologique unique fait de la classe Ib </w:t>
      </w:r>
      <w:r>
        <w:rPr>
          <w:b/>
        </w:rPr>
        <w:t>l'antiarythmique de choix de la phase aiguë de l'ischémie myocardique</w:t>
      </w:r>
      <w:r>
        <w:t xml:space="preserve"> (TV post-infarctus récente, ESV menaçants en contexte ischémique).</w:t>
      </w:r>
    </w:p>
    <w:p>
      <w:r>
        <w:t xml:space="preserve">Les molécules historiques de cette classe sont la </w:t>
      </w:r>
      <w:r>
        <w:rPr>
          <w:b/>
        </w:rPr>
        <w:t>lidocaïne</w:t>
      </w:r>
      <w:r>
        <w:t xml:space="preserve"> (anesthésique local amide découvert en 1943, antiarythmique IV depuis 1950), la </w:t>
      </w:r>
      <w:r>
        <w:rPr>
          <w:b/>
        </w:rPr>
        <w:t>Mexilétine</w:t>
      </w:r>
      <w:r>
        <w:t xml:space="preserve"> (analogue oral de la lidocaïne — non commercialisé en Algérie), la </w:t>
      </w:r>
      <w:r>
        <w:rPr>
          <w:b/>
        </w:rPr>
        <w:t>tocainide</w:t>
      </w:r>
      <w:r>
        <w:t xml:space="preserve"> (prodrogue orale de la lidocaïne — retirée du marché mondial pour agranulocytose), et la </w:t>
      </w:r>
      <w:r>
        <w:rPr>
          <w:b/>
        </w:rPr>
        <w:t>phénytoïne</w:t>
      </w:r>
      <w:r>
        <w:t xml:space="preserve"> (antiépileptique hydantoïque utilisé en prévention des arythmies digitales — historique). En Algérie, seule la </w:t>
      </w:r>
      <w:r>
        <w:rPr>
          <w:b/>
        </w:rPr>
        <w:t>lidocaïne</w:t>
      </w:r>
      <w:r>
        <w:t xml:space="preserve"> est disponible — mais son usage antiarythmique IV est aujourd'hui </w:t>
      </w:r>
      <w:r>
        <w:rPr>
          <w:b/>
        </w:rPr>
        <w:t>supplanté par l'amiodarone</w:t>
      </w:r>
      <w:r>
        <w:t xml:space="preserve"> (plus efficace, moins de proarythmie, maniement plus simple) selon les recommandations ESC 2020 et ILCOR 2020 sur la prise en charge des arrêts cardiaques et des TV soutenues. La lidocaïne reste néanmoins recommandée en seconde ligne, en cas de </w:t>
      </w:r>
      <w:r>
        <w:rPr>
          <w:b/>
        </w:rPr>
        <w:t>TV réfractaire à l'amiodarone</w:t>
      </w:r>
      <w:r>
        <w:t xml:space="preserve"> ou de </w:t>
      </w:r>
      <w:r>
        <w:rPr>
          <w:b/>
        </w:rPr>
        <w:t>FV récidivante</w:t>
      </w:r>
      <w:r>
        <w:t xml:space="preserve"> post-CPRE, ainsi qu'en cas de </w:t>
      </w:r>
      <w:r>
        <w:rPr>
          <w:b/>
        </w:rPr>
        <w:t>TV sur cœur structuré normal</w:t>
      </w:r>
      <w:r>
        <w:t xml:space="preserve"> (TV fasciculaire, certaines TV à l'exercice sensibles au bloc Na+). L'usage de la lidocaïne comme </w:t>
      </w:r>
      <w:r>
        <w:rPr>
          <w:b/>
        </w:rPr>
        <w:t>anesthésique local</w:t>
      </w:r>
      <w:r>
        <w:t xml:space="preserve"> est infiniment plus fréquent — son action électrophysiologique cardiaque n'est qu'un effet de classe partagé avec son action nerveuse périphérique.</w:t>
      </w:r>
    </w:p>
    <w:p>
      <w:r>
        <w:t>Les particularités de la classe Ib sont :</w:t>
      </w:r>
    </w:p>
    <w:p>
      <w:pPr>
        <w:pStyle w:val="ListBullet"/>
      </w:pPr>
      <w:r>
        <w:t xml:space="preserve">Action </w:t>
      </w:r>
      <w:r>
        <w:rPr>
          <w:b/>
        </w:rPr>
        <w:t>use-dependent</w:t>
      </w:r>
      <w:r>
        <w:t xml:space="preserve"> : le bloc Na+ augmente aux fréquences cardiaques rapides (TV, FV), avec effet antiarythmique électif sur le tissu ischémique.</w:t>
      </w:r>
    </w:p>
    <w:p>
      <w:pPr>
        <w:pStyle w:val="ListBullet"/>
      </w:pPr>
      <w:r>
        <w:t xml:space="preserve">Action </w:t>
      </w:r>
      <w:r>
        <w:rPr>
          <w:b/>
        </w:rPr>
        <w:t>nulle ou discrète sur l'APD</w:t>
      </w:r>
      <w:r>
        <w:t xml:space="preserve"> : contrairement aux Ia (allongent) et aux Ib qui </w:t>
      </w:r>
      <w:r>
        <w:rPr>
          <w:b/>
        </w:rPr>
        <w:t>raccourcissent légèrement</w:t>
      </w:r>
      <w:r>
        <w:t xml:space="preserve"> l'APD et le QTc (effet lié à un bloc accessoire des canaux potassiques activés par l'ATP — K-ATP, ouverts en ischémie).</w:t>
      </w:r>
    </w:p>
    <w:p>
      <w:pPr>
        <w:pStyle w:val="ListBullet"/>
      </w:pPr>
      <w:r>
        <w:t xml:space="preserve">Effet </w:t>
      </w:r>
      <w:r>
        <w:rPr>
          <w:b/>
        </w:rPr>
        <w:t>proarythmique moindre</w:t>
      </w:r>
      <w:r>
        <w:t xml:space="preserve"> que les autres classes I (pas d'allongement du QT → pas de torsades de pointe).</w:t>
      </w:r>
    </w:p>
    <w:p>
      <w:pPr>
        <w:pStyle w:val="ListBullet"/>
      </w:pPr>
      <w:r>
        <w:t>Index thérapeutique étroit en usage IV (concentrations thérapeutiques 1,5 à 5 mg/L, concentrations toxiques &gt; 5 mg/L — convulsions, dépression myocardique).</w:t>
      </w:r>
    </w:p>
    <w:p>
      <w:pPr>
        <w:pStyle w:val="ListBullet"/>
      </w:pPr>
      <w:r>
        <w:t xml:space="preserve">Métabolisme hépatique à </w:t>
      </w:r>
      <w:r>
        <w:rPr>
          <w:b/>
        </w:rPr>
        <w:t>premier passage</w:t>
      </w:r>
      <w:r>
        <w:t xml:space="preserve"> très marqué pour la lidocaïne (biodisponibilité orale &lt; 35 %, d'où l'usage exclusif IV) — pas de forme orale disponible en Algérie pour l'usage antiarythmique (la mexilétine n'est pas commercialisée).</w:t>
      </w:r>
    </w:p>
    <w:p>
      <w:pPr>
        <w:pStyle w:val="ListBullet"/>
      </w:pPr>
      <w:r>
        <w:t xml:space="preserve">Nécessité d'une perfusion continue après bolus (demi-vie d'élimination 1,5–2 h, mais </w:t>
      </w:r>
      <w:r>
        <w:rPr>
          <w:b/>
        </w:rPr>
        <w:t>demi-vie de distribution</w:t>
      </w:r>
      <w:r>
        <w:t xml:space="preserve"> initiale ≈ 8 min → effet du bolus transitoire, nécessitant relais par perfusion continue pour maintenir les concentrations).</w:t>
      </w:r>
    </w:p>
    <w:p>
      <w:r>
        <w:t xml:space="preserve">À noter que la lidocaïne en Algérie est disponible en de très nombreuses spécialités (LIDOCAINE BIOTHERA, LIDOCAINE RAZES 1 % et 2 %, UNICAINE 1 %, VITACAINE 2 %, XYCAINE 2 %, EPICAINE dentaire, BIOMLA et NEOMLA crème — pour les actives), principalement pour l'usage anesthésique local (infiltration, péridurale, blocs nerveux, dentaire, topique). L'usage antiarythmique IV en réanimation cardiologique relève de la </w:t>
      </w:r>
      <w:r>
        <w:rPr>
          <w:b/>
        </w:rPr>
        <w:t>solution injectable IV pure sans adrénaline</w:t>
      </w:r>
      <w:r>
        <w:t xml:space="preserve"> (LIDOCAINE BIOTHERA, LIDOCAINE RAZES, UNICAINE 1 % — à la concentration de 10 mg/mL soit 1 %) à raison d'un bolus de 1–1,5 mg/kg IV strict sur 2 min, suivi d'une perfusion continue de 1–4 mg/min (soit 60–240 mg/h). Les solutions adrénalinées (EPICAINE, XILONIBSA) sont </w:t>
      </w:r>
      <w:r>
        <w:rPr>
          <w:b/>
        </w:rPr>
        <w:t>strictement CI dans l'usage antiarythmique</w:t>
      </w:r>
      <w:r>
        <w:t xml:space="preserve"> (risque d'ischémie myocardique sévère par vasoconstriction coronaire et de TV/FV paradrénalinique).</w:t>
      </w:r>
    </w:p>
    <w:p>
      <w:pPr>
        <w:pStyle w:val="Heading3"/>
      </w:pPr>
      <w:r>
        <w:t>2. DCI : Lidocaïne (antiarythmique IV/IC) (Seule)</w:t>
      </w:r>
    </w:p>
    <w:p>
      <w:r/>
      <w:r>
        <w:rPr>
          <w:b/>
        </w:rPr>
        <w:t>Liste des Catégories :</w:t>
      </w:r>
      <w:r>
        <w:t xml:space="preserve"> Antiarythmique classe Ib (Vaughan-Williams) — usage IV ; Anesthésique local de type amide (usage IC, SC, péridural, blocs nerveux, infiltration, dentaire, topique).</w:t>
      </w:r>
    </w:p>
    <w:p>
      <w:r>
        <w:t xml:space="preserve">La lidocaïne (N-diéthylamino-acétyl-2,6-xylidide, chlorhydrate) est un </w:t>
      </w:r>
      <w:r>
        <w:rPr>
          <w:b/>
        </w:rPr>
        <w:t>anesthésique local de type amide</w:t>
      </w:r>
      <w:r>
        <w:t xml:space="preserve"> introduit en 1943 par Lofgren et Lundqvist (premier anesthésique local amide, plus sûr que la procaine de type ester). Sa </w:t>
      </w:r>
      <w:r>
        <w:rPr>
          <w:b/>
        </w:rPr>
        <w:t>double utilisation clinique</w:t>
      </w:r>
      <w:r>
        <w:t xml:space="preserve"> (anesthésique local et antiarythmique IV de classe Ib) repose sur un mécanisme d'action électrophysiologique commun : </w:t>
      </w:r>
      <w:r>
        <w:rPr>
          <w:b/>
        </w:rPr>
        <w:t>bloc des canaux sodiques voltage-dépendants</w:t>
      </w:r>
      <w:r>
        <w:t xml:space="preserve"> (NaV1.x) — à la fois sur les </w:t>
      </w:r>
      <w:r>
        <w:rPr>
          <w:b/>
        </w:rPr>
        <w:t>fibres nerveuses périphériques</w:t>
      </w:r>
      <w:r>
        <w:t xml:space="preserve"> (action anesthésique) et sur les </w:t>
      </w:r>
      <w:r>
        <w:rPr>
          <w:b/>
        </w:rPr>
        <w:t>cellules myocardiques</w:t>
      </w:r>
      <w:r>
        <w:t xml:space="preserve"> (action antiarythmique). La particularité de la lidocaïne est sa </w:t>
      </w:r>
      <w:r>
        <w:rPr>
          <w:b/>
        </w:rPr>
        <w:t>cinétique d'association/dissociation rapide</w:t>
      </w:r>
      <w:r>
        <w:t xml:space="preserve"> au canal Na+, avec une préférence marquée pour le </w:t>
      </w:r>
      <w:r>
        <w:rPr>
          <w:b/>
        </w:rPr>
        <w:t>tissu dépolarisé ou ischémique</w:t>
      </w:r>
      <w:r>
        <w:t xml:space="preserve"> (potentiel de repos moins négatif → canaux inactivés plus longtemps → bloc plus marqué). Cette propriété explique son efficacité élective sur les arythmies ventriculaires ischémiques et son absence d'effet sur le myocarde sain. Sa biodisponibilité orale est très faible (&lt; 35 %, métabolisme hépatique à premier passage intense en métabolite monoéthylglycinexylidide — MEGX, actif — puis en glycinexylidide — GX, inactif), ce qui impose la voie IV pour l'usage antiarythmique. Sa demi-vie plasmatique est de 1,5–2 h, mais sa </w:t>
      </w:r>
      <w:r>
        <w:rPr>
          <w:b/>
        </w:rPr>
        <w:t>demi-vie de distribution</w:t>
      </w:r>
      <w:r>
        <w:t xml:space="preserve"> (phase α) est brève (8–10 min) — d'où l'effet du bolus IV transitoire (10–20 min) nécessitant une </w:t>
      </w:r>
      <w:r>
        <w:rPr>
          <w:b/>
        </w:rPr>
        <w:t>perfusion continue d'entretien</w:t>
      </w:r>
      <w:r>
        <w:t>. En Algérie, la lidocaïne est l'un des médicaments les plus disponibles (plus de 35 spécialités recensées), essentiellement pour l'usage anesthésique local — l'usage antiarythmique IV est aujourd'hui relégué en seconde ligne derrière l'amiodarone selon les recommandations ESC 2020 et ILCOR 2020.</w:t>
      </w:r>
    </w:p>
    <w:p>
      <w:r/>
      <w:r>
        <w:rPr>
          <w:b/>
        </w:rPr>
        <w:t>Médicaments disponibles en Algérie (Marques, Laboratoires, Formes et Dosages) :</w:t>
      </w:r>
      <w:r/>
    </w:p>
    <w:p>
      <w:r/>
      <w:r>
        <w:rPr>
          <w:i/>
        </w:rPr>
        <w:t>Formes injectables pures (sans vasopresseur) — usage anesthésique local et usage antiarythmique IV :</w:t>
      </w:r>
      <w:r/>
    </w:p>
    <w:p>
      <w:pPr>
        <w:pStyle w:val="ListBullet"/>
      </w:pPr>
      <w:r/>
      <w:r>
        <w:rPr>
          <w:b/>
        </w:rPr>
        <w:t>LIDOCAINE BIOTHERA</w:t>
      </w:r>
      <w:r>
        <w:t xml:space="preserve"> (BIOTHERA)</w:t>
      </w:r>
    </w:p>
    <w:p>
      <w:pPr>
        <w:pStyle w:val="ListBullet"/>
      </w:pPr>
      <w:r>
        <w:t>Formes et Dosages : Solution injectable IV, 0,01 (soit 10 mg/mL = 1 %) — B/10 et B/50 ampoules de 10 mL (100 mg/ampoule) ; Solution injectable IV, 0,02 (soit 20 mg/mL = 2 %) — B/10 et B/50 ampoules de 10 mL (200 mg/ampoule)</w:t>
      </w:r>
    </w:p>
    <w:p>
      <w:pPr>
        <w:pStyle w:val="ListBullet"/>
      </w:pPr>
      <w:r>
        <w:t>Statut : Actif — Liste II</w:t>
      </w:r>
    </w:p>
    <w:p>
      <w:pPr>
        <w:pStyle w:val="ListBullet"/>
      </w:pPr>
      <w:r/>
      <w:r>
        <w:rPr>
          <w:b/>
        </w:rPr>
        <w:t>LIDOCAINE RAZES 1 %</w:t>
      </w:r>
      <w:r>
        <w:t xml:space="preserve"> (LES LABORATOIRES FRATER RAZES)</w:t>
      </w:r>
    </w:p>
    <w:p>
      <w:pPr>
        <w:pStyle w:val="ListBullet"/>
      </w:pPr>
      <w:r>
        <w:t>Formes et Dosages : Solution injectable IV, IM, SC ou péridurale 1 % (10 mg/mL) — B/10 et B/50 ampoules de 10 mL</w:t>
      </w:r>
    </w:p>
    <w:p>
      <w:pPr>
        <w:pStyle w:val="ListBullet"/>
      </w:pPr>
      <w:r>
        <w:t>Statut : Actif — Liste II</w:t>
      </w:r>
    </w:p>
    <w:p>
      <w:pPr>
        <w:pStyle w:val="ListBullet"/>
      </w:pPr>
      <w:r/>
      <w:r>
        <w:rPr>
          <w:b/>
        </w:rPr>
        <w:t>LIDOCAINE RAZES 2 %</w:t>
      </w:r>
      <w:r>
        <w:t xml:space="preserve"> (LES LABORATOIRES FRATER RAZES)</w:t>
      </w:r>
    </w:p>
    <w:p>
      <w:pPr>
        <w:pStyle w:val="ListBullet"/>
      </w:pPr>
      <w:r>
        <w:t>Formes et Dosages : Solution injectable IV, IM, SC ou péridurale 2 % (20 mg/mL) — B/10 et B/50 ampoules de 10 mL</w:t>
      </w:r>
    </w:p>
    <w:p>
      <w:pPr>
        <w:pStyle w:val="ListBullet"/>
      </w:pPr>
      <w:r>
        <w:t>Statut : Actif — Liste II</w:t>
      </w:r>
    </w:p>
    <w:p>
      <w:pPr>
        <w:pStyle w:val="ListBullet"/>
      </w:pPr>
      <w:r/>
      <w:r>
        <w:rPr>
          <w:b/>
        </w:rPr>
        <w:t>UNICAINE 1 %</w:t>
      </w:r>
      <w:r>
        <w:t xml:space="preserve"> (UNIMED)</w:t>
      </w:r>
    </w:p>
    <w:p>
      <w:pPr>
        <w:pStyle w:val="ListBullet"/>
      </w:pPr>
      <w:r>
        <w:t>Formes et Dosages : Solution injectable 1 % (10 mg/mL) — B/50 ampoules de 10 mL</w:t>
      </w:r>
    </w:p>
    <w:p>
      <w:pPr>
        <w:pStyle w:val="ListBullet"/>
      </w:pPr>
      <w:r>
        <w:t>Statut : Actif — Liste II</w:t>
      </w:r>
    </w:p>
    <w:p>
      <w:pPr>
        <w:pStyle w:val="ListBullet"/>
      </w:pPr>
      <w:r/>
      <w:r>
        <w:rPr>
          <w:b/>
        </w:rPr>
        <w:t>VITACAINE 2 %</w:t>
      </w:r>
      <w:r>
        <w:t xml:space="preserve"> (BIOLOGIE ET VITAMINE D'ALGERIE BIOVITAL)</w:t>
      </w:r>
    </w:p>
    <w:p>
      <w:pPr>
        <w:pStyle w:val="ListBullet"/>
      </w:pPr>
      <w:r>
        <w:t>Formes et Dosages : Solution injectable 2 % (20 mg/mL) — B/50 cartouches de 1,8 mL (36 mg/cartouche — usage dentaire)</w:t>
      </w:r>
    </w:p>
    <w:p>
      <w:pPr>
        <w:pStyle w:val="ListBullet"/>
      </w:pPr>
      <w:r>
        <w:t>Statut : Actif — Liste II</w:t>
      </w:r>
    </w:p>
    <w:p>
      <w:pPr>
        <w:pStyle w:val="ListBullet"/>
      </w:pPr>
      <w:r/>
      <w:r>
        <w:rPr>
          <w:b/>
        </w:rPr>
        <w:t>XYCAINE</w:t>
      </w:r>
      <w:r>
        <w:t xml:space="preserve"> (HUPP PHARMA)</w:t>
      </w:r>
    </w:p>
    <w:p>
      <w:pPr>
        <w:pStyle w:val="ListBullet"/>
      </w:pPr>
      <w:r>
        <w:t>Formes et Dosages : Solution injectable 2 % (20 mg/mL) — B/10 ampoules de 5 mL (100 mg/ampoule)</w:t>
      </w:r>
    </w:p>
    <w:p>
      <w:pPr>
        <w:pStyle w:val="ListBullet"/>
      </w:pPr>
      <w:r>
        <w:t>Statut : Actif — Liste II</w:t>
      </w:r>
    </w:p>
    <w:p>
      <w:r/>
      <w:r>
        <w:rPr>
          <w:i/>
        </w:rPr>
        <w:t xml:space="preserve">Formes injectables adrénalinées (1:80 000 à 1:200 000) — usage anesthésique dentaire exclusif, </w:t>
      </w:r>
      <w:r/>
      <w:r>
        <w:rPr>
          <w:i/>
        </w:rPr>
        <w:t>CI pour usage antiarythmique</w:t>
      </w:r>
      <w:r/>
      <w:r>
        <w:rPr>
          <w:i/>
        </w:rPr>
        <w:t xml:space="preserve"> :</w:t>
      </w:r>
      <w:r/>
    </w:p>
    <w:p>
      <w:pPr>
        <w:pStyle w:val="ListBullet"/>
      </w:pPr>
      <w:r/>
      <w:r>
        <w:rPr>
          <w:b/>
        </w:rPr>
        <w:t>EPICAINE</w:t>
      </w:r>
      <w:r>
        <w:t xml:space="preserve"> (BIOLOGIE ET VITAMINE D'ALGERIE BIOVITAL)</w:t>
      </w:r>
    </w:p>
    <w:p>
      <w:pPr>
        <w:pStyle w:val="ListBullet"/>
      </w:pPr>
      <w:r>
        <w:t>Formes et Dosages : Solution injectable à usage dentaire, 1 mL contient 24,64 mg lidocaïne + 0,0125 mg adrénaline (≈ 1:80 000)</w:t>
      </w:r>
    </w:p>
    <w:p>
      <w:pPr>
        <w:pStyle w:val="ListBullet"/>
      </w:pPr>
      <w:r>
        <w:t>Statut : Actif — Liste I</w:t>
      </w:r>
    </w:p>
    <w:p>
      <w:r/>
      <w:r>
        <w:rPr>
          <w:i/>
        </w:rPr>
        <w:t>Formes topiques (crème anesthésique EMLA-like) — usage anesthésique cutané muqueux :</w:t>
      </w:r>
      <w:r/>
    </w:p>
    <w:p>
      <w:pPr>
        <w:pStyle w:val="ListBullet"/>
      </w:pPr>
      <w:r/>
      <w:r>
        <w:rPr>
          <w:b/>
        </w:rPr>
        <w:t>BIOMLA</w:t>
      </w:r>
      <w:r>
        <w:t xml:space="preserve"> (BIOPHARM)</w:t>
      </w:r>
    </w:p>
    <w:p>
      <w:pPr>
        <w:pStyle w:val="ListBullet"/>
      </w:pPr>
      <w:r>
        <w:t>Formes et Dosages : Crème lidocaïne/prilocaïne 5 % (2,5 g/100 g + 2,5 g/100 g) — tube de 30 g + tube de 5 g</w:t>
      </w:r>
    </w:p>
    <w:p>
      <w:pPr>
        <w:pStyle w:val="ListBullet"/>
      </w:pPr>
      <w:r>
        <w:t>Statut : Actif — Liste I</w:t>
      </w:r>
    </w:p>
    <w:p>
      <w:pPr>
        <w:pStyle w:val="ListBullet"/>
      </w:pPr>
      <w:r/>
      <w:r>
        <w:rPr>
          <w:b/>
        </w:rPr>
        <w:t>NEOMLA</w:t>
      </w:r>
      <w:r>
        <w:t xml:space="preserve"> (NEOMEDIC)</w:t>
      </w:r>
    </w:p>
    <w:p>
      <w:pPr>
        <w:pStyle w:val="ListBullet"/>
      </w:pPr>
      <w:r>
        <w:t>Formes et Dosages : Crème pour application cutanée lidocaïne/prilocaïne 5 % (2,5 g + 2,5 g/100 g) — tube de 30 g</w:t>
      </w:r>
    </w:p>
    <w:p>
      <w:pPr>
        <w:pStyle w:val="ListBullet"/>
      </w:pPr>
      <w:r>
        <w:t>Statut : Actif — Liste II</w:t>
      </w:r>
    </w:p>
    <w:p>
      <w:r/>
      <w:r>
        <w:rPr>
          <w:i/>
        </w:rPr>
        <w:t>Formes non renouvelables (statut NR) :</w:t>
      </w:r>
      <w:r/>
    </w:p>
    <w:p>
      <w:pPr>
        <w:pStyle w:val="ListBullet"/>
      </w:pPr>
      <w:r/>
      <w:r>
        <w:rPr>
          <w:b/>
        </w:rPr>
        <w:t>LIDOCAINE AGUETTANT</w:t>
      </w:r>
      <w:r>
        <w:t xml:space="preserve"> (AGUETTANT) — Solution injectable 0,01 (10 mg/mL) — B/10 flacons de 20 mL — Non Renouvelable — Liste II</w:t>
      </w:r>
    </w:p>
    <w:p>
      <w:pPr>
        <w:pStyle w:val="ListBullet"/>
      </w:pPr>
      <w:r/>
      <w:r>
        <w:rPr>
          <w:b/>
        </w:rPr>
        <w:t>XYLOCAINE</w:t>
      </w:r>
      <w:r>
        <w:t xml:space="preserve"> (ASTRA) — Solution injectable 0,01 — flacon de 20 mL — Non Renouvelable — Liste II</w:t>
      </w:r>
    </w:p>
    <w:p>
      <w:pPr>
        <w:pStyle w:val="ListBullet"/>
      </w:pPr>
      <w:r/>
      <w:r>
        <w:rPr>
          <w:b/>
        </w:rPr>
        <w:t>KIDOCAINE</w:t>
      </w:r>
      <w:r>
        <w:t xml:space="preserve"> (GROUPE SAIDAL) — Solution injectable 0,02 (20 mg/mL) — B/6 ampoules de 10 mL — Non Renouvelable — Liste II</w:t>
      </w:r>
    </w:p>
    <w:p>
      <w:pPr>
        <w:pStyle w:val="ListBullet"/>
      </w:pPr>
      <w:r/>
      <w:r>
        <w:rPr>
          <w:b/>
        </w:rPr>
        <w:t>LIDOCAINE 2 % AGUETTANT</w:t>
      </w:r>
      <w:r>
        <w:t xml:space="preserve"> (AGUETTANT) — Solution injectable 0,02 — B/10 flacons de 20 mL — Non Renouvelable — Liste II</w:t>
      </w:r>
    </w:p>
    <w:p>
      <w:pPr>
        <w:pStyle w:val="ListBullet"/>
      </w:pPr>
      <w:r/>
      <w:r>
        <w:rPr>
          <w:b/>
        </w:rPr>
        <w:t>LIDOCAINE-GEO</w:t>
      </w:r>
      <w:r>
        <w:t xml:space="preserve"> (GEOPHARM) — Solution injectable 0,02 — B/1 flacon de 25 mL et B/2 flacons de 25 mL — Non Renouvelable — Liste II</w:t>
      </w:r>
    </w:p>
    <w:p>
      <w:pPr>
        <w:pStyle w:val="ListBullet"/>
      </w:pPr>
      <w:r/>
      <w:r>
        <w:rPr>
          <w:b/>
        </w:rPr>
        <w:t>UNICAINE</w:t>
      </w:r>
      <w:r>
        <w:t xml:space="preserve"> (UNIMED) — Solution injectable 0,02 — B/10 ampoules de 5 mL — Non Renouvelable — Liste II</w:t>
      </w:r>
    </w:p>
    <w:p>
      <w:pPr>
        <w:pStyle w:val="ListBullet"/>
      </w:pPr>
      <w:r/>
      <w:r>
        <w:rPr>
          <w:b/>
        </w:rPr>
        <w:t>XYLOCAINE</w:t>
      </w:r>
      <w:r>
        <w:t xml:space="preserve"> (ASTRA) — Solution injectable 0,02 — flacon de 20 mL — Non Renouvelable — Liste II</w:t>
      </w:r>
    </w:p>
    <w:p>
      <w:pPr>
        <w:pStyle w:val="ListBullet"/>
      </w:pPr>
      <w:r/>
      <w:r>
        <w:rPr>
          <w:b/>
        </w:rPr>
        <w:t>XYLOROLLAND SANS VASOCONSTRICteur</w:t>
      </w:r>
      <w:r>
        <w:t xml:space="preserve"> (PRODUITS DENTAIRES PIERRE ROLLAND) — Solution injectable 0,02 — B/50 cartouches de 1,8 mL — Non Renouvelable — Liste II</w:t>
      </w:r>
    </w:p>
    <w:p>
      <w:pPr>
        <w:pStyle w:val="ListBullet"/>
      </w:pPr>
      <w:r/>
      <w:r>
        <w:rPr>
          <w:b/>
        </w:rPr>
        <w:t>LIDOCAINE 1 % ADRENALINE AGUETTANT</w:t>
      </w:r>
      <w:r>
        <w:t xml:space="preserve"> (AGUETTANT) — Solution injectable 0,01 + adrénaline — B/10 flacons de 20 mL — Non Renouvelable — Liste I</w:t>
      </w:r>
    </w:p>
    <w:p>
      <w:pPr>
        <w:pStyle w:val="ListBullet"/>
      </w:pPr>
      <w:r/>
      <w:r>
        <w:rPr>
          <w:b/>
        </w:rPr>
        <w:t>LIDOCAINE 2 % ADRENALINE AGUETTANT</w:t>
      </w:r>
      <w:r>
        <w:t xml:space="preserve"> (AGUETTANT) — Solution injectable 0,02 + adrénaline — B/10 flacons de 20 mL — Non Renouvelable — Liste I</w:t>
      </w:r>
    </w:p>
    <w:p>
      <w:pPr>
        <w:pStyle w:val="ListBullet"/>
      </w:pPr>
      <w:r/>
      <w:r>
        <w:rPr>
          <w:b/>
        </w:rPr>
        <w:t>XILONIBSA</w:t>
      </w:r>
      <w:r>
        <w:t xml:space="preserve"> (INIBSA S.A.) — Solution injectable 0,02 + adrénaline — B/100 cartouches de 1,8 mL — Non Renouvelable — Liste I</w:t>
      </w:r>
    </w:p>
    <w:p>
      <w:pPr>
        <w:pStyle w:val="ListBullet"/>
      </w:pPr>
      <w:r/>
      <w:r>
        <w:rPr>
          <w:b/>
        </w:rPr>
        <w:t>ADRECAINE-GEO</w:t>
      </w:r>
      <w:r>
        <w:t xml:space="preserve"> (GEOPHARM) — Solution injectable à usage dentaire 2 % + 1:80 000 (épinéphrine) — B/50 cartouches de 1,8 mL — Non Renouvelable — Liste I</w:t>
      </w:r>
    </w:p>
    <w:p>
      <w:pPr>
        <w:pStyle w:val="ListBullet"/>
      </w:pPr>
      <w:r/>
      <w:r>
        <w:rPr>
          <w:b/>
        </w:rPr>
        <w:t>LIDOCAINE VISQUEUSE</w:t>
      </w:r>
      <w:r>
        <w:t xml:space="preserve"> (PHARMADRUG PRODUCTION Gmbh) — Gel 2 % — B/100 tubes de 30 g et B/1 tube de 100 g — Non Renouvelable — Liste II</w:t>
      </w:r>
    </w:p>
    <w:p>
      <w:pPr>
        <w:pStyle w:val="ListBullet"/>
      </w:pPr>
      <w:r/>
      <w:r>
        <w:rPr>
          <w:b/>
        </w:rPr>
        <w:t>ANESDERM GE 5 %</w:t>
      </w:r>
      <w:r>
        <w:t xml:space="preserve"> (PIERRE FABRE MEDICAMENT) — Crème lidocaïne/prilocaïne 2,5 % + 2,5 % — tube de 5 g avec 2 pansements adhésifs — Non Renouvelable — Liste II</w:t>
      </w:r>
    </w:p>
    <w:p>
      <w:pPr>
        <w:pStyle w:val="ListBullet"/>
      </w:pPr>
      <w:r/>
      <w:r>
        <w:rPr>
          <w:b/>
        </w:rPr>
        <w:t>XYLOROLLAND AVEC NORADRENALINE</w:t>
      </w:r>
      <w:r>
        <w:t xml:space="preserve"> (PRODUITS DENTAIRES PIERRE ROLLAND) — Solution injectable 2 g/0,00125 g/100 mL — B/50 cartouches de 1,8 mL — Non Renouvelable — Liste I</w:t>
      </w:r>
    </w:p>
    <w:p>
      <w:pPr>
        <w:pStyle w:val="ListBullet"/>
      </w:pPr>
      <w:r/>
      <w:r>
        <w:rPr>
          <w:b/>
        </w:rPr>
        <w:t>XYLOCONTACT</w:t>
      </w:r>
      <w:r>
        <w:t xml:space="preserve"> (PRODUITS DENTAIRES PIERRE ROLLAND) — Crème pour usage dentaire 7,48 g/100 g — tube de 15 g — Non Renouvelable — Liste II</w:t>
      </w:r>
    </w:p>
    <w:p>
      <w:r/>
      <w:r>
        <w:rPr>
          <w:i/>
        </w:rPr>
        <w:t>Formes retirées (statut R) — pour mémoire historique :</w:t>
      </w:r>
      <w:r/>
    </w:p>
    <w:p>
      <w:pPr>
        <w:pStyle w:val="ListBullet"/>
      </w:pPr>
      <w:r/>
      <w:r>
        <w:rPr>
          <w:b/>
        </w:rPr>
        <w:t>XYLOCAINE</w:t>
      </w:r>
      <w:r>
        <w:t xml:space="preserve"> (ASTRA) — Solution injectable 0,01 — flacon de 20 mL — Retiré (R) — Liste II</w:t>
      </w:r>
    </w:p>
    <w:p>
      <w:pPr>
        <w:pStyle w:val="ListBullet"/>
      </w:pPr>
      <w:r/>
      <w:r>
        <w:rPr>
          <w:b/>
        </w:rPr>
        <w:t>XYLESTESIN-A</w:t>
      </w:r>
      <w:r>
        <w:t xml:space="preserve"> (3M ESPE) — Solution injectable 0,02 — B/50 cartouches de 1,7 mL — Retiré (R) — Liste II</w:t>
      </w:r>
    </w:p>
    <w:p>
      <w:pPr>
        <w:pStyle w:val="ListBullet"/>
      </w:pPr>
      <w:r/>
      <w:r>
        <w:rPr>
          <w:b/>
        </w:rPr>
        <w:t>NEOLIDOCATON</w:t>
      </w:r>
      <w:r>
        <w:t xml:space="preserve"> (WEIMER PHARMA) — Solution injectable 0,02 — B/50 cartouches — Retiré (R) — Liste II</w:t>
      </w:r>
    </w:p>
    <w:p>
      <w:pPr>
        <w:pStyle w:val="ListBullet"/>
      </w:pPr>
      <w:r/>
      <w:r>
        <w:rPr>
          <w:b/>
        </w:rPr>
        <w:t>XYLOCAINE</w:t>
      </w:r>
      <w:r>
        <w:t xml:space="preserve"> (ASTRA) — Solution injectable 0,02 — flacon de 20 mL — Retiré (R) — Liste II</w:t>
      </w:r>
    </w:p>
    <w:p>
      <w:pPr>
        <w:pStyle w:val="ListBullet"/>
      </w:pPr>
      <w:r/>
      <w:r>
        <w:rPr>
          <w:b/>
        </w:rPr>
        <w:t>XYLOCAINE</w:t>
      </w:r>
      <w:r>
        <w:t xml:space="preserve"> (ASTRA) — Solution non injectable 0,05 — flacon de 24 mL — Retiré (R) — Liste II</w:t>
      </w:r>
    </w:p>
    <w:p>
      <w:pPr>
        <w:pStyle w:val="ListBullet"/>
      </w:pPr>
      <w:r/>
      <w:r>
        <w:rPr>
          <w:b/>
        </w:rPr>
        <w:t>XYLOCAINE ADRENALINE</w:t>
      </w:r>
      <w:r>
        <w:t xml:space="preserve"> (ASTRA) — Solution injectable 0,01 + adrénaline — flacon de 20 mL — Retiré (R) — Liste I</w:t>
      </w:r>
    </w:p>
    <w:p>
      <w:pPr>
        <w:pStyle w:val="ListBullet"/>
      </w:pPr>
      <w:r/>
      <w:r>
        <w:rPr>
          <w:b/>
        </w:rPr>
        <w:t>XYLOCAINE ADRENALINE</w:t>
      </w:r>
      <w:r>
        <w:t xml:space="preserve"> (ASTRA) — Solution injectable 0,02 + adrénaline — flacon de 20 mL — Retiré (R) — Liste I</w:t>
      </w:r>
    </w:p>
    <w:p>
      <w:pPr>
        <w:pStyle w:val="ListBullet"/>
      </w:pPr>
      <w:r/>
      <w:r>
        <w:rPr>
          <w:b/>
        </w:rPr>
        <w:t>XYLOCAINE RACHIANESTHESIE</w:t>
      </w:r>
      <w:r>
        <w:t xml:space="preserve"> (ASTRA) — Solution injectable intrarachidienne 5 % / 7,5 % + glucose — B/20 flacons de 20 mL — Retiré (R) — Liste II</w:t>
      </w:r>
    </w:p>
    <w:p>
      <w:pPr>
        <w:pStyle w:val="ListBullet"/>
      </w:pPr>
      <w:r/>
      <w:r>
        <w:rPr>
          <w:b/>
        </w:rPr>
        <w:t>XYLONOR</w:t>
      </w:r>
      <w:r>
        <w:t xml:space="preserve"> (SEPTODENT) — Carpule 1,8 mL + noradrénaline — B/50 cartouches de 1,8 mL — Retiré (R) — Liste I</w:t>
      </w:r>
    </w:p>
    <w:p>
      <w:pPr>
        <w:pStyle w:val="ListBullet"/>
      </w:pPr>
      <w:r/>
      <w:r>
        <w:rPr>
          <w:b/>
        </w:rPr>
        <w:t>XYLOCAINE NAPHAZOLINE</w:t>
      </w:r>
      <w:r>
        <w:t xml:space="preserve"> (LABORATOIRES ASTRA ZENECA) — Solution injectable 5 %/0,02 % — flacon de 24 mL — Retiré (R) — Liste II</w:t>
      </w:r>
    </w:p>
    <w:p>
      <w:pPr>
        <w:pStyle w:val="ListBullet"/>
      </w:pPr>
      <w:r/>
      <w:r>
        <w:rPr>
          <w:b/>
        </w:rPr>
        <w:t>XYLOCAINE NEBULISEUR</w:t>
      </w:r>
      <w:r>
        <w:t xml:space="preserve"> (ASTRA) — Spray 0,05 — flacon de 20 g + 8 canules courtes — Retiré (R) — Liste II</w:t>
      </w:r>
    </w:p>
    <w:p>
      <w:pPr>
        <w:pStyle w:val="ListBullet"/>
      </w:pPr>
      <w:r/>
      <w:r>
        <w:rPr>
          <w:b/>
        </w:rPr>
        <w:t>LIOCAINE</w:t>
      </w:r>
      <w:r>
        <w:t xml:space="preserve"> (HAYAT PHARMACEUTICAL INDUSTRIES Co LTD) — Gel visqueux 0,02 — tube de 30 g — Retiré (R) — Liste II</w:t>
      </w:r>
    </w:p>
    <w:p>
      <w:pPr>
        <w:pStyle w:val="ListBullet"/>
      </w:pPr>
      <w:r/>
      <w:r>
        <w:rPr>
          <w:b/>
        </w:rPr>
        <w:t>XYLOCAINE VISQUEUSE</w:t>
      </w:r>
      <w:r>
        <w:t xml:space="preserve"> (LABORATOIRES ASTRA ZENECA) — Gel oral 0,02 — tube de 100 g — Retiré (R) — Liste II</w:t>
      </w:r>
    </w:p>
    <w:p>
      <w:pPr>
        <w:pStyle w:val="ListBullet"/>
      </w:pPr>
      <w:r/>
      <w:r>
        <w:rPr>
          <w:b/>
        </w:rPr>
        <w:t>EMLA 5 %</w:t>
      </w:r>
      <w:r>
        <w:t xml:space="preserve"> (ASTRA) — Crème lidocaïne/prilocaïne 2,5 g/2,5 g — tube de 5 g — Retiré (R) — Liste II</w:t>
      </w:r>
    </w:p>
    <w:p>
      <w:pPr>
        <w:pStyle w:val="ListBullet"/>
      </w:pPr>
      <w:r/>
      <w:r>
        <w:rPr>
          <w:b/>
        </w:rPr>
        <w:t>OTORALGYL A LA PHENYLEPHRINE</w:t>
      </w:r>
      <w:r>
        <w:t xml:space="preserve"> (MARTIN-JOHNSON&amp;JOHNSON-MSD) — Solution pour pulvérisation auriculaire (lidocaïne/phényléphrine/propionate de sodium) — flacon de 15 mL — Retiré (R)</w:t>
      </w:r>
    </w:p>
    <w:p>
      <w:r/>
      <w:r>
        <w:rPr>
          <w:b/>
        </w:rPr>
        <w:t>Sous-classe et Mécanisme d'action :</w:t>
      </w:r>
      <w:r/>
    </w:p>
    <w:p>
      <w:pPr>
        <w:pStyle w:val="ListBullet"/>
      </w:pPr>
      <w:r>
        <w:t>Sous-classe : (1) Anesthésique local de type amide (usage anesthésique local : infiltration, blocs nerveux, péridurale, rachianesthésie, dentaire, topique) ; (2) Antiarythmique de classe Ib selon Vaughan-Williams (usage IV en réanimation cardiologique).</w:t>
      </w:r>
    </w:p>
    <w:p>
      <w:pPr>
        <w:pStyle w:val="ListBullet"/>
      </w:pPr>
      <w:r>
        <w:t xml:space="preserve">Mécanisme d'action : La lidocaïne est un </w:t>
      </w:r>
      <w:r>
        <w:rPr>
          <w:b/>
        </w:rPr>
        <w:t>anesthésique local de type amide</w:t>
      </w:r>
      <w:r>
        <w:t xml:space="preserve"> dont la molécule comporte trois éléments structuraux : (a) une </w:t>
      </w:r>
      <w:r>
        <w:rPr>
          <w:b/>
        </w:rPr>
        <w:t>partie lipophile aromatique</w:t>
      </w:r>
      <w:r>
        <w:t xml:space="preserve"> (noyau xylidide 2,6-diméthyl) — responsable de la liposolubilité et du passage membranaire ; (b) un </w:t>
      </w:r>
      <w:r>
        <w:rPr>
          <w:b/>
        </w:rPr>
        <w:t>lien intermédiaire de type amide</w:t>
      </w:r>
      <w:r>
        <w:t xml:space="preserve"> (—NH—CO—) — qui distingue les amides (lidocaïne, bupivacaïne, ropivacaïne, prilocaïne, mépivacaïne) des esters (procaine, tétracaïne — plus allergisants et à métabolisme plasmatique par les cholinestérases) ; (c) une </w:t>
      </w:r>
      <w:r>
        <w:rPr>
          <w:b/>
        </w:rPr>
        <w:t>partie hydrophile terminale aminée</w:t>
      </w:r>
      <w:r>
        <w:t xml:space="preserve"> (groupe diéthylamino-éthyl) — responsable de la protonation et de la liaison au récepteur. Le mécanisme d'action électrophysiologique repose sur le </w:t>
      </w:r>
      <w:r>
        <w:rPr>
          <w:b/>
        </w:rPr>
        <w:t>bloc use-dependent des canaux sodiques voltage-dépendants</w:t>
      </w:r>
      <w:r>
        <w:t xml:space="preserve"> (NaV1.x). Pour pénétrer dans le canal et atteindre son site de liaison (au niveau du segment P-loop S6 du domaine IV), la lidocaïne doit être sous forme </w:t>
      </w:r>
      <w:r>
        <w:rPr>
          <w:b/>
        </w:rPr>
        <w:t>non ionisée (liposoluble)</w:t>
      </w:r>
      <w:r>
        <w:t xml:space="preserve"> — or le pKa de la lidocaïne (7,9) fait qu'à pH physiologique (7,4) environ 25 % de la molécule est non ionisée. À l'intérieur du canal, elle se </w:t>
      </w:r>
      <w:r>
        <w:rPr>
          <w:b/>
        </w:rPr>
        <w:t>protonne</w:t>
      </w:r>
      <w:r>
        <w:t xml:space="preserve"> (forme ionisée) et se lie au </w:t>
      </w:r>
      <w:r>
        <w:rPr>
          <w:b/>
        </w:rPr>
        <w:t>récepteur interne</w:t>
      </w:r>
      <w:r>
        <w:t xml:space="preserve"> (state-dependent binding), bloquant préférentiellement le canal à l'état </w:t>
      </w:r>
      <w:r>
        <w:rPr>
          <w:b/>
        </w:rPr>
        <w:t>ouvert (open-state)</w:t>
      </w:r>
      <w:r>
        <w:t xml:space="preserve"> ou </w:t>
      </w:r>
      <w:r>
        <w:rPr>
          <w:b/>
        </w:rPr>
        <w:t>inactivé (inactivated-state)</w:t>
      </w:r>
      <w:r>
        <w:t xml:space="preserve"> — d'où le bloc use-dependent (le bloc augmente aux fréquences cardiaques rapides) et le bloc state-dependent (le bloc est plus marqué en tissu dépolarisé/ischemique où les canaux restent inactivés plus longtemps, et où la dissociation entre deux potentiels d'action ne se fait pas — contrairement au tissu sain où la dissociation complète permet un retour à la conduction normale). Sur le myocarde, la lidocaïne : (1) raccourcit légèrement la durée du potentiel d'action (APD90) et la période réfractaire effective (ERP) — par bloc accessoire des canaux potassiques activés par l'ATP (K-ATP, Kir6.x) ouverts en ischémie ; (2) ralentit discrètement la vitesse de monteé de phase 0 (Vmax) ; (3) </w:t>
      </w:r>
      <w:r>
        <w:rPr>
          <w:b/>
        </w:rPr>
        <w:t>n'allonge pas le QT</w:t>
      </w:r>
      <w:r>
        <w:t xml:space="preserve"> (pas de risque torsadogène — différence majeure avec les Ia et III) ; (4) supprime les automatismes anormaux (ectopiques) en tissu ischémique sans déprimer le tissu sain. Sur le </w:t>
      </w:r>
      <w:r>
        <w:rPr>
          <w:b/>
        </w:rPr>
        <w:t>tissu nerveux périphérique</w:t>
      </w:r>
      <w:r>
        <w:t xml:space="preserve"> (action anesthésique), la lidocaïne bloque la conduction nerveuse en bloquant l'influx Na+ — fibres de petites diamètre (B, C : douleur, autonome) plus sensibles que fibres de gros diamètre (Aα : motrice, proprioceptive). La durée d'action est prolongée par l'</w:t>
      </w:r>
      <w:r>
        <w:rPr>
          <w:b/>
        </w:rPr>
        <w:t>adjonction d'adrénaline</w:t>
      </w:r>
      <w:r>
        <w:t xml:space="preserve"> (1:200 000) qui provoque une vasoconstriction locale, ralentit la résorption systémique, prolonge l'effet local et réduit la toxicité systémique — cette forme adrénalinée est strictement réservée à l'usage local (CI absolue pour usage IV antiarythmique).</w:t>
      </w:r>
    </w:p>
    <w:p>
      <w:r/>
      <w:r>
        <w:rPr>
          <w:b/>
        </w:rPr>
        <w:t>Profil Pharmacologique :</w:t>
      </w:r>
      <w:r/>
    </w:p>
    <w:p>
      <w:pPr>
        <w:pStyle w:val="ListBullet"/>
      </w:pPr>
      <w:r>
        <w:t xml:space="preserve">Indications : (1) </w:t>
      </w:r>
      <w:r>
        <w:rPr>
          <w:b/>
        </w:rPr>
        <w:t>Anesthésique local</w:t>
      </w:r>
      <w:r>
        <w:t xml:space="preserve"> — infiltration (chirurgie dermatologique, sutures, gestes mineurs), blocs nerveux périphériques (bloc intercostal, bloc axillaire, bloc fémoral, bloc sciatique), anesthésie péridurale et rachianesthésie (à noter : la lidocaïne hyperbare 5 % rachianesthésie n'est plus disponible en Algérie — retrait XYLOCAINE RACHIANESTHESIE), anesthésie dentaire (avec adrénaline 1:80 000), anesthésie de surface (gel urétral, gel buccal, crème cutanée EMLA-like pour ponction veineuse, actes courts chez l'enfant). (2) </w:t>
      </w:r>
      <w:r>
        <w:rPr>
          <w:b/>
        </w:rPr>
        <w:t>Antiarythmique IV classe Ib</w:t>
      </w:r>
      <w:r>
        <w:t xml:space="preserve"> — </w:t>
      </w:r>
      <w:r>
        <w:rPr>
          <w:b/>
        </w:rPr>
        <w:t>TV monomorphe soutenue</w:t>
      </w:r>
      <w:r>
        <w:t xml:space="preserve"> avec instabilité hémodynamique (en seconde ligne après amiodarone selon ESC 2020) ; </w:t>
      </w:r>
      <w:r>
        <w:rPr>
          <w:b/>
        </w:rPr>
        <w:t>TV réfractaire</w:t>
      </w:r>
      <w:r>
        <w:t xml:space="preserve"> à l'amiodarone, à la cardioversion électrique ; </w:t>
      </w:r>
      <w:r>
        <w:rPr>
          <w:b/>
        </w:rPr>
        <w:t>FV récidivante</w:t>
      </w:r>
      <w:r>
        <w:t xml:space="preserve"> post-CPRE en seconde ligne après amiodarone (ILCOR 2020) ; </w:t>
      </w:r>
      <w:r>
        <w:rPr>
          <w:b/>
        </w:rPr>
        <w:t>ESV ventriculaires menaçantes</w:t>
      </w:r>
      <w:r>
        <w:t xml:space="preserve"> post-infarctus (largement supplanté par l'amiodarone et les bêtabloquants). Posologie IV antiarythmique : bolus 1–1,5 mg/kg IV strict sur 2 min (max 100 mg par bolus), à répéter toutes les 5–10 min si récidive, max 3 mg/kg en 1 h ; relais par perfusion continue 1–4 mg/min (20–60 µg/kg/min) — à réduire chez le sujet âgé, l'insuffisant hépatique, l'insuffisant cardiaque (clairance réduite).</w:t>
      </w:r>
    </w:p>
    <w:p>
      <w:pPr>
        <w:pStyle w:val="ListBullet"/>
      </w:pPr>
      <w:r>
        <w:t xml:space="preserve">Contre-indications : (1) </w:t>
      </w:r>
      <w:r>
        <w:rPr>
          <w:b/>
        </w:rPr>
        <w:t>Allergie</w:t>
      </w:r>
      <w:r>
        <w:t xml:space="preserve"> aux anesthésiques locaux de type amide (rares, mais recherche systématique d'ATCD) ; (2) </w:t>
      </w:r>
      <w:r>
        <w:rPr>
          <w:b/>
        </w:rPr>
        <w:t>Bloc auriculo-ventriculaire (BAV) de haut degré</w:t>
      </w:r>
      <w:r>
        <w:t xml:space="preserve"> non appareillé (pour usage antiarythmique IV — risque d'asystolie) ; (3) </w:t>
      </w:r>
      <w:r>
        <w:rPr>
          <w:b/>
        </w:rPr>
        <w:t>Maladie de Stokes-Adams</w:t>
      </w:r>
      <w:r>
        <w:t xml:space="preserve"> (BAV paroxystique) ; (4) </w:t>
      </w:r>
      <w:r>
        <w:rPr>
          <w:b/>
        </w:rPr>
        <w:t>Insuffisance cardiaque sévère</w:t>
      </w:r>
      <w:r>
        <w:t xml:space="preserve"> (dépression myocardique additive, baisse du débit cardiaque) ; (5) </w:t>
      </w:r>
      <w:r>
        <w:rPr>
          <w:b/>
        </w:rPr>
        <w:t>Porphyrie</w:t>
      </w:r>
      <w:r>
        <w:t xml:space="preserve"> aiguë intermittente (la lidocaïne est porphyrinogénique — précaution) ; (6) Pour les formes adrénalinées : </w:t>
      </w:r>
      <w:r>
        <w:rPr>
          <w:b/>
        </w:rPr>
        <w:t>HTA non contrôlée</w:t>
      </w:r>
      <w:r>
        <w:t xml:space="preserve">, </w:t>
      </w:r>
      <w:r>
        <w:rPr>
          <w:b/>
        </w:rPr>
        <w:t>cardiopathie ischémique sévère</w:t>
      </w:r>
      <w:r>
        <w:t xml:space="preserve">, </w:t>
      </w:r>
      <w:r>
        <w:rPr>
          <w:b/>
        </w:rPr>
        <w:t>hyperthyroïdie non traitée</w:t>
      </w:r>
      <w:r>
        <w:t xml:space="preserve">, </w:t>
      </w:r>
      <w:r>
        <w:rPr>
          <w:b/>
        </w:rPr>
        <w:t>prise d'IMAO</w:t>
      </w:r>
      <w:r>
        <w:t xml:space="preserve"> (poussée hypertensive paradrénalinique). (7) Pour la lidocaïne IV en bolus antiarythmique : </w:t>
      </w:r>
      <w:r>
        <w:rPr>
          <w:b/>
        </w:rPr>
        <w:t>bradycardie sévère &lt; 50 bpm</w:t>
      </w:r>
      <w:r>
        <w:t xml:space="preserve"> (risque d'asystolie).</w:t>
      </w:r>
    </w:p>
    <w:p>
      <w:pPr>
        <w:pStyle w:val="ListBullet"/>
      </w:pPr>
      <w:r>
        <w:t xml:space="preserve">Effets Indésirables : (1) </w:t>
      </w:r>
      <w:r>
        <w:rPr>
          <w:b/>
        </w:rPr>
        <w:t>Toxicité systémique</w:t>
      </w:r>
      <w:r>
        <w:t xml:space="preserve"> du SNC (signes précoces, dose-dépendants) : circumoral paresthésie (fourmillements péribuccaux), goût métallique, acouphènes, somnolence, confusion, tremblements ; à doses plus élevées : </w:t>
      </w:r>
      <w:r>
        <w:rPr>
          <w:b/>
        </w:rPr>
        <w:t>convulsions tonico-cloniques</w:t>
      </w:r>
      <w:r>
        <w:t xml:space="preserve"> (&gt; 5 mg/L), coma, dépression respiratoire. Antidote : benzodiazépines IV (diazépam 10 mg ou clonazépam 1 mg), intubation si coma. (2) </w:t>
      </w:r>
      <w:r>
        <w:rPr>
          <w:b/>
        </w:rPr>
        <w:t>Toxicité cardiaque</w:t>
      </w:r>
      <w:r>
        <w:t xml:space="preserve"> (rare aux doses antiarythmiques usuelles) : bradycardie sinusale, hypotension, BAV, dépression myocardique, asystolie (à doses massives &gt; 10 mg/L). (3) </w:t>
      </w:r>
      <w:r>
        <w:rPr>
          <w:b/>
        </w:rPr>
        <w:t>Allergie</w:t>
      </w:r>
      <w:r>
        <w:t xml:space="preserve"> : urticaire, œdème de Quincke, choc anaphylactique (rare avec les amides, plus fréquent avec les esters). (4) </w:t>
      </w:r>
      <w:r>
        <w:rPr>
          <w:b/>
        </w:rPr>
        <w:t>Méthémoglobinémie</w:t>
      </w:r>
      <w:r>
        <w:t xml:space="preserve"> (surtout avec la prilocaïne — l'association lidocaïne/prilocaïne EMLA-like expose à un risque chez le nourrisson, dose-dépendant) — antidote : bleu de méthylène 1–2 mg/kg IV. (5) Pour la forme topique crème : </w:t>
      </w:r>
      <w:r>
        <w:rPr>
          <w:b/>
        </w:rPr>
        <w:t>pâleur locale, érythème</w:t>
      </w:r>
      <w:r>
        <w:t>, purpura (rare), methémoglobinémie chez le nourrisson &lt; 3 mois. (6) Pour les formes péridurales : rachianesthésie totale (hypotension sévère, bradycardie, collapsus), hématome péridural (CI aux anticoagulants à dose efficace), syndrome post-ponction lombaire (céphalées).</w:t>
      </w:r>
    </w:p>
    <w:p>
      <w:r/>
      <w:r>
        <w:rPr>
          <w:b/>
        </w:rPr>
        <w:t>Prévention et Gestion des Effets Indésirables :</w:t>
      </w:r>
      <w:r/>
    </w:p>
    <w:p>
      <w:pPr>
        <w:pStyle w:val="ListBullet"/>
      </w:pPr>
      <w:r>
        <w:t xml:space="preserve">Mesures Préventives : (a) </w:t>
      </w:r>
      <w:r>
        <w:rPr>
          <w:b/>
        </w:rPr>
        <w:t>Calcul rigoureux de la dose maximale</w:t>
      </w:r>
      <w:r>
        <w:t xml:space="preserve"> par patient : 3 mg/kg pour la lidocaïne simple (sans adrénaline), 7 mg/kg avec adrénaline (la vasoconstriction locale réduit la résorption systémique) — sans dépasser 500 mg (sans adrénaline) ou 1 g (avec adrénaline) par séance ; (b) </w:t>
      </w:r>
      <w:r>
        <w:rPr>
          <w:b/>
        </w:rPr>
        <w:t>Aspiration systématique</w:t>
      </w:r>
      <w:r>
        <w:t xml:space="preserve"> avant injection (recherche d'un reflux sanguin — signe de ponction intravasculaire accidentelle) pour éviter l'injection IV accidentelle massivement toxique ; (c) </w:t>
      </w:r>
      <w:r>
        <w:rPr>
          <w:b/>
        </w:rPr>
        <w:t>Injection lente et fractionnée</w:t>
      </w:r>
      <w:r>
        <w:t xml:space="preserve"> en surveillant la patient (interrogatoire régulier sur signes précoces de toxicité : fourmillements péribuccaux, goût métallique) ; (d) </w:t>
      </w:r>
      <w:r>
        <w:rPr>
          <w:b/>
        </w:rPr>
        <w:t>Vérification de l'absence d'allergie</w:t>
      </w:r>
      <w:r>
        <w:t xml:space="preserve"> (ATCD d'œdème de Quincke, choc anesthésique antérieur) ; (e) Pour la crème lidocaïne/prilocaïne : ne pas appliquer sur peau lésée, ne pas dépasser 1 g/10 cm², durée d'application 30–60 min sous pansement occlusif, </w:t>
      </w:r>
      <w:r>
        <w:rPr>
          <w:b/>
        </w:rPr>
        <w:t>CI chez le nourrisson &lt; 3 mois</w:t>
      </w:r>
      <w:r>
        <w:t xml:space="preserve"> (methémoglobinémie), usage prudent en anémie congénitale, déficit en G6PD ; (f) Pour l'usage antiarythmique IV : surveillance ECG continu (scope), voie veineuse périphérique franche, seringue électrique de perfusion continue calibrée, surveillance neurologique (convulsions) ; (g) Prémédication par benzodiazépine (diazépam 5–10 mg PO) en anesthésie loco-régionale à risque de toxicité systémique (blocs nerveux proximaux, péridurale) — élève le seuil convulsif.</w:t>
      </w:r>
    </w:p>
    <w:p>
      <w:pPr>
        <w:pStyle w:val="ListBullet"/>
      </w:pPr>
      <w:r>
        <w:t xml:space="preserve">Conduite à Tenir : En cas de </w:t>
      </w:r>
      <w:r>
        <w:rPr>
          <w:b/>
        </w:rPr>
        <w:t>signes précoces de toxicité systémique</w:t>
      </w:r>
      <w:r>
        <w:t xml:space="preserve"> (fourmillements, goût métallique) : </w:t>
      </w:r>
      <w:r>
        <w:rPr>
          <w:b/>
        </w:rPr>
        <w:t>arrêter immédiatement l'injection</w:t>
      </w:r>
      <w:r>
        <w:t xml:space="preserve">, surveillance, oxygène. En cas de </w:t>
      </w:r>
      <w:r>
        <w:rPr>
          <w:b/>
        </w:rPr>
        <w:t>convulsions</w:t>
      </w:r>
      <w:r>
        <w:t xml:space="preserve"> : diazépam 10 mg IV ou clonazépam 1 mg IV (renouvelable 1 fois), intubation si coma, ventilation mécanique. En cas de </w:t>
      </w:r>
      <w:r>
        <w:rPr>
          <w:b/>
        </w:rPr>
        <w:t>collapsus / dépression myocardique</w:t>
      </w:r>
      <w:r>
        <w:t xml:space="preserve"> : arrêt, remplissage vasculaire (cristalloïdes 500 mL), vasopresseurs (noradrénaline 0,05–0,5 µg/kg/min), adrénaline 0,5–1 mg IV si arrêt cardiaque. En cas de </w:t>
      </w:r>
      <w:r>
        <w:rPr>
          <w:b/>
        </w:rPr>
        <w:t>méthémoglobinémie</w:t>
      </w:r>
      <w:r>
        <w:t xml:space="preserve"> (cyanose résistante à l'O2, sang « chocolat ») : bleu de méthylène 1–2 mg/kg IV sur 5 min (renouvelable). En cas d'</w:t>
      </w:r>
      <w:r>
        <w:rPr>
          <w:b/>
        </w:rPr>
        <w:t>arrêt cardiaque par toxicité massive de lidocaïne</w:t>
      </w:r>
      <w:r>
        <w:t xml:space="preserve"> (anesthésie loco-régionale accidentelle) : protocole spécifique ALR — </w:t>
      </w:r>
      <w:r>
        <w:rPr>
          <w:b/>
        </w:rPr>
        <w:t>Intralipide 20 %</w:t>
      </w:r>
      <w:r>
        <w:t xml:space="preserve"> 1,5 mL/kg IV en bolus sur 1 min, suivi de perfusion 0,25 mL/kg/min pendant 30–60 min (lipide qui piège la lidocaïne dans une « phase lipidique » plasmatique — lipide rescue therapy). En cas d'</w:t>
      </w:r>
      <w:r>
        <w:rPr>
          <w:b/>
        </w:rPr>
        <w:t>allergie anaphylactique</w:t>
      </w:r>
      <w:r>
        <w:t xml:space="preserve"> : adrénaline 0,3 mg IM (adulte) ou 0,15 mg IM (enfant) dans la cuisse antéro-externe, antihistaminiques, corticoïdes, oxygène, remplissage.</w:t>
      </w:r>
    </w:p>
    <w:p>
      <w:r/>
      <w:r>
        <w:rPr>
          <w:b/>
        </w:rPr>
        <w:t>Interactions Importantes :</w:t>
      </w:r>
      <w:r/>
    </w:p>
    <w:p>
      <w:pPr>
        <w:pStyle w:val="ListBullet"/>
      </w:pPr>
      <w:r>
        <w:t xml:space="preserve">Lidocaïne + </w:t>
      </w:r>
      <w:r>
        <w:rPr>
          <w:b/>
        </w:rPr>
        <w:t>β-bloquants</w:t>
      </w:r>
      <w:r>
        <w:t xml:space="preserve"> (propranolol, métoprolol, bisoprolol) : diminution de la clairance hépatique de la lidocaïne (baisse du débit sanguin hépatique) → </w:t>
      </w:r>
      <w:r>
        <w:rPr>
          <w:b/>
        </w:rPr>
        <w:t>augmentation des concentrations → toxicité systémique</w:t>
      </w:r>
      <w:r>
        <w:t>. Réduire la dose d'entretien de 25–50 %.</w:t>
      </w:r>
    </w:p>
    <w:p>
      <w:pPr>
        <w:pStyle w:val="ListBullet"/>
      </w:pPr>
      <w:r>
        <w:t xml:space="preserve">Lidocaïne + </w:t>
      </w:r>
      <w:r>
        <w:rPr>
          <w:b/>
        </w:rPr>
        <w:t>Cimétidine</w:t>
      </w:r>
      <w:r>
        <w:t xml:space="preserve"> (anti-H2) : inhibition du CYP3A4 → augmentation concentrations lidocaïne. Surveillance.</w:t>
      </w:r>
    </w:p>
    <w:p>
      <w:pPr>
        <w:pStyle w:val="ListBullet"/>
      </w:pPr>
      <w:r>
        <w:t xml:space="preserve">Lidocaïne + </w:t>
      </w:r>
      <w:r>
        <w:rPr>
          <w:b/>
        </w:rPr>
        <w:t>Inhibiteurs du CYP3A4</w:t>
      </w:r>
      <w:r>
        <w:t xml:space="preserve"> (kétoconazole, itraconazole, ritonavir, clarithromycine, érythromycine, vérapamil, diltiazem) : augmentation concentrations → toxicité. Surveillance clinique et biologique.</w:t>
      </w:r>
    </w:p>
    <w:p>
      <w:pPr>
        <w:pStyle w:val="ListBullet"/>
      </w:pPr>
      <w:r>
        <w:t xml:space="preserve">Lidocaïne + </w:t>
      </w:r>
      <w:r>
        <w:rPr>
          <w:b/>
        </w:rPr>
        <w:t>Antiarythmiques Ia, Ic</w:t>
      </w:r>
      <w:r>
        <w:t xml:space="preserve"> (disopyramide, flécaïnide, propafénone) : addition des blocs Na+ → bradycardie, BAV, dépression myocardique. Association CI pour usage antiarythmique.</w:t>
      </w:r>
    </w:p>
    <w:p>
      <w:pPr>
        <w:pStyle w:val="ListBullet"/>
      </w:pPr>
      <w:r>
        <w:t xml:space="preserve">Lidocaïne + </w:t>
      </w:r>
      <w:r>
        <w:rPr>
          <w:b/>
        </w:rPr>
        <w:t>Antiarythmiques III</w:t>
      </w:r>
      <w:r>
        <w:t xml:space="preserve"> (amiodarone) : risque de bradycardie sévère, BAV, hypotension — utiliser avec prudence, surveillance ECG continue. ESC 2020 recommande de ne PAS utiliser la lidocaïne en relais immédiat de l'amiodarone (décaler de 1–2 h).</w:t>
      </w:r>
    </w:p>
    <w:p>
      <w:pPr>
        <w:pStyle w:val="ListBullet"/>
      </w:pPr>
      <w:r>
        <w:t xml:space="preserve">Lidocaïne + </w:t>
      </w:r>
      <w:r>
        <w:rPr>
          <w:b/>
        </w:rPr>
        <w:t>Inhibiteurs de la MAO</w:t>
      </w:r>
      <w:r>
        <w:t xml:space="preserve"> (formes adrénalinées) : poussée hypertensive paradrénalinique (l'IMAO empêche la dégradation de la noradrénaline issue du métabolisme de l'adrénaline). Respecter 14 jours de délai.</w:t>
      </w:r>
    </w:p>
    <w:p>
      <w:pPr>
        <w:pStyle w:val="ListBullet"/>
      </w:pPr>
      <w:r>
        <w:t xml:space="preserve">Lidocaïne + </w:t>
      </w:r>
      <w:r>
        <w:rPr>
          <w:b/>
        </w:rPr>
        <w:t>Anticoagulants oraux</w:t>
      </w:r>
      <w:r>
        <w:t xml:space="preserve"> (warfarine, AVK) : pas d'interaction systémique, mais risque de saignement accru en anesthésie loco-régionale profonde (hématome péridural) — contrôle INR &lt; 1,5 avant rachianesthésie/péridurale.</w:t>
      </w:r>
    </w:p>
    <w:p>
      <w:pPr>
        <w:pStyle w:val="ListBullet"/>
      </w:pPr>
      <w:r>
        <w:t xml:space="preserve">Lidocaïne + </w:t>
      </w:r>
      <w:r>
        <w:rPr>
          <w:b/>
        </w:rPr>
        <w:t>Suxaméthonium</w:t>
      </w:r>
      <w:r>
        <w:t xml:space="preserve"> (curare dépolarisant) : potentialisation du bloc neuromusculaire (la lidocaïne potentialise les curares par effet direct sur la jonction NM).</w:t>
      </w:r>
    </w:p>
    <w:p>
      <w:pPr>
        <w:pStyle w:val="ListBullet"/>
      </w:pPr>
      <w:r>
        <w:t xml:space="preserve">Lidocaïne (topique crème) + </w:t>
      </w:r>
      <w:r>
        <w:rPr>
          <w:b/>
        </w:rPr>
        <w:t>Antituberculeux (isoniazide, PAS)</w:t>
      </w:r>
      <w:r>
        <w:t xml:space="preserve"> : risque majoré de méthémoglobinémie (le métabolisme de la prilocaïne libère de l'o-toluidine, métabolite méthémoglobinisant).</w:t>
      </w:r>
    </w:p>
    <w:p>
      <w:r/>
      <w:r>
        <w:rPr>
          <w:b/>
        </w:rPr>
        <w:t>Grossesse et Allaitement :</w:t>
      </w:r>
      <w:r/>
    </w:p>
    <w:p>
      <w:pPr>
        <w:pStyle w:val="ListBullet"/>
      </w:pPr>
      <w:r>
        <w:t xml:space="preserve">Grossesse : Selon le CRAT, la lidocaïne (anesthésique local) est </w:t>
      </w:r>
      <w:r>
        <w:rPr>
          <w:b/>
        </w:rPr>
        <w:t>compatible pendant toute la grossesse</w:t>
      </w:r>
      <w:r>
        <w:t xml:space="preserve"> — c'est l'anesthésique local de référence chez la femme enceinte (avec la ropivacaïne et la bupivacaïne). À noter que la lidocaïne avec </w:t>
      </w:r>
      <w:r>
        <w:rPr>
          <w:b/>
        </w:rPr>
        <w:t>adrénaline</w:t>
      </w:r>
      <w:r>
        <w:t xml:space="preserve"> est également compatible à l'exception du risque de vasoconstriction utérine à fortes doses (à éviter en péridurale obstétricale si possible — préférer la forme sans adrénaline à concentration plus élevée). En usage IV antiarythmique, la lidocaïne traverse le placenta (rapport fœto-maternel ≈ 0,5–0,7) — elle a été utilisée comme antiarythmique maternelle en cas de TV menaçante pendant la grossesse (compatible selon CRAT, en l'absence d'alternatives) ; surveillance de la bradycardie fœtale. Préférer néanmoins en première intention un bêtabloquant ou l'amiodarone (en cas d'urgence vitale maternelle).</w:t>
      </w:r>
    </w:p>
    <w:p>
      <w:pPr>
        <w:pStyle w:val="ListBullet"/>
      </w:pPr>
      <w:r>
        <w:t xml:space="preserve">Allaitement : Selon le CRAT, la lidocaïne est </w:t>
      </w:r>
      <w:r>
        <w:rPr>
          <w:b/>
        </w:rPr>
        <w:t>compatible avec l'allaitement</w:t>
      </w:r>
      <w:r>
        <w:t xml:space="preserve"> en usage anesthésique local ponctuel (faible passage dans le lait, demi-vie courte de 1,5–2 h, attendre 4 h après une anesthésie loco-régionale pour reprendre l'allaitement). En usage IV antiarythmique prolongé (perfusion continue), à évaluer au cas par cas — généralement éviter par prudence (accumulation possible).</w:t>
      </w:r>
    </w:p>
    <w:p>
      <w:pPr>
        <w:pStyle w:val="ListBullet"/>
      </w:pPr>
      <w:r>
        <w:t>Précisions : La prilocaïne (associée dans la crème EMLA-like) est à éviter au 3e trimestre (methémoglobinémie fœtale).</w:t>
      </w:r>
    </w:p>
    <w:p>
      <w:r/>
      <w:r>
        <w:rPr>
          <w:b/>
        </w:rPr>
        <w:t>Posologie et Mode d'administration (Standard) :</w:t>
      </w:r>
      <w:r/>
    </w:p>
    <w:p>
      <w:r/>
      <w:r>
        <w:rPr>
          <w:i/>
        </w:rPr>
        <w:t>Usage anesthésique local :</w:t>
      </w:r>
      <w:r/>
    </w:p>
    <w:p>
      <w:pPr>
        <w:pStyle w:val="ListBullet"/>
      </w:pPr>
      <w:r>
        <w:t>Infiltration cutanée et sous-cutanée : 0,5–1 % (5–10 mg/mL), dose maximale 3 mg/kg sans adrénaline (≈ 200 mg adulte), 7 mg/kg avec adrénaline 1:200 000 (≈ 500 mg adulte), max 500 mg sans adrénaline ou 1 g avec adrénaline par séance.</w:t>
      </w:r>
    </w:p>
    <w:p>
      <w:pPr>
        <w:pStyle w:val="ListBullet"/>
      </w:pPr>
      <w:r>
        <w:t>Blocs nerveux périphériques : 1–1,5 % (10–15 mg/mL), doses variables selon le bloc (axillaire 20–40 mL à 1 %, intercostal 2–5 mL/côté à 1 %, fémoral 15–25 mL à 1 %).</w:t>
      </w:r>
    </w:p>
    <w:p>
      <w:pPr>
        <w:pStyle w:val="ListBullet"/>
      </w:pPr>
      <w:r>
        <w:t>Anesthésie dentaire : 2 % avec adrénaline 1:80 000 (1 carpule de 1,8 mL contient 36 mg lidocaïne + 22,5 µg adrénaline) — 1 à 6 carpules par séance selon le geste.</w:t>
      </w:r>
    </w:p>
    <w:p>
      <w:pPr>
        <w:pStyle w:val="ListBullet"/>
      </w:pPr>
      <w:r>
        <w:t>Anesthésie péridurale : 1,5–2 % (15–20 mg/mL), volume 15–25 mL selon le niveau visé.</w:t>
      </w:r>
    </w:p>
    <w:p>
      <w:pPr>
        <w:pStyle w:val="ListBullet"/>
      </w:pPr>
      <w:r>
        <w:t>Rachianesthésie : lidocaïne 5 % hyperbare (avec glucose 7,5 %) — non disponible en Algérie (retrait XYLOCAINE RACHIANESTHESIE), utiliser alternative (bupivacaïne hyperbare).</w:t>
      </w:r>
    </w:p>
    <w:p>
      <w:pPr>
        <w:pStyle w:val="ListBullet"/>
      </w:pPr>
      <w:r>
        <w:t>Topique crème lidocaïne/prilocaïne 5 % : application 1–2 g/10 cm² sous pansement occlusif 30–60 min avant le geste (ponction veineuse, acte cutané court).</w:t>
      </w:r>
    </w:p>
    <w:p>
      <w:pPr>
        <w:pStyle w:val="ListBullet"/>
      </w:pPr>
      <w:r>
        <w:t>Gel urétral 2 % : 5–10 mL instillé dans l'urètre 5–10 min avant sondage.</w:t>
      </w:r>
    </w:p>
    <w:p>
      <w:pPr>
        <w:pStyle w:val="ListBullet"/>
      </w:pPr>
      <w:r>
        <w:t>Spray 5–10 % : 1–3 pulvérisations 1 min avant geste oropharyngé (intubation, fibroscopie).</w:t>
      </w:r>
    </w:p>
    <w:p>
      <w:r/>
      <w:r>
        <w:rPr>
          <w:i/>
        </w:rPr>
        <w:t>Usage antiarythmique IV :</w:t>
      </w:r>
      <w:r/>
    </w:p>
    <w:p>
      <w:pPr>
        <w:pStyle w:val="ListBullet"/>
      </w:pPr>
      <w:r>
        <w:t xml:space="preserve">Adulte : bolus 1–1,5 mg/kg IV strict sur 2 min (max 100 mg par bolus), à répéter toutes les 5–10 min si récidive, max 3 mg/kg en 1 h (≈ 200 mg total). Relais par </w:t>
      </w:r>
      <w:r>
        <w:rPr>
          <w:b/>
        </w:rPr>
        <w:t>perfusion continue</w:t>
      </w:r>
      <w:r>
        <w:t xml:space="preserve"> 1–4 mg/min (20–60 µg/kg/min) — à débuter immédiatement après le bolus pour éviter le creux de concentration (demi-vie de distribution initiale ≈ 8–10 min). Surveillance ECG continue, scope, voie veineuse franche.</w:t>
      </w:r>
    </w:p>
    <w:p>
      <w:pPr>
        <w:pStyle w:val="ListBullet"/>
      </w:pPr>
      <w:r>
        <w:t>Sujet âgé : réduire dose de 25 % (clairance hépatique réduite par baisse du débit sanguin hépatique).</w:t>
      </w:r>
    </w:p>
    <w:p>
      <w:pPr>
        <w:pStyle w:val="ListBullet"/>
      </w:pPr>
      <w:r>
        <w:t>Insuffisant cardiaque : réduire dose d'entretien à 0,5–2 mg/min (clairance hépatique réduite).</w:t>
      </w:r>
    </w:p>
    <w:p>
      <w:pPr>
        <w:pStyle w:val="ListBullet"/>
      </w:pPr>
      <w:r>
        <w:t>Insuffisant hépatique : réduire dose de 50 %, surveillance STP (cible 1,5–5 mg/L).</w:t>
      </w:r>
    </w:p>
    <w:p>
      <w:pPr>
        <w:pStyle w:val="ListBullet"/>
      </w:pPr>
      <w:r>
        <w:t>Enfant : bolus 1 mg/kg IV, perfusion 20–50 µg/kg/min.</w:t>
      </w:r>
    </w:p>
    <w:p>
      <w:r/>
      <w:r>
        <w:rPr>
          <w:i/>
        </w:rPr>
        <w:t>Durée :</w:t>
      </w:r>
      <w:r/>
    </w:p>
    <w:p>
      <w:pPr>
        <w:pStyle w:val="ListBullet"/>
      </w:pPr>
      <w:r>
        <w:t>Anesthésique local : durée d'action 30–60 min (sans adrénaline), 60–120 min (avec adrénaline).</w:t>
      </w:r>
    </w:p>
    <w:p>
      <w:pPr>
        <w:pStyle w:val="ListBullet"/>
      </w:pPr>
      <w:r>
        <w:t>Antiarythmique IV : perfusion continue 24–72 h en moyenne, relais par antiarythmique oral (amiodarone) à 24–48 h si arythmie persistante.</w:t>
      </w:r>
    </w:p>
    <w:p>
      <w:r/>
      <w:r>
        <w:rPr>
          <w:b/>
        </w:rPr>
        <w:t>Arbitrage et Bénéfices des Formes Galéniques :</w:t>
      </w:r>
      <w:r/>
    </w:p>
    <w:p>
      <w:r>
        <w:t xml:space="preserve">La lidocaïne est disponible en Algérie sous de très nombreuses formes galéniques : (1) </w:t>
      </w:r>
      <w:r>
        <w:rPr>
          <w:b/>
        </w:rPr>
        <w:t>solutions injectables pures 1 % (10 mg/mL) et 2 % (20 mg/mL)</w:t>
      </w:r>
      <w:r>
        <w:t xml:space="preserve"> — pour usage anesthésique local (infiltration, blocs, péridurale) et usage antiarythmique IV (uniquement la forme 1 %, sans adrénaline) ; (2) </w:t>
      </w:r>
      <w:r>
        <w:rPr>
          <w:b/>
        </w:rPr>
        <w:t>solutions adrénalinées</w:t>
      </w:r>
      <w:r>
        <w:t xml:space="preserve"> — strictement réservées à l'usage dentaire (1:80 000) ou à certains blocs nerveux ; (3) </w:t>
      </w:r>
      <w:r>
        <w:rPr>
          <w:b/>
        </w:rPr>
        <w:t>crème lidocaïne/prilocaïne 5 %</w:t>
      </w:r>
      <w:r>
        <w:t xml:space="preserve"> (EMLA-like) — anesthésie cutanée muqueuse en surface (BIOMLA, NEOMLA, ANESDERM) ; (4) </w:t>
      </w:r>
      <w:r>
        <w:rPr>
          <w:b/>
        </w:rPr>
        <w:t>gel urétral 2 %</w:t>
      </w:r>
      <w:r>
        <w:t xml:space="preserve"> (visqueux) — anesthésie urétrale pour sondage ; (5) </w:t>
      </w:r>
      <w:r>
        <w:rPr>
          <w:b/>
        </w:rPr>
        <w:t>spray 5 %</w:t>
      </w:r>
      <w:r>
        <w:t xml:space="preserve"> — anesthésie oropharyngée (XYLOCAINE NEBULISEUR, retiré). </w:t>
      </w:r>
      <w:r>
        <w:rPr>
          <w:b/>
        </w:rPr>
        <w:t>Pour l'usage antiarythmique IV</w:t>
      </w:r>
      <w:r>
        <w:t xml:space="preserve">, seules les </w:t>
      </w:r>
      <w:r>
        <w:rPr>
          <w:b/>
        </w:rPr>
        <w:t>solutions pures 1 % sans adrénaline</w:t>
      </w:r>
      <w:r>
        <w:t xml:space="preserve"> sont utilisables (LIDOCAINE BIOTHERA 1 %, LIDOCAINE RAZES 1 %, UNICAINE 1 %). Les formes 2 % peuvent être utilisées mais nécessitent une dilution préalable (2 mL de 2 % dans 8 mL de NaCl 0,9 % pour obtenir 4 mg/mL) — à éviter par sécurité, préférer directement la forme 1 %. Les formes adrénalinées sont </w:t>
      </w:r>
      <w:r>
        <w:rPr>
          <w:b/>
        </w:rPr>
        <w:t>strictement CI en usage IV antiarythmique</w:t>
      </w:r>
      <w:r>
        <w:t xml:space="preserve"> (risque de poussée hypertensive, de TV/FV paradrénalinique, d'ischémie myocardique sévère par vasoconstriction coronaire). À l'officine, la dispensation de la lidocaïne 1 % pure pour usage antiarythmique relève d'une </w:t>
      </w:r>
      <w:r>
        <w:rPr>
          <w:b/>
        </w:rPr>
        <w:t>ordonnance hospitalière de réanimation cardiologique</w:t>
      </w:r>
      <w:r>
        <w:t xml:space="preserve"> (Liste II en Algérie pour les formes pures 1 % et 2 % — ordonnance ordinaire valable 6 mois).</w:t>
      </w:r>
    </w:p>
    <w:p>
      <w:r/>
      <w:r>
        <w:rPr>
          <w:b/>
        </w:rPr>
        <w:t>Instructions et Conseils au Patient :</w:t>
      </w:r>
      <w:r/>
    </w:p>
    <w:p>
      <w:pPr>
        <w:pStyle w:val="ListBullet"/>
      </w:pPr>
      <w:r>
        <w:t>Communication au comptoir (anesthésique local) : « Ce médicament (lidocaïne) est un anesthésique local. Il sera injecté ou appliqué sur la peau par votre médecin ou votre dentiste pour endormir la zone à traiter. Signalez-lui immédiatement si vous avez des fourmillements autour de la bouche, un goût métallique, des bourdonnements d'oreilles, des vertiges, des tremblements — signes d'effet indésirable à surveiller. Prévenez aussi si vous avez déjà fait une réaction allergique à un anesthésique local, si vous prenez des médicaments pour le cœur ou si vous êtes enceinte. »</w:t>
      </w:r>
    </w:p>
    <w:p>
      <w:pPr>
        <w:pStyle w:val="ListBullet"/>
      </w:pPr>
      <w:r>
        <w:t>Communication au comptoir (crème lidocaïne/prilocaïne) : « Cette crème est un anesthésique local cutané à appliquer 30–60 minutes avant le geste (prise de sang, vaccin, petit acte cutané). Mettez une couche épaisse (1–2 g pour 10 cm²) sous le pansement occlusif fourni. Ne pas appliquer sur une peau lésée, sur les yeux, dans le nez, dans la bouche. Retirez la crème juste avant le geste. Ne pas réutiliser sur la même zone dans les 12 heures. Tenir hors de portée des enfants (risque d'ingestion accidentelle grave). »</w:t>
      </w:r>
    </w:p>
    <w:p>
      <w:pPr>
        <w:pStyle w:val="ListBullet"/>
      </w:pPr>
      <w:r>
        <w:t>Mode d'utilisation pratique : (1) Crème : se laver les mains, appliquer en couche épaisse, couvrir avec le pansement occlusif fourni, ne pas masser, noter l'heure d'application, retirer au bout de 30–60 min, nettoyer la zone avant le geste. (2) Solution injectable : manipulation strictement médicale (médecin ou infirmier). Conservation à température &lt; 25 °C, à l'abri de la lumière. Ne pas congeler. Conservation 3 ans.</w:t>
      </w:r>
    </w:p>
    <w:p>
      <w:r/>
      <w:r>
        <w:rPr>
          <w:b/>
        </w:rPr>
        <w:t>Notes, Règles d'Or &amp; Pièges au Comptoir :</w:t>
      </w:r>
      <w:r/>
    </w:p>
    <w:p>
      <w:pPr>
        <w:pStyle w:val="ListBullet"/>
      </w:pPr>
      <w:r/>
      <w:r>
        <w:rPr>
          <w:b/>
        </w:rPr>
        <w:t>Piège classique — Forme adrénalinée pour usage antiarythmique IV</w:t>
      </w:r>
      <w:r>
        <w:t xml:space="preserve"> : </w:t>
      </w:r>
      <w:r>
        <w:rPr>
          <w:b/>
        </w:rPr>
        <w:t>erreur iatrogène potentiellement fatale</w:t>
      </w:r>
      <w:r>
        <w:t xml:space="preserve"> — l'injection IV accidentelle d'une forme adrénalinée (XYLOCAINE ADRENALINE, EPICAINE, XILONIBSA, ADRECAINE-GEO) à un patient en TV/FV peut déclencher une poussée hypertensive, une ischémie myocardique aiguë (vasoconstriction coronaire), une TV/FV paradrénalinique réfractaire. À l'officine, en cas de prescription de lidocaïne pour « usage antiarythmique » ou « TV / FV », </w:t>
      </w:r>
      <w:r>
        <w:rPr>
          <w:b/>
        </w:rPr>
        <w:t>délivrer exclusivement la forme pure 1 % sans adrénaline</w:t>
      </w:r>
      <w:r>
        <w:t xml:space="preserve"> (LIDOCAINE BIOTHERA 1 %, LIDOCAINE RAZES 1 %, UNICAINE 1 %) et apposer la mention « POUR USAGE IV ANTIARYTHMIQUE — NE PAS SUBSTITUER PAR FORME ADRENALINEE ».</w:t>
      </w:r>
    </w:p>
    <w:p>
      <w:pPr>
        <w:pStyle w:val="ListBullet"/>
      </w:pPr>
      <w:r/>
      <w:r>
        <w:rPr>
          <w:b/>
        </w:rPr>
        <w:t>Piège — Calcul de la dose maximale</w:t>
      </w:r>
      <w:r>
        <w:t xml:space="preserve"> : à l'officine, vérifier pour les anesthésiques locaux la dose totale prescrite (concentration × volume) par rapport au poids du patient — 3 mg/kg sans adrénaline, 7 mg/kg avec adrénaline. Exemple : pour un patient de 70 kg, dose maximale 210 mg sans adrénaline = 21 mL de lidocaïne 1 % (10 mg/mL) ; pour un dentiste utilisant des carpules de 1,8 mL à 2 % (36 mg/carpule) avec adrénaline 1:80 000, dose max ≈ 14 carpules.</w:t>
      </w:r>
    </w:p>
    <w:p>
      <w:pPr>
        <w:pStyle w:val="ListBullet"/>
      </w:pPr>
      <w:r/>
      <w:r>
        <w:rPr>
          <w:b/>
        </w:rPr>
        <w:t>Piège — Toxicité systémique ALR</w:t>
      </w:r>
      <w:r>
        <w:t xml:space="preserve"> : devant des signes précoces (fourmillements péribuccaux, goût métallique, tremblements) chez un patient sous anesthésie loco-régionale, arrêt immédiat de l'injection, oxygène, surveillance. En cas de convulsions : diazépam 10 mg IV. En cas d'arrêt cardiaque (toxicité massive) : protocole Intralipide 20 % (1,5 mL/kg IV bolus, puis 0,25 mL/kg/min) — doit être disponible dans tous les blocs d'anesthésie et les services d'urgence.</w:t>
      </w:r>
    </w:p>
    <w:p>
      <w:pPr>
        <w:pStyle w:val="ListBullet"/>
      </w:pPr>
      <w:r/>
      <w:r>
        <w:rPr>
          <w:b/>
        </w:rPr>
        <w:t>Piège — Allergie croisée</w:t>
      </w:r>
      <w:r>
        <w:t xml:space="preserve"> : les allergies aux anesthésiques locaux amides (lidocaïne, bupivacaïne, prilocaïne) sont rares (les allergies vraies sont souvent dues aux conservateurs — métabisulfite, parabens — ou à l'ester comme la procaine). Rechercher systématiquement un ATCD d'allergie anesthésique.</w:t>
      </w:r>
    </w:p>
    <w:p>
      <w:pPr>
        <w:pStyle w:val="ListBullet"/>
      </w:pPr>
      <w:r/>
      <w:r>
        <w:rPr>
          <w:b/>
        </w:rPr>
        <w:t>Piège — Méthémoglobinémie (prilocaïne)</w:t>
      </w:r>
      <w:r>
        <w:t xml:space="preserve"> : la crème lidocaïne/prilocaïne 5 % (BIOMLA, NEOMLA, ANESDERM) contient de la prilocaïne — dont le métabolisme libère de l'o-toluidine, méthémoglobinisante. CI chez le nourrisson &lt; 3 mois, prudence chez le nourrisson &lt; 12 mois, en cas d'anémie, de déficit en G6PD, de traitement par sulfamides/nitrites.</w:t>
      </w:r>
    </w:p>
    <w:p>
      <w:pPr>
        <w:pStyle w:val="ListBullet"/>
      </w:pPr>
      <w:r/>
      <w:r>
        <w:rPr>
          <w:b/>
        </w:rPr>
        <w:t>Piège — Crème EMLA-like sur peau lésée</w:t>
      </w:r>
      <w:r>
        <w:t xml:space="preserve"> : application sur peau lésée ou muqueuse (bouche, nez, œil) → résorption systémique massive → toxicité. CI stricte.</w:t>
      </w:r>
    </w:p>
    <w:p>
      <w:pPr>
        <w:pStyle w:val="ListBullet"/>
      </w:pPr>
      <w:r/>
      <w:r>
        <w:rPr>
          <w:b/>
        </w:rPr>
        <w:t>Règle de prise</w:t>
      </w:r>
      <w:r>
        <w:t xml:space="preserve"> : pour usage antiarythmique IV, bolus 1–1,5 mg/kg IV sur 2 min + perfusion continue 1–4 mg/min — sans dépasser 3 mg/kg en 1 h.</w:t>
      </w:r>
    </w:p>
    <w:p>
      <w:pPr>
        <w:pStyle w:val="ListBullet"/>
      </w:pPr>
      <w:r/>
      <w:r>
        <w:rPr>
          <w:b/>
        </w:rPr>
        <w:t>Préparation et Conservation</w:t>
      </w:r>
      <w:r>
        <w:t xml:space="preserve"> : solutions injectables — à température &lt; 25 °C, à l'abri de la lumière, ne pas congeler. Crème — tube bien refermé, conservation 3 ans à température ambiante. Sprays — à l'abri de la chaleur et des flammes (pressurisés).</w:t>
      </w:r>
    </w:p>
    <w:p>
      <w:pPr>
        <w:pStyle w:val="ListBullet"/>
      </w:pPr>
      <w:r/>
      <w:r>
        <w:rPr>
          <w:b/>
        </w:rPr>
        <w:t>Piège du surdosage / Substitution</w:t>
      </w:r>
      <w:r>
        <w:t xml:space="preserve"> : substitution interdite entre formes pures et adrénalinées — risque vital. Signalement systématique au centre antipoison en cas de surdosage accidentel. Substitution entre génériques de lidocaïne pure possible (mêmes concentrations, même formulation).</w:t>
      </w:r>
    </w:p>
    <w:p>
      <w:pPr>
        <w:pStyle w:val="Heading2"/>
      </w:pPr>
      <w:r>
        <w:t>Sous-classe : Antiarythmiques classe Ic — Bloqueurs des canaux sodiques à cinétique lente avec marquée dépression de la conduction</w:t>
      </w:r>
    </w:p>
    <w:p>
      <w:r>
        <w:t xml:space="preserve">La </w:t>
      </w:r>
      <w:r>
        <w:rPr>
          <w:b/>
        </w:rPr>
        <w:t>classe Ic</w:t>
      </w:r>
      <w:r>
        <w:t xml:space="preserve"> de Vaughan-Williams regroupe les molécules bloquant les canaux sodiques voltage-dépendants (NaV1.5) avec une </w:t>
      </w:r>
      <w:r>
        <w:rPr>
          <w:b/>
        </w:rPr>
        <w:t>cinétique d'association/dissociation lente</w:t>
      </w:r>
      <w:r>
        <w:t xml:space="preserve"> (τ_recovery &gt; 10 s, parfois 30 s). Cette cinétique lente signifie que le bloc </w:t>
      </w:r>
      <w:r>
        <w:rPr>
          <w:b/>
        </w:rPr>
        <w:t>ne se dissocie pas complètement entre deux potentiels d'action</w:t>
      </w:r>
      <w:r>
        <w:t xml:space="preserve">, même aux fréquences cardiaques physiologiques — d'où une </w:t>
      </w:r>
      <w:r>
        <w:rPr>
          <w:b/>
        </w:rPr>
        <w:t>dépression marquée de la conduction</w:t>
      </w:r>
      <w:r>
        <w:t xml:space="preserve"> à tous les niveaux (atriale, nodale, His-Purkinje, ventriculaire), objectivée sur l'ECG par un </w:t>
      </w:r>
      <w:r>
        <w:rPr>
          <w:b/>
        </w:rPr>
        <w:t>élargissement du QRS</w:t>
      </w:r>
      <w:r>
        <w:t xml:space="preserve"> (parfois très marqué, jusqu'à 50 % à doses thérapeutiques). Contrairement aux Ia, les Ic n'allongent pas (ou peu) le QTc (pas de bloc K+ accessoire) — d'où un </w:t>
      </w:r>
      <w:r>
        <w:rPr>
          <w:b/>
        </w:rPr>
        <w:t>faible risque torsadogène</w:t>
      </w:r>
      <w:r>
        <w:t xml:space="preserve"> mais un </w:t>
      </w:r>
      <w:r>
        <w:rPr>
          <w:b/>
        </w:rPr>
        <w:t>risque proarythmique spécifique</w:t>
      </w:r>
      <w:r>
        <w:t xml:space="preserve"> lié au ralentissement de conduction (réentrée facilitée par allongement de la durée du QRS — notamment en cas de cicatrice myocardique).</w:t>
      </w:r>
    </w:p>
    <w:p>
      <w:r>
        <w:t xml:space="preserve">Les molécules de cette classe sont la </w:t>
      </w:r>
      <w:r>
        <w:rPr>
          <w:b/>
        </w:rPr>
        <w:t>flécaïnide</w:t>
      </w:r>
      <w:r>
        <w:t xml:space="preserve"> (introduite en 1982 — fluorobenzamine), la </w:t>
      </w:r>
      <w:r>
        <w:rPr>
          <w:b/>
        </w:rPr>
        <w:t>propafénone</w:t>
      </w:r>
      <w:r>
        <w:t xml:space="preserve"> (introduite en 1980 — analogue de structure proche de la flécaïnide avec une activité β-bloquante intrinsèque faible), et la </w:t>
      </w:r>
      <w:r>
        <w:rPr>
          <w:b/>
        </w:rPr>
        <w:t>morizicine</w:t>
      </w:r>
      <w:r>
        <w:t xml:space="preserve"> (non commercialisée en Algérie). La classe a connu un </w:t>
      </w:r>
      <w:r>
        <w:rPr>
          <w:b/>
        </w:rPr>
        <w:t>tournant majeur en 1989</w:t>
      </w:r>
      <w:r>
        <w:t xml:space="preserve"> avec la publication de l'essai </w:t>
      </w:r>
      <w:r>
        <w:rPr>
          <w:b/>
        </w:rPr>
        <w:t>CAST (Cardiac Arrhythmia Suppression Trial)</w:t>
      </w:r>
      <w:r>
        <w:t xml:space="preserve"> qui a démontré une </w:t>
      </w:r>
      <w:r>
        <w:rPr>
          <w:b/>
        </w:rPr>
        <w:t>surmortalité par FV récurrente chez les patients coronariens post-infarctus traités par flécaïnide ou encainide</w:t>
      </w:r>
      <w:r>
        <w:t xml:space="preserve"> (vs placebo) — malgré la suppression efficace des ESV. Cette démonstration a conduit à une </w:t>
      </w:r>
      <w:r>
        <w:rPr>
          <w:b/>
        </w:rPr>
        <w:t>restriction stricte des indications</w:t>
      </w:r>
      <w:r>
        <w:t xml:space="preserve"> : la classe Ic est désormais </w:t>
      </w:r>
      <w:r>
        <w:rPr>
          <w:b/>
        </w:rPr>
        <w:t>CI en cas de cardiopathie structurelle</w:t>
      </w:r>
      <w:r>
        <w:t xml:space="preserve"> (post-infarctus, IC avec FEVG &lt; 40%, hypertrophie ventriculaire marquée). Ses indications sont aujourd'hui limitées aux </w:t>
      </w:r>
      <w:r>
        <w:rPr>
          <w:b/>
        </w:rPr>
        <w:t>arythmies supraventriculaires sur cœur sain</w:t>
      </w:r>
      <w:r>
        <w:t xml:space="preserve"> : FA paroxystique (stratégie « pilule dans la poche » — </w:t>
      </w:r>
      <w:r>
        <w:rPr>
          <w:i/>
        </w:rPr>
        <w:t>pill in the pocket</w:t>
      </w:r>
      <w:r>
        <w:t>), flutter atrial istmique, TJR avec faisceau accessoire (Wolf-Parkinson-White) en prévention des récidives, ESV ventriculaires bénignes symptomatiques sur cœur sain.</w:t>
      </w:r>
    </w:p>
    <w:p>
      <w:r>
        <w:t>Les particularités de la classe Ic sont :</w:t>
      </w:r>
    </w:p>
    <w:p>
      <w:pPr>
        <w:pStyle w:val="ListBullet"/>
      </w:pPr>
      <w:r>
        <w:t xml:space="preserve">Action </w:t>
      </w:r>
      <w:r>
        <w:rPr>
          <w:b/>
        </w:rPr>
        <w:t>use-dependent</w:t>
      </w:r>
      <w:r>
        <w:t xml:space="preserve"> : le bloc Na+ augmente aux fréquences cardiaques rapides (TV, FA), avec ralentissement marqué de conduction atriale (élargissement onde P) et ventriculaire (élargissement QRS).</w:t>
      </w:r>
    </w:p>
    <w:p>
      <w:pPr>
        <w:pStyle w:val="ListBullet"/>
      </w:pPr>
      <w:r/>
      <w:r>
        <w:rPr>
          <w:b/>
        </w:rPr>
        <w:t>Effet proarythmique majeur en cardiopathie structurelle</w:t>
      </w:r>
      <w:r>
        <w:t xml:space="preserve"> (essai CAST) — CI absolue en post-IDM et IC.</w:t>
      </w:r>
    </w:p>
    <w:p>
      <w:pPr>
        <w:pStyle w:val="ListBullet"/>
      </w:pPr>
      <w:r/>
      <w:r>
        <w:rPr>
          <w:b/>
        </w:rPr>
        <w:t>Allongement du PR et du QRS</w:t>
      </w:r>
      <w:r>
        <w:t xml:space="preserve"> (effet direct sur la conduction), sans allongement significatif du QTc.</w:t>
      </w:r>
    </w:p>
    <w:p>
      <w:pPr>
        <w:pStyle w:val="ListBullet"/>
      </w:pPr>
      <w:r/>
      <w:r>
        <w:rPr>
          <w:b/>
        </w:rPr>
        <w:t>Effet inotrope négatif</w:t>
      </w:r>
      <w:r>
        <w:t xml:space="preserve"> modéré (dépression myocardique) — précaution en cas de FEVG borderline.</w:t>
      </w:r>
    </w:p>
    <w:p>
      <w:pPr>
        <w:pStyle w:val="ListBullet"/>
      </w:pPr>
      <w:r>
        <w:t xml:space="preserve">Propafénone : </w:t>
      </w:r>
      <w:r>
        <w:rPr>
          <w:b/>
        </w:rPr>
        <w:t>activité β-bloquante intrinsèque</w:t>
      </w:r>
      <w:r>
        <w:t xml:space="preserve"> faible (2,5 à 5 % du propranolol) — d'où une bradycardie sinusale et un risque de bronchospasme (précaution en cas d'asthme).</w:t>
      </w:r>
    </w:p>
    <w:p>
      <w:pPr>
        <w:pStyle w:val="ListBullet"/>
      </w:pPr>
      <w:r>
        <w:t>Métabolisme polymorphique CYP2D6 pour la propafénone (avec métaboliseurs ultra-rapides exposés à la toxicité et métaboliseurs lents exposés à l'inefficacité — cf. Task 23 codéine/tramadol pour la pharmacogénétique CYP2D6).</w:t>
      </w:r>
    </w:p>
    <w:p>
      <w:pPr>
        <w:pStyle w:val="ListBullet"/>
      </w:pPr>
      <w:r/>
      <w:r>
        <w:rPr>
          <w:b/>
        </w:rPr>
        <w:t>Demi-vie plasmatique modérée</w:t>
      </w:r>
      <w:r>
        <w:t xml:space="preserve"> (flécaïnide 12–27 h, propafénone 5–8 h) — permettant une bithérapie (flécaïnide) ou une trithérapie (propafénone) quotidienne.</w:t>
      </w:r>
    </w:p>
    <w:p>
      <w:r>
        <w:t xml:space="preserve">La classe Ic en Algérie est représentée par deux DCIs : la </w:t>
      </w:r>
      <w:r>
        <w:rPr>
          <w:b/>
        </w:rPr>
        <w:t>flécaïnide</w:t>
      </w:r>
      <w:r>
        <w:t xml:space="preserve"> (sous forme d'acétate — comprimés sécables 100 mg et gélules LP 50/100/200 mg) et la </w:t>
      </w:r>
      <w:r>
        <w:rPr>
          <w:b/>
        </w:rPr>
        <w:t>propafénone</w:t>
      </w:r>
      <w:r>
        <w:t xml:space="preserve"> (sous forme de chlorhydrate — comprimés pelliculés 300 mg, en statut Non Renouvelable). La </w:t>
      </w:r>
      <w:r>
        <w:rPr>
          <w:b/>
        </w:rPr>
        <w:t>flécaïnide</w:t>
      </w:r>
      <w:r>
        <w:t xml:space="preserve"> dispose d'une </w:t>
      </w:r>
      <w:r>
        <w:rPr>
          <w:b/>
        </w:rPr>
        <w:t>forme à libération prolongée</w:t>
      </w:r>
      <w:r>
        <w:t xml:space="preserve"> (FLECAINE LP 50/100/200 mg — gélules LP), particulièrement utile pour l'observance en traitement chronique (mono-quotidienne pour la dose 200 mg). La prescription est réservée à la </w:t>
      </w:r>
      <w:r>
        <w:rPr>
          <w:b/>
        </w:rPr>
        <w:t>cardiologie spécialisée rythmologique</w:t>
      </w:r>
      <w:r>
        <w:t>, en Liste I.</w:t>
      </w:r>
    </w:p>
    <w:p>
      <w:pPr>
        <w:pStyle w:val="Heading3"/>
      </w:pPr>
      <w:r>
        <w:t>3. DCI : Flécaïnide (Acétate) (Seule)</w:t>
      </w:r>
    </w:p>
    <w:p>
      <w:r/>
      <w:r>
        <w:rPr>
          <w:b/>
        </w:rPr>
        <w:t>Liste des Catégories :</w:t>
      </w:r>
      <w:r>
        <w:t xml:space="preserve"> Antiarythmiques classe Ic (Vaughan-Williams) ; Antiarythmique supraventriculaire et ventriculaire (sujet à cœur sain).</w:t>
      </w:r>
    </w:p>
    <w:p>
      <w:r>
        <w:t xml:space="preserve">La flécaïnide (N-(2-pipéridinylméthyl)-2,5-bis(2,2,2-trifluoroéthoxy)benzamide acétate) est un antiarythmique de classe Ic introduit en clinique en 1982. Sa structure chimique particulière (groupes trifluoroéthoxy sur le noyau benzamide) lui confère une </w:t>
      </w:r>
      <w:r>
        <w:rPr>
          <w:b/>
        </w:rPr>
        <w:t>très forte affinité pour le canal sodique NaV1.5</w:t>
      </w:r>
      <w:r>
        <w:t xml:space="preserve"> à l'état ouvert, avec une </w:t>
      </w:r>
      <w:r>
        <w:rPr>
          <w:b/>
        </w:rPr>
        <w:t>cinétique de dissociation extrêmement lente</w:t>
      </w:r>
      <w:r>
        <w:t xml:space="preserve"> (τ_recovery ≈ 10–30 s) — d'où une dépression marquée et persistante de la conduction. La molécule existe sous forme d'</w:t>
      </w:r>
      <w:r>
        <w:rPr>
          <w:b/>
        </w:rPr>
        <w:t>acétate</w:t>
      </w:r>
      <w:r>
        <w:t xml:space="preserve"> (forme orale disponible en Algérie) ou de chlorhydrate (forme IV — non disponible en Algérie). Sa </w:t>
      </w:r>
      <w:r>
        <w:rPr>
          <w:b/>
        </w:rPr>
        <w:t>demi-vie plasmatique est longue</w:t>
      </w:r>
      <w:r>
        <w:t xml:space="preserve"> (12–27 h, moyenne 14 h chez le sujet sain, allongée à 20–30 h en insuffisance rénale ou cardiaque), permettant une </w:t>
      </w:r>
      <w:r>
        <w:rPr>
          <w:b/>
        </w:rPr>
        <w:t>bithérapie quotidienne</w:t>
      </w:r>
      <w:r>
        <w:t xml:space="preserve"> en forme immédiate ou une </w:t>
      </w:r>
      <w:r>
        <w:rPr>
          <w:b/>
        </w:rPr>
        <w:t>mono-thérapie quotidienne</w:t>
      </w:r>
      <w:r>
        <w:t xml:space="preserve"> en forme LP à 200 mg. Sa commercialisation a été marquée par l'essai </w:t>
      </w:r>
      <w:r>
        <w:rPr>
          <w:b/>
        </w:rPr>
        <w:t>CAST (1989)</w:t>
      </w:r>
      <w:r>
        <w:t xml:space="preserve"> qui a démontré une surmortalité par FV récurrente chez les coronariens post-IDM traités par flécaïnide (vs placebo) — conduisant à la </w:t>
      </w:r>
      <w:r>
        <w:rPr>
          <w:b/>
        </w:rPr>
        <w:t>CI absolue en cardiopathie structurelle</w:t>
      </w:r>
      <w:r>
        <w:t xml:space="preserve"> et à la restriction des indications aux arythmies supraventriculaires sur cœur sain. La flécaïnide est aujourd'hui un traitement de référence de la </w:t>
      </w:r>
      <w:r>
        <w:rPr>
          <w:b/>
        </w:rPr>
        <w:t>FA paroxystique sur cœur sain</w:t>
      </w:r>
      <w:r>
        <w:t xml:space="preserve"> — particulièrement en stratégie « pilule dans la poche » (</w:t>
      </w:r>
      <w:r>
        <w:rPr>
          <w:i/>
        </w:rPr>
        <w:t>pill in the pocket</w:t>
      </w:r>
      <w:r>
        <w:t>) où le patient prend une dose unique de flécaïnide (200–300 mg PO) au début de la crise pour termination en 1–3 h (efficacité 50–80 %), évitant le recours systématique aux urgences.</w:t>
      </w:r>
    </w:p>
    <w:p>
      <w:r/>
      <w:r>
        <w:rPr>
          <w:b/>
        </w:rPr>
        <w:t>Médicaments disponibles en Algérie (Marques, Laboratoires, Formes et Dosages) :</w:t>
      </w:r>
      <w:r/>
    </w:p>
    <w:p>
      <w:r/>
      <w:r>
        <w:rPr>
          <w:i/>
        </w:rPr>
        <w:t>Forme orale à libération immédiate (comprimés sécables 100 mg) :</w:t>
      </w:r>
      <w:r/>
    </w:p>
    <w:p>
      <w:pPr>
        <w:pStyle w:val="ListBullet"/>
      </w:pPr>
      <w:r/>
      <w:r>
        <w:rPr>
          <w:b/>
        </w:rPr>
        <w:t>EURITM 100</w:t>
      </w:r>
      <w:r>
        <w:t xml:space="preserve"> (LABORATOIRES MERINAL)</w:t>
      </w:r>
    </w:p>
    <w:p>
      <w:pPr>
        <w:pStyle w:val="ListBullet"/>
      </w:pPr>
      <w:r>
        <w:t>Formes et Dosages : Comprimé sécable 100 mg ; boîte de 30</w:t>
      </w:r>
    </w:p>
    <w:p>
      <w:pPr>
        <w:pStyle w:val="ListBullet"/>
      </w:pPr>
      <w:r>
        <w:t>Statut : Actif — Liste I</w:t>
      </w:r>
    </w:p>
    <w:p>
      <w:pPr>
        <w:pStyle w:val="ListBullet"/>
      </w:pPr>
      <w:r/>
      <w:r>
        <w:rPr>
          <w:b/>
        </w:rPr>
        <w:t>FLECACARD</w:t>
      </w:r>
      <w:r>
        <w:t xml:space="preserve"> (NOVAPHARM TRADING)</w:t>
      </w:r>
    </w:p>
    <w:p>
      <w:pPr>
        <w:pStyle w:val="ListBullet"/>
      </w:pPr>
      <w:r>
        <w:t>Formes et Dosages : Comprimé sécable 100 mg ; boîte de 30</w:t>
      </w:r>
    </w:p>
    <w:p>
      <w:pPr>
        <w:pStyle w:val="ListBullet"/>
      </w:pPr>
      <w:r>
        <w:t>Statut : Actif — Liste I</w:t>
      </w:r>
    </w:p>
    <w:p>
      <w:pPr>
        <w:pStyle w:val="ListBullet"/>
      </w:pPr>
      <w:r/>
      <w:r>
        <w:rPr>
          <w:b/>
        </w:rPr>
        <w:t>FLECALUR</w:t>
      </w:r>
      <w:r>
        <w:t xml:space="preserve"> (HIKMA PHARMA ALGERIA)</w:t>
      </w:r>
    </w:p>
    <w:p>
      <w:pPr>
        <w:pStyle w:val="ListBullet"/>
      </w:pPr>
      <w:r>
        <w:t>Formes et Dosages : Comprimé sécable 100 mg ; boîte de 30</w:t>
      </w:r>
    </w:p>
    <w:p>
      <w:pPr>
        <w:pStyle w:val="ListBullet"/>
      </w:pPr>
      <w:r>
        <w:t>Statut : Actif — Liste I</w:t>
      </w:r>
    </w:p>
    <w:p>
      <w:pPr>
        <w:pStyle w:val="ListBullet"/>
      </w:pPr>
      <w:r/>
      <w:r>
        <w:rPr>
          <w:b/>
        </w:rPr>
        <w:t>FLECAR</w:t>
      </w:r>
      <w:r>
        <w:t xml:space="preserve"> (LABORATOIRES MM)</w:t>
      </w:r>
    </w:p>
    <w:p>
      <w:pPr>
        <w:pStyle w:val="ListBullet"/>
      </w:pPr>
      <w:r>
        <w:t>Formes et Dosages : Comprimé sécable 100 mg ; boîte de 30</w:t>
      </w:r>
    </w:p>
    <w:p>
      <w:pPr>
        <w:pStyle w:val="ListBullet"/>
      </w:pPr>
      <w:r>
        <w:t>Statut : Actif — Liste I</w:t>
      </w:r>
    </w:p>
    <w:p>
      <w:r/>
      <w:r>
        <w:rPr>
          <w:i/>
        </w:rPr>
        <w:t>Forme orale à libération prolongée (gélules LP 50, 100 et 200 mg) :</w:t>
      </w:r>
      <w:r/>
    </w:p>
    <w:p>
      <w:pPr>
        <w:pStyle w:val="ListBullet"/>
      </w:pPr>
      <w:r/>
      <w:r>
        <w:rPr>
          <w:b/>
        </w:rPr>
        <w:t>FLECAINE LP 50</w:t>
      </w:r>
      <w:r>
        <w:t xml:space="preserve"> (LABORATOIRES MEDA PHARMA)</w:t>
      </w:r>
    </w:p>
    <w:p>
      <w:pPr>
        <w:pStyle w:val="ListBullet"/>
      </w:pPr>
      <w:r>
        <w:t>Formes et Dosages : Gélule à libération prolongée 50 mg ; boîte de 30</w:t>
      </w:r>
    </w:p>
    <w:p>
      <w:pPr>
        <w:pStyle w:val="ListBullet"/>
      </w:pPr>
      <w:r>
        <w:t>Statut : Actif — Liste I</w:t>
      </w:r>
    </w:p>
    <w:p>
      <w:pPr>
        <w:pStyle w:val="ListBullet"/>
      </w:pPr>
      <w:r/>
      <w:r>
        <w:rPr>
          <w:b/>
        </w:rPr>
        <w:t>FLECAINE LP 100</w:t>
      </w:r>
      <w:r>
        <w:t xml:space="preserve"> (LABORATOIRES MEDA PHARMA)</w:t>
      </w:r>
    </w:p>
    <w:p>
      <w:pPr>
        <w:pStyle w:val="ListBullet"/>
      </w:pPr>
      <w:r>
        <w:t>Formes et Dosages : Gélule à libération prolongée 100 mg ; boîte de 30</w:t>
      </w:r>
    </w:p>
    <w:p>
      <w:pPr>
        <w:pStyle w:val="ListBullet"/>
      </w:pPr>
      <w:r>
        <w:t>Statut : Actif — Liste I</w:t>
      </w:r>
    </w:p>
    <w:p>
      <w:pPr>
        <w:pStyle w:val="ListBullet"/>
      </w:pPr>
      <w:r/>
      <w:r>
        <w:rPr>
          <w:b/>
        </w:rPr>
        <w:t>FLECAINE LP 200</w:t>
      </w:r>
      <w:r>
        <w:t xml:space="preserve"> (LABORATOIRES MEDA PHARMA)</w:t>
      </w:r>
    </w:p>
    <w:p>
      <w:pPr>
        <w:pStyle w:val="ListBullet"/>
      </w:pPr>
      <w:r>
        <w:t>Formes et Dosages : Gélule à libération prolongée 200 mg ; boîte de 30</w:t>
      </w:r>
    </w:p>
    <w:p>
      <w:pPr>
        <w:pStyle w:val="ListBullet"/>
      </w:pPr>
      <w:r>
        <w:t>Statut : Actif — Liste I</w:t>
      </w:r>
    </w:p>
    <w:p>
      <w:r/>
      <w:r>
        <w:rPr>
          <w:i/>
        </w:rPr>
        <w:t>Formes retirées (statut R) :</w:t>
      </w:r>
      <w:r/>
    </w:p>
    <w:p>
      <w:pPr>
        <w:pStyle w:val="ListBullet"/>
      </w:pPr>
      <w:r/>
      <w:r>
        <w:rPr>
          <w:b/>
        </w:rPr>
        <w:t>FLECAINE 100</w:t>
      </w:r>
      <w:r>
        <w:t xml:space="preserve"> (3M SANTE)</w:t>
      </w:r>
    </w:p>
    <w:p>
      <w:pPr>
        <w:pStyle w:val="ListBullet"/>
      </w:pPr>
      <w:r>
        <w:t>Formes et Dosages : Comprimé 100 mg ; boîte de 30</w:t>
      </w:r>
    </w:p>
    <w:p>
      <w:pPr>
        <w:pStyle w:val="ListBullet"/>
      </w:pPr>
      <w:r>
        <w:t>Statut : Retiré (R) — Liste I</w:t>
      </w:r>
    </w:p>
    <w:p>
      <w:r/>
      <w:r>
        <w:rPr>
          <w:b/>
        </w:rPr>
        <w:t>Sous-classe et Mécanisme d'action :</w:t>
      </w:r>
      <w:r/>
    </w:p>
    <w:p>
      <w:pPr>
        <w:pStyle w:val="ListBullet"/>
      </w:pPr>
      <w:r>
        <w:t>Sous-classe : Antiarythmique de classe Ic selon Vaughan-Williams — bloqueur des canaux sodiques voltage-dépendants à cinétique lente, avec marquée dépression de la conduction.</w:t>
      </w:r>
    </w:p>
    <w:p>
      <w:pPr>
        <w:pStyle w:val="ListBullet"/>
      </w:pPr>
      <w:r>
        <w:t xml:space="preserve">Mécanisme d'action : La flécaïnide se lie à l'état ouvert (open-state) du canal sodique voltage-dépendant </w:t>
      </w:r>
      <w:r>
        <w:rPr>
          <w:b/>
        </w:rPr>
        <w:t>NaV1.5</w:t>
      </w:r>
      <w:r>
        <w:t xml:space="preserve"> (sous-unité α, gène *SCN5A*), au niveau du segment S6 du domaine IV (site récepteur proche de celui de la lidocaïne mais avec une affinité supérieure et une dissociation beaucoup plus lente). Sa </w:t>
      </w:r>
      <w:r>
        <w:rPr>
          <w:b/>
        </w:rPr>
        <w:t>constante de dissociation τ_recovery &gt; 10 s</w:t>
      </w:r>
      <w:r>
        <w:t xml:space="preserve"> est la plus lente de toutes les classes I — d'où le bloc </w:t>
      </w:r>
      <w:r>
        <w:rPr>
          <w:b/>
        </w:rPr>
        <w:t>use-dependent marqué</w:t>
      </w:r>
      <w:r>
        <w:t xml:space="preserve"> aux fréquences cardiaques rapides (TV, FA) et la </w:t>
      </w:r>
      <w:r>
        <w:rPr>
          <w:b/>
        </w:rPr>
        <w:t>dépression de conduction à toutes les fréquences</w:t>
      </w:r>
      <w:r>
        <w:t xml:space="preserve"> (effet state-independent partiel). Sur le plan électrophysiologique : (1) </w:t>
      </w:r>
      <w:r>
        <w:rPr>
          <w:b/>
        </w:rPr>
        <w:t>diminution marquée de la Vmax de phase 0</w:t>
      </w:r>
      <w:r>
        <w:t xml:space="preserve"> dans les cellules de Purkinje et myocardiques ventriculaires (effet direct sur le canal Na+) — avec ralentissement de conduction atriale (élargissement onde P), nodale His-Purkinje (allongement PR, élargissement QRS dose-dépendant) et ventriculaire ; (2) </w:t>
      </w:r>
      <w:r>
        <w:rPr>
          <w:b/>
        </w:rPr>
        <w:t>allongement de la période réfractaire effective (ERP)</w:t>
      </w:r>
      <w:r>
        <w:t xml:space="preserve"> atriale, nodale et ventriculaire — sans allongement significatif de l'APD ni du QTc (peu d'effet sur les canaux K+ Kr/Ks) ; (3) </w:t>
      </w:r>
      <w:r>
        <w:rPr>
          <w:b/>
        </w:rPr>
        <w:t>effet inotrope négatif</w:t>
      </w:r>
      <w:r>
        <w:t xml:space="preserve"> modéré (dépression myocardique directe — dose-dépendant) — d'où la CI en IC décompensée et la précaution si FEVG &lt; 40 % ; (4) </w:t>
      </w:r>
      <w:r>
        <w:rPr>
          <w:b/>
        </w:rPr>
        <w:t>effet proarythmique</w:t>
      </w:r>
      <w:r>
        <w:t xml:space="preserve"> spécifique lié au ralentissement de conduction (réentrée facilitée par allongement QRS) — notamment en cas de cicatrice myocardique (post-IDM, cardiomyopathie ischémique, dilatée ou hypertrophique). À noter que la flécaïnide a une </w:t>
      </w:r>
      <w:r>
        <w:rPr>
          <w:b/>
        </w:rPr>
        <w:t>affinité pour le canal hERG (KCNH2)</w:t>
      </w:r>
      <w:r>
        <w:t xml:space="preserve"> plus faible que les Ia et III — d'où le faible risque torsadogène.</w:t>
      </w:r>
    </w:p>
    <w:p>
      <w:r/>
      <w:r>
        <w:rPr>
          <w:b/>
        </w:rPr>
        <w:t>Profil Pharmacologique :</w:t>
      </w:r>
      <w:r/>
    </w:p>
    <w:p>
      <w:pPr>
        <w:pStyle w:val="ListBullet"/>
      </w:pPr>
      <w:r>
        <w:t xml:space="preserve">Indications : (1) </w:t>
      </w:r>
      <w:r>
        <w:rPr>
          <w:b/>
        </w:rPr>
        <w:t>FA paroxystique sur cœur sain</w:t>
      </w:r>
      <w:r>
        <w:t xml:space="preserve"> — prévention des récidives (traitement de fond) ou termination de la crise (stratégie « pilule dans la poche » — *pill in the pocket*) chez le patient sélectionné (FA paroxystique bien tolérée hémodynamiquement, peu fréquente, durée &lt; 48 h, absence de cardiopathie structurelle, patient formé et éduqué) ; (2) </w:t>
      </w:r>
      <w:r>
        <w:rPr>
          <w:b/>
        </w:rPr>
        <w:t>Flutter atrial istmique</w:t>
      </w:r>
      <w:r>
        <w:t xml:space="preserve"> paroxystique sur cœur sain (en association à un bêtabloquant pour éviter la *1:1 conduction* — risque de TV/FV par transformation en FA avec conduction accélérée) ; (3) </w:t>
      </w:r>
      <w:r>
        <w:rPr>
          <w:b/>
        </w:rPr>
        <w:t>TJR avec faisceau accessoire</w:t>
      </w:r>
      <w:r>
        <w:t xml:space="preserve"> (Wolf-Parkinson-White) en prévention des récidives (alternative à l'ablation par radiofréquence) ; (4) </w:t>
      </w:r>
      <w:r>
        <w:rPr>
          <w:b/>
        </w:rPr>
        <w:t>ESV ventriculaires bénignes symptomatiques</w:t>
      </w:r>
      <w:r>
        <w:t xml:space="preserve"> sur cœur sain (seconde ligne après bêtabloquant). Posologie : comprimés 100 mg — 100 mg x 2/j (matin et soir), max 200 mg x 2/j = 400 mg/j ; gélules LP — 200 mg en 1 prise quotidienne (matin), ou 100–150 mg x 2/j selon l'indication et le profil de tolérance. Stratégie *pill in the pocket* : 200–300 mg PO en prise unique dès les premiers symptômes de FA (sans dépasser 300 mg/j dans cette stratégie).</w:t>
      </w:r>
    </w:p>
    <w:p>
      <w:pPr>
        <w:pStyle w:val="ListBullet"/>
      </w:pPr>
      <w:r>
        <w:t xml:space="preserve">Contre-indications : (1) </w:t>
      </w:r>
      <w:r>
        <w:rPr>
          <w:b/>
        </w:rPr>
        <w:t>Cardiopathie structurelle</w:t>
      </w:r>
      <w:r>
        <w:t xml:space="preserve"> : post-infarctus du myocarde (CI absolue depuis l'essai CAST 1989 — surmortalité par FV récurrente), cardiomyopathie ischémique, cardiomyopathie dilatée avec FEVG &lt; 40 %, hypertrophie ventriculaire marquée (HVG &gt; 14 mm) ; (2) </w:t>
      </w:r>
      <w:r>
        <w:rPr>
          <w:b/>
        </w:rPr>
        <w:t>Insuffisance cardiaque décompensée</w:t>
      </w:r>
      <w:r>
        <w:t xml:space="preserve"> (effet inotrope négatif) ; (3) </w:t>
      </w:r>
      <w:r>
        <w:rPr>
          <w:b/>
        </w:rPr>
        <w:t>BAV de haut degré</w:t>
      </w:r>
      <w:r>
        <w:t xml:space="preserve"> non appareillé (risque d'asystolie) ; (4) </w:t>
      </w:r>
      <w:r>
        <w:rPr>
          <w:b/>
        </w:rPr>
        <w:t>Bradycardie sinusale</w:t>
      </w:r>
      <w:r>
        <w:t xml:space="preserve"> &lt; 50 bpm non appareillée ; (5) </w:t>
      </w:r>
      <w:r>
        <w:rPr>
          <w:b/>
        </w:rPr>
        <w:t>Syndrome de Brugada</w:t>
      </w:r>
      <w:r>
        <w:t xml:space="preserve"> connu ou suspecté (la flécaïnide peut démasquer ou aggraver un type 1 — utilisé comme test provocatif à dose réduite en milieu spécialisé) ; (6) </w:t>
      </w:r>
      <w:r>
        <w:rPr>
          <w:b/>
        </w:rPr>
        <w:t>Allongement du QTc</w:t>
      </w:r>
      <w:r>
        <w:t xml:space="preserve"> (&gt; 440 ms homme, &gt; 460 ms femme) ; (7) </w:t>
      </w:r>
      <w:r>
        <w:rPr>
          <w:b/>
        </w:rPr>
        <w:t>Hypokaliémie</w:t>
      </w:r>
      <w:r>
        <w:t xml:space="preserve"> non corrigée ; (8) </w:t>
      </w:r>
      <w:r>
        <w:rPr>
          <w:b/>
        </w:rPr>
        <w:t>Insuffisance rénale sévère</w:t>
      </w:r>
      <w:r>
        <w:t xml:space="preserve"> (DFG &lt; 20 mL/min) sans adaptation posologique ; (9) Association CI aux </w:t>
      </w:r>
      <w:r>
        <w:rPr>
          <w:b/>
        </w:rPr>
        <w:t>autres antiarythmiques Ia, Ic, III</w:t>
      </w:r>
      <w:r>
        <w:t xml:space="preserve"> (amiodarone, sotalol), aux </w:t>
      </w:r>
      <w:r>
        <w:rPr>
          <w:b/>
        </w:rPr>
        <w:t>macrolides</w:t>
      </w:r>
      <w:r>
        <w:t xml:space="preserve"> (clarithromycine, érythromycine — allongent QT et inhibent CYP3A4), aux </w:t>
      </w:r>
      <w:r>
        <w:rPr>
          <w:b/>
        </w:rPr>
        <w:t>fluoroquinolones</w:t>
      </w:r>
      <w:r>
        <w:t xml:space="preserve"> (moxifloxacine) ; (10) </w:t>
      </w:r>
      <w:r>
        <w:rPr>
          <w:b/>
        </w:rPr>
        <w:t>Myasthénie</w:t>
      </w:r>
      <w:r>
        <w:t xml:space="preserve"> (effet direct sur la jonction NM) ; (11) Grossesse (cf. infra) ; (12) Allaitement.</w:t>
      </w:r>
    </w:p>
    <w:p>
      <w:pPr>
        <w:pStyle w:val="ListBullet"/>
      </w:pPr>
      <w:r>
        <w:t xml:space="preserve">Effets Indésirables : (1) </w:t>
      </w:r>
      <w:r>
        <w:rPr>
          <w:b/>
        </w:rPr>
        <w:t>Proarythmie ventriculaire</w:t>
      </w:r>
      <w:r>
        <w:t xml:space="preserve"> (1–5 %) — risque majeur en cardiopathie structurelle (FV, TV soutenue), justifiant la CI absolue ; à surveiller par ECG (élargissement QRS &gt; 25 % de la valeur initiale → arrêt) ; (2) </w:t>
      </w:r>
      <w:r>
        <w:rPr>
          <w:b/>
        </w:rPr>
        <w:t>Élargissement du QRS</w:t>
      </w:r>
      <w:r>
        <w:t xml:space="preserve"> (constant, dose-dépendant — surveillance ECG obligatoire) ; (3) </w:t>
      </w:r>
      <w:r>
        <w:rPr>
          <w:b/>
        </w:rPr>
        <w:t>Allongement du PR</w:t>
      </w:r>
      <w:r>
        <w:t xml:space="preserve"> (fréquent, modéré) ; (4) </w:t>
      </w:r>
      <w:r>
        <w:rPr>
          <w:b/>
        </w:rPr>
        <w:t>Bradycardie sinusale</w:t>
      </w:r>
      <w:r>
        <w:t xml:space="preserve">, BAV (rare), asystolie (rare, en association aux β-bloquants) ; (5) </w:t>
      </w:r>
      <w:r>
        <w:rPr>
          <w:b/>
        </w:rPr>
        <w:t>Effet inotrope négatif</w:t>
      </w:r>
      <w:r>
        <w:t xml:space="preserve"> — décompensation d'IC latente ; (6) </w:t>
      </w:r>
      <w:r>
        <w:rPr>
          <w:b/>
        </w:rPr>
        <w:t>Troubles visuels</w:t>
      </w:r>
      <w:r>
        <w:t xml:space="preserve"> (très caractéristiques de la flécaînide, 5–15 %) : vision floue, scintillements, halos lumineux, photophobie, diplopie — bénins et réversibles à l'arrêt, liés à un effet direct sur les canaux Na+ rétiniens ; (7) </w:t>
      </w:r>
      <w:r>
        <w:rPr>
          <w:b/>
        </w:rPr>
        <w:t>Troubles digestifs</w:t>
      </w:r>
      <w:r>
        <w:t xml:space="preserve"> : nausées, vomissements, douleurs épigastriques ; (8) </w:t>
      </w:r>
      <w:r>
        <w:rPr>
          <w:b/>
        </w:rPr>
        <w:t>Symptômes neurologiques</w:t>
      </w:r>
      <w:r>
        <w:t xml:space="preserve"> : vertiges, céphalées, paresthésies, ataxie, tremblements, confusion (sujet âgé) ; (9) </w:t>
      </w:r>
      <w:r>
        <w:rPr>
          <w:b/>
        </w:rPr>
        <w:t>Torsades de pointe</w:t>
      </w:r>
      <w:r>
        <w:t xml:space="preserve"> (très rare, décrit en cas d'association à torsadogène ou d'hypokaliémie) ; (10) </w:t>
      </w:r>
      <w:r>
        <w:rPr>
          <w:b/>
        </w:rPr>
        <w:t>Pancytopénie, thrombopénie, agranulocytose</w:t>
      </w:r>
      <w:r>
        <w:t xml:space="preserve"> (très rares) ; (11) </w:t>
      </w:r>
      <w:r>
        <w:rPr>
          <w:b/>
        </w:rPr>
        <w:t>Hépatotoxicité</w:t>
      </w:r>
      <w:r>
        <w:t xml:space="preserve"> cytolytique ou cholestatique (rare, surveillance transaminases) ; (12) </w:t>
      </w:r>
      <w:r>
        <w:rPr>
          <w:b/>
        </w:rPr>
        <w:t>Rash cutané</w:t>
      </w:r>
      <w:r>
        <w:t xml:space="preserve"> (rare) ; (13) </w:t>
      </w:r>
      <w:r>
        <w:rPr>
          <w:b/>
        </w:rPr>
        <w:t>Allongement du QT</w:t>
      </w:r>
      <w:r>
        <w:t xml:space="preserve"> à doses supratherapeutiques (à surveiller en surdosage).</w:t>
      </w:r>
    </w:p>
    <w:p>
      <w:r/>
      <w:r>
        <w:rPr>
          <w:b/>
        </w:rPr>
        <w:t>Prévention et Gestion des Effets Indésirables :</w:t>
      </w:r>
      <w:r/>
    </w:p>
    <w:p>
      <w:pPr>
        <w:pStyle w:val="ListBullet"/>
      </w:pPr>
      <w:r>
        <w:t xml:space="preserve">Mesures Préventives : (a) </w:t>
      </w:r>
      <w:r>
        <w:rPr>
          <w:b/>
        </w:rPr>
        <w:t>Bilan pré-thérapeutique complet</w:t>
      </w:r>
      <w:r>
        <w:t xml:space="preserve"> : ECG 12 dérivations (QRS, PR, QTc, recherche de syndrome de Brugada type 1 en V1–V3), échographie cardiaque (FEVG ≥ 50 %, absence de HVG &gt; 14 mm, absence de cicatrice), bilan biologique (kaliémie &gt; 4 mmol/L, magnésémie, créatininémie et DFG, bilan hépatique) ; (b) </w:t>
      </w:r>
      <w:r>
        <w:rPr>
          <w:b/>
        </w:rPr>
        <w:t>Test d'initiation hospitalier</w:t>
      </w:r>
      <w:r>
        <w:t xml:space="preserve"> (en hospitalisation de jour ou courte hospitalisation) : ECG 2 h après la première dose pour surveillance QRS et PR — si élargissement QRS &gt; 25 % de la valeur de base → arrêt ; (c) </w:t>
      </w:r>
      <w:r>
        <w:rPr>
          <w:b/>
        </w:rPr>
        <w:t>Surveillance ECG régulière</w:t>
      </w:r>
      <w:r>
        <w:t xml:space="preserve"> (à J7, J15, M1, puis tous les 3–6 mois) ; (d) </w:t>
      </w:r>
      <w:r>
        <w:rPr>
          <w:b/>
        </w:rPr>
        <w:t>Surveillance biologique</w:t>
      </w:r>
      <w:r>
        <w:t xml:space="preserve"> annuelle (kaliémie, fonction rénale, transaminases) ; (e) </w:t>
      </w:r>
      <w:r>
        <w:rPr>
          <w:b/>
        </w:rPr>
        <w:t>Éducation du patient</w:t>
      </w:r>
      <w:r>
        <w:t xml:space="preserve"> à la stratégie « pilule dans la poche » : reconnaissance des symptômes de FA (palpitations rapides irrégulières), prise unique de flécaïnide 200–300 mg dès les premiers symptômes, surveillance ECG 1 h après la prise (ou à J1), appel du SAMU en cas de malaise, syncope, douleur thoracique, dyspnée — arrêt de la stratégie et consultation en urgence ; (f) Vérification systématique des </w:t>
      </w:r>
      <w:r>
        <w:rPr>
          <w:b/>
        </w:rPr>
        <w:t>associations CI</w:t>
      </w:r>
      <w:r>
        <w:t xml:space="preserve"> (β-bloquants, macrolides, Ic/Ia/III) ; (g) En cas d'insuffisance rénale (DFG &lt; 50 mL/min), </w:t>
      </w:r>
      <w:r>
        <w:rPr>
          <w:b/>
        </w:rPr>
        <w:t>réduction de dose à 50–75 %</w:t>
      </w:r>
      <w:r>
        <w:t xml:space="preserve"> et surveillance prolongée ; (h) </w:t>
      </w:r>
      <w:r>
        <w:rPr>
          <w:b/>
        </w:rPr>
        <w:t>Suivi Thérapeutique Pharmacologique</w:t>
      </w:r>
      <w:r>
        <w:t xml:space="preserve"> utile chez le sujet âgé et l'insuffisant rénal (cible 200–1000 µg/L).</w:t>
      </w:r>
    </w:p>
    <w:p>
      <w:pPr>
        <w:pStyle w:val="ListBullet"/>
      </w:pPr>
      <w:r>
        <w:t>Conduite à Tenir : En cas d'</w:t>
      </w:r>
      <w:r>
        <w:rPr>
          <w:b/>
        </w:rPr>
        <w:t>élargissement du QRS &gt; 25 %</w:t>
      </w:r>
      <w:r>
        <w:t xml:space="preserve"> de la valeur initiale (ou QRS &gt; 120 ms si QRS de base normal) → </w:t>
      </w:r>
      <w:r>
        <w:rPr>
          <w:b/>
        </w:rPr>
        <w:t>arrêt immédiat</w:t>
      </w:r>
      <w:r>
        <w:t xml:space="preserve"> de la flécaînide, ECG de contrôle, relais par alternative (amiodarone, ablation par radiofréquence). En cas de </w:t>
      </w:r>
      <w:r>
        <w:rPr>
          <w:b/>
        </w:rPr>
        <w:t>proarythmie ventriculaire</w:t>
      </w:r>
      <w:r>
        <w:t xml:space="preserve"> (TV soutenue, FV) → arrêt immédiat, cardioversion électrique (200 J biphasique), perfusion de </w:t>
      </w:r>
      <w:r>
        <w:rPr>
          <w:b/>
        </w:rPr>
        <w:t>lactate de sodium</w:t>
      </w:r>
      <w:r>
        <w:t xml:space="preserve"> (molarité 1/6 M, 250 mL IV en 15 min — alcalinisation qui accélère la dissociation de la flécaînide du canal Na+), surveillance USI 24–48 h (demi-vie longue, risque de récidive). En cas de </w:t>
      </w:r>
      <w:r>
        <w:rPr>
          <w:b/>
        </w:rPr>
        <w:t>troubles visuels</w:t>
      </w:r>
      <w:r>
        <w:t xml:space="preserve"> (scintillements, halos) → réduire la dose, généralement régressifs à l'arrêt (sans séquelles). En cas de </w:t>
      </w:r>
      <w:r>
        <w:rPr>
          <w:b/>
        </w:rPr>
        <w:t>bradycardie symptomatique ou BAV</w:t>
      </w:r>
      <w:r>
        <w:t xml:space="preserve"> → arrêt, atropine 0,5–1 mg IV si bradycardie menaçante, pacing temporaire si nécessaire. En cas de </w:t>
      </w:r>
      <w:r>
        <w:rPr>
          <w:b/>
        </w:rPr>
        <w:t>surdosage massif</w:t>
      </w:r>
      <w:r>
        <w:t xml:space="preserve"> (concentrations &gt; 1 mg/L) : collapsus, QRS très large, convulsions — prise en charge USI : lactate de sodium IV (alcalinisation), charbon activé si ingestion &lt; 1 h, pacing temporaire, ventilation mécanique si coma, surveillance ECG prolongée (demi-vie allongée en surdosage).</w:t>
      </w:r>
    </w:p>
    <w:p>
      <w:r/>
      <w:r>
        <w:rPr>
          <w:b/>
        </w:rPr>
        <w:t>Interactions Importantes :</w:t>
      </w:r>
      <w:r/>
    </w:p>
    <w:p>
      <w:pPr>
        <w:pStyle w:val="ListBullet"/>
      </w:pPr>
      <w:r>
        <w:t xml:space="preserve">Flécaînide + </w:t>
      </w:r>
      <w:r>
        <w:rPr>
          <w:b/>
        </w:rPr>
        <w:t>Amiodarone</w:t>
      </w:r>
      <w:r>
        <w:t xml:space="preserve"> : </w:t>
      </w:r>
      <w:r>
        <w:rPr>
          <w:b/>
        </w:rPr>
        <w:t>augmentation des concentrations de flécaînide</w:t>
      </w:r>
      <w:r>
        <w:t xml:space="preserve"> (inhibition du CYP2D6 par amiodarone) → risque toxique majeur (élargissement QRS, proarythmie). Si association nécessaire, </w:t>
      </w:r>
      <w:r>
        <w:rPr>
          <w:b/>
        </w:rPr>
        <w:t>réduire la dose de flécaînide de 50 %</w:t>
      </w:r>
      <w:r>
        <w:t xml:space="preserve"> et surveiller étroitement (ECG, STP).</w:t>
      </w:r>
    </w:p>
    <w:p>
      <w:pPr>
        <w:pStyle w:val="ListBullet"/>
      </w:pPr>
      <w:r>
        <w:t xml:space="preserve">Flécaînide + </w:t>
      </w:r>
      <w:r>
        <w:rPr>
          <w:b/>
        </w:rPr>
        <w:t>β-bloquants</w:t>
      </w:r>
      <w:r>
        <w:t xml:space="preserve"> (propranolol, métoprolol, bisoprolol, etc.) : </w:t>
      </w:r>
      <w:r>
        <w:rPr>
          <w:b/>
        </w:rPr>
        <w:t>bradycardie additive, BAV, dépression myocardique</w:t>
      </w:r>
      <w:r>
        <w:t xml:space="preserve"> — association utilisée dans le flutter atrial (pour éviter la *1:1 conduction*) mais avec surveillance stricte et réduction des doses.</w:t>
      </w:r>
    </w:p>
    <w:p>
      <w:pPr>
        <w:pStyle w:val="ListBullet"/>
      </w:pPr>
      <w:r>
        <w:t xml:space="preserve">Flécaînide + </w:t>
      </w:r>
      <w:r>
        <w:rPr>
          <w:b/>
        </w:rPr>
        <w:t>Inhibiteurs du CYP2D6</w:t>
      </w:r>
      <w:r>
        <w:t xml:space="preserve"> (paroxétine, fluoxétine, cinacalcet, quinidine, bupropion, terbinafine) : </w:t>
      </w:r>
      <w:r>
        <w:rPr>
          <w:b/>
        </w:rPr>
        <w:t>augmentation concentrations flécaînide</w:t>
      </w:r>
      <w:r>
        <w:t xml:space="preserve"> → toxicité (proarythmie). Surveillance et adaptation.</w:t>
      </w:r>
    </w:p>
    <w:p>
      <w:pPr>
        <w:pStyle w:val="ListBullet"/>
      </w:pPr>
      <w:r>
        <w:t xml:space="preserve">Flécaînide + </w:t>
      </w:r>
      <w:r>
        <w:rPr>
          <w:b/>
        </w:rPr>
        <w:t>Digoxine</w:t>
      </w:r>
      <w:r>
        <w:t xml:space="preserve"> : </w:t>
      </w:r>
      <w:r>
        <w:rPr>
          <w:b/>
        </w:rPr>
        <w:t>augmentation de la digoxinémie</w:t>
      </w:r>
      <w:r>
        <w:t xml:space="preserve"> (baisse de la clairance rénale et extrarénale) → risque de toxicité digitalique (nausées, troubles visuels jaunâtres, troubles du rythme). Réduire la dose de digoxine de 50 % et surveiller la digoxinémie.</w:t>
      </w:r>
    </w:p>
    <w:p>
      <w:pPr>
        <w:pStyle w:val="ListBullet"/>
      </w:pPr>
      <w:r>
        <w:t xml:space="preserve">Flécaînide + </w:t>
      </w:r>
      <w:r>
        <w:rPr>
          <w:b/>
        </w:rPr>
        <w:t>Diurétiques hypokaliémiants</w:t>
      </w:r>
      <w:r>
        <w:t xml:space="preserve"> (furosémide, hydrochlorothiazide) : hypokaliémie → potentialisation proarythmique. Correction systématique de la kaliémie, association à un épargneur de K+.</w:t>
      </w:r>
    </w:p>
    <w:p>
      <w:pPr>
        <w:pStyle w:val="ListBullet"/>
      </w:pPr>
      <w:r>
        <w:t xml:space="preserve">Flécaînide + </w:t>
      </w:r>
      <w:r>
        <w:rPr>
          <w:b/>
        </w:rPr>
        <w:t>Antidépresseurs tricycliques, antipsychotiques</w:t>
      </w:r>
      <w:r>
        <w:t xml:space="preserve"> : allongement additif du QT (rare mais à surveiller), addition des blocs Na+.</w:t>
      </w:r>
    </w:p>
    <w:p>
      <w:pPr>
        <w:pStyle w:val="ListBullet"/>
      </w:pPr>
      <w:r>
        <w:t xml:space="preserve">Flécaînide + </w:t>
      </w:r>
      <w:r>
        <w:rPr>
          <w:b/>
        </w:rPr>
        <w:t>Inhibiteurs de la pompe à protons</w:t>
      </w:r>
      <w:r>
        <w:t xml:space="preserve"> (oméprazole, ésoméprazole) : décrit pour le pantoprazole (inhibition CYP2C19) — augmentation modérée des concentrations de flécaînide, généralement sans conséquence clinique.</w:t>
      </w:r>
    </w:p>
    <w:p>
      <w:pPr>
        <w:pStyle w:val="ListBullet"/>
      </w:pPr>
      <w:r>
        <w:t xml:space="preserve">Flécaînide + </w:t>
      </w:r>
      <w:r>
        <w:rPr>
          <w:b/>
        </w:rPr>
        <w:t>Inhibiteurs calciques non DHP</w:t>
      </w:r>
      <w:r>
        <w:t xml:space="preserve"> (vérapamil, diltiazem) : bradycardie, BAV, dépression myocardique additive. Éviter.</w:t>
      </w:r>
    </w:p>
    <w:p>
      <w:pPr>
        <w:pStyle w:val="ListBullet"/>
      </w:pPr>
      <w:r>
        <w:t xml:space="preserve">Flécaînide + </w:t>
      </w:r>
      <w:r>
        <w:rPr>
          <w:b/>
        </w:rPr>
        <w:t>Macrolides</w:t>
      </w:r>
      <w:r>
        <w:t xml:space="preserve"> (clarithromycine, érythromycine) : double risque — allongement QT additif + inhibition CYP3A4 (la flécaînide est partiellement métabolisée par CYP3A4) → augmentation concentrations. Association CI.</w:t>
      </w:r>
    </w:p>
    <w:p>
      <w:r/>
      <w:r>
        <w:rPr>
          <w:b/>
        </w:rPr>
        <w:t>Grossesse et Allaitement :</w:t>
      </w:r>
      <w:r/>
    </w:p>
    <w:p>
      <w:pPr>
        <w:pStyle w:val="ListBullet"/>
      </w:pPr>
      <w:r>
        <w:t xml:space="preserve">Grossesse : Selon le CRAT, la flécaînide est </w:t>
      </w:r>
      <w:r>
        <w:rPr>
          <w:b/>
        </w:rPr>
        <w:t>compatible pendant la grossesse</w:t>
      </w:r>
      <w:r>
        <w:t xml:space="preserve"> — c'est l'antiarythmique de référence chez la femme enceinte pour le traitement des arythmies supraventriculaires maternelles (FA paroxystique, TJR) sur cœur sain, en seconde intention après les bêtabloquants. Elle traverse le placenta (rapport fœto-maternel ≈ 0,7–0,8) — propriété exploitée pour le traitement des </w:t>
      </w:r>
      <w:r>
        <w:rPr>
          <w:b/>
        </w:rPr>
        <w:t>tachycardies fœtales</w:t>
      </w:r>
      <w:r>
        <w:t xml:space="preserve"> (FA fœtale, TJR fœtale avec hydrops) en administration à la mère (1er et 2e trimestres) ; surveillance échographique fœtale régulière. À éviter en fin de grossesse par prudence (risque théorique de dépression myocardique fœtale à l'accouchement). En cas de cardiopathie maternelle structurelle (post-IDM, IC), préférer l'amiodarone en urgence vitale.</w:t>
      </w:r>
    </w:p>
    <w:p>
      <w:pPr>
        <w:pStyle w:val="ListBullet"/>
      </w:pPr>
      <w:r>
        <w:t xml:space="preserve">Allaitement : Selon le CRAT, la flécaînide est </w:t>
      </w:r>
      <w:r>
        <w:rPr>
          <w:b/>
        </w:rPr>
        <w:t>compatible avec l'allaitement</w:t>
      </w:r>
      <w:r>
        <w:t xml:space="preserve"> (faible passage dans le lait, ratio lait/plasma ≈ 2,5 — mais concentrations plasmatiques maternelles faibles → dose ingérée par le nourrisson &lt; 5 % de la dose pédiatrique thérapeutique) — surveillance du nourrisson (FC, ECG si signes anormaux : léthargie, troubles alimentaires). À éviter si prématuré ou nourrisson &lt; 1 mois par prudence.</w:t>
      </w:r>
    </w:p>
    <w:p>
      <w:pPr>
        <w:pStyle w:val="ListBullet"/>
      </w:pPr>
      <w:r>
        <w:t>Précisions : La flécaînide est un des rares antiarythmiques considérés comme compatibles avec la grossesse et l'allaitement — atout majeur chez la femme jeune en âge de procréer présentant une FA paroxystique.</w:t>
      </w:r>
    </w:p>
    <w:p>
      <w:r/>
      <w:r>
        <w:rPr>
          <w:b/>
        </w:rPr>
        <w:t>Posologie et Mode d'administration (Standard) :</w:t>
      </w:r>
      <w:r/>
    </w:p>
    <w:p>
      <w:pPr>
        <w:pStyle w:val="ListBullet"/>
      </w:pPr>
      <w:r>
        <w:t xml:space="preserve">Adulte : (1) </w:t>
      </w:r>
      <w:r>
        <w:rPr>
          <w:b/>
        </w:rPr>
        <w:t>Forme immédiate (comprimés sécables 100 mg)</w:t>
      </w:r>
      <w:r>
        <w:t xml:space="preserve"> : 100 mg x 2/jour (matin et soir à 12 h d'intervalle), augmentable à 150 mg x 2/jour ou 200 mg x 2/jour selon efficacité et tolérance, </w:t>
      </w:r>
      <w:r>
        <w:rPr>
          <w:b/>
        </w:rPr>
        <w:t>sans dépasser 400 mg/jour</w:t>
      </w:r>
      <w:r>
        <w:t xml:space="preserve"> (200 mg x 2/j). (2) </w:t>
      </w:r>
      <w:r>
        <w:rPr>
          <w:b/>
        </w:rPr>
        <w:t>Forme LP (gélules LP 50, 100, 200 mg)</w:t>
      </w:r>
      <w:r>
        <w:t xml:space="preserve"> : 200 mg en 1 prise matinale (ou 100 mg x 2/j à 12 h d'intervalle si intolérance à la forme LP en mono-quotidienne) — adaptation selon ECG (surveillance QRS, PR). (3) </w:t>
      </w:r>
      <w:r>
        <w:rPr>
          <w:b/>
        </w:rPr>
        <w:t>Stratégie « pilule dans la poche »</w:t>
      </w:r>
      <w:r>
        <w:t xml:space="preserve"> (*pill in the pocket*) pour FA paroxystique bien tolérée, peu fréquente (≤ 1 crise/mois), sur cœur sain, patient éduqué : 200–300 mg en prise unique PO dès les premiers symptômes, surveillance ECG 1 h après la prise (ou à J1 par télémédecine ou consultation), ne pas dépasser 300 mg/j dans cette stratégie.</w:t>
      </w:r>
    </w:p>
    <w:p>
      <w:pPr>
        <w:pStyle w:val="ListBullet"/>
      </w:pPr>
      <w:r>
        <w:t>Sujet âgé : dose initiale réduite à 50 mg x 2/jour ou 100 mg LP/jour, adaptation lente par paliers de 50 mg par semaine, surveillance ECG renforcée (allongement QRS).</w:t>
      </w:r>
    </w:p>
    <w:p>
      <w:pPr>
        <w:pStyle w:val="ListBullet"/>
      </w:pPr>
      <w:r>
        <w:t>Insuffisant rénal (DFG &lt; 50 mL/min) : réduire la dose à 50–75 % de la dose standard (clairance rénale de la flécaînide = 30–40 % de la clairance totale).</w:t>
      </w:r>
    </w:p>
    <w:p>
      <w:pPr>
        <w:pStyle w:val="ListBullet"/>
      </w:pPr>
      <w:r>
        <w:t>Insuffisant hépatique : réduire la dose de 25–50 %, surveillance clinique et ECG.</w:t>
      </w:r>
    </w:p>
    <w:p>
      <w:pPr>
        <w:pStyle w:val="ListBullet"/>
      </w:pPr>
      <w:r>
        <w:t>Enfant (pediatric) : 50–100 mg/m²/jour en 2 prises (réservé à la rythmologie pédiatrique spécialisée).</w:t>
      </w:r>
    </w:p>
    <w:p>
      <w:pPr>
        <w:pStyle w:val="ListBullet"/>
      </w:pPr>
      <w:r>
        <w:t>Durée : au long cours pour la prévention des récidives — réévaluation annuelle (persistance de l'indication, possibilité d'ablation par radiofréquence).</w:t>
      </w:r>
    </w:p>
    <w:p>
      <w:pPr>
        <w:pStyle w:val="ListBullet"/>
      </w:pPr>
      <w:r>
        <w:t>Moment de prise : pendant ou après repas pour limiter nausées (forme immédiate). Forme LP : à heure fixe le matin (sans rapport avec les repas — mais à heure régulière).</w:t>
      </w:r>
    </w:p>
    <w:p>
      <w:r/>
      <w:r>
        <w:rPr>
          <w:b/>
        </w:rPr>
        <w:t>Arbitrage et Bénéfices des Formes Galéniques :</w:t>
      </w:r>
      <w:r/>
    </w:p>
    <w:p>
      <w:r>
        <w:t xml:space="preserve">La flécaînide est disponible en Algérie sous deux formes galéniques : (1) </w:t>
      </w:r>
      <w:r>
        <w:rPr>
          <w:b/>
        </w:rPr>
        <w:t>comprimés sécables 100 mg à libération immédiate</w:t>
      </w:r>
      <w:r>
        <w:t xml:space="preserve"> (EURITM 100, FLECACARD, FLECALUR, FLECAR) — forme de référence pour l'initiation (permet la titration par paliers de 50 mg grâce à la sécabilité), pour la stratégie « pilule dans la poche » et pour les posologies biquotidiennes ; (2) </w:t>
      </w:r>
      <w:r>
        <w:rPr>
          <w:b/>
        </w:rPr>
        <w:t>gélules à libération prolongée 50, 100 et 200 mg</w:t>
      </w:r>
      <w:r>
        <w:t xml:space="preserve"> (FLECAINE LP — Meda Pharma) — forme d'entretien au long cours, particulièrement utile pour l'observance (mono-quotidienne pour la dose de 200 mg), avec des concentrations plasmatiques plus stables (peaks/trough ratio &lt; 2) réduisant les pics toxiques (élargissement QRS transitoire) et les creux sous-thérapeutiques (récidive arythmique). Le </w:t>
      </w:r>
      <w:r>
        <w:rPr>
          <w:b/>
        </w:rPr>
        <w:t>choix entre forme immédiate et LP</w:t>
      </w:r>
      <w:r>
        <w:t xml:space="preserve"> dépend de l'indication : </w:t>
      </w:r>
      <w:r>
        <w:rPr>
          <w:i/>
        </w:rPr>
        <w:t>pilule dans la poche</w:t>
      </w:r>
      <w:r>
        <w:t xml:space="preserve"> → forme immédiate uniquement (la forme LP ne permet pas l'effet précoce requis pour la termination de la crise) ; </w:t>
      </w:r>
      <w:r>
        <w:rPr>
          <w:i/>
        </w:rPr>
        <w:t>traitement de fond chronique</w:t>
      </w:r>
      <w:r>
        <w:t xml:space="preserve"> → forme LP (meilleure observance, meilleure tolérance). À l'officine, vérifier que le patient reçoit la bonne forme selon l'indication (ne pas substituer FLECAINE LP à EURITM 100 dans la stratégie « pilule dans la poche »). Vérifier la non-écrasabilité des gélules LP (ne pas ouvrir, ne pas écraser — libération immédiate d'une dose de 200 mg → surdosage). En cas de sonde gastrique, utiliser la forme immédiate écrasée.</w:t>
      </w:r>
    </w:p>
    <w:p>
      <w:r/>
      <w:r>
        <w:rPr>
          <w:b/>
        </w:rPr>
        <w:t>Instructions et Conseils au Patient :</w:t>
      </w:r>
      <w:r/>
    </w:p>
    <w:p>
      <w:pPr>
        <w:pStyle w:val="ListBullet"/>
      </w:pPr>
      <w:r>
        <w:t xml:space="preserve">Communication au comptoir : « Ce médicament (flécaînide) est un antiarythmique réservé à la prévention ou à la terminaison des crises de troubles du rythme cardiaque (fibrillation atriale paroxystique). Il agit en régulant l'activité électrique du cœur. </w:t>
      </w:r>
      <w:r>
        <w:rPr>
          <w:b/>
        </w:rPr>
        <w:t>Important</w:t>
      </w:r>
      <w:r>
        <w:t xml:space="preserve"> : ne l'utilisez que sur prescription d'un cardiologue spécialisé. Prenez-le à heures fixes, sans dépasser la dose prescrite. Prévenez immédiatement votre médecin si vous avez : malaises, vertiges, essoufflement, douleurs thoraciques, palpitations rapides irrégulières, troubles visuels (halos, scintillements, vision floue). Ne jamais l'associer à un autre médicament sans avis médical (antibiotiques macrolides, antidépresseurs, antifongiques). Surveillance ECG régulière obligatoire (1 fois tous les 3–6 mois). Évitez le pamplemousse. Si vous êtes dans la stratégie "pilule dans la poche", prenez 1 dose de flécaînide (200–300 mg) dès les premiers symptômes, ne conduisez pas, surveillez votre pouls, et contactez votre médecin si pas d'amélioration après 2 h. »</w:t>
      </w:r>
    </w:p>
    <w:p>
      <w:pPr>
        <w:pStyle w:val="ListBullet"/>
      </w:pPr>
      <w:r>
        <w:t>Mode d'utilisation pratique : (1) Comprimé sécable : peut être coupé en deux selon le sillon. À prendre avec un verre d'eau, au cours d'un repas. (2) Gélule LP : à avaler entière, ne pas écraser, ouvrir ou mâcher. (3) Stratégie « pilule dans la poche » : noter la date et l'heure de la prise, mesurer le pouls et la TA avant et 1 h après, appeler le SAMU si FC &lt; 50 ou &gt; 150, malaise, douleur thoracique, syncope. (4) Ne pas arrêter brutalement le traitement de fond (risque de rebond arythmique). (5) Conservation à température &lt; 25 °C, à l'abri de l'humidité.</w:t>
      </w:r>
    </w:p>
    <w:p>
      <w:r/>
      <w:r>
        <w:rPr>
          <w:b/>
        </w:rPr>
        <w:t>Notes, Règles d'Or &amp; Pièges au Comptoir :</w:t>
      </w:r>
      <w:r/>
    </w:p>
    <w:p>
      <w:pPr>
        <w:pStyle w:val="ListBullet"/>
      </w:pPr>
      <w:r/>
      <w:r>
        <w:rPr>
          <w:b/>
        </w:rPr>
        <w:t>Piège classique — Cardiopathie structurelle méconnue</w:t>
      </w:r>
      <w:r>
        <w:t xml:space="preserve"> : la flécaînide est </w:t>
      </w:r>
      <w:r>
        <w:rPr>
          <w:b/>
        </w:rPr>
        <w:t>CI absolue en cas de cardiopathie structurelle</w:t>
      </w:r>
      <w:r>
        <w:t xml:space="preserve"> (post-IDM, IC avec FEVG &lt; 40 %, HVG &gt; 14 mm). Devant une prescription de flécaînide chez un patient âgé, diabétique, hypertendu de longue durée — vérifier l'échographie cardiaque récente (FEVG ≥ 50 %, absence de HVG). En cas de doute, contacter le cardiologue prescripteur. Essai CAST 1989 : surmortalité par FV récurrente en post-IDM.</w:t>
      </w:r>
    </w:p>
    <w:p>
      <w:pPr>
        <w:pStyle w:val="ListBullet"/>
      </w:pPr>
      <w:r/>
      <w:r>
        <w:rPr>
          <w:b/>
        </w:rPr>
        <w:t>Piège — Syndrome de Brugada démasqué</w:t>
      </w:r>
      <w:r>
        <w:t xml:space="preserve"> : la flécaînide peut révéler ou aggraver un syndrome de Brugada type 1 (aspect ST en coupole en V1–V3) — utilisé comme test provocatif diagnostique en milieu spécialisé à dose réduite (2 mg/kg IV). En cas d'ECG modifié après initiation, arrêt et avis cardiologue urgent.</w:t>
      </w:r>
    </w:p>
    <w:p>
      <w:pPr>
        <w:pStyle w:val="ListBullet"/>
      </w:pPr>
      <w:r/>
      <w:r>
        <w:rPr>
          <w:b/>
        </w:rPr>
        <w:t>Piège — Flutter atrial avec conduction 1:1</w:t>
      </w:r>
      <w:r>
        <w:t xml:space="preserve"> : la flécaînide peut ralentir la fréquence atriale du flutter (de 300 à 200 bpm) mais favoriser la conduction 1:1 auriculo-ventriculaire (200 bpm au lieu de 2:1 à 150 bpm) — d'où TV/FV menaçante. </w:t>
      </w:r>
      <w:r>
        <w:rPr>
          <w:b/>
        </w:rPr>
        <w:t>Toujours associer à un β-bloquanteur ou un inhibiteur calcique non DHP (vérapamil, diltiazem)</w:t>
      </w:r>
      <w:r>
        <w:t xml:space="preserve"> pour bloquer le nœud AV avant ou pendant l'initiation de la flécaînide dans le flutter atrial.</w:t>
      </w:r>
    </w:p>
    <w:p>
      <w:pPr>
        <w:pStyle w:val="ListBullet"/>
      </w:pPr>
      <w:r/>
      <w:r>
        <w:rPr>
          <w:b/>
        </w:rPr>
        <w:t>Piège — Surdosage en stratégie « pilule dans la poche »</w:t>
      </w:r>
      <w:r>
        <w:t xml:space="preserve"> : le patient peut être tenté de répéter la prise si la crise ne cède pas — </w:t>
      </w:r>
      <w:r>
        <w:rPr>
          <w:b/>
        </w:rPr>
        <w:t>ne jamais dépasser 300 mg/j dans cette stratégie</w:t>
      </w:r>
      <w:r>
        <w:t xml:space="preserve"> (500–600 mg = surdosage grave : collapsus, QRS très large, convulsions). Éducation stricte : 1 seule prise, surveillance 2 h, appel SAMU si échec.</w:t>
      </w:r>
    </w:p>
    <w:p>
      <w:pPr>
        <w:pStyle w:val="ListBullet"/>
      </w:pPr>
      <w:r/>
      <w:r>
        <w:rPr>
          <w:b/>
        </w:rPr>
        <w:t>Piège — Élargissement du QRS</w:t>
      </w:r>
      <w:r>
        <w:t xml:space="preserve"> : surveillance ECG systématique après initiation (à J7, J15). Si QRS &gt; 120 ms ou élargissement &gt; 25 % de la valeur de base → arrêt.</w:t>
      </w:r>
    </w:p>
    <w:p>
      <w:pPr>
        <w:pStyle w:val="ListBullet"/>
      </w:pPr>
      <w:r/>
      <w:r>
        <w:rPr>
          <w:b/>
        </w:rPr>
        <w:t>Piège — Forme LP vs forme immédiate</w:t>
      </w:r>
      <w:r>
        <w:t xml:space="preserve"> : ne pas substituer (la forme LP ne convient pas à la « pilule dans la poche » qui nécessite un effet précoce).</w:t>
      </w:r>
    </w:p>
    <w:p>
      <w:pPr>
        <w:pStyle w:val="ListBullet"/>
      </w:pPr>
      <w:r/>
      <w:r>
        <w:rPr>
          <w:b/>
        </w:rPr>
        <w:t>Règle de prise</w:t>
      </w:r>
      <w:r>
        <w:t xml:space="preserve"> : 100 mg x 2/j (forme immédiate) ou 200 mg en 1 prise matinale (forme LP), à heures fixes, sans écrasement.</w:t>
      </w:r>
    </w:p>
    <w:p>
      <w:pPr>
        <w:pStyle w:val="ListBullet"/>
      </w:pPr>
      <w:r/>
      <w:r>
        <w:rPr>
          <w:b/>
        </w:rPr>
        <w:t>Préparation et Conservation</w:t>
      </w:r>
      <w:r>
        <w:t xml:space="preserve"> : comprimés et gélules à température &lt; 25 °C, à l'abri de l'humidité. Conservation 3 ans.</w:t>
      </w:r>
    </w:p>
    <w:p>
      <w:pPr>
        <w:pStyle w:val="ListBullet"/>
      </w:pPr>
      <w:r/>
      <w:r>
        <w:rPr>
          <w:b/>
        </w:rPr>
        <w:t>Piège du surdosage / Substitution</w:t>
      </w:r>
      <w:r>
        <w:t xml:space="preserve"> : surdosage grave (collapsus, QRS très large, convulsions) — antidote : </w:t>
      </w:r>
      <w:r>
        <w:rPr>
          <w:b/>
        </w:rPr>
        <w:t>lactate de sodium 1/6 M IV</w:t>
      </w:r>
      <w:r>
        <w:t xml:space="preserve"> (250 mL en 15 min) — alcalinisation qui accélère la dissociation de la flécaînide du canal Na+. Substitution entre génériques de flécaînide immédiate possible (mêmes concentrations). Substitution forme immédiate ↔ LP interdite sans avis médical.</w:t>
      </w:r>
    </w:p>
    <w:p>
      <w:pPr>
        <w:pStyle w:val="Heading3"/>
      </w:pPr>
      <w:r>
        <w:t>4. DCI : Propafénone (Chlorhydrate) (Seule)</w:t>
      </w:r>
    </w:p>
    <w:p>
      <w:r/>
      <w:r>
        <w:rPr>
          <w:b/>
        </w:rPr>
        <w:t>Liste des Catégories :</w:t>
      </w:r>
      <w:r>
        <w:t xml:space="preserve"> Antiarythmiques classe Ic (Vaughan-Williams) ; Antiarythmique supraventriculaire et ventriculaire (sujet à cœur sain) ; Léger effet β-bloquant intrinsèque.</w:t>
      </w:r>
    </w:p>
    <w:p>
      <w:r>
        <w:t xml:space="preserve">La propafénone (1-[2-(2-hydroxy-3-propylaminopropoxy)phényl]-3-phénylpropan-1-one chlorhydrate) est un antiarythmique de classe Ic introduit en clinique en 1980. Sa structure chimique présente des analogies avec la flécaînide (noyau phénoxy-propanone) mais aussi avec le propranolol (chaîne latérale propanolamine — d'où une </w:t>
      </w:r>
      <w:r>
        <w:rPr>
          <w:b/>
        </w:rPr>
        <w:t>activité β-bloquante intrinsèque</w:t>
      </w:r>
      <w:r>
        <w:t xml:space="preserve"> faible, environ 2,5–5 % de l'activité du propranolol). Cette particularité explique sa double action : bloc Na+ NaV1.5 (effet principal, classe Ic) + bloc β-adrénergique modéré (effet secondaire, classe II accessoire) — d'où une </w:t>
      </w:r>
      <w:r>
        <w:rPr>
          <w:b/>
        </w:rPr>
        <w:t>bradycardie sinusale</w:t>
      </w:r>
      <w:r>
        <w:t xml:space="preserve"> et un </w:t>
      </w:r>
      <w:r>
        <w:rPr>
          <w:b/>
        </w:rPr>
        <w:t>allongement du PR</w:t>
      </w:r>
      <w:r>
        <w:t xml:space="preserve"> plus marqués qu'avec la flécaînide pure. Sa </w:t>
      </w:r>
      <w:r>
        <w:rPr>
          <w:b/>
        </w:rPr>
        <w:t>demi-vie plasmatique est courte</w:t>
      </w:r>
      <w:r>
        <w:t xml:space="preserve"> (5–8 h en moyenne, mais variable selon le polymorphisme CYP2D6 : 2–10 h chez les métaboliseurs extensifs, jusqu'à 12–32 h chez les métaboliseurs lents — qui représentent 5–10 % de la population européenne et jusqu'à 10 % des Maghrébins) — ce qui impose une </w:t>
      </w:r>
      <w:r>
        <w:rPr>
          <w:b/>
        </w:rPr>
        <w:t>trithérapie quotidienne</w:t>
      </w:r>
      <w:r>
        <w:t xml:space="preserve"> (3 prises par jour à 8 h d'intervalle) en forme immédiate, source d'observance difficile. La propafénone est </w:t>
      </w:r>
      <w:r>
        <w:rPr>
          <w:b/>
        </w:rPr>
        <w:t>métabolisée par le CYP2D6</w:t>
      </w:r>
      <w:r>
        <w:t xml:space="preserve"> en </w:t>
      </w:r>
      <w:r>
        <w:rPr>
          <w:b/>
        </w:rPr>
        <w:t>5-hydroxypropafénone</w:t>
      </w:r>
      <w:r>
        <w:t xml:space="preserve"> (métabolite actif à effet antiarythmique équivalent) — d'où la </w:t>
      </w:r>
      <w:r>
        <w:rPr>
          <w:b/>
        </w:rPr>
        <w:t>variabilité pharmacogénétique marquée</w:t>
      </w:r>
      <w:r>
        <w:t xml:space="preserve"> et les interactions avec les inhibiteurs du CYP2D6 (paroxétine, fluoxétine, cinacalcet, quinidine, bupropion). Sa commercialisation en Algérie est limitée à une seule spécialité (CROFENON 300 mg, laboratoire Farmaceutici Crovis Philcom SRL — Italie), en statut </w:t>
      </w:r>
      <w:r>
        <w:rPr>
          <w:b/>
        </w:rPr>
        <w:t>Non Renouvelable</w:t>
      </w:r>
      <w:r>
        <w:t>, ce qui en fait un médicament en voie de retrait du marché algérien — la flécaînide reste la classe Ic de référence disponible.</w:t>
      </w:r>
    </w:p>
    <w:p>
      <w:r/>
      <w:r>
        <w:rPr>
          <w:b/>
        </w:rPr>
        <w:t>Médicaments disponibles en Algérie (Marques, Laboratoires, Formes et Dosages) :</w:t>
      </w:r>
      <w:r/>
    </w:p>
    <w:p>
      <w:pPr>
        <w:pStyle w:val="ListBullet"/>
      </w:pPr>
      <w:r/>
      <w:r>
        <w:rPr>
          <w:b/>
        </w:rPr>
        <w:t>CROFENON</w:t>
      </w:r>
      <w:r>
        <w:t xml:space="preserve"> (FARMACEUTICI CROVIS PHILCOM SRL)</w:t>
      </w:r>
    </w:p>
    <w:p>
      <w:pPr>
        <w:pStyle w:val="ListBullet"/>
      </w:pPr>
      <w:r>
        <w:t>Formes et Dosages : Comprimé pelliculé 300 mg ; boîte de 30</w:t>
      </w:r>
    </w:p>
    <w:p>
      <w:pPr>
        <w:pStyle w:val="ListBullet"/>
      </w:pPr>
      <w:r>
        <w:t>Statut : Non Renouvelable — Liste I</w:t>
      </w:r>
    </w:p>
    <w:p>
      <w:r/>
      <w:r>
        <w:rPr>
          <w:b/>
        </w:rPr>
        <w:t>Sous-classe et Mécanisme d'action :</w:t>
      </w:r>
      <w:r/>
    </w:p>
    <w:p>
      <w:pPr>
        <w:pStyle w:val="ListBullet"/>
      </w:pPr>
      <w:r>
        <w:t>Sous-classe : Antiarythmique de classe Ic selon Vaughan-Williams — bloqueur des canaux sodiques voltage-dépendants à cinétique lente, avec dépression marquée de la conduction + activité β-bloquante intrinsèque faible (effet classe II accessoire).</w:t>
      </w:r>
    </w:p>
    <w:p>
      <w:pPr>
        <w:pStyle w:val="ListBullet"/>
      </w:pPr>
      <w:r>
        <w:t xml:space="preserve">Mécanisme d'action : La propafénone se lie à l'état ouvert (open-state) du canal sodique voltage-dépendant </w:t>
      </w:r>
      <w:r>
        <w:rPr>
          <w:b/>
        </w:rPr>
        <w:t>NaV1.5</w:t>
      </w:r>
      <w:r>
        <w:t xml:space="preserve"> (sous-unité α, gène *SCN5A*) avec une </w:t>
      </w:r>
      <w:r>
        <w:rPr>
          <w:b/>
        </w:rPr>
        <w:t>constante de dissociation τ_recovery &gt; 10 s</w:t>
      </w:r>
      <w:r>
        <w:t xml:space="preserve"> (cinétique lente, similaire à la flécaînide mais avec une affinité légèrement inférieure). Son action électrophysiologique : (1) </w:t>
      </w:r>
      <w:r>
        <w:rPr>
          <w:b/>
        </w:rPr>
        <w:t>diminution marquée de la Vmax de phase 0</w:t>
      </w:r>
      <w:r>
        <w:t xml:space="preserve"> dans les cellules de Purkinje et myocardiques ventriculaires (effet direct sur le canal Na+) — ralentissement de conduction atriale (élargissement onde P), nodale His-Purkinje (allongement PR, élargissement QRS dose-dépendant) et ventriculaire ; (2) </w:t>
      </w:r>
      <w:r>
        <w:rPr>
          <w:b/>
        </w:rPr>
        <w:t>allongement de la période réfractaire effective (ERP)</w:t>
      </w:r>
      <w:r>
        <w:t xml:space="preserve"> atriale, nodale et ventriculaire — sans allongement significatif de l'APD ni du QTc ; (3) </w:t>
      </w:r>
      <w:r>
        <w:rPr>
          <w:b/>
        </w:rPr>
        <w:t>effet β-bloquant intrinsèque</w:t>
      </w:r>
      <w:r>
        <w:t xml:space="preserve"> faible (compétition avec les catécholamines au niveau des récepteurs β1-adrénergiques cardiaques) — d'où une </w:t>
      </w:r>
      <w:r>
        <w:rPr>
          <w:b/>
        </w:rPr>
        <w:t>bradycardie sinusale</w:t>
      </w:r>
      <w:r>
        <w:t xml:space="preserve"> plus marquée qu'avec la flécaînide pure et un allongement du PR (effet additionnel des classes Ic et II) ; (4) </w:t>
      </w:r>
      <w:r>
        <w:rPr>
          <w:b/>
        </w:rPr>
        <w:t>effet inotrope négatif</w:t>
      </w:r>
      <w:r>
        <w:t xml:space="preserve"> modéré ; (5) </w:t>
      </w:r>
      <w:r>
        <w:rPr>
          <w:b/>
        </w:rPr>
        <w:t>effet proarythmique</w:t>
      </w:r>
      <w:r>
        <w:t xml:space="preserve"> spécifique lié au ralentissement de conduction (réentrée facilitée par allongement QRS) — notamment en cas de cicatrice myocardique (CI absolue en cardiopathie structurelle). La propafénone présente une particularité pharmacocinétique : son métabolisme hépatique par </w:t>
      </w:r>
      <w:r>
        <w:rPr>
          <w:b/>
        </w:rPr>
        <w:t>CYP2D6</w:t>
      </w:r>
      <w:r>
        <w:t xml:space="preserve"> génère le </w:t>
      </w:r>
      <w:r>
        <w:rPr>
          <w:b/>
        </w:rPr>
        <w:t>5-hydroxypropafénone</w:t>
      </w:r>
      <w:r>
        <w:t xml:space="preserve"> — métabolite actif dont l'effet antiarythmique est équivalent à la molécule mère, et dont la production varie selon le polymorphisme CYP2D6 (métaboliseurs ultra-rapides → surproduction du métabolite actif → toxicité ; métaboliseurs lents → défaut de métabolisme → moins d'effet + accumulation de la molécule mère avec prolongation de la demi-vie à 12–32 h).</w:t>
      </w:r>
    </w:p>
    <w:p>
      <w:r/>
      <w:r>
        <w:rPr>
          <w:b/>
        </w:rPr>
        <w:t>Profil Pharmacologique :</w:t>
      </w:r>
      <w:r/>
    </w:p>
    <w:p>
      <w:pPr>
        <w:pStyle w:val="ListBullet"/>
      </w:pPr>
      <w:r>
        <w:t xml:space="preserve">Indications : (1) </w:t>
      </w:r>
      <w:r>
        <w:rPr>
          <w:b/>
        </w:rPr>
        <w:t>FA paroxystique sur cœur sain</w:t>
      </w:r>
      <w:r>
        <w:t xml:space="preserve"> — prévention des récidives (traitement de fond) ou termination de la crise (stratégie « pilule dans la poche » — *pill in the pocket*) chez le patient sélectionné (FA paroxystique bien tolérée hémodynamiquement, peu fréquente, durée &lt; 48 h, absence de cardiopathie structurelle, patient formé) ; (2) </w:t>
      </w:r>
      <w:r>
        <w:rPr>
          <w:b/>
        </w:rPr>
        <w:t>Flutter atrial istmique</w:t>
      </w:r>
      <w:r>
        <w:t xml:space="preserve"> paroxystique sur cœur sain (en association à un β-bloquanteur pour éviter la *1:1 conduction* — la propafénone a l'avantage de combiner effet Ic + effet β-bloquant) ; (3) </w:t>
      </w:r>
      <w:r>
        <w:rPr>
          <w:b/>
        </w:rPr>
        <w:t>TJR avec faisceau accessoire</w:t>
      </w:r>
      <w:r>
        <w:t xml:space="preserve"> (Wolf-Parkinson-White) en prévention des récidives ; (4) </w:t>
      </w:r>
      <w:r>
        <w:rPr>
          <w:b/>
        </w:rPr>
        <w:t>ESV ventriculaires bénignes symptomatiques</w:t>
      </w:r>
      <w:r>
        <w:t xml:space="preserve"> sur cœur sain (seconde ligne). Posologie : comprimés 300 mg — 150 mg x 3/jour (soit 1/2 comprimé x 3/j, 450 mg/j) en initiation, augmentable à 300 mg x 2/jour ou x 3/jour selon efficacité, max 900 mg/j. Stratégie « pilule dans la poche » : 450–600 mg PO en dose unique dès les premiers symptômes (sans dépasser 600 mg dans cette stratégie).</w:t>
      </w:r>
    </w:p>
    <w:p>
      <w:pPr>
        <w:pStyle w:val="ListBullet"/>
      </w:pPr>
      <w:r>
        <w:t xml:space="preserve">Contre-indications : (1) </w:t>
      </w:r>
      <w:r>
        <w:rPr>
          <w:b/>
        </w:rPr>
        <w:t>Cardiopathie structurelle</w:t>
      </w:r>
      <w:r>
        <w:t xml:space="preserve"> (post-IDM, IC FEVG &lt; 40 %, HVG &gt; 14 mm) — CI absolue depuis essai CAST 1989 ; (2) </w:t>
      </w:r>
      <w:r>
        <w:rPr>
          <w:b/>
        </w:rPr>
        <w:t>Insuffisance cardiaque décompensée</w:t>
      </w:r>
      <w:r>
        <w:t xml:space="preserve"> (effet inotrope négatif) ; (3) </w:t>
      </w:r>
      <w:r>
        <w:rPr>
          <w:b/>
        </w:rPr>
        <w:t>BAV de haut degré</w:t>
      </w:r>
      <w:r>
        <w:t xml:space="preserve"> non appareillé (effet β-bloquant additif sur le nœud AV) ; (4) </w:t>
      </w:r>
      <w:r>
        <w:rPr>
          <w:b/>
        </w:rPr>
        <w:t>Bradycardie sinusale</w:t>
      </w:r>
      <w:r>
        <w:t xml:space="preserve"> &lt; 50 bpm non appareillée ; (5) </w:t>
      </w:r>
      <w:r>
        <w:rPr>
          <w:b/>
        </w:rPr>
        <w:t>Myasthénie</w:t>
      </w:r>
      <w:r>
        <w:t xml:space="preserve"> (effet direct sur la jonction NM) ; (6) </w:t>
      </w:r>
      <w:r>
        <w:rPr>
          <w:b/>
        </w:rPr>
        <w:t>Bronchospasme sévère, asthme non contrôlé</w:t>
      </w:r>
      <w:r>
        <w:t xml:space="preserve"> (en raison de l'activité β-bloquante intrinsèque — précaution même si l'effet est faible) ; (7) </w:t>
      </w:r>
      <w:r>
        <w:rPr>
          <w:b/>
        </w:rPr>
        <w:t>Hypokaliémie</w:t>
      </w:r>
      <w:r>
        <w:t xml:space="preserve"> non corrigée ; (8) </w:t>
      </w:r>
      <w:r>
        <w:rPr>
          <w:b/>
        </w:rPr>
        <w:t>Allongement du QTc</w:t>
      </w:r>
      <w:r>
        <w:t xml:space="preserve"> (précaution, QTc &gt; 500 ms CI) ; (9) </w:t>
      </w:r>
      <w:r>
        <w:rPr>
          <w:b/>
        </w:rPr>
        <w:t>Syndrome de Brugada</w:t>
      </w:r>
      <w:r>
        <w:t xml:space="preserve"> connu ou suspecté (démasquage possible comme pour la flécaînide) ; (10) Association CI aux </w:t>
      </w:r>
      <w:r>
        <w:rPr>
          <w:b/>
        </w:rPr>
        <w:t>autres antiarythmiques Ia, Ic, III</w:t>
      </w:r>
      <w:r>
        <w:t xml:space="preserve">, </w:t>
      </w:r>
      <w:r>
        <w:rPr>
          <w:b/>
        </w:rPr>
        <w:t>macrolides</w:t>
      </w:r>
      <w:r>
        <w:t xml:space="preserve">, </w:t>
      </w:r>
      <w:r>
        <w:rPr>
          <w:b/>
        </w:rPr>
        <w:t>fluoroquinolones</w:t>
      </w:r>
      <w:r>
        <w:t xml:space="preserve"> ; (11) </w:t>
      </w:r>
      <w:r>
        <w:rPr>
          <w:b/>
        </w:rPr>
        <w:t>Insuffisance rénale sévère</w:t>
      </w:r>
      <w:r>
        <w:t xml:space="preserve"> sans adaptation ; (12) </w:t>
      </w:r>
      <w:r>
        <w:rPr>
          <w:b/>
        </w:rPr>
        <w:t>Grossesse</w:t>
      </w:r>
      <w:r>
        <w:t xml:space="preserve"> (prudence, β-bloquant) ; (13) </w:t>
      </w:r>
      <w:r>
        <w:rPr>
          <w:b/>
        </w:rPr>
        <w:t>Allaitement</w:t>
      </w:r>
      <w:r>
        <w:t>.</w:t>
      </w:r>
    </w:p>
    <w:p>
      <w:pPr>
        <w:pStyle w:val="ListBullet"/>
      </w:pPr>
      <w:r>
        <w:t xml:space="preserve">Effets Indésirables : (1) </w:t>
      </w:r>
      <w:r>
        <w:rPr>
          <w:b/>
        </w:rPr>
        <w:t>Proarythmie ventriculaire</w:t>
      </w:r>
      <w:r>
        <w:t xml:space="preserve"> (1–5 %) — risque majeur en cardiopathie structurelle ; surveillance ECG (élargissement QRS &gt; 25 % de la valeur initiale → arrêt) ; (2) </w:t>
      </w:r>
      <w:r>
        <w:rPr>
          <w:b/>
        </w:rPr>
        <w:t>Élargissement du QRS</w:t>
      </w:r>
      <w:r>
        <w:t xml:space="preserve"> (constant, dose-dépendant — surveillance ECG obligatoire) ; (3) </w:t>
      </w:r>
      <w:r>
        <w:rPr>
          <w:b/>
        </w:rPr>
        <w:t>Bradycardie sinusale</w:t>
      </w:r>
      <w:r>
        <w:t xml:space="preserve">, BAV (plus marqués qu'avec la flécaînide en raison de l'effet β-bloquant) ; (4) </w:t>
      </w:r>
      <w:r>
        <w:rPr>
          <w:b/>
        </w:rPr>
        <w:t>Hypotension</w:t>
      </w:r>
      <w:r>
        <w:t xml:space="preserve"> (effet β-bloquant + inotrope négatif) ; (5) </w:t>
      </w:r>
      <w:r>
        <w:rPr>
          <w:b/>
        </w:rPr>
        <w:t>Bronchospasme</w:t>
      </w:r>
      <w:r>
        <w:t xml:space="preserve"> (rare, mais à surveiller chez l'asthmatique — effet β2-bloquant faible) ; (6) </w:t>
      </w:r>
      <w:r>
        <w:rPr>
          <w:b/>
        </w:rPr>
        <w:t>Troubles digestifs</w:t>
      </w:r>
      <w:r>
        <w:t xml:space="preserve"> : nausées, vomissements, douleurs épigastriques, diarrhée (plus fréquents qu'avec la flécaînide en raison de la trithérapie) ; (7) </w:t>
      </w:r>
      <w:r>
        <w:rPr>
          <w:b/>
        </w:rPr>
        <w:t>Goût métallique</w:t>
      </w:r>
      <w:r>
        <w:t xml:space="preserve"> (très caractéristique de la propafénone, 5–15 %) ; (8) </w:t>
      </w:r>
      <w:r>
        <w:rPr>
          <w:b/>
        </w:rPr>
        <w:t>Vertiges, céphalées, paresthésies, ataxie, tremblements</w:t>
      </w:r>
      <w:r>
        <w:t xml:space="preserve"> ; (9) </w:t>
      </w:r>
      <w:r>
        <w:rPr>
          <w:b/>
        </w:rPr>
        <w:t>Troubles visuels</w:t>
      </w:r>
      <w:r>
        <w:t xml:space="preserve"> (moins fréquents qu'avec la flécaînide) ; (10) </w:t>
      </w:r>
      <w:r>
        <w:rPr>
          <w:b/>
        </w:rPr>
        <w:t>Torsades de pointe</w:t>
      </w:r>
      <w:r>
        <w:t xml:space="preserve"> (très rare, décrit en cas d'association à torsadogène ou d'hypokaliémie) ; (11) </w:t>
      </w:r>
      <w:r>
        <w:rPr>
          <w:b/>
        </w:rPr>
        <w:t>Agranulocytose, thrombopénie</w:t>
      </w:r>
      <w:r>
        <w:t xml:space="preserve"> (très rares) ; (12) </w:t>
      </w:r>
      <w:r>
        <w:rPr>
          <w:b/>
        </w:rPr>
        <w:t>Hépatotoxicité</w:t>
      </w:r>
      <w:r>
        <w:t xml:space="preserve"> (rare) ; (13) </w:t>
      </w:r>
      <w:r>
        <w:rPr>
          <w:b/>
        </w:rPr>
        <w:t>Anticorps antinucléaires</w:t>
      </w:r>
      <w:r>
        <w:t xml:space="preserve"> (positive, lupus-like — rare) ; (14) </w:t>
      </w:r>
      <w:r>
        <w:rPr>
          <w:b/>
        </w:rPr>
        <w:t>Rash cutané</w:t>
      </w:r>
      <w:r>
        <w:t xml:space="preserve"> (rare).</w:t>
      </w:r>
    </w:p>
    <w:p>
      <w:r/>
      <w:r>
        <w:rPr>
          <w:b/>
        </w:rPr>
        <w:t>Prévention et Gestion des Effets Indésirables :</w:t>
      </w:r>
      <w:r/>
    </w:p>
    <w:p>
      <w:pPr>
        <w:pStyle w:val="ListBullet"/>
      </w:pPr>
      <w:r>
        <w:t xml:space="preserve">Mesures Préventives : (a) </w:t>
      </w:r>
      <w:r>
        <w:rPr>
          <w:b/>
        </w:rPr>
        <w:t>Bilan pré-thérapeutique complet</w:t>
      </w:r>
      <w:r>
        <w:t xml:space="preserve"> : ECG 12 dérivations (QRS, PR, QTc, recherche de Brugada), échographie cardiaque (FEVG ≥ 50 %, absence de HVG &gt; 14 mm, absence de cicatrice), bilan biologique (kaliémie &gt; 4 mmol/L, magnésémie, créatininémie, bilan hépatique, NFS-plaquettes), EFR (recherche de bronchospasme latent chez l'asthmatique) ; (b) </w:t>
      </w:r>
      <w:r>
        <w:rPr>
          <w:b/>
        </w:rPr>
        <w:t>Test d'initiation hospitalier</w:t>
      </w:r>
      <w:r>
        <w:t xml:space="preserve"> (hospitalisation de jour ou courte hospitalisation) : ECG 2 h après la première dose, surveillance QRS et PR ; (c) </w:t>
      </w:r>
      <w:r>
        <w:rPr>
          <w:b/>
        </w:rPr>
        <w:t>Surveillance ECG régulière</w:t>
      </w:r>
      <w:r>
        <w:t xml:space="preserve"> (à J7, J15, M1, puis tous les 3–6 mois) ; (d) </w:t>
      </w:r>
      <w:r>
        <w:rPr>
          <w:b/>
        </w:rPr>
        <w:t>Surveillance biologique</w:t>
      </w:r>
      <w:r>
        <w:t xml:space="preserve"> annuelle ; (e) </w:t>
      </w:r>
      <w:r>
        <w:rPr>
          <w:b/>
        </w:rPr>
        <w:t>Éducation du patient</w:t>
      </w:r>
      <w:r>
        <w:t xml:space="preserve"> à la stratégie « pilule dans la poche » ; (f) Vérification des </w:t>
      </w:r>
      <w:r>
        <w:rPr>
          <w:b/>
        </w:rPr>
        <w:t>associations CI</w:t>
      </w:r>
      <w:r>
        <w:t xml:space="preserve"> (β-bloquants : addition d'effets β-bloquants → bradycardie sévère, BAV) ; (g) En cas d'</w:t>
      </w:r>
      <w:r>
        <w:rPr>
          <w:b/>
        </w:rPr>
        <w:t>insuffisance rénale</w:t>
      </w:r>
      <w:r>
        <w:t xml:space="preserve"> (DFG &lt; 50 mL/min), réduction de dose à 50–75 % et surveillance prolongée ; (h) </w:t>
      </w:r>
      <w:r>
        <w:rPr>
          <w:b/>
        </w:rPr>
        <w:t>Dépistage du polymorphisme CYP2D6</w:t>
      </w:r>
      <w:r>
        <w:t xml:space="preserve"> non réalisé en routine en Algérie — information du patient sur le risque de variabilité d'efficacité et de tolérance ; (i) Information du patient sur le goût métallique transitoire (bénin, ne pas arrêter le traitement).</w:t>
      </w:r>
    </w:p>
    <w:p>
      <w:pPr>
        <w:pStyle w:val="ListBullet"/>
      </w:pPr>
      <w:r>
        <w:t>Conduite à Tenir : En cas d'</w:t>
      </w:r>
      <w:r>
        <w:rPr>
          <w:b/>
        </w:rPr>
        <w:t>élargissement du QRS &gt; 25 %</w:t>
      </w:r>
      <w:r>
        <w:t xml:space="preserve"> de la valeur initiale (ou QRS &gt; 120 ms si QRS de base normal) → </w:t>
      </w:r>
      <w:r>
        <w:rPr>
          <w:b/>
        </w:rPr>
        <w:t>arrêt immédiat</w:t>
      </w:r>
      <w:r>
        <w:t xml:space="preserve"> de la propafénone, ECG de contrôle, relais par alternative (flécaînide, amiodarone, ablation par radiofréquence). En cas de </w:t>
      </w:r>
      <w:r>
        <w:rPr>
          <w:b/>
        </w:rPr>
        <w:t>proarythmie ventriculaire</w:t>
      </w:r>
      <w:r>
        <w:t xml:space="preserve"> (TV soutenue, FV) → arrêt immédiat, cardioversion électrique 200 J biphasique, </w:t>
      </w:r>
      <w:r>
        <w:rPr>
          <w:b/>
        </w:rPr>
        <w:t>lactate de sodium</w:t>
      </w:r>
      <w:r>
        <w:t xml:space="preserve"> IV (1/6 M, 250 mL en 15 min), surveillance USI 24–48 h. En cas de </w:t>
      </w:r>
      <w:r>
        <w:rPr>
          <w:b/>
        </w:rPr>
        <w:t>bradycardie symptomatique ou BAV</w:t>
      </w:r>
      <w:r>
        <w:t xml:space="preserve"> (effet β-bloquant) → arrêt, atropine 0,5–1 mg IV si bradycardie menaçante, glucagon 1–5 mg IV (antidote des β-bloquants), pacing temporaire si nécessaire. En cas de </w:t>
      </w:r>
      <w:r>
        <w:rPr>
          <w:b/>
        </w:rPr>
        <w:t>bronchospasme</w:t>
      </w:r>
      <w:r>
        <w:t xml:space="preserve"> → arrêt, bronchodilatateurs β2-mimétiques (salbutamol nébulisé 5 mg), surveillance SpO2. En cas de </w:t>
      </w:r>
      <w:r>
        <w:rPr>
          <w:b/>
        </w:rPr>
        <w:t>surdosage massif</w:t>
      </w:r>
      <w:r>
        <w:t xml:space="preserve"> : collapsus, QRS très large, convulsions — prise en charge USI : lactate de sodium IV (alcalinisation), charbon activé si ingestion &lt; 1 h, pacing temporaire, ventilation mécanique si coma, surveillance ECG prolongée.</w:t>
      </w:r>
    </w:p>
    <w:p>
      <w:r/>
      <w:r>
        <w:rPr>
          <w:b/>
        </w:rPr>
        <w:t>Interactions Importantes :</w:t>
      </w:r>
      <w:r/>
    </w:p>
    <w:p>
      <w:pPr>
        <w:pStyle w:val="ListBullet"/>
      </w:pPr>
      <w:r>
        <w:t xml:space="preserve">Propafénone + </w:t>
      </w:r>
      <w:r>
        <w:rPr>
          <w:b/>
        </w:rPr>
        <w:t>Inhibiteurs du CYP2D6</w:t>
      </w:r>
      <w:r>
        <w:t xml:space="preserve"> (paroxétine, fluoxétine, cinacalcet, quinidine, bupropion, terbinafine) : </w:t>
      </w:r>
      <w:r>
        <w:rPr>
          <w:b/>
        </w:rPr>
        <w:t>augmentation des concentrations de propafénone</w:t>
      </w:r>
      <w:r>
        <w:t xml:space="preserve"> (baisse du métabolisme en 5-hydroxypropafénone) → toxicité (élargissement QRS, proarythmie). Surveillance et adaptation.</w:t>
      </w:r>
    </w:p>
    <w:p>
      <w:pPr>
        <w:pStyle w:val="ListBullet"/>
      </w:pPr>
      <w:r>
        <w:t xml:space="preserve">Propafénone + </w:t>
      </w:r>
      <w:r>
        <w:rPr>
          <w:b/>
        </w:rPr>
        <w:t>β-bloquants</w:t>
      </w:r>
      <w:r>
        <w:t xml:space="preserve"> (propranolol, métoprolol, bisoprolol) : </w:t>
      </w:r>
      <w:r>
        <w:rPr>
          <w:b/>
        </w:rPr>
        <w:t>addition des effets β-bloquants</w:t>
      </w:r>
      <w:r>
        <w:t xml:space="preserve"> → bradycardie sévère, BAV, hypotension, dépression myocardique. Éviter ou surveiller très étroitement.</w:t>
      </w:r>
    </w:p>
    <w:p>
      <w:pPr>
        <w:pStyle w:val="ListBullet"/>
      </w:pPr>
      <w:r>
        <w:t xml:space="preserve">Propafénone + </w:t>
      </w:r>
      <w:r>
        <w:rPr>
          <w:b/>
        </w:rPr>
        <w:t>Amiodarone</w:t>
      </w:r>
      <w:r>
        <w:t xml:space="preserve"> : </w:t>
      </w:r>
      <w:r>
        <w:rPr>
          <w:b/>
        </w:rPr>
        <w:t>augmentation des concentrations de propafénone</w:t>
      </w:r>
      <w:r>
        <w:t xml:space="preserve"> (inhibition du CYP2D6 par amiodarone) → toxicité. Si association, réduire la dose de propafénone de 50 %.</w:t>
      </w:r>
    </w:p>
    <w:p>
      <w:pPr>
        <w:pStyle w:val="ListBullet"/>
      </w:pPr>
      <w:r>
        <w:t xml:space="preserve">Propafénone + </w:t>
      </w:r>
      <w:r>
        <w:rPr>
          <w:b/>
        </w:rPr>
        <w:t>Digoxine</w:t>
      </w:r>
      <w:r>
        <w:t xml:space="preserve"> : augmentation modérée de la digoxinémie (baisse de la clairance). Surveillance digoxinémie.</w:t>
      </w:r>
    </w:p>
    <w:p>
      <w:pPr>
        <w:pStyle w:val="ListBullet"/>
      </w:pPr>
      <w:r>
        <w:t xml:space="preserve">Propafénone + </w:t>
      </w:r>
      <w:r>
        <w:rPr>
          <w:b/>
        </w:rPr>
        <w:t>Warfarine/AVK</w:t>
      </w:r>
      <w:r>
        <w:t xml:space="preserve"> : </w:t>
      </w:r>
      <w:r>
        <w:rPr>
          <w:b/>
        </w:rPr>
        <w:t>augmentation de l'INR</w:t>
      </w:r>
      <w:r>
        <w:t xml:space="preserve"> (inhibition du métabolisme hépatique de la warfarine) → saignements. Surveillance INR, adaptation dose AVK.</w:t>
      </w:r>
    </w:p>
    <w:p>
      <w:pPr>
        <w:pStyle w:val="ListBullet"/>
      </w:pPr>
      <w:r>
        <w:t xml:space="preserve">Propafénone + </w:t>
      </w:r>
      <w:r>
        <w:rPr>
          <w:b/>
        </w:rPr>
        <w:t>Diurétiques hypokaliémiants</w:t>
      </w:r>
      <w:r>
        <w:t xml:space="preserve"> : hypokaliémie → potentialisation proarythmique. Correction systématique.</w:t>
      </w:r>
    </w:p>
    <w:p>
      <w:pPr>
        <w:pStyle w:val="ListBullet"/>
      </w:pPr>
      <w:r>
        <w:t xml:space="preserve">Propafénone + </w:t>
      </w:r>
      <w:r>
        <w:rPr>
          <w:b/>
        </w:rPr>
        <w:t>Macrolides</w:t>
      </w:r>
      <w:r>
        <w:t xml:space="preserve"> (clarithromycine, érythromycine) : double risque — allongement QT + inhibition CYP3A4 (la propafénone est partiellement métabolisée par CYP3A4) → toxicité. Association CI.</w:t>
      </w:r>
    </w:p>
    <w:p>
      <w:pPr>
        <w:pStyle w:val="ListBullet"/>
      </w:pPr>
      <w:r>
        <w:t xml:space="preserve">Propafénone + </w:t>
      </w:r>
      <w:r>
        <w:rPr>
          <w:b/>
        </w:rPr>
        <w:t>Fluoxétine, paroxétine</w:t>
      </w:r>
      <w:r>
        <w:t xml:space="preserve"> (IRS) : double interaction — inhibition du CYP2D6 (augmentation propafénone) + allongement QT. Surveillance stricte.</w:t>
      </w:r>
    </w:p>
    <w:p>
      <w:pPr>
        <w:pStyle w:val="ListBullet"/>
      </w:pPr>
      <w:r>
        <w:t xml:space="preserve">Propafénone + </w:t>
      </w:r>
      <w:r>
        <w:rPr>
          <w:b/>
        </w:rPr>
        <w:t>Inhibiteurs calciques non DHP</w:t>
      </w:r>
      <w:r>
        <w:t xml:space="preserve"> (vérapamil, diltiazem) : bradycardie, BAV, hypotension. Éviter.</w:t>
      </w:r>
    </w:p>
    <w:p>
      <w:pPr>
        <w:pStyle w:val="ListBullet"/>
      </w:pPr>
      <w:r>
        <w:t xml:space="preserve">Propafénone + </w:t>
      </w:r>
      <w:r>
        <w:rPr>
          <w:b/>
        </w:rPr>
        <w:t>Antidépresseurs tricycliques, antipsychotiques</w:t>
      </w:r>
      <w:r>
        <w:t xml:space="preserve"> : allongement QT additif.</w:t>
      </w:r>
    </w:p>
    <w:p>
      <w:r/>
      <w:r>
        <w:rPr>
          <w:b/>
        </w:rPr>
        <w:t>Grossesse et Allaitement :</w:t>
      </w:r>
      <w:r/>
    </w:p>
    <w:p>
      <w:pPr>
        <w:pStyle w:val="ListBullet"/>
      </w:pPr>
      <w:r>
        <w:t xml:space="preserve">Grossesse : Selon le CRAT, la propafénone n'a pas d'effet tératogène démontré chez l'animal, mais les données humaines sont limitées. En raison de son </w:t>
      </w:r>
      <w:r>
        <w:rPr>
          <w:b/>
        </w:rPr>
        <w:t>effet β-bloquant intrinsèque</w:t>
      </w:r>
      <w:r>
        <w:t xml:space="preserve"> (faible mais réel), à utiliser avec prudence pendant la grossesse — surveillance de la bradycardie fœtale, de l'hypoglycémie et de l'hypotension néonatale. Préférer en première intention la </w:t>
      </w:r>
      <w:r>
        <w:rPr>
          <w:b/>
        </w:rPr>
        <w:t>flécaînide</w:t>
      </w:r>
      <w:r>
        <w:t xml:space="preserve"> (compatible selon CRAT) ou un </w:t>
      </w:r>
      <w:r>
        <w:rPr>
          <w:b/>
        </w:rPr>
        <w:t>bêtabloquant</w:t>
      </w:r>
      <w:r>
        <w:t xml:space="preserve"> (propranolol, métoprolol — compatibles) pour les arythmies supraventriculaires maternelles. En cas d'inefficacité ou de CI aux alternatives, la propafénone peut être discutée en 2e/3e intention, en milieu spécialisé, avec surveillance fœtale rapprochée.</w:t>
      </w:r>
    </w:p>
    <w:p>
      <w:pPr>
        <w:pStyle w:val="ListBullet"/>
      </w:pPr>
      <w:r>
        <w:t xml:space="preserve">Allaitement : Selon le CRAT, la propafénone est </w:t>
      </w:r>
      <w:r>
        <w:rPr>
          <w:b/>
        </w:rPr>
        <w:t>compatible avec l'allaitement</w:t>
      </w:r>
      <w:r>
        <w:t xml:space="preserve"> (faible passage dans le lait, ratio lait/plasma ≈ 0,1–0,5 — dose ingérée par le nourrisson &lt; 1 % de la dose thérapeutique pédiatrique). Surveillance du nourrisson (FC, troubles digestifs). À éviter si prématuré ou nourrisson &lt; 1 mois par prudence.</w:t>
      </w:r>
    </w:p>
    <w:p>
      <w:pPr>
        <w:pStyle w:val="ListBullet"/>
      </w:pPr>
      <w:r>
        <w:t>Précisions : En raison de sa non-disponibilité prolongée (statut Non Renouvelable), la propafénone n'est pratiquement plus prescrite en Algérie chez la femme enceinte — la flécaînide et les bêtabloquants restent les options de référence.</w:t>
      </w:r>
    </w:p>
    <w:p>
      <w:r/>
      <w:r>
        <w:rPr>
          <w:b/>
        </w:rPr>
        <w:t>Posologie et Mode d'administration (Standard) :</w:t>
      </w:r>
      <w:r/>
    </w:p>
    <w:p>
      <w:pPr>
        <w:pStyle w:val="ListBullet"/>
      </w:pPr>
      <w:r>
        <w:t xml:space="preserve">Adulte : Comprimés 300 mg — 150 mg x 3/jour (soit 1/2 comprimé x 3/j, 450 mg/j) en initiation, augmentable à 300 mg x 2/jour (600 mg/j) ou 300 mg x 3/jour (900 mg/j) selon efficacité et tolérance, </w:t>
      </w:r>
      <w:r>
        <w:rPr>
          <w:b/>
        </w:rPr>
        <w:t>sans dépasser 900 mg/j</w:t>
      </w:r>
      <w:r>
        <w:t>. Stratégie « pilule dans la poche » pour FA paroxystique : 450–600 mg PO en prise unique dès les premiers symptômes, surveillance ECG, appel SAMU si malaise.</w:t>
      </w:r>
    </w:p>
    <w:p>
      <w:pPr>
        <w:pStyle w:val="ListBullet"/>
      </w:pPr>
      <w:r>
        <w:t>Sujet âgé : dose initiale réduite à 150 mg x 2/jour (300 mg/j), adaptation lente, surveillance ECG renforcée.</w:t>
      </w:r>
    </w:p>
    <w:p>
      <w:pPr>
        <w:pStyle w:val="ListBullet"/>
      </w:pPr>
      <w:r>
        <w:t>Insuffisant rénal (DFG &lt; 50 mL/min) : réduire la dose à 50–75 %.</w:t>
      </w:r>
    </w:p>
    <w:p>
      <w:pPr>
        <w:pStyle w:val="ListBullet"/>
      </w:pPr>
      <w:r>
        <w:t>Insuffisant hépatique : réduire la dose de 25–50 %.</w:t>
      </w:r>
    </w:p>
    <w:p>
      <w:pPr>
        <w:pStyle w:val="ListBullet"/>
      </w:pPr>
      <w:r>
        <w:t>Enfant : rarement utilisé en pédiatrie (réservé à la rythmologie spécialisée).</w:t>
      </w:r>
    </w:p>
    <w:p>
      <w:pPr>
        <w:pStyle w:val="ListBullet"/>
      </w:pPr>
      <w:r>
        <w:t>Durée : au long cours pour la prévention des récidives — réévaluation annuelle.</w:t>
      </w:r>
    </w:p>
    <w:p>
      <w:pPr>
        <w:pStyle w:val="ListBullet"/>
      </w:pPr>
      <w:r>
        <w:t>Moment de prise : pendant ou après repas pour limiter nausées. Espacement strict de 8 h entre les prises (trithérapie).</w:t>
      </w:r>
    </w:p>
    <w:p>
      <w:r/>
      <w:r>
        <w:rPr>
          <w:b/>
        </w:rPr>
        <w:t>Arbitrage et Bénéfices des Formes Galéniques :</w:t>
      </w:r>
      <w:r/>
    </w:p>
    <w:p>
      <w:r>
        <w:t xml:space="preserve">La propafénone est disponible en Algérie sous une seule forme galénique : </w:t>
      </w:r>
      <w:r>
        <w:rPr>
          <w:b/>
        </w:rPr>
        <w:t>comprimé pelliculé 300 mg sécable</w:t>
      </w:r>
      <w:r>
        <w:t xml:space="preserve"> (CROFENON, laboratoire Farmaceutici Crovis Philcom SRL — Italie). La forme est sécable, ce qui permet l'adaptation posologique par paliers de 150 mg (1/2 comprimé). L'inconvénient majeur est la </w:t>
      </w:r>
      <w:r>
        <w:rPr>
          <w:b/>
        </w:rPr>
        <w:t>trithérapie quotidienne</w:t>
      </w:r>
      <w:r>
        <w:t xml:space="preserve"> (3 prises à 8 h d'intervalle) — source de mauvaise observance. À l'inverse de la flécaînide, il n'existe pas de forme LP disponible en Algérie pour la propafénone (la forme LP existe à l'étranger, en comprimés LP 225, 325 et 425 mg — non commercialisés en Algérie). Le </w:t>
      </w:r>
      <w:r>
        <w:rPr>
          <w:b/>
        </w:rPr>
        <w:t>statut Non Renouvelable</w:t>
      </w:r>
      <w:r>
        <w:t xml:space="preserve"> de l'unique spécialité disponible (CROFENON) en fait un médicament en voie de retrait du marché algérien — à l'officine, anticiper la rupture de stock et prévenir le patient et le médecin pour anticiper un switch thérapeutique vers la flécaînide (classe Ic disponible) ou l'ablation par radiofréquence.</w:t>
      </w:r>
    </w:p>
    <w:p>
      <w:r/>
      <w:r>
        <w:rPr>
          <w:b/>
        </w:rPr>
        <w:t>Instructions et Conseils au Patient :</w:t>
      </w:r>
      <w:r/>
    </w:p>
    <w:p>
      <w:pPr>
        <w:pStyle w:val="ListBullet"/>
      </w:pPr>
      <w:r>
        <w:t xml:space="preserve">Communication au comptoir : « Ce médicament (propafénone) est un antiarythmique réservé à la prévention des troubles du rythme cardiaque. Il agit en régulant l'activité électrique du cœur et possède un léger effet β-bloquant. </w:t>
      </w:r>
      <w:r>
        <w:rPr>
          <w:b/>
        </w:rPr>
        <w:t>Important</w:t>
      </w:r>
      <w:r>
        <w:t xml:space="preserve"> : prenez-le à heures fixes, 3 fois par jour à 8 heures d'intervalle (par exemple 8 h, 16 h, 24 h), sans dépasser la dose prescrite. Prévenez immédiatement votre médecin si vous avez : malaises, vertiges, essoufflement, douleurs thoraciques, palpitations rapides irrégulières, goût métallique dans la bouche (fréquent et bénin). Ne jamais l'associer à un autre médicament sans avis médical (antibiotiques macrolides, antidépresseurs, antifongiques). Surveillance ECG régulière obligatoire. Évitez le pamplemousse. »</w:t>
      </w:r>
    </w:p>
    <w:p>
      <w:pPr>
        <w:pStyle w:val="ListBullet"/>
      </w:pPr>
      <w:r>
        <w:t>Mode d'utilisation pratique : (1) Comprimé pelliculé sécable : peut être coupé en deux selon le sillon. À prendre avec un verre d'eau, au cours d'un repas. (2) Ne pas écraser. (3) Stratégie « pilule dans la poche » : 1 dose unique PO dès les premiers symptômes, surveillance pouls et TA, appel SAMU si pas d'amélioration après 2 h. (4) Ne pas arrêter brutalement. (5) Conservation à température &lt; 25 °C, à l'abri de l'humidité.</w:t>
      </w:r>
    </w:p>
    <w:p>
      <w:r/>
      <w:r>
        <w:rPr>
          <w:b/>
        </w:rPr>
        <w:t>Notes, Règles d'Or &amp; Pièges au Comptoir :</w:t>
      </w:r>
      <w:r/>
    </w:p>
    <w:p>
      <w:pPr>
        <w:pStyle w:val="ListBullet"/>
      </w:pPr>
      <w:r/>
      <w:r>
        <w:rPr>
          <w:b/>
        </w:rPr>
        <w:t>Piège classique — Polymorphisme CYP2D6</w:t>
      </w:r>
      <w:r>
        <w:t xml:space="preserve"> : la propafénone est métabolisée par le CYP2D6, polymorphique. Les </w:t>
      </w:r>
      <w:r>
        <w:rPr>
          <w:b/>
        </w:rPr>
        <w:t>métaboliseurs ultra-rapides</w:t>
      </w:r>
      <w:r>
        <w:t xml:space="preserve"> (UM, 1–5 % de la population, plus fréquents en Afrique du Nord) produisent une quantité excessive de 5-hydroxypropafénone → toxicité (élargissement QRS, proarythmie, hypotension). Les </w:t>
      </w:r>
      <w:r>
        <w:rPr>
          <w:b/>
        </w:rPr>
        <w:t>métaboliseurs lents</w:t>
      </w:r>
      <w:r>
        <w:t xml:space="preserve"> (PM, 5–10 % de la population européenne, jusqu'à 10 % chez les Maghrébins) ont une accumulation de la molécule mère → effet prolongé avec demi-vie allongée à 12–32 h et risque de surdosage à doses standard. Devant une inefficacité ou une toxicité inexpliquée, évoquer le polymorphisme CYP2D6. Non dépisté en routine en Algérie.</w:t>
      </w:r>
    </w:p>
    <w:p>
      <w:pPr>
        <w:pStyle w:val="ListBullet"/>
      </w:pPr>
      <w:r/>
      <w:r>
        <w:rPr>
          <w:b/>
        </w:rPr>
        <w:t>Piège — Statut Non Renouvelable</w:t>
      </w:r>
      <w:r>
        <w:t xml:space="preserve"> : la propafénone (CROFENON) est en statut Non Renouvelable en Algérie — son approvisionnement est aléatoire, le médicament peut être définitivement retiré du marché à court terme. Anticiper avec le patient et le médecin un switch thérapeutique vers la flécaînide (classe Ic disponible).</w:t>
      </w:r>
    </w:p>
    <w:p>
      <w:pPr>
        <w:pStyle w:val="ListBullet"/>
      </w:pPr>
      <w:r/>
      <w:r>
        <w:rPr>
          <w:b/>
        </w:rPr>
        <w:t>Piège — Trithérapie et observance</w:t>
      </w:r>
      <w:r>
        <w:t xml:space="preserve"> : la trithérapie quotidienne (3 prises à 8 h d'intervalle) est source de mauvaise observance — expliquer au patient l'importance de respecter les horaires (espacement strict de 8 h pour maintenir des concentrations plasmatiques stables).</w:t>
      </w:r>
    </w:p>
    <w:p>
      <w:pPr>
        <w:pStyle w:val="ListBullet"/>
      </w:pPr>
      <w:r/>
      <w:r>
        <w:rPr>
          <w:b/>
        </w:rPr>
        <w:t>Piège — Effet β-bloquant intrinsèque</w:t>
      </w:r>
      <w:r>
        <w:t xml:space="preserve"> : ne pas oublier que la propafénone a un effet β-bloquant faible mais réel — </w:t>
      </w:r>
      <w:r>
        <w:rPr>
          <w:b/>
        </w:rPr>
        <w:t>CI chez l'asthmatique sévère</w:t>
      </w:r>
      <w:r>
        <w:t>, précaution chez le diabétique (masquage des signes d'hypoglycémie), précaution en association aux β-bloquants usuels (addition d'effets → bradycardie sévère, BAV).</w:t>
      </w:r>
    </w:p>
    <w:p>
      <w:pPr>
        <w:pStyle w:val="ListBullet"/>
      </w:pPr>
      <w:r/>
      <w:r>
        <w:rPr>
          <w:b/>
        </w:rPr>
        <w:t>Piège — Goût métallique</w:t>
      </w:r>
      <w:r>
        <w:t xml:space="preserve"> : fréquent et bénin, ne pas confondre avec un signe de toxicité systémique — informer le patient.</w:t>
      </w:r>
    </w:p>
    <w:p>
      <w:pPr>
        <w:pStyle w:val="ListBullet"/>
      </w:pPr>
      <w:r/>
      <w:r>
        <w:rPr>
          <w:b/>
        </w:rPr>
        <w:t>Règle de prise</w:t>
      </w:r>
      <w:r>
        <w:t xml:space="preserve"> : 150 mg x 3/jour à 8 h d'intervalle strict, sans écrasement.</w:t>
      </w:r>
    </w:p>
    <w:p>
      <w:pPr>
        <w:pStyle w:val="ListBullet"/>
      </w:pPr>
      <w:r/>
      <w:r>
        <w:rPr>
          <w:b/>
        </w:rPr>
        <w:t>Préparation et Conservation</w:t>
      </w:r>
      <w:r>
        <w:t xml:space="preserve"> : comprimés pelliculés à température &lt; 25 °C, à l'abri de l'humidité. Conservation 3 ans.</w:t>
      </w:r>
    </w:p>
    <w:p>
      <w:pPr>
        <w:pStyle w:val="ListBullet"/>
      </w:pPr>
      <w:r/>
      <w:r>
        <w:rPr>
          <w:b/>
        </w:rPr>
        <w:t>Piège du surdosage / Substitution</w:t>
      </w:r>
      <w:r>
        <w:t xml:space="preserve"> : surdosage grave (collapsus, QRS très large, convulsions) — antidote : </w:t>
      </w:r>
      <w:r>
        <w:rPr>
          <w:b/>
        </w:rPr>
        <w:t>lactate de sodium 1/6 M IV</w:t>
      </w:r>
      <w:r>
        <w:t xml:space="preserve"> (250 mL en 15 min). Substitution avec la flécaînide (autre classe Ic) possible sous surveillance médicale stricte (adaptation posologique).</w:t>
      </w:r>
    </w:p>
    <w:p>
      <w:pPr>
        <w:pStyle w:val="Heading2"/>
      </w:pPr>
      <w:r>
        <w:t>Sous-classe : Antiarythmiques classe III — Bloqueurs des canaux potassiques avec allongement marqué de la repolarisation</w:t>
      </w:r>
    </w:p>
    <w:p>
      <w:r>
        <w:t xml:space="preserve">La </w:t>
      </w:r>
      <w:r>
        <w:rPr>
          <w:b/>
        </w:rPr>
        <w:t>classe III</w:t>
      </w:r>
      <w:r>
        <w:t xml:space="preserve"> de Vaughan-Williams regroupe les molécules bloquant les </w:t>
      </w:r>
      <w:r>
        <w:rPr>
          <w:b/>
        </w:rPr>
        <w:t>canaux potassiques voltage-dépendants</w:t>
      </w:r>
      <w:r>
        <w:t xml:space="preserve"> (Kr, Ks, Kir, K-ACh) à l'origine d'un </w:t>
      </w:r>
      <w:r>
        <w:rPr>
          <w:b/>
        </w:rPr>
        <w:t>allongement marqué de la durée du potentiel d'action (APD)</w:t>
      </w:r>
      <w:r>
        <w:t xml:space="preserve"> et de la </w:t>
      </w:r>
      <w:r>
        <w:rPr>
          <w:b/>
        </w:rPr>
        <w:t>période réfractaire effective (ERP)</w:t>
      </w:r>
      <w:r>
        <w:t xml:space="preserve"> — sans modification de la phase 0 (Vmax) ni de la conduction intramyocardique (à l'inverse de la classe I). Cette classe est caractérisée électrocardiographiquement par un </w:t>
      </w:r>
      <w:r>
        <w:rPr>
          <w:b/>
        </w:rPr>
        <w:t>allongement isolé du QT</w:t>
      </w:r>
      <w:r>
        <w:t xml:space="preserve"> (sans élargissement du QRS, sans allongement du PR), avec risque </w:t>
      </w:r>
      <w:r>
        <w:rPr>
          <w:b/>
        </w:rPr>
        <w:t>torsadogène</w:t>
      </w:r>
      <w:r>
        <w:t xml:space="preserve"> marqué (sauf pour l'amiodarone qui possède un effet multi-canal atténuant ce risque). Le chef de file historique est l'</w:t>
      </w:r>
      <w:r>
        <w:rPr>
          <w:b/>
        </w:rPr>
        <w:t>amiodarone</w:t>
      </w:r>
      <w:r>
        <w:t>, molécule iodée introduite en 1967 comme anti-angineux (dérivé benzofurane), dont l'activité antiarythmique puissante a été découverte secondairement.</w:t>
      </w:r>
    </w:p>
    <w:p>
      <w:r>
        <w:t>Les molécules de cette classe sont : (1) l'</w:t>
      </w:r>
      <w:r>
        <w:rPr>
          <w:b/>
        </w:rPr>
        <w:t>amiodarone</w:t>
      </w:r>
      <w:r>
        <w:t xml:space="preserve"> (classe III multi-canal — bloc K+ Kr/Ks/K-ACh + bloc accessoire Na+ + bloc Ca2+ L + α-bloquant + β-bloquant non compétitif) ; (2) le </w:t>
      </w:r>
      <w:r>
        <w:rPr>
          <w:b/>
        </w:rPr>
        <w:t>sotalol</w:t>
      </w:r>
      <w:r>
        <w:t xml:space="preserve"> (dérivé du propranolol — bloc K+ Kr + β-bloquant — non disponible en Algérie, retiré du marché mondial pour torsades) ; (3) le </w:t>
      </w:r>
      <w:r>
        <w:rPr>
          <w:b/>
        </w:rPr>
        <w:t>dabrétilide</w:t>
      </w:r>
      <w:r>
        <w:t xml:space="preserve"> (pur bloc K+ Kr — non commercialisé en Algérie, indiqué dans la FA) ; (4) l'</w:t>
      </w:r>
      <w:r>
        <w:rPr>
          <w:b/>
        </w:rPr>
        <w:t>ibutilide</w:t>
      </w:r>
      <w:r>
        <w:t xml:space="preserve"> (pur bloc K+ Kr + activation du courant Na+ tardif — non disponible) ; (5) le </w:t>
      </w:r>
      <w:r>
        <w:rPr>
          <w:b/>
        </w:rPr>
        <w:t>vérapamil</w:t>
      </w:r>
      <w:r>
        <w:t xml:space="preserve"> à haute dose (effet III accessoire), et (6) le </w:t>
      </w:r>
      <w:r>
        <w:rPr>
          <w:b/>
        </w:rPr>
        <w:t>dronédarone</w:t>
      </w:r>
      <w:r>
        <w:t xml:space="preserve"> (dérivé non iodé de l'amiodarone — non disponible en Algérie, retiré pour hépatotoxicité et surmortalité en IC décompensée — essai ANDROMEDA et PALLAS). En Algérie, seule l'</w:t>
      </w:r>
      <w:r>
        <w:rPr>
          <w:b/>
        </w:rPr>
        <w:t>amiodarone</w:t>
      </w:r>
      <w:r>
        <w:t xml:space="preserve"> est disponible.</w:t>
      </w:r>
    </w:p>
    <w:p>
      <w:r>
        <w:t>Les particularités de la classe III sont :</w:t>
      </w:r>
    </w:p>
    <w:p>
      <w:pPr>
        <w:pStyle w:val="ListBullet"/>
      </w:pPr>
      <w:r>
        <w:t xml:space="preserve">Action </w:t>
      </w:r>
      <w:r>
        <w:rPr>
          <w:b/>
        </w:rPr>
        <w:t>reverse use-dependent</w:t>
      </w:r>
      <w:r>
        <w:t xml:space="preserve"> sur l'APD : l'allongement du QT est </w:t>
      </w:r>
      <w:r>
        <w:rPr>
          <w:b/>
        </w:rPr>
        <w:t>plus marqué aux fréquences cardiaques lentes</w:t>
      </w:r>
      <w:r>
        <w:t xml:space="preserve"> (bradycardie) — d'où un risque torsadogène majoré en bradycardie, en cas d'hypokaliémie, et en association à d'autres torsadogènes.</w:t>
      </w:r>
    </w:p>
    <w:p>
      <w:pPr>
        <w:pStyle w:val="ListBullet"/>
      </w:pPr>
      <w:r>
        <w:t xml:space="preserve">Effet </w:t>
      </w:r>
      <w:r>
        <w:rPr>
          <w:b/>
        </w:rPr>
        <w:t>state-dependent</w:t>
      </w:r>
      <w:r>
        <w:t xml:space="preserve"> : le bloc K+ Kr s'établit préférentiellement à l'état activé (open-state), avec cinétique d'association/dissociation variable selon les molécules (sotalol : rapide, IButilide : très rapide ; amiodarone : très lente, d'où accumulation).</w:t>
      </w:r>
    </w:p>
    <w:p>
      <w:pPr>
        <w:pStyle w:val="ListBullet"/>
      </w:pPr>
      <w:r/>
      <w:r>
        <w:rPr>
          <w:b/>
        </w:rPr>
        <w:t>Demi-vie plasmatique extrêmement longue</w:t>
      </w:r>
      <w:r>
        <w:t xml:space="preserve"> pour l'amiodarone (50–60 jours en moyenne, jusqu'à 100 jours en traitement prolongé) — propriété unique liée à une </w:t>
      </w:r>
      <w:r>
        <w:rPr>
          <w:b/>
        </w:rPr>
        <w:t>accumulation tissulaire massive</w:t>
      </w:r>
      <w:r>
        <w:t xml:space="preserve"> (concentrations pulmonaires, hépatiques, thyroïdiennes, myocardiques et cornéennes 100 à 1000 fois supérieures aux concentrations plasmatiques). Cette accumulation tissulaire explique : (a) la lenteur d'imprégnation (effet antiarythmique maximal atteint en 4–8 semaines de traitement) ; (b) la lenteur d'élimination à l'arrêt (effet persistant 2–6 mois) ; (c) la toxicité multiviscérale cumulative (fibrose pulmonaire, hépatotoxicité, dysthyroïdie, dépôts cornéens, neuropathie).</w:t>
      </w:r>
    </w:p>
    <w:p>
      <w:pPr>
        <w:pStyle w:val="ListBullet"/>
      </w:pPr>
      <w:r/>
      <w:r>
        <w:rPr>
          <w:b/>
        </w:rPr>
        <w:t>Métabolisme en déséthylamiodarone</w:t>
      </w:r>
      <w:r>
        <w:t xml:space="preserve"> (DEA) — métabolite actif dont la concentration plasmatique atteint 50–100 % de celle de la molécule mère à l'état d'équilibre, contribuant à l'effet antiarythmique et à la toxicité.</w:t>
      </w:r>
    </w:p>
    <w:p>
      <w:pPr>
        <w:pStyle w:val="ListBullet"/>
      </w:pPr>
      <w:r/>
      <w:r>
        <w:rPr>
          <w:b/>
        </w:rPr>
        <w:t>Statut iodé</w:t>
      </w:r>
      <w:r>
        <w:t xml:space="preserve"> de la molécule (37,3 % d'iode par poids — 1 comprimé 200 mg apporte 75 mg d'iode organique, soit ~ 500 fois l'apport nutritionnel quotidien recommandé) — d'où la </w:t>
      </w:r>
      <w:r>
        <w:rPr>
          <w:b/>
        </w:rPr>
        <w:t>dysthyroïdie</w:t>
      </w:r>
      <w:r>
        <w:t xml:space="preserve"> caractéristique (hypothyroïdie de Wolff-Chaikoff, hyperthyroïdie de Jod-Basedow, thyroïdite auto-immune).</w:t>
      </w:r>
    </w:p>
    <w:p>
      <w:pPr>
        <w:pStyle w:val="ListBullet"/>
      </w:pPr>
      <w:r/>
      <w:r>
        <w:rPr>
          <w:b/>
        </w:rPr>
        <w:t>Index thérapeutique étroit</w:t>
      </w:r>
      <w:r>
        <w:t xml:space="preserve"> — concentrations thérapeutiques 1 à 2,5 mg/L, concentrations toxiques &gt; 3 mg/L.</w:t>
      </w:r>
    </w:p>
    <w:p>
      <w:pPr>
        <w:pStyle w:val="ListBullet"/>
      </w:pPr>
      <w:r/>
      <w:r>
        <w:rPr>
          <w:b/>
        </w:rPr>
        <w:t>Profil d'interactions médicamenteuses majeures</w:t>
      </w:r>
      <w:r>
        <w:t xml:space="preserve"> — l'amiodarone est un </w:t>
      </w:r>
      <w:r>
        <w:rPr>
          <w:b/>
        </w:rPr>
        <w:t>inhibiteur puissant du CYP3A4, CYP2C9, CYP2D6 et de la P-glycoprotéine (P-gp)</w:t>
      </w:r>
      <w:r>
        <w:t>, à l'origine de multiples interactions cliniquement significatives (AVK, digoxine, statines, β-bloquants, IEC, inhibiteurs calciques).</w:t>
      </w:r>
    </w:p>
    <w:p>
      <w:r>
        <w:t xml:space="preserve">La prescription de l'amiodarone est strictement </w:t>
      </w:r>
      <w:r>
        <w:rPr>
          <w:b/>
        </w:rPr>
        <w:t>hospitalière spécialisée</w:t>
      </w:r>
      <w:r>
        <w:t xml:space="preserve"> (cardiologie rythmologique et soins intensifs cardiologiques) pour l'initiation, puis relayée en ville sur ordonnance de cardiologue (Liste II en Algérie pour les comprimés 200 mg — Liste I pour la forme IV).</w:t>
      </w:r>
    </w:p>
    <w:p>
      <w:pPr>
        <w:pStyle w:val="Heading3"/>
      </w:pPr>
      <w:r>
        <w:t>5. DCI : Amiodarone (Chlorhydrate) (Seule)</w:t>
      </w:r>
    </w:p>
    <w:p>
      <w:r/>
      <w:r>
        <w:rPr>
          <w:b/>
        </w:rPr>
        <w:t>Liste des Catégories :</w:t>
      </w:r>
      <w:r>
        <w:t xml:space="preserve"> Antiarythmiques classe III (Vaughan-Williams) ; Antiarythmique multi-canal (Kr, Ks, K-ACh, Na+, Ca2+ L, α, β) ; Antiarythmique supraventriculaire et ventriculaire.</w:t>
      </w:r>
    </w:p>
    <w:p>
      <w:r>
        <w:t>L'amiodarone (chlorhydrate de 2-butyl-3-benzofuranyl 4-[2-(diéthylamino)éthoxy]-3,5-diiodophénylcétone) est l'</w:t>
      </w:r>
      <w:r>
        <w:rPr>
          <w:b/>
        </w:rPr>
        <w:t>antiarythmique le plus puissant et le plus prescrit au monde</w:t>
      </w:r>
      <w:r>
        <w:t xml:space="preserve"> — chef de file de la classe III de Vaughan-Williams, mais avec un profil électrophysiologique </w:t>
      </w:r>
      <w:r>
        <w:rPr>
          <w:b/>
        </w:rPr>
        <w:t>multi-canal</w:t>
      </w:r>
      <w:r>
        <w:t xml:space="preserve"> original qui explique son efficacité supérieure aux autres antiarythmiques et sa tolérance relativement meilleure en termes de proarythmie (faible taux de torsades de pointe malgré un allongement du QT marqué, en raison du bloc accessoire des canaux Ca2+ L qui empêche les déclenchements EAD — </w:t>
      </w:r>
      <w:r>
        <w:rPr>
          <w:i/>
        </w:rPr>
        <w:t>early afterdepolarizations</w:t>
      </w:r>
      <w:r>
        <w:t xml:space="preserve">). Introduite en 1967 comme anti-angineux (dérivé benzofurane), son activité antiarythmique puissante a été identifiée dans les années 1970. Sa structure chimique </w:t>
      </w:r>
      <w:r>
        <w:rPr>
          <w:b/>
        </w:rPr>
        <w:t>diiodée</w:t>
      </w:r>
      <w:r>
        <w:t xml:space="preserve"> (37,3 % d'iode par poids — soit 75 mg d'iode organique par comprimé 200 mg) est à l'origine de la </w:t>
      </w:r>
      <w:r>
        <w:rPr>
          <w:b/>
        </w:rPr>
        <w:t>dysthyroïdie</w:t>
      </w:r>
      <w:r>
        <w:t xml:space="preserve"> caractéristique (hypothyroïdie par Wolff-Chaikoff ou thyroïdite auto-immune, hyperthyroïdie par Jod-Basedow — forme typique ou amiodarone-induced thyrotoxicosis type 2AIT forme destructive). Sa </w:t>
      </w:r>
      <w:r>
        <w:rPr>
          <w:b/>
        </w:rPr>
        <w:t>demi-vie plasmatique extrêmement longue</w:t>
      </w:r>
      <w:r>
        <w:t xml:space="preserve"> (50–60 jours en moyenne, allant jusqu'à 100 jours en traitement prolongé) — propriété unique en pharmacologie — est liée à une </w:t>
      </w:r>
      <w:r>
        <w:rPr>
          <w:b/>
        </w:rPr>
        <w:t>accumulation tissulaire massive</w:t>
      </w:r>
      <w:r>
        <w:t xml:space="preserve"> (concentrations tissulaires pulmonaires, hépatiques, myocardiques, thyroïdiennes, adipocytaires et cornéennes 100 à 1000 fois supérieures aux concentrations plasmatiques). Cette accumulation explique : (a) la lenteur d'imprégnation (effet antiarythmique maximal en 4–8 semaines) ; (b) la persistance de l'effet pendant 2–6 mois après l'arrêt ; (c) la toxicité cumulative multiviscérale (fibrose pulmonaire, hépatotoxicité chronique, neuropathie périphérique, dépôts cornéens, photosensibilité cutanée, pigmentations cutanées). Son métabolisme en </w:t>
      </w:r>
      <w:r>
        <w:rPr>
          <w:b/>
        </w:rPr>
        <w:t>déséthylamiodarone (DEA)</w:t>
      </w:r>
      <w:r>
        <w:t xml:space="preserve"> — actif — contribue à l'effet et à la toxicité.</w:t>
      </w:r>
    </w:p>
    <w:p>
      <w:r>
        <w:t xml:space="preserve">L'amiodarone est disponible en Algérie sous forme </w:t>
      </w:r>
      <w:r>
        <w:rPr>
          <w:b/>
        </w:rPr>
        <w:t>injectable IV</w:t>
      </w:r>
      <w:r>
        <w:t xml:space="preserve"> (50 mg/mL en ampoules de 3 mL = 150 mg — pour les urgences cardiologiques et la charge IV) et sous forme </w:t>
      </w:r>
      <w:r>
        <w:rPr>
          <w:b/>
        </w:rPr>
        <w:t>orale comprimés sécables 200 mg</w:t>
      </w:r>
      <w:r>
        <w:t xml:space="preserve"> (pour le relais chronique).</w:t>
      </w:r>
    </w:p>
    <w:p>
      <w:r/>
      <w:r>
        <w:rPr>
          <w:b/>
        </w:rPr>
        <w:t>Médicaments disponibles en Algérie (Marques, Laboratoires, Formes et Dosages) :</w:t>
      </w:r>
      <w:r/>
    </w:p>
    <w:p>
      <w:r/>
      <w:r>
        <w:rPr>
          <w:i/>
        </w:rPr>
        <w:t>Forme injectable IV (50 mg/mL — 150 mg/3 mL) — usage hospitalier cardiologique :</w:t>
      </w:r>
      <w:r/>
    </w:p>
    <w:p>
      <w:pPr>
        <w:pStyle w:val="ListBullet"/>
      </w:pPr>
      <w:r/>
      <w:r>
        <w:rPr>
          <w:b/>
        </w:rPr>
        <w:t>AMIOCARDONE</w:t>
      </w:r>
      <w:r>
        <w:t xml:space="preserve"> (GROUPE SAIDAL)</w:t>
      </w:r>
    </w:p>
    <w:p>
      <w:pPr>
        <w:pStyle w:val="ListBullet"/>
      </w:pPr>
      <w:r>
        <w:t>Formes et Dosages : Solution injectable IV 50 mg/mL (150 mg/3 mL) ; boîte de 06 ampoules et boîte de 50 ampoules de 3 mL</w:t>
      </w:r>
    </w:p>
    <w:p>
      <w:pPr>
        <w:pStyle w:val="ListBullet"/>
      </w:pPr>
      <w:r>
        <w:t>Statut : Actif — Liste I</w:t>
      </w:r>
    </w:p>
    <w:p>
      <w:pPr>
        <w:pStyle w:val="ListBullet"/>
      </w:pPr>
      <w:r/>
      <w:r>
        <w:rPr>
          <w:b/>
        </w:rPr>
        <w:t>AMIODARONE CLORIDRATO BIOINDUSTRIA L.I.M</w:t>
      </w:r>
      <w:r>
        <w:t xml:space="preserve"> (BIOINDUSTRIA LABORATORIO ITALIANO MEDICINALI SPA)</w:t>
      </w:r>
    </w:p>
    <w:p>
      <w:pPr>
        <w:pStyle w:val="ListBullet"/>
      </w:pPr>
      <w:r>
        <w:t>Formes et Dosages : Solution injectable 50 mg/mL (150 mg/3 mL) ; boîte de 05 ampoules de 3 mL</w:t>
      </w:r>
    </w:p>
    <w:p>
      <w:pPr>
        <w:pStyle w:val="ListBullet"/>
      </w:pPr>
      <w:r>
        <w:t>Statut : Actif — Liste II</w:t>
      </w:r>
    </w:p>
    <w:p>
      <w:pPr>
        <w:pStyle w:val="ListBullet"/>
      </w:pPr>
      <w:r/>
      <w:r>
        <w:rPr>
          <w:b/>
        </w:rPr>
        <w:t>CORDARONE</w:t>
      </w:r>
      <w:r>
        <w:t xml:space="preserve"> (SANOFI AVENTIS FRANCE)</w:t>
      </w:r>
    </w:p>
    <w:p>
      <w:pPr>
        <w:pStyle w:val="ListBullet"/>
      </w:pPr>
      <w:r>
        <w:t>Formes et Dosages : Solution injectable IV 50 mg/mL (150 mg/3 mL) ; boîte de 06 ampoules de 3 mL</w:t>
      </w:r>
    </w:p>
    <w:p>
      <w:pPr>
        <w:pStyle w:val="ListBullet"/>
      </w:pPr>
      <w:r>
        <w:t>Statut : Actif — Liste II</w:t>
      </w:r>
    </w:p>
    <w:p>
      <w:r/>
      <w:r>
        <w:rPr>
          <w:i/>
        </w:rPr>
        <w:t>Forme orale (comprimés sécables 200 mg) — relais chronique :</w:t>
      </w:r>
      <w:r/>
    </w:p>
    <w:p>
      <w:pPr>
        <w:pStyle w:val="ListBullet"/>
      </w:pPr>
      <w:r/>
      <w:r>
        <w:rPr>
          <w:b/>
        </w:rPr>
        <w:t>AMIODARONE HUP</w:t>
      </w:r>
      <w:r>
        <w:t xml:space="preserve"> (HUPP PHARMA)</w:t>
      </w:r>
    </w:p>
    <w:p>
      <w:pPr>
        <w:pStyle w:val="ListBullet"/>
      </w:pPr>
      <w:r>
        <w:t>Formes et Dosages : Comprimé sécable 200 mg ; boîte de 30</w:t>
      </w:r>
    </w:p>
    <w:p>
      <w:pPr>
        <w:pStyle w:val="ListBullet"/>
      </w:pPr>
      <w:r>
        <w:t>Statut : Actif — Liste II</w:t>
      </w:r>
    </w:p>
    <w:p>
      <w:pPr>
        <w:pStyle w:val="ListBullet"/>
      </w:pPr>
      <w:r/>
      <w:r>
        <w:rPr>
          <w:b/>
        </w:rPr>
        <w:t>TRIAXONE</w:t>
      </w:r>
      <w:r>
        <w:t xml:space="preserve"> (PHARMALLIANCE)</w:t>
      </w:r>
    </w:p>
    <w:p>
      <w:pPr>
        <w:pStyle w:val="ListBullet"/>
      </w:pPr>
      <w:r>
        <w:t>Formes et Dosages : Comprimé sécable 200 mg ; boîte de 30</w:t>
      </w:r>
    </w:p>
    <w:p>
      <w:pPr>
        <w:pStyle w:val="ListBullet"/>
      </w:pPr>
      <w:r>
        <w:t>Statut : Actif — Liste II</w:t>
      </w:r>
    </w:p>
    <w:p>
      <w:r/>
      <w:r>
        <w:rPr>
          <w:i/>
        </w:rPr>
        <w:t>Formes non renouvelables (statut NR) :</w:t>
      </w:r>
      <w:r/>
    </w:p>
    <w:p>
      <w:pPr>
        <w:pStyle w:val="ListBullet"/>
      </w:pPr>
      <w:r/>
      <w:r>
        <w:rPr>
          <w:b/>
        </w:rPr>
        <w:t>AMIOCARDONE cp</w:t>
      </w:r>
      <w:r>
        <w:t xml:space="preserve"> (GROUPE SAIDAL) — Comprimé sécable 200 mg ; boîte de 30 — Non Renouvelable — Liste II</w:t>
      </w:r>
    </w:p>
    <w:p>
      <w:pPr>
        <w:pStyle w:val="ListBullet"/>
      </w:pPr>
      <w:r/>
      <w:r>
        <w:rPr>
          <w:b/>
        </w:rPr>
        <w:t>AMIODARONE MEDOCHEMIE</w:t>
      </w:r>
      <w:r>
        <w:t xml:space="preserve"> (MEDOCHEMIE LTD) — Comprimé 200 mg ; boîte de 30 — Non Renouvelable — Liste II</w:t>
      </w:r>
    </w:p>
    <w:p>
      <w:pPr>
        <w:pStyle w:val="ListBullet"/>
      </w:pPr>
      <w:r/>
      <w:r>
        <w:rPr>
          <w:b/>
        </w:rPr>
        <w:t>AMIODARONE MYLAN</w:t>
      </w:r>
      <w:r>
        <w:t xml:space="preserve"> (MYLAN SAS) — Comprimé 200 mg ; boîte de 30 — Non Renouvelable — Liste II</w:t>
      </w:r>
    </w:p>
    <w:p>
      <w:pPr>
        <w:pStyle w:val="ListBullet"/>
      </w:pPr>
      <w:r/>
      <w:r>
        <w:rPr>
          <w:b/>
        </w:rPr>
        <w:t>AMIRONE</w:t>
      </w:r>
      <w:r>
        <w:t xml:space="preserve"> (GULF PHARMACEUTICAL INDUSTRIES — JULPHAR) — Comprimé 200 mg ; boîte de 30 — Non Renouvelable — Liste II</w:t>
      </w:r>
    </w:p>
    <w:p>
      <w:r/>
      <w:r>
        <w:rPr>
          <w:i/>
        </w:rPr>
        <w:t>Formes retirées (statut R) :</w:t>
      </w:r>
      <w:r/>
    </w:p>
    <w:p>
      <w:pPr>
        <w:pStyle w:val="ListBullet"/>
      </w:pPr>
      <w:r/>
      <w:r>
        <w:rPr>
          <w:b/>
        </w:rPr>
        <w:t>SEDACORON IV</w:t>
      </w:r>
      <w:r>
        <w:t xml:space="preserve"> (EBEWE PHARMA GES mbh Nfg KG) — Solution injectable IV 50 mg/mL (150 mg/3 mL) ; boîte de 05 ampoules de 3 mL — Retiré (R) — Liste II</w:t>
      </w:r>
    </w:p>
    <w:p>
      <w:pPr>
        <w:pStyle w:val="ListBullet"/>
      </w:pPr>
      <w:r/>
      <w:r>
        <w:rPr>
          <w:b/>
        </w:rPr>
        <w:t>ALDARONE</w:t>
      </w:r>
      <w:r>
        <w:t xml:space="preserve"> (MEDICUBA) — Comprimé 200 mg ; boîte de 20 — Retiré (R) — Liste II</w:t>
      </w:r>
    </w:p>
    <w:p>
      <w:pPr>
        <w:pStyle w:val="ListBullet"/>
      </w:pPr>
      <w:r/>
      <w:r>
        <w:rPr>
          <w:b/>
        </w:rPr>
        <w:t>AMIODARONE CLL PHARMA</w:t>
      </w:r>
      <w:r>
        <w:t xml:space="preserve"> (PHARMACEUTICAL LABORATORY INTERNATIONAL — PLI) — Comprimé sécable 200 mg ; boîte de 30 — Retiré (R) — Liste II</w:t>
      </w:r>
    </w:p>
    <w:p>
      <w:pPr>
        <w:pStyle w:val="ListBullet"/>
      </w:pPr>
      <w:r/>
      <w:r>
        <w:rPr>
          <w:b/>
        </w:rPr>
        <w:t>CORDARONE cp</w:t>
      </w:r>
      <w:r>
        <w:t xml:space="preserve"> (WINTHROP PHARMA SAIDAL SPA) — Comprimé sécable 200 mg ; boîte de 30 — Retiré (R) — Liste I</w:t>
      </w:r>
    </w:p>
    <w:p>
      <w:pPr>
        <w:pStyle w:val="ListBullet"/>
      </w:pPr>
      <w:r/>
      <w:r>
        <w:rPr>
          <w:b/>
        </w:rPr>
        <w:t>AMIODARONE BIOGARAN</w:t>
      </w:r>
      <w:r>
        <w:t xml:space="preserve"> (BIOGARAN) — Comprimé sécable 200 mg ; boîte de 30 — Retiré (R) — Liste II</w:t>
      </w:r>
    </w:p>
    <w:p>
      <w:pPr>
        <w:pStyle w:val="ListBullet"/>
      </w:pPr>
      <w:r/>
      <w:r>
        <w:rPr>
          <w:b/>
        </w:rPr>
        <w:t>SEDACORON cp</w:t>
      </w:r>
      <w:r>
        <w:t xml:space="preserve"> (EBEWE PHARMA GES mbh Nfg KG) — Comprimé sécable 200 mg ; boîte de 50 — Retiré (R) — Liste II</w:t>
      </w:r>
    </w:p>
    <w:p>
      <w:r/>
      <w:r>
        <w:rPr>
          <w:b/>
        </w:rPr>
        <w:t>Sous-classe et Mécanisme d'action :</w:t>
      </w:r>
      <w:r/>
    </w:p>
    <w:p>
      <w:pPr>
        <w:pStyle w:val="ListBullet"/>
      </w:pPr>
      <w:r>
        <w:t xml:space="preserve">Sous-classe : Antiarythmique de classe III selon Vaughan-Williams — multi-canal (Kr, Ks, K-ACh, Na+, Ca2+ L, α-bloquant, β-bloquant non compétitif). Le </w:t>
      </w:r>
      <w:r>
        <w:rPr>
          <w:b/>
        </w:rPr>
        <w:t>Sicilian Gambit (1991)</w:t>
      </w:r>
      <w:r>
        <w:t xml:space="preserve"> a repositionné l'amiodarone comme antiarythmique « multi-canal » plutôt que pur bloqueur K+.</w:t>
      </w:r>
    </w:p>
    <w:p>
      <w:pPr>
        <w:pStyle w:val="ListBullet"/>
      </w:pPr>
      <w:r>
        <w:t xml:space="preserve">Mécanisme d'action : L'amiodarone est un </w:t>
      </w:r>
      <w:r>
        <w:rPr>
          <w:b/>
        </w:rPr>
        <w:t>antiarythmique multi-canal</w:t>
      </w:r>
      <w:r>
        <w:t xml:space="preserve"> dont l'action principale est le </w:t>
      </w:r>
      <w:r>
        <w:rPr>
          <w:b/>
        </w:rPr>
        <w:t>bloc des canaux potassiques voltage-dépendants</w:t>
      </w:r>
      <w:r>
        <w:t xml:space="preserve"> — principalement le canal </w:t>
      </w:r>
      <w:r>
        <w:rPr>
          <w:b/>
        </w:rPr>
        <w:t>Kr (hERG / KCNH2)</w:t>
      </w:r>
      <w:r>
        <w:t xml:space="preserve"> à l'origine de la repolarisation rapide phase 3, mais aussi les canaux </w:t>
      </w:r>
      <w:r>
        <w:rPr>
          <w:b/>
        </w:rPr>
        <w:t>Ks (KCNQ1/minK)</w:t>
      </w:r>
      <w:r>
        <w:t xml:space="preserve">, </w:t>
      </w:r>
      <w:r>
        <w:rPr>
          <w:b/>
        </w:rPr>
        <w:t>K1 (Kir2.x)</w:t>
      </w:r>
      <w:r>
        <w:t xml:space="preserve">, </w:t>
      </w:r>
      <w:r>
        <w:rPr>
          <w:b/>
        </w:rPr>
        <w:t>K-ACh (GIRK1/4)</w:t>
      </w:r>
      <w:r>
        <w:t xml:space="preserve"> et </w:t>
      </w:r>
      <w:r>
        <w:rPr>
          <w:b/>
        </w:rPr>
        <w:t>K-ATP (Kir6.x)</w:t>
      </w:r>
      <w:r>
        <w:t xml:space="preserve">. Cette inhibition multi-K+ provoque un </w:t>
      </w:r>
      <w:r>
        <w:rPr>
          <w:b/>
        </w:rPr>
        <w:t>allongement marqué de la durée du potentiel d'action (APD90)</w:t>
      </w:r>
      <w:r>
        <w:t xml:space="preserve"> et de la </w:t>
      </w:r>
      <w:r>
        <w:rPr>
          <w:b/>
        </w:rPr>
        <w:t>période réfractaire effective (ERP)</w:t>
      </w:r>
      <w:r>
        <w:t xml:space="preserve"> dans toutes les structures cardiaques (atriales, nodales, His-Purkinje, ventriculaires) — d'où l'</w:t>
      </w:r>
      <w:r>
        <w:rPr>
          <w:b/>
        </w:rPr>
        <w:t>allongement du QT</w:t>
      </w:r>
      <w:r>
        <w:t xml:space="preserve"> sur l'ECG (effet reverse use-dependent : majoré en bradycardie). En parallèle, l'amiodarone exerce : (1) un </w:t>
      </w:r>
      <w:r>
        <w:rPr>
          <w:b/>
        </w:rPr>
        <w:t>bloc accessoire des canaux sodiques</w:t>
      </w:r>
      <w:r>
        <w:t xml:space="preserve"> (NaV1.5) à cinétique intermédiaire (effet Ia-like) — sans élargissement marqué du QRS aux doses thérapeutiques ; (2) un </w:t>
      </w:r>
      <w:r>
        <w:rPr>
          <w:b/>
        </w:rPr>
        <w:t>bloc des canaux calciques L (CaV1.2)</w:t>
      </w:r>
      <w:r>
        <w:t xml:space="preserve"> — d'où un ralentissement de la conduction nodale AV (effet IV-like), expliquant l'allongement du PR et le contrôle de la réponse ventriculaire dans la FA ; (3) un </w:t>
      </w:r>
      <w:r>
        <w:rPr>
          <w:b/>
        </w:rPr>
        <w:t>effet anti-adrénergique non compétitif</w:t>
      </w:r>
      <w:r>
        <w:t xml:space="preserve"> (α-bloquant + β-bloquant non compétitif — sans down-regulation des récepteurs β à l'arrêt) — d'où une bradycardie sinusale modérée, une baisse de la consommation myocardique en O2 (effet anti-angineux historique), une hypotension orthostatique et une vasodilatation coronaire ; (4) une </w:t>
      </w:r>
      <w:r>
        <w:rPr>
          <w:b/>
        </w:rPr>
        <w:t>action anti-oxydante</w:t>
      </w:r>
      <w:r>
        <w:t xml:space="preserve"> et inhibitrice de la </w:t>
      </w:r>
      <w:r>
        <w:rPr>
          <w:b/>
        </w:rPr>
        <w:t>phospholipase A2</w:t>
      </w:r>
      <w:r>
        <w:t xml:space="preserve"> — effet anti-inflammatoire modéré. Cette originalité multi-canal explique : (a) la </w:t>
      </w:r>
      <w:r>
        <w:rPr>
          <w:b/>
        </w:rPr>
        <w:t>puissance antiarythmique supérieure</w:t>
      </w:r>
      <w:r>
        <w:t xml:space="preserve"> aux autres classes (efficace à la fois sur les arythmies supraventriculaires et ventriculaires, sur cœur sain et sur cardiopathie structurelle) ; (b) le </w:t>
      </w:r>
      <w:r>
        <w:rPr>
          <w:b/>
        </w:rPr>
        <w:t>faible taux de proarythmie</w:t>
      </w:r>
      <w:r>
        <w:t xml:space="preserve"> malgré l'allongement du QT (la torsade de pointe est rare, &lt; 0,5 %, en raison du bloc Ca2+ L accessoire qui empêche les déclenchements EAD — *early afterdepolarizations*) ; (c) la </w:t>
      </w:r>
      <w:r>
        <w:rPr>
          <w:b/>
        </w:rPr>
        <w:t>particularité pharmacocinétique</w:t>
      </w:r>
      <w:r>
        <w:t xml:space="preserve"> : accumulation tissulaire massive (demi-vie de 50–60 jours), métabolisme hépatique en </w:t>
      </w:r>
      <w:r>
        <w:rPr>
          <w:b/>
        </w:rPr>
        <w:t>déséthylamiodarone (DEA)</w:t>
      </w:r>
      <w:r>
        <w:t xml:space="preserve"> actif (effet équivalent à la molécule mère), excrétion principalement biliaire et fécale (la clairance rénale est négligeable — d'où l'absence d'adaptation posologique en insuffisance rénale). L'amiodarone est </w:t>
      </w:r>
      <w:r>
        <w:rPr>
          <w:b/>
        </w:rPr>
        <w:t>inhibiteur puissant du CYP3A4, CYP2C9, CYP2D6 et de la P-glycoprotéine (P-gp)</w:t>
      </w:r>
      <w:r>
        <w:t xml:space="preserve"> — à l'origine de multiples interactions médicamenteuses cliniquement significatives.</w:t>
      </w:r>
    </w:p>
    <w:p>
      <w:r/>
      <w:r>
        <w:rPr>
          <w:b/>
        </w:rPr>
        <w:t>Profil Pharmacologique :</w:t>
      </w:r>
      <w:r/>
    </w:p>
    <w:p>
      <w:pPr>
        <w:pStyle w:val="ListBullet"/>
      </w:pPr>
      <w:r>
        <w:t xml:space="preserve">Indications : (1) </w:t>
      </w:r>
      <w:r>
        <w:rPr>
          <w:b/>
        </w:rPr>
        <w:t>Fibrillation atriale (FA)</w:t>
      </w:r>
      <w:r>
        <w:t xml:space="preserve"> — reversion à rythme sinusal (IV en urgence si FA &lt; 48 h ; PO en charge pour FA récente ; PO chronique pour prévention des récidives — alternative à l'ablation par radiofréquence) ; recommandée en cas de cardiopathie structurelle associée (post-IDM, IC avec FEVG &lt; 40 %, HVG) là où la flécaînide est CI ; (2) </w:t>
      </w:r>
      <w:r>
        <w:rPr>
          <w:b/>
        </w:rPr>
        <w:t>Flutter atrial</w:t>
      </w:r>
      <w:r>
        <w:t xml:space="preserve"> — reversion et prévention des récidives ; (3) </w:t>
      </w:r>
      <w:r>
        <w:rPr>
          <w:b/>
        </w:rPr>
        <w:t>Tachycardies jonctionnelles réentrantes (TJR)</w:t>
      </w:r>
      <w:r>
        <w:t xml:space="preserve"> — prévention des récidives (alternative à l'ablation par radiofréquence) ; (4) </w:t>
      </w:r>
      <w:r>
        <w:rPr>
          <w:b/>
        </w:rPr>
        <w:t>Tachycardie ventriculaire (TV) soutenue</w:t>
      </w:r>
      <w:r>
        <w:t xml:space="preserve"> — traitement de l'épisode aigu (IV en urgence) et prévention des récidives (PO chronique — indication de référence en post-IDM avec FEVG altérée, en attente ou en relais d'un défibrillateur implantable) ; (5) </w:t>
      </w:r>
      <w:r>
        <w:rPr>
          <w:b/>
        </w:rPr>
        <w:t>Fibrillation ventriculaire (FV) récidivante</w:t>
      </w:r>
      <w:r>
        <w:t xml:space="preserve"> post-CPRE — recommandée par ESC 2020 et ILCOR 2020 en seconde ligne après la lidocaïne (ou en première ligne selon les recommandations ESC 2020 sur la FA/FV réfractaire au CPRE standard) ; (6) </w:t>
      </w:r>
      <w:r>
        <w:rPr>
          <w:b/>
        </w:rPr>
        <w:t>Extrasystoles ventriculaires (ESV) menaçantes</w:t>
      </w:r>
      <w:r>
        <w:t xml:space="preserve"> en post-IDM — prévention (bien que les bêtabloquants soient en première ligne) ; (7) </w:t>
      </w:r>
      <w:r>
        <w:rPr>
          <w:b/>
        </w:rPr>
        <w:t>Syndrome de Wolff-Parkinson-White</w:t>
      </w:r>
      <w:r>
        <w:t xml:space="preserve"> (faisceau accessoire) — prévention des récidives de TJR et de FA (alternative à l'ablation par radiofréquence). Posologie : (a) </w:t>
      </w:r>
      <w:r>
        <w:rPr>
          <w:b/>
        </w:rPr>
        <w:t>Forme IV (urgence)</w:t>
      </w:r>
      <w:r>
        <w:t xml:space="preserve"> : 5 mg/kg IV sur 1 h (soit 300 mg dans 250 mL G5 % sur 1 h, perfusés dans une voie veineuse périphérique franche — ou 150 mg IV directe sur 10 min si FV/TV instable), suivi de 900 mg/24 h en perfusion continue (soit 900 mg dans 500 mL G5 % sur 24 h, à la seringue électrique) ; (b) </w:t>
      </w:r>
      <w:r>
        <w:rPr>
          <w:b/>
        </w:rPr>
        <w:t>Forme PO (charge)</w:t>
      </w:r>
      <w:r>
        <w:t xml:space="preserve"> : 600 mg/jour (200 mg x 3/j) pendant 5–7 jours, puis 400 mg/jour (200 mg x 2/j) pendant 5–7 jours, puis </w:t>
      </w:r>
      <w:r>
        <w:rPr>
          <w:b/>
        </w:rPr>
        <w:t>dose d'entretien</w:t>
      </w:r>
      <w:r>
        <w:t xml:space="preserve"> 200 mg/jour (1 comprimé/j) — dose minimale efficace (à réduire à 100 mg/jour ou 200 mg tous les 2 jours si possible au long cours pour limiter la toxicité cumulative) ; (c) </w:t>
      </w:r>
      <w:r>
        <w:rPr>
          <w:b/>
        </w:rPr>
        <w:t>Relais IV → PO</w:t>
      </w:r>
      <w:r>
        <w:t xml:space="preserve"> : à J2–J3 de la charge IV, en commençant la charge PO simultanément à l'arrêt de la perfusion IV.</w:t>
      </w:r>
    </w:p>
    <w:p>
      <w:pPr>
        <w:pStyle w:val="ListBullet"/>
      </w:pPr>
      <w:r>
        <w:t xml:space="preserve">Contre-indications : (1) </w:t>
      </w:r>
      <w:r>
        <w:rPr>
          <w:b/>
        </w:rPr>
        <w:t>Hyperthyroïdie</w:t>
      </w:r>
      <w:r>
        <w:t xml:space="preserve"> non contrôlée (la charge iodée peut aggraver — l'amiodarone est CI absolue en hyperthyroïdie évolutive) ; (2) </w:t>
      </w:r>
      <w:r>
        <w:rPr>
          <w:b/>
        </w:rPr>
        <w:t>Hypothyroïdie</w:t>
      </w:r>
      <w:r>
        <w:t xml:space="preserve"> non traitée (risque de décompense) ; (3) </w:t>
      </w:r>
      <w:r>
        <w:rPr>
          <w:b/>
        </w:rPr>
        <w:t>Bradycardie sinusale</w:t>
      </w:r>
      <w:r>
        <w:t xml:space="preserve"> &lt; 50 bpm non appareillée ; (4) </w:t>
      </w:r>
      <w:r>
        <w:rPr>
          <w:b/>
        </w:rPr>
        <w:t>BAV de haut degré</w:t>
      </w:r>
      <w:r>
        <w:t xml:space="preserve"> non appareillé (risque d'asystolie) ; (5) </w:t>
      </w:r>
      <w:r>
        <w:rPr>
          <w:b/>
        </w:rPr>
        <w:t>Allongement du QTc</w:t>
      </w:r>
      <w:r>
        <w:t xml:space="preserve"> congénital ou acquis (&gt; 460 ms homme, &gt; 470 ms femme — risque torsadogène) ; (6) </w:t>
      </w:r>
      <w:r>
        <w:rPr>
          <w:b/>
        </w:rPr>
        <w:t>Grossesse</w:t>
      </w:r>
      <w:r>
        <w:t xml:space="preserve"> (cf. infra — dysthyroïdie fœtale) ; (7) </w:t>
      </w:r>
      <w:r>
        <w:rPr>
          <w:b/>
        </w:rPr>
        <w:t>Allaitement</w:t>
      </w:r>
      <w:r>
        <w:t xml:space="preserve"> ; (8) </w:t>
      </w:r>
      <w:r>
        <w:rPr>
          <w:b/>
        </w:rPr>
        <w:t>Allergie à l'iode</w:t>
      </w:r>
      <w:r>
        <w:t xml:space="preserve"> (recherche systématique d'ATCD de réaction grave aux produits de contraste iodés — prudence, mais l'allergie vraie à l'amiodarone est rare) ; (9) </w:t>
      </w:r>
      <w:r>
        <w:rPr>
          <w:b/>
        </w:rPr>
        <w:t>Insuffisance hépatique sévère</w:t>
      </w:r>
      <w:r>
        <w:t xml:space="preserve"> (cytolyse, hépatite fulminante décrite) ; (10) </w:t>
      </w:r>
      <w:r>
        <w:rPr>
          <w:b/>
        </w:rPr>
        <w:t>Pneumopathie interstitielle évolutive</w:t>
      </w:r>
      <w:r>
        <w:t xml:space="preserve"> (risque de fibrose pulmonaire aggrave) ; (11) Association CI aux </w:t>
      </w:r>
      <w:r>
        <w:rPr>
          <w:b/>
        </w:rPr>
        <w:t>autres torsadogènes</w:t>
      </w:r>
      <w:r>
        <w:t xml:space="preserve"> (antiarythmiques Ia, III, macrolides, fluoroquinolones, antipsychotiques, IRS, méthadone) — par prudence ; (12) </w:t>
      </w:r>
      <w:r>
        <w:rPr>
          <w:b/>
        </w:rPr>
        <w:t>Hypokaliémie</w:t>
      </w:r>
      <w:r>
        <w:t xml:space="preserve"> non corrigée ; (13) Porphyrie cutanée tarda (la molécule est porphyrinogénique).</w:t>
      </w:r>
    </w:p>
    <w:p>
      <w:pPr>
        <w:pStyle w:val="ListBullet"/>
      </w:pPr>
      <w:r>
        <w:t xml:space="preserve">Effets Indésirables : La toxicité de l'amiodarone est </w:t>
      </w:r>
      <w:r>
        <w:rPr>
          <w:b/>
        </w:rPr>
        <w:t>multiviscérale et cumulative</w:t>
      </w:r>
      <w:r>
        <w:t xml:space="preserve"> — elle dépend de la </w:t>
      </w:r>
      <w:r>
        <w:rPr>
          <w:b/>
        </w:rPr>
        <w:t>dose cumulée totale</w:t>
      </w:r>
      <w:r>
        <w:t xml:space="preserve"> et de la </w:t>
      </w:r>
      <w:r>
        <w:rPr>
          <w:b/>
        </w:rPr>
        <w:t>durée d'exposition</w:t>
      </w:r>
      <w:r>
        <w:t xml:space="preserve">. La surveillance systématique et le dépistage précoce sont essentiels. (1) </w:t>
      </w:r>
      <w:r>
        <w:rPr>
          <w:b/>
        </w:rPr>
        <w:t>Dysthyroïdie</w:t>
      </w:r>
      <w:r>
        <w:t xml:space="preserve"> (5–20 % des patients, fréquence variable selon le statut iodé basal — plus fréquente chez les femmes, les auto-immuns, les zones iodées) : </w:t>
      </w:r>
      <w:r>
        <w:rPr>
          <w:b/>
        </w:rPr>
        <w:t>hypothyroïdie</w:t>
      </w:r>
      <w:r>
        <w:t xml:space="preserve"> (TSH↑, T4↓ — fatigue, frilosité, constipation, bradycardie, dépression — 5–10 %) par Wolff-Chaikoff (blocage de l'organification de l'iode par surcharge iodée) ou thyroïdite auto-immune ; </w:t>
      </w:r>
      <w:r>
        <w:rPr>
          <w:b/>
        </w:rPr>
        <w:t>hyperthyroïdie amiodarone-induite (HAI)</w:t>
      </w:r>
      <w:r>
        <w:t xml:space="preserve"> (TSH↓, T4↑ — palpitations, amaigrissement, tremblements, anxiété — 2–5 %) de deux types : </w:t>
      </w:r>
      <w:r>
        <w:rPr>
          <w:b/>
        </w:rPr>
        <w:t>type 1</w:t>
      </w:r>
      <w:r>
        <w:t xml:space="preserve"> (Jod-Basedow — hyperfonctionnement thyroïdien sur goitre multinodulaire ou maladie de Basedow préexistante — traitée par antithyroïdiens de synthèse, carbimazole) et </w:t>
      </w:r>
      <w:r>
        <w:rPr>
          <w:b/>
        </w:rPr>
        <w:t>type 2</w:t>
      </w:r>
      <w:r>
        <w:t xml:space="preserve"> (thyroïdite destructive avec libération massive d'hormones thyroïdiennes préformées — traitée par glucocorticoïdes, prednisone 40–60 mg/j). La survenue d'une dysthyroïdie ne justifie pas systématiquement l'arrêt de l'amiodarone — traitement étiologique et surveillance ; (2) </w:t>
      </w:r>
      <w:r>
        <w:rPr>
          <w:b/>
        </w:rPr>
        <w:t>Pneumopathie interstitielle</w:t>
      </w:r>
      <w:r>
        <w:t xml:space="preserve"> et </w:t>
      </w:r>
      <w:r>
        <w:rPr>
          <w:b/>
        </w:rPr>
        <w:t>fibrose pulmonaire</w:t>
      </w:r>
      <w:r>
        <w:t xml:space="preserve"> (1–5 % — grave, potentiellement fatale) : toux sèche, dyspnée d'effort, fièvre, crépitants diffus à l'auscultation, opacités interstitielles bilatérales au scanner — risque majoré si dose &gt; 400 mg/j, tabac, BPCO, âge &gt; 70 ans, antécédent de pneumopathie ; dépistage par </w:t>
      </w:r>
      <w:r>
        <w:rPr>
          <w:b/>
        </w:rPr>
        <w:t>scanner thoracique annuel</w:t>
      </w:r>
      <w:r>
        <w:t xml:space="preserve"> et </w:t>
      </w:r>
      <w:r>
        <w:rPr>
          <w:b/>
        </w:rPr>
        <w:t>EFR (DLCO) semestriel</w:t>
      </w:r>
      <w:r>
        <w:t xml:space="preserve"> — arrêt immédiat si suspicion, corticothérapie IV si forme grave ; (3) </w:t>
      </w:r>
      <w:r>
        <w:rPr>
          <w:b/>
        </w:rPr>
        <w:t>Hépatotoxicité</w:t>
      </w:r>
      <w:r>
        <w:t xml:space="preserve"> : cytolyse modérée asymptomatique fréquente (transaminases x2–3 fois la normale — surveillance, ne pas arrêter si modérée), hépatite chronique (rare, fibrose — surveillance échographie annuelle, FibroScan), hépatite fulminante aiguë (très rare mais grave, surtout avec la forme IV — surveillance rapprochée les 24 premières heures de la charge IV) ; (4) </w:t>
      </w:r>
      <w:r>
        <w:rPr>
          <w:b/>
        </w:rPr>
        <w:t>Dépôts cornéens</w:t>
      </w:r>
      <w:r>
        <w:t xml:space="preserve"> (presque constants après 6 mois de traitement — micro-dépôts grisâtres en branche d'arbre au niveau de la cornée, visibles à la lampe à fente) — bénins, asymptomatiques le plus souvent, parfois troubles visuels modérés (halos, photophobie) — pas d'arrêt du traitement, surveillance ophtalmologique annuelle ; (5) </w:t>
      </w:r>
      <w:r>
        <w:rPr>
          <w:b/>
        </w:rPr>
        <w:t>Photosensibilité cutanée</w:t>
      </w:r>
      <w:r>
        <w:t xml:space="preserve"> (10–30 %) : érythème au soleil, exposition solaire directe déclenche des érythèmes persistants — prévention stricte (crème solaire écran total, vêtements couvrants, éviction solaire entre 11 h et 16 h) ; (6) </w:t>
      </w:r>
      <w:r>
        <w:rPr>
          <w:b/>
        </w:rPr>
        <w:t>Pigmentation cutanée</w:t>
      </w:r>
      <w:r>
        <w:t xml:space="preserve"> gris-bleutée (3–5 % — accumulation du métabolite dans les phagolysosomes cutanés, surtout sur zones photo-exposées, évolutive, régressive très lentement à l'arrêt — parfois définitive) ; (7) </w:t>
      </w:r>
      <w:r>
        <w:rPr>
          <w:b/>
        </w:rPr>
        <w:t>Neuropathie périphérique</w:t>
      </w:r>
      <w:r>
        <w:t xml:space="preserve"> (3–5 % — paresthésies, troubles de la sensibilité, ataxie — régressive à l'arrêt mais parfois séquellaire) ; (8) </w:t>
      </w:r>
      <w:r>
        <w:rPr>
          <w:b/>
        </w:rPr>
        <w:t>Tremblements, ataxie cérébelleuse</w:t>
      </w:r>
      <w:r>
        <w:t xml:space="preserve"> (5–10 % — réversibles à l'arrêt) ; (9) </w:t>
      </w:r>
      <w:r>
        <w:rPr>
          <w:b/>
        </w:rPr>
        <w:t>Catarakte</w:t>
      </w:r>
      <w:r>
        <w:t xml:space="preserve"> antérieure sous-capsulaire (rare, surveillance ophtalmo) ; (10) </w:t>
      </w:r>
      <w:r>
        <w:rPr>
          <w:b/>
        </w:rPr>
        <w:t>Nausées, vomissements, anorexie</w:t>
      </w:r>
      <w:r>
        <w:t xml:space="preserve"> (fréquents en initiation, surtout forme IV — préférer relais PO rapide) ; (11) </w:t>
      </w:r>
      <w:r>
        <w:rPr>
          <w:b/>
        </w:rPr>
        <w:t>Hypotension orthostatique</w:t>
      </w:r>
      <w:r>
        <w:t xml:space="preserve"> (effet α-bloquant — en initiation IV surtout) ; (12) </w:t>
      </w:r>
      <w:r>
        <w:rPr>
          <w:b/>
        </w:rPr>
        <w:t>Bradycardie sinusale</w:t>
      </w:r>
      <w:r>
        <w:t xml:space="preserve">, BAV (effet β-bloquant + IV-like) — surveillance ECG ; (13) </w:t>
      </w:r>
      <w:r>
        <w:rPr>
          <w:b/>
        </w:rPr>
        <w:t>Torsades de pointe</w:t>
      </w:r>
      <w:r>
        <w:t xml:space="preserve"> (rare, &lt; 0,5 % — favorisées par hypokaliémie, association à torsadogène, allongement QT &gt; 500 ms — surveillance QTc) ; (14) </w:t>
      </w:r>
      <w:r>
        <w:rPr>
          <w:b/>
        </w:rPr>
        <w:t>Épanchement péricardique</w:t>
      </w:r>
      <w:r>
        <w:t xml:space="preserve"> (rare) ; (15) </w:t>
      </w:r>
      <w:r>
        <w:rPr>
          <w:b/>
        </w:rPr>
        <w:t>Vasculite</w:t>
      </w:r>
      <w:r>
        <w:t xml:space="preserve"> (rare) ; (16) </w:t>
      </w:r>
      <w:r>
        <w:rPr>
          <w:b/>
        </w:rPr>
        <w:t>Épididymite</w:t>
      </w:r>
      <w:r>
        <w:t xml:space="preserve"> (rare) ; (17) </w:t>
      </w:r>
      <w:r>
        <w:rPr>
          <w:b/>
        </w:rPr>
        <w:t>Pseudo-cirrhose</w:t>
      </w:r>
      <w:r>
        <w:t xml:space="preserve"> (rare, distinction avec hépatotoxicité authentique).</w:t>
      </w:r>
    </w:p>
    <w:p>
      <w:r/>
      <w:r>
        <w:rPr>
          <w:b/>
        </w:rPr>
        <w:t>Prévention et Gestion des Effets Indésirables :</w:t>
      </w:r>
      <w:r/>
    </w:p>
    <w:p>
      <w:pPr>
        <w:pStyle w:val="ListBullet"/>
      </w:pPr>
      <w:r>
        <w:t xml:space="preserve">Mesures Préventives : Surveillance systématique et </w:t>
      </w:r>
      <w:r>
        <w:rPr>
          <w:b/>
        </w:rPr>
        <w:t>bilan pré-thérapeutique complet</w:t>
      </w:r>
      <w:r>
        <w:t xml:space="preserve"> : (a) </w:t>
      </w:r>
      <w:r>
        <w:rPr>
          <w:b/>
        </w:rPr>
        <w:t>ECG 12 dérivations</w:t>
      </w:r>
      <w:r>
        <w:t xml:space="preserve"> (FC, PR, QRS, QTc de référence) ; (b) </w:t>
      </w:r>
      <w:r>
        <w:rPr>
          <w:b/>
        </w:rPr>
        <w:t>Bilan thyroïdien</w:t>
      </w:r>
      <w:r>
        <w:t xml:space="preserve"> : TSH ultra-sensible, T4 libre, T3 libre, anticorps anti-TPO, anti-récepteur TSH, échographie thyroïdienne (recherche de goitre multinodulaire ou de nodule — facteur de risque d'hyperthyroïdie type 1) ; (c) </w:t>
      </w:r>
      <w:r>
        <w:rPr>
          <w:b/>
        </w:rPr>
        <w:t>Bilan pulmonaire</w:t>
      </w:r>
      <w:r>
        <w:t xml:space="preserve"> : radiographie thoracique, EFR (DLCO, capacité pulmonaire totale, VEMS/CVF), scanner thoracique de référence (pour comparaison ultérieure) ; (d) </w:t>
      </w:r>
      <w:r>
        <w:rPr>
          <w:b/>
        </w:rPr>
        <w:t>Bilan hépatique</w:t>
      </w:r>
      <w:r>
        <w:t xml:space="preserve"> : transaminases (ASAT, ALAT), GGT, phosphatases alcalines, bilirubine totale et conjuguée, albuminémie, TP, échographie hépatique ± FibroScan ; (e) </w:t>
      </w:r>
      <w:r>
        <w:rPr>
          <w:b/>
        </w:rPr>
        <w:t>Bilan rénal</w:t>
      </w:r>
      <w:r>
        <w:t xml:space="preserve"> : créatininémie, DFG, ionogramme (kaliémie, natrémie) ; (f) </w:t>
      </w:r>
      <w:r>
        <w:rPr>
          <w:b/>
        </w:rPr>
        <w:t>Bilan ophtalmologique</w:t>
      </w:r>
      <w:r>
        <w:t xml:space="preserve"> : acuité visuelle, lampe à fente (recherche de dépôts cornéens) ; (g) </w:t>
      </w:r>
      <w:r>
        <w:rPr>
          <w:b/>
        </w:rPr>
        <w:t>NFS, plaquettes</w:t>
      </w:r>
      <w:r>
        <w:t xml:space="preserve">. Surveillance </w:t>
      </w:r>
      <w:r>
        <w:rPr>
          <w:b/>
        </w:rPr>
        <w:t>semestrielle à annuelle</w:t>
      </w:r>
      <w:r>
        <w:t xml:space="preserve"> pendant toute la durée du traitement : ECG (FC, QTc — si QTc &gt; 500 ms → arrêt), TSH (tous les 6 mois), radiographie thoracique (annuelle), EFR (DLCO — annuelle), transaminases (tous les 6 mois), créatininémie (annuelle), ophtalmologie (annuelle), bilan hépatique échographique (annuelle). </w:t>
      </w:r>
      <w:r>
        <w:rPr>
          <w:b/>
        </w:rPr>
        <w:t>Prévention de la photosensibilité</w:t>
      </w:r>
      <w:r>
        <w:t xml:space="preserve"> : crème solaire écran total (SPF 50+), vêtements couvrants, chapeau à large bord, éviction solaire 11 h–16 h, information du patient sur le caractère cumulatif et durable (3–6 mois après arrêt). </w:t>
      </w:r>
      <w:r>
        <w:rPr>
          <w:b/>
        </w:rPr>
        <w:t>Prévention de la dysthyroïdie</w:t>
      </w:r>
      <w:r>
        <w:t xml:space="preserve"> : pas de prévention médicamenteuse possible, mais surveillance TSH systématique — en cas d'antécédent thyroïdien,讨论 case-by-case avec l'endocrinologue. </w:t>
      </w:r>
      <w:r>
        <w:rPr>
          <w:b/>
        </w:rPr>
        <w:t>Prévention des interactions médicamenteuses</w:t>
      </w:r>
      <w:r>
        <w:t xml:space="preserve"> : vérification systématique du dossier pharmaceutique, adaptation des doses d'AVK (réduction de 30–50 %), de digoxine (réduction de 50 %), des statines (réduction de simvastatine max 20 mg/j, atorvastatine max 40 mg/j), des β-bloquants (réduction), des inhibiteurs calciques.</w:t>
      </w:r>
    </w:p>
    <w:p>
      <w:pPr>
        <w:pStyle w:val="ListBullet"/>
      </w:pPr>
      <w:r>
        <w:t xml:space="preserve">Conduite à Tenir : En cas de </w:t>
      </w:r>
      <w:r>
        <w:rPr>
          <w:b/>
        </w:rPr>
        <w:t>dysthyroïdie</w:t>
      </w:r>
      <w:r>
        <w:t xml:space="preserve"> (TSH modifiée) : dosage T4 libre + T3 libre + anticorps ; endocrinologue. </w:t>
      </w:r>
      <w:r>
        <w:rPr>
          <w:b/>
        </w:rPr>
        <w:t>Hypothyroïdie</w:t>
      </w:r>
      <w:r>
        <w:t xml:space="preserve"> : lévothyroxine à dose substitutive sans arrêt de l'amiodarone si l'indication antiarythmique est impérieuse (sinon arrêt). </w:t>
      </w:r>
      <w:r>
        <w:rPr>
          <w:b/>
        </w:rPr>
        <w:t>Hyperthyroïdie amiodarone-induite type 1</w:t>
      </w:r>
      <w:r>
        <w:t xml:space="preserve"> (goitre, anticorps anti-récepteur TSH positifs) : carbimazole 30–60 mg/j, bloc-thyroïdienne (lévothyroxine associée après euthyroïdie), arrêt de l'amiodarone si possible. </w:t>
      </w:r>
      <w:r>
        <w:rPr>
          <w:b/>
        </w:rPr>
        <w:t>HAI type 2</w:t>
      </w:r>
      <w:r>
        <w:t xml:space="preserve"> (thyroïde normale, anticorps négatifs, thyroïdite destructive) : prednisone 0,5–1 mg/kg/j pendant 1–3 mois, décroissance progressive, arrêt de l'amiodarone recommandé. En cas de </w:t>
      </w:r>
      <w:r>
        <w:rPr>
          <w:b/>
        </w:rPr>
        <w:t>pneumopathie interstitielle</w:t>
      </w:r>
      <w:r>
        <w:t xml:space="preserve"> (toux sèche, dyspnée, fièvre, crépitants, opacités au scanner) : </w:t>
      </w:r>
      <w:r>
        <w:rPr>
          <w:b/>
        </w:rPr>
        <w:t>arrêt immédiat et définitif</w:t>
      </w:r>
      <w:r>
        <w:t xml:space="preserve"> de l'amiodarone, hospitalisation, scanner thoracique, LBA (diagnostic différentiel avec infection), corticothérapie IV 1–2 mg/kg/j pendant 2–6 semaines, surveillance EFR. En cas d'</w:t>
      </w:r>
      <w:r>
        <w:rPr>
          <w:b/>
        </w:rPr>
        <w:t>hépatotoxicité</w:t>
      </w:r>
      <w:r>
        <w:t xml:space="preserve"> (ASAT/ALAT &gt; 3 fois la normale) : arrêt de l'amiodarone si cytolyse sévère ou hépatite chronique, surveillance hebdomadaire. En cas de </w:t>
      </w:r>
      <w:r>
        <w:rPr>
          <w:b/>
        </w:rPr>
        <w:t>neuropathie périphérique</w:t>
      </w:r>
      <w:r>
        <w:t xml:space="preserve"> : arrêt si symptomatique (relais par alternative). En cas de </w:t>
      </w:r>
      <w:r>
        <w:rPr>
          <w:b/>
        </w:rPr>
        <w:t>torsades de pointe</w:t>
      </w:r>
      <w:r>
        <w:t xml:space="preserve"> (rare) : arrêt, correction hypokaliémie, KCl IV 1 g/h, sulfate de magnésium IV 2 g, pacing temporaire si bradycardie. En cas de </w:t>
      </w:r>
      <w:r>
        <w:rPr>
          <w:b/>
        </w:rPr>
        <w:t>bradycardie sévère ou BAV</w:t>
      </w:r>
      <w:r>
        <w:t xml:space="preserve"> : arrêt, atropine si nécessaire, pacing temporaire, substitution par autre antiarythmique.</w:t>
      </w:r>
    </w:p>
    <w:p>
      <w:r/>
      <w:r>
        <w:rPr>
          <w:b/>
        </w:rPr>
        <w:t>Interactions Importantes :</w:t>
      </w:r>
      <w:r/>
    </w:p>
    <w:p>
      <w:pPr>
        <w:pStyle w:val="ListBullet"/>
      </w:pPr>
      <w:r>
        <w:t xml:space="preserve">Amiodarone + </w:t>
      </w:r>
      <w:r>
        <w:rPr>
          <w:b/>
        </w:rPr>
        <w:t>Warfarine/AVK</w:t>
      </w:r>
      <w:r>
        <w:t xml:space="preserve"> : </w:t>
      </w:r>
      <w:r>
        <w:rPr>
          <w:b/>
        </w:rPr>
        <w:t>augmentation majeure de l'INR</w:t>
      </w:r>
      <w:r>
        <w:t xml:space="preserve"> (inhibition du CYP2C9 — la warfarine est métabolisée par CYP2C9) → risque hémorragique grave. </w:t>
      </w:r>
      <w:r>
        <w:rPr>
          <w:b/>
        </w:rPr>
        <w:t>Réduire la dose de warfarine de 30–50 %</w:t>
      </w:r>
      <w:r>
        <w:t xml:space="preserve"> dès l'initiation de l'amiodarone, surveillance INR 2 fois/semaine pendant 1 mois, puis hebdomadaire, équilibre en 4–8 semaines.</w:t>
      </w:r>
    </w:p>
    <w:p>
      <w:pPr>
        <w:pStyle w:val="ListBullet"/>
      </w:pPr>
      <w:r>
        <w:t xml:space="preserve">Amiodarone + </w:t>
      </w:r>
      <w:r>
        <w:rPr>
          <w:b/>
        </w:rPr>
        <w:t>Digoxine</w:t>
      </w:r>
      <w:r>
        <w:t xml:space="preserve"> : </w:t>
      </w:r>
      <w:r>
        <w:rPr>
          <w:b/>
        </w:rPr>
        <w:t>augmentation de la digoxinémie</w:t>
      </w:r>
      <w:r>
        <w:t xml:space="preserve"> (inhibition de la P-glycoprotéine P-gp qui assure la clairance rénale de la digoxine) → risque de toxicité digitalique (nausées, troubles visuels jaunâtres, troubles du rythme). </w:t>
      </w:r>
      <w:r>
        <w:rPr>
          <w:b/>
        </w:rPr>
        <w:t>Réduire la dose de digoxine de 50 %</w:t>
      </w:r>
      <w:r>
        <w:t>, surveillance digoxinémie, signes cliniques.</w:t>
      </w:r>
    </w:p>
    <w:p>
      <w:pPr>
        <w:pStyle w:val="ListBullet"/>
      </w:pPr>
      <w:r>
        <w:t xml:space="preserve">Amiodarone + </w:t>
      </w:r>
      <w:r>
        <w:rPr>
          <w:b/>
        </w:rPr>
        <w:t>Statines</w:t>
      </w:r>
      <w:r>
        <w:t xml:space="preserve"> : </w:t>
      </w:r>
      <w:r>
        <w:rPr>
          <w:b/>
        </w:rPr>
        <w:t>augmentation des concentrations de statines</w:t>
      </w:r>
      <w:r>
        <w:t xml:space="preserve"> (inhibition CYP3A4 pour simvastatine, atorvastatine) → </w:t>
      </w:r>
      <w:r>
        <w:rPr>
          <w:b/>
        </w:rPr>
        <w:t>rhabdomyolyse</w:t>
      </w:r>
      <w:r>
        <w:t xml:space="preserve">. Simvastatine : </w:t>
      </w:r>
      <w:r>
        <w:rPr>
          <w:b/>
        </w:rPr>
        <w:t>ne pas dépasser 20 mg/j</w:t>
      </w:r>
      <w:r>
        <w:t xml:space="preserve"> (CI absolue à doses supérieures). Atorvastatine : ne pas dépasser 40 mg/j. Pravastatine, rosuvastatine, fluvastatine (non métabolisées par CYP3A4) : alternatives de choix.</w:t>
      </w:r>
    </w:p>
    <w:p>
      <w:pPr>
        <w:pStyle w:val="ListBullet"/>
      </w:pPr>
      <w:r>
        <w:t xml:space="preserve">Amiodarone + </w:t>
      </w:r>
      <w:r>
        <w:rPr>
          <w:b/>
        </w:rPr>
        <w:t>β-bloquants</w:t>
      </w:r>
      <w:r>
        <w:t xml:space="preserve"> : </w:t>
      </w:r>
      <w:r>
        <w:rPr>
          <w:b/>
        </w:rPr>
        <w:t>bradycardie additive, BAV, hypotension</w:t>
      </w:r>
      <w:r>
        <w:t xml:space="preserve"> (effet β-bloquant non compétitif de l'amiodarone + effet β-bloquant compétitif du bêtabloquant) — surveillance ECG, adaptation posologique.</w:t>
      </w:r>
    </w:p>
    <w:p>
      <w:pPr>
        <w:pStyle w:val="ListBullet"/>
      </w:pPr>
      <w:r>
        <w:t xml:space="preserve">Amiodarone + </w:t>
      </w:r>
      <w:r>
        <w:rPr>
          <w:b/>
        </w:rPr>
        <w:t>Inhibiteurs calciques non DHP</w:t>
      </w:r>
      <w:r>
        <w:t xml:space="preserve"> (vérapamil, diltiazem) : </w:t>
      </w:r>
      <w:r>
        <w:rPr>
          <w:b/>
        </w:rPr>
        <w:t>bradycardie sévère, BAV, hypotension, dépression myocardique</w:t>
      </w:r>
      <w:r>
        <w:t xml:space="preserve"> — éviter ou surveiller très étroitement.</w:t>
      </w:r>
    </w:p>
    <w:p>
      <w:pPr>
        <w:pStyle w:val="ListBullet"/>
      </w:pPr>
      <w:r>
        <w:t xml:space="preserve">Amiodarone + </w:t>
      </w:r>
      <w:r>
        <w:rPr>
          <w:b/>
        </w:rPr>
        <w:t>Diurétiques hypokaliémiants</w:t>
      </w:r>
      <w:r>
        <w:t xml:space="preserve"> (furosémide, hydrochlorothiazide) : hypokaliémie → potentialisation torsadogène. Correction systématique de la kaliémie, association à un épargneur de K+.</w:t>
      </w:r>
    </w:p>
    <w:p>
      <w:pPr>
        <w:pStyle w:val="ListBullet"/>
      </w:pPr>
      <w:r>
        <w:t xml:space="preserve">Amiodarone + </w:t>
      </w:r>
      <w:r>
        <w:rPr>
          <w:b/>
        </w:rPr>
        <w:t>Autres torsadogènes</w:t>
      </w:r>
      <w:r>
        <w:t xml:space="preserve"> (antiarythmiques Ia — disopyramide, III — sotalol, macrolides — clarithromycine, érythromycine, fluoroquinolones — moxifloxacine, antipsychotiques — halopéridol, IRS — paroxétine, citaloprame, méthadone, halofantrine) : </w:t>
      </w:r>
      <w:r>
        <w:rPr>
          <w:b/>
        </w:rPr>
        <w:t>addition d'effets → risque torsadogène majeur</w:t>
      </w:r>
      <w:r>
        <w:t>. Association CI ou à surveiller très étroitement.</w:t>
      </w:r>
    </w:p>
    <w:p>
      <w:pPr>
        <w:pStyle w:val="ListBullet"/>
      </w:pPr>
      <w:r>
        <w:t xml:space="preserve">Amiodarone + </w:t>
      </w:r>
      <w:r>
        <w:rPr>
          <w:b/>
        </w:rPr>
        <w:t>Ciclosporine, Tacrolimus</w:t>
      </w:r>
      <w:r>
        <w:t xml:space="preserve"> : </w:t>
      </w:r>
      <w:r>
        <w:rPr>
          <w:b/>
        </w:rPr>
        <w:t>augmentation des concentrations</w:t>
      </w:r>
      <w:r>
        <w:t xml:space="preserve"> (inhibition CYP3A4) → néphrotoxicité, immunosuppression excessive. Adaptation posologique, surveillance concentrations résiduelles.</w:t>
      </w:r>
    </w:p>
    <w:p>
      <w:pPr>
        <w:pStyle w:val="ListBullet"/>
      </w:pPr>
      <w:r>
        <w:t xml:space="preserve">Amiodarone + </w:t>
      </w:r>
      <w:r>
        <w:rPr>
          <w:b/>
        </w:rPr>
        <w:t>Phénytoïne</w:t>
      </w:r>
      <w:r>
        <w:t xml:space="preserve"> : </w:t>
      </w:r>
      <w:r>
        <w:rPr>
          <w:b/>
        </w:rPr>
        <w:t>augmentation des concentrations de phénytoïne</w:t>
      </w:r>
      <w:r>
        <w:t xml:space="preserve"> (inhibition CYP2C9) → toxicité (ataxie, nystagmus, confusion). Surveillance, adaptation.</w:t>
      </w:r>
    </w:p>
    <w:p>
      <w:pPr>
        <w:pStyle w:val="ListBullet"/>
      </w:pPr>
      <w:r>
        <w:t xml:space="preserve">Amiodarone + </w:t>
      </w:r>
      <w:r>
        <w:rPr>
          <w:b/>
        </w:rPr>
        <w:t>Inhibiteurs de la P-gp</w:t>
      </w:r>
      <w:r>
        <w:t xml:space="preserve"> (ciclosporine, kétoconazole, itraconazole, ritonavir, clarithromycine, érythromycine) : </w:t>
      </w:r>
      <w:r>
        <w:rPr>
          <w:b/>
        </w:rPr>
        <w:t>augmentation des concentrations d'amiodarone</w:t>
      </w:r>
      <w:r>
        <w:t xml:space="preserve"> → toxicité (bradycardie, hypotension, allongement QT). Surveillance.</w:t>
      </w:r>
    </w:p>
    <w:p>
      <w:pPr>
        <w:pStyle w:val="ListBullet"/>
      </w:pPr>
      <w:r>
        <w:t xml:space="preserve">Amiodarone + </w:t>
      </w:r>
      <w:r>
        <w:rPr>
          <w:b/>
        </w:rPr>
        <w:t>Fibrates</w:t>
      </w:r>
      <w:r>
        <w:t xml:space="preserve"> (fénofibrate, gemfibrozil) : augmentation des concentrations d'amiodarone, surveillance.</w:t>
      </w:r>
    </w:p>
    <w:p>
      <w:pPr>
        <w:pStyle w:val="ListBullet"/>
      </w:pPr>
      <w:r>
        <w:t xml:space="preserve">Amiodarone + </w:t>
      </w:r>
      <w:r>
        <w:rPr>
          <w:b/>
        </w:rPr>
        <w:t>Anesthésiques généraux</w:t>
      </w:r>
      <w:r>
        <w:t xml:space="preserve"> : bradycardie sévère peropératoire, hypotension, dépression myocardique — information de l'anesthésiste (carte d'amiodarone patient).</w:t>
      </w:r>
    </w:p>
    <w:p>
      <w:pPr>
        <w:pStyle w:val="ListBullet"/>
      </w:pPr>
      <w:r>
        <w:t xml:space="preserve">Amiodarone + </w:t>
      </w:r>
      <w:r>
        <w:rPr>
          <w:b/>
        </w:rPr>
        <w:t>Tricycliques, IRS</w:t>
      </w:r>
      <w:r>
        <w:t xml:space="preserve"> : allongement QT additif, surveillance ECG.</w:t>
      </w:r>
    </w:p>
    <w:p>
      <w:r/>
      <w:r>
        <w:rPr>
          <w:b/>
        </w:rPr>
        <w:t>Grossesse et Allaitement :</w:t>
      </w:r>
      <w:r/>
    </w:p>
    <w:p>
      <w:pPr>
        <w:pStyle w:val="ListBullet"/>
      </w:pPr>
      <w:r>
        <w:t xml:space="preserve">Grossesse : </w:t>
      </w:r>
      <w:r>
        <w:rPr>
          <w:b/>
        </w:rPr>
        <w:t>CI absolue</w:t>
      </w:r>
      <w:r>
        <w:t xml:space="preserve"> (selon CRAT) — l'amiodarone traverse le placenta (rapport fœto-maternel ≈ 0,1–0,3). La </w:t>
      </w:r>
      <w:r>
        <w:rPr>
          <w:b/>
        </w:rPr>
        <w:t>charge iodée massive</w:t>
      </w:r>
      <w:r>
        <w:t xml:space="preserve"> qu'elle apporte (75 mg d'iode organique par comprimé 200 mg, soit ~ 500 fois l'apport nutritionnel quotidien recommandé) provoque une </w:t>
      </w:r>
      <w:r>
        <w:rPr>
          <w:b/>
        </w:rPr>
        <w:t>dysthyroïdie fœtale</w:t>
      </w:r>
      <w:r>
        <w:t xml:space="preserve"> — hypothyroïdie fœtale et néonatale (avec goitre fœtal, retards de croissance, troubles du développement neurologique — risque de crétinisme), ou hyperthyroïdie fœtale. L'amiodarone a également un </w:t>
      </w:r>
      <w:r>
        <w:rPr>
          <w:b/>
        </w:rPr>
        <w:t>effet direct sur le cœur fœtal</w:t>
      </w:r>
      <w:r>
        <w:t xml:space="preserve"> : bradycardie sinusale (FC fœtale &lt; 110 bpm), allongement du QTc fœtal, BAV de degré variable, dépression myocardique transitoire. En cas d'arythmie maternelle sévère nécessitant un traitement (FA instable, TV menaçante), préférer un </w:t>
      </w:r>
      <w:r>
        <w:rPr>
          <w:b/>
        </w:rPr>
        <w:t>β-bloquanteur</w:t>
      </w:r>
      <w:r>
        <w:t xml:space="preserve"> (compatible selon CRAT — surveillance bradycardie fœtale, hypoglycémie néonatale) ou la </w:t>
      </w:r>
      <w:r>
        <w:rPr>
          <w:b/>
        </w:rPr>
        <w:t>flécaînide</w:t>
      </w:r>
      <w:r>
        <w:t xml:space="preserve"> (compatible — surveillance ECG fœtal) ou la </w:t>
      </w:r>
      <w:r>
        <w:rPr>
          <w:b/>
        </w:rPr>
        <w:t>cardioversion électrique</w:t>
      </w:r>
      <w:r>
        <w:t xml:space="preserve"> (compatible à tous les trimestres en urgence vitale). En cas d'urgence absolue où l'amiodarone est la seule option (FV réfractaire post-CPRE maternel), discussion au cas par cas en milieu spécialisé avec information éclairée de la patiente et surveillance fœtale rapprochée.</w:t>
      </w:r>
    </w:p>
    <w:p>
      <w:pPr>
        <w:pStyle w:val="ListBullet"/>
      </w:pPr>
      <w:r>
        <w:t xml:space="preserve">Allaitement : </w:t>
      </w:r>
      <w:r>
        <w:rPr>
          <w:b/>
        </w:rPr>
        <w:t>CI absolue</w:t>
      </w:r>
      <w:r>
        <w:t xml:space="preserve"> — l'amiodarone et son métabolite déséthylamiodarone passent massivement dans le lait maternel (ratio lait/plasma ≈ 1–9), exposant le nourrisson à une charge iodée majeure → dysthyroïdie néonatale. De plus, la longue demi-vie (50–60 jours) rend l'allaitement impossible pendant des mois après l'arrêt. Préférer un autre antiarythmique compatible (β-bloquanteur, flécaînide) ou suspendre l'allaitement.</w:t>
      </w:r>
    </w:p>
    <w:p>
      <w:pPr>
        <w:pStyle w:val="ListBullet"/>
      </w:pPr>
      <w:r>
        <w:t xml:space="preserve">Précisions : La CI absolue de l'amiodarone pendant la grossesse et l'allaitement en fait une molécule à </w:t>
      </w:r>
      <w:r>
        <w:rPr>
          <w:b/>
        </w:rPr>
        <w:t>prescrire chez la femme en âge de procréer uniquement après contraception efficace</w:t>
      </w:r>
      <w:r>
        <w:t>. Information et éducation à la contraception essentielle.</w:t>
      </w:r>
    </w:p>
    <w:p>
      <w:r/>
      <w:r>
        <w:rPr>
          <w:b/>
        </w:rPr>
        <w:t>Posologie et Mode d'administration (Standard) :</w:t>
      </w:r>
      <w:r/>
    </w:p>
    <w:p>
      <w:r/>
      <w:r>
        <w:rPr>
          <w:i/>
        </w:rPr>
        <w:t>Forme IV (urgence cardiologique) :</w:t>
      </w:r>
      <w:r/>
    </w:p>
    <w:p>
      <w:pPr>
        <w:pStyle w:val="ListBullet"/>
      </w:pPr>
      <w:r>
        <w:t xml:space="preserve">Adulte : (1) </w:t>
      </w:r>
      <w:r>
        <w:rPr>
          <w:b/>
        </w:rPr>
        <w:t>FA/Flutter atrial</w:t>
      </w:r>
      <w:r>
        <w:t xml:space="preserve"> : 5 mg/kg IV (soit 300 mg dans 250 mL G5 %) sur 1 h dans une voie veineuse périphérique franche, suivi de 900 mg/24 h en perfusion continue (900 mg dans 500 mL G5 % sur 24 h, à la seringue électrique — surveillance ECG continue, scope, TA). (2) </w:t>
      </w:r>
      <w:r>
        <w:rPr>
          <w:b/>
        </w:rPr>
        <w:t>TV/FV réfractaire</w:t>
      </w:r>
      <w:r>
        <w:t xml:space="preserve"> : 150 mg IV directe sur 10 min (dilué dans 20 mL G5 %), à répéter si nécessaire toutes les 10–15 min, max 2,2 g/24 h. Relais par perfusion continue 900 mg/24 h. (3) </w:t>
      </w:r>
      <w:r>
        <w:rPr>
          <w:b/>
        </w:rPr>
        <w:t>Massage cardiaque externe (FV/TV sans pouls réfractaire au CPRE standard)</w:t>
      </w:r>
      <w:r>
        <w:t xml:space="preserve"> : 300 mg IV directe en bolus (ou intraosseuse) après la 3ème choque de 200 J — recommandations ESC 2020 / ILCOR 2020 — renouvelable 1 fois à 150 mg après la 5ème choque.</w:t>
      </w:r>
    </w:p>
    <w:p>
      <w:pPr>
        <w:pStyle w:val="ListBullet"/>
      </w:pPr>
      <w:r>
        <w:t>Sujet âgé : réduire la dose de 25 %, surveillance ECG continue.</w:t>
      </w:r>
    </w:p>
    <w:p>
      <w:pPr>
        <w:pStyle w:val="ListBullet"/>
      </w:pPr>
      <w:r>
        <w:t>Insuffisant rénal : pas d'adaptation (élimination principalement biliaire et fécale — clairance rénale négligeable).</w:t>
      </w:r>
    </w:p>
    <w:p>
      <w:pPr>
        <w:pStyle w:val="ListBullet"/>
      </w:pPr>
      <w:r>
        <w:t>Insuffisant hépatique : réduire la dose de 50 %, surveillance transaminases.</w:t>
      </w:r>
    </w:p>
    <w:p>
      <w:r/>
      <w:r>
        <w:rPr>
          <w:i/>
        </w:rPr>
        <w:t>Forme PO (charge puis entretien) :</w:t>
      </w:r>
      <w:r/>
    </w:p>
    <w:p>
      <w:pPr>
        <w:pStyle w:val="ListBullet"/>
      </w:pPr>
      <w:r>
        <w:t xml:space="preserve">Adulte : (1) </w:t>
      </w:r>
      <w:r>
        <w:rPr>
          <w:b/>
        </w:rPr>
        <w:t>Dose de charge</w:t>
      </w:r>
      <w:r>
        <w:t xml:space="preserve"> : 600 mg/jour (200 mg x 3/jour à 8 h d'intervalle) pendant 5–7 jours (parfois jusqu'à 14 jours selon l'efficacité et la tolérance), puis 400 mg/jour (200 mg x 2/jour) pendant 5–7 jours. (2) </w:t>
      </w:r>
      <w:r>
        <w:rPr>
          <w:b/>
        </w:rPr>
        <w:t>Dose d'entretien</w:t>
      </w:r>
      <w:r>
        <w:t xml:space="preserve"> : 200 mg/jour en 1 prise quotidienne (matin ou soir) — à réduire à 100 mg/jour (1/2 comprimé) ou 200 mg tous les 2 jours si possible (dose minimale efficace au long cours pour limiter la toxicité cumulative). Dose maximale : 600 mg/jour en charge, 400 mg/jour en entretien (réserve à l'hôpital).</w:t>
      </w:r>
    </w:p>
    <w:p>
      <w:pPr>
        <w:pStyle w:val="ListBullet"/>
      </w:pPr>
      <w:r>
        <w:t>Sujet âgé : dose d'entretien réduite à 100–200 mg/jour (sensibilité accrue, clairance réduite).</w:t>
      </w:r>
    </w:p>
    <w:p>
      <w:pPr>
        <w:pStyle w:val="ListBullet"/>
      </w:pPr>
      <w:r>
        <w:t>Insuffisant rénal : pas d'adaptation (élimination biliaire et fécale).</w:t>
      </w:r>
    </w:p>
    <w:p>
      <w:pPr>
        <w:pStyle w:val="ListBullet"/>
      </w:pPr>
      <w:r>
        <w:t>Insuffisant hépatique : réduire la dose d'entretien à 100–200 mg/jour, surveillance transaminases.</w:t>
      </w:r>
    </w:p>
    <w:p>
      <w:r/>
      <w:r>
        <w:rPr>
          <w:i/>
        </w:rPr>
        <w:t>Relais IV → PO :</w:t>
      </w:r>
      <w:r/>
    </w:p>
    <w:p>
      <w:pPr>
        <w:pStyle w:val="ListBullet"/>
      </w:pPr>
      <w:r>
        <w:t>À J2–J3 de la charge IV, commencer la charge PO simultanément à l'arrêt de la perfusion IV (l'effet de l'amiodarone persiste 24–48 h après l'arrêt IV grâce à l'accumulation tissulaire initiale).</w:t>
      </w:r>
    </w:p>
    <w:p>
      <w:pPr>
        <w:pStyle w:val="ListBullet"/>
      </w:pPr>
      <w:r>
        <w:t>Durée : au long cours pour la prévention des récidives — réévaluation annuelle de la pertinence (en raison de la toxicité cumulative — privilégier la dose minimale efficace, et envisager l'ablation par radiofréquence comme alternative).</w:t>
      </w:r>
    </w:p>
    <w:p>
      <w:pPr>
        <w:pStyle w:val="ListBullet"/>
      </w:pPr>
      <w:r>
        <w:t>Moment de prise : pendant ou après repas pour limiter nausées (l'amiodarone est lipophile, l'absorption est augmentée par un repas riche en graisses — d'où l'intérêt de la prise pendant les repas pour optimiser la biodisponibilité qui est variable 30–60 %).</w:t>
      </w:r>
    </w:p>
    <w:p>
      <w:r/>
      <w:r>
        <w:rPr>
          <w:b/>
        </w:rPr>
        <w:t>Arbitrage et Bénéfices des Formes Galéniques :</w:t>
      </w:r>
      <w:r/>
    </w:p>
    <w:p>
      <w:r>
        <w:t xml:space="preserve">L'amiodarone est disponible en Algérie sous deux formes galéniques : (1) </w:t>
      </w:r>
      <w:r>
        <w:rPr>
          <w:b/>
        </w:rPr>
        <w:t>solution injectable IV 50 mg/mL (150 mg/3 mL)</w:t>
      </w:r>
      <w:r>
        <w:t xml:space="preserve"> — pour les urgences cardiologiques (TV/FV en réanimation cardiologique, FA/flutter instable, charge initiale en hospitalisation de jour) ; à diluer exclusivement dans du </w:t>
      </w:r>
      <w:r>
        <w:rPr>
          <w:b/>
        </w:rPr>
        <w:t>G5 %</w:t>
      </w:r>
      <w:r>
        <w:t xml:space="preserve"> (l'amiodarone précipite en solution saline — NaCl 0,9 % est CI — à l'origine d'un risque de micro-emboles pulmonaires) ; perfusion à la seringue électrique en voie veineuse périphérique franche ou centrale (en cas de perfusion &gt; 24 h, préférer la voie centrale pour éviter les thrombophlébites) ; surveillance ECG continue, scope, TA, FC ; (2) </w:t>
      </w:r>
      <w:r>
        <w:rPr>
          <w:b/>
        </w:rPr>
        <w:t>comprimés sécables 200 mg</w:t>
      </w:r>
      <w:r>
        <w:t xml:space="preserve"> — pour le relais chronique au long cours ; sécabilité permet l'adaptation posologique par paliers de 100 mg (1/2 cp). La </w:t>
      </w:r>
      <w:r>
        <w:rPr>
          <w:b/>
        </w:rPr>
        <w:t>forme IV est réservée à l'hôpital</w:t>
      </w:r>
      <w:r>
        <w:t xml:space="preserve"> (Liste I pour AMIOCARDONE — Liste II pour CORDARONE et AMIODARONE BIOINDUSTRIA), en réanimation cardiologique ou soins intensifs ; la </w:t>
      </w:r>
      <w:r>
        <w:rPr>
          <w:b/>
        </w:rPr>
        <w:t>forme PO est délivrée en ville</w:t>
      </w:r>
      <w:r>
        <w:t xml:space="preserve"> sur ordonnance de cardiologue (Liste II — ordonnance ordinaire valable 6 mois). Le </w:t>
      </w:r>
      <w:r>
        <w:rPr>
          <w:b/>
        </w:rPr>
        <w:t>relais IV → PO</w:t>
      </w:r>
      <w:r>
        <w:t xml:space="preserve"> doit être anticipé à J2–J3 (durée médiane de la charge IV 24–72 h) — en raison de la longue demi-vie de l'amiodarone, l'effet antiarythmique persiste 24–48 h après l'arrêt IV, ce qui permet un relais sans creux thérapeutique. À l'officine, vérifier systématiquement : (a) la </w:t>
      </w:r>
      <w:r>
        <w:rPr>
          <w:b/>
        </w:rPr>
        <w:t>dilution correcte</w:t>
      </w:r>
      <w:r>
        <w:t xml:space="preserve"> (G5 % seulement — ne jamais diluer en NaCl 0,9 %) ; (b) la </w:t>
      </w:r>
      <w:r>
        <w:rPr>
          <w:b/>
        </w:rPr>
        <w:t>voie d'administration</w:t>
      </w:r>
      <w:r>
        <w:t xml:space="preserve"> (IV stricte, perfusion lente, jamais IV directe sauf en FV/TV sans pouls réfractaire au CPRE) ; (c) l'</w:t>
      </w:r>
      <w:r>
        <w:rPr>
          <w:b/>
        </w:rPr>
        <w:t>absence d'interactions médicamenteuses</w:t>
      </w:r>
      <w:r>
        <w:t xml:space="preserve"> majeures (AVK, digoxine, statines) ; (d) le </w:t>
      </w:r>
      <w:r>
        <w:rPr>
          <w:b/>
        </w:rPr>
        <w:t>bilan pré-thérapeutique et la surveillance prévue</w:t>
      </w:r>
      <w:r>
        <w:t xml:space="preserve"> (TSH, ECG, scanner, transaminases, ophtalmo) ; (e) la </w:t>
      </w:r>
      <w:r>
        <w:rPr>
          <w:b/>
        </w:rPr>
        <w:t>non-écrasabilité</w:t>
      </w:r>
      <w:r>
        <w:t xml:space="preserve"> des comprimés (la sécabilité permet la coupe, mais l'écrasement est déconseillé en raison du goût très amer et de la perte de biodisponibilité).</w:t>
      </w:r>
    </w:p>
    <w:p>
      <w:r/>
      <w:r>
        <w:rPr>
          <w:b/>
        </w:rPr>
        <w:t>Instructions et Conseils au Patient :</w:t>
      </w:r>
      <w:r/>
    </w:p>
    <w:p>
      <w:pPr>
        <w:pStyle w:val="ListBullet"/>
      </w:pPr>
      <w:r>
        <w:t xml:space="preserve">Communication au comptoir : « Ce médicament (amiodarone) est un antiarythmique puissant réservé au traitement des troubles du rythme cardiaque grave. Il agit en régulant l'activité électrique du cœur mais peut avoir des effets à long terme à surveiller. </w:t>
      </w:r>
      <w:r>
        <w:rPr>
          <w:b/>
        </w:rPr>
        <w:t>Important</w:t>
      </w:r>
      <w:r>
        <w:t xml:space="preserve"> : prenez-le à heure fixe, pendant les repas (mieux absorbé). Prévenez immédiatement votre médecin si vous avez : toux sèche persistante, essoufflement, fièvre (signes pulmonaires) ; palpitations, malaises, vertiges (signes cardiaques) ; fatigue intense, frilosité, constipation, prise de poids (signes d'hypothyroïdie) ; tremblements, palpitations, amaigrissement, anxiété (signes d'hyperthyroïdie) ; jaunisse, urines foncées, selles pâles (signes hépatiques) ; troubles visuels avec halos colorés (signes ophtalmologiques — bénins le plus souvent). </w:t>
      </w:r>
      <w:r>
        <w:rPr>
          <w:b/>
        </w:rPr>
        <w:t>Évitez absolument le soleil direct</w:t>
      </w:r>
      <w:r>
        <w:t xml:space="preserve"> (crème solaire écran total SPF 50+, vêtements couvrants, chapeau, éviction solaire 11 h–16 h) — risque de brûlures cutanées graves et de pigmentations persistantes. </w:t>
      </w:r>
      <w:r>
        <w:rPr>
          <w:b/>
        </w:rPr>
        <w:t>Prévenez tous les médecins</w:t>
      </w:r>
      <w:r>
        <w:t xml:space="preserve"> (généraliste, dentiste, anesthésiste) que vous prenez de l'amiodarone — nombreuses interactions médicamenteuses. </w:t>
      </w:r>
      <w:r>
        <w:rPr>
          <w:b/>
        </w:rPr>
        <w:t>Ne jamais arrêter brutalement</w:t>
      </w:r>
      <w:r>
        <w:t xml:space="preserve"> le traitement (risque de rebond arythmique grave). </w:t>
      </w:r>
      <w:r>
        <w:rPr>
          <w:b/>
        </w:rPr>
        <w:t>Ne pas associer à d'autres médicaments sans avis médical</w:t>
      </w:r>
      <w:r>
        <w:t xml:space="preserve"> (AVK, digoxine, statines, macrolides, antidépresseurs). </w:t>
      </w:r>
      <w:r>
        <w:rPr>
          <w:b/>
        </w:rPr>
        <w:t>Surveillance biologique et radiologique régulière obligatoire</w:t>
      </w:r>
      <w:r>
        <w:t xml:space="preserve"> : TSH tous les 6 mois, ECG, scanner thoracique annuel, transaminases, ophtalmo. »</w:t>
      </w:r>
    </w:p>
    <w:p>
      <w:pPr>
        <w:pStyle w:val="ListBullet"/>
      </w:pPr>
      <w:r>
        <w:t xml:space="preserve">Mode d'utilisation pratique : (1) Comprimé sécable : peut être coupé en deux. À prendre avec un verre d'eau, </w:t>
      </w:r>
      <w:r>
        <w:rPr>
          <w:b/>
        </w:rPr>
        <w:t>pendant ou après un repas</w:t>
      </w:r>
      <w:r>
        <w:t xml:space="preserve"> (préférentiellement un repas contenant un peu de graisses pour optimiser l'absorption). (2) </w:t>
      </w:r>
      <w:r>
        <w:rPr>
          <w:b/>
        </w:rPr>
        <w:t>Heure fixe</w:t>
      </w:r>
      <w:r>
        <w:t xml:space="preserve"> : matin (par exemple 8 h) ou soir (par exemple 20 h), toujours la même heure. (3) En cas d'oubli &lt; 6 h : prendre la dose oubliée ; au-delà de 6 h : sauter la prise et reprendre à l'horaire suivant — ne jamais doubler la dose. (4) </w:t>
      </w:r>
      <w:r>
        <w:rPr>
          <w:b/>
        </w:rPr>
        <w:t>Ne pas arrêter brutalement</w:t>
      </w:r>
      <w:r>
        <w:t xml:space="preserve"> (risque de rebond arythmique). (5) </w:t>
      </w:r>
      <w:r>
        <w:rPr>
          <w:b/>
        </w:rPr>
        <w:t>Carnet de surveillance</w:t>
      </w:r>
      <w:r>
        <w:t xml:space="preserve"> : TSH, ECG, scanner, EFR, transaminases, ophtalmo — à présenter à chaque visite médicale. (6) </w:t>
      </w:r>
      <w:r>
        <w:rPr>
          <w:b/>
        </w:rPr>
        <w:t>Carte d'amiodarone patient</w:t>
      </w:r>
      <w:r>
        <w:t xml:space="preserve"> (portée sur soi) — indique le traitement, en cas d'urgence ou d'anesthésie. (7) </w:t>
      </w:r>
      <w:r>
        <w:rPr>
          <w:b/>
        </w:rPr>
        <w:t>Contraception efficace obligatoire</w:t>
      </w:r>
      <w:r>
        <w:t xml:space="preserve"> chez la femme en âge de procréer (CI grossesse). (8) Conservation à température &lt; 25 °C, à l'abri de l'humidité et de la lumière.</w:t>
      </w:r>
    </w:p>
    <w:p>
      <w:r/>
      <w:r>
        <w:rPr>
          <w:b/>
        </w:rPr>
        <w:t>Notes, Règles d'Or &amp; Pièges au Comptoir :</w:t>
      </w:r>
      <w:r/>
    </w:p>
    <w:p>
      <w:pPr>
        <w:pStyle w:val="ListBullet"/>
      </w:pPr>
      <w:r/>
      <w:r>
        <w:rPr>
          <w:b/>
        </w:rPr>
        <w:t>Piège classique — Dysthyroïdie amiodarone-induite</w:t>
      </w:r>
      <w:r>
        <w:t xml:space="preserve"> : la surcharge iodée massive de l'amiodarone (75 mg d'iode par comprimé) provoque une dysthyroïdie chez 5–20 % des patients. </w:t>
      </w:r>
      <w:r>
        <w:rPr>
          <w:b/>
        </w:rPr>
        <w:t>Hypothyroïdie</w:t>
      </w:r>
      <w:r>
        <w:t xml:space="preserve"> : TSH↑, T4↓ — Wolff-Chaikoff (blocage de l'organification de l'iode par surcharge) ou thyroïdite auto-immune — lévothyroxine substitutive sans arrêt de l'amiodarone. </w:t>
      </w:r>
      <w:r>
        <w:rPr>
          <w:b/>
        </w:rPr>
        <w:t>Hyperthyroïdie type 1</w:t>
      </w:r>
      <w:r>
        <w:t xml:space="preserve"> : Jod-Basedoff sur goitre multinodulaire ou Basedow — carbimazole 30–60 mg/j. </w:t>
      </w:r>
      <w:r>
        <w:rPr>
          <w:b/>
        </w:rPr>
        <w:t>Hyperthyroïdie type 2</w:t>
      </w:r>
      <w:r>
        <w:t xml:space="preserve"> : thyroïdite destructive — prednisone 0,5–1 mg/kg/j. Devant toute fatigue, frilosité, constipation (hypothyroïdie) ou palpitations, amaigrissement, anxiété (hyperthyroïdie) sous amiodarone : </w:t>
      </w:r>
      <w:r>
        <w:rPr>
          <w:b/>
        </w:rPr>
        <w:t>dosage urgent de la TSH</w:t>
      </w:r>
      <w:r>
        <w:t xml:space="preserve"> — arrêt de l'amiodarone à discuter selon le type.</w:t>
      </w:r>
    </w:p>
    <w:p>
      <w:pPr>
        <w:pStyle w:val="ListBullet"/>
      </w:pPr>
      <w:r/>
      <w:r>
        <w:rPr>
          <w:b/>
        </w:rPr>
        <w:t>Piège — Fibrose pulmonaire</w:t>
      </w:r>
      <w:r>
        <w:t xml:space="preserve"> : potentiellement fatale — dépistage par scanner thoracique annuel et EFR (DLCO). Devant une toux sèche, dyspnée d'effort, fièvre, crépitants — </w:t>
      </w:r>
      <w:r>
        <w:rPr>
          <w:b/>
        </w:rPr>
        <w:t>arrêt immédiat et définitif de l'amiodarone</w:t>
      </w:r>
      <w:r>
        <w:t>, scanner thoracique, LBA (diagnostic différentiel avec infection), corticothérapie IV 1–2 mg/kg/j pendant 2–6 semaines. Risque majoré si dose &gt; 400 mg/j, tabac, BPCO, âge &gt; 70 ans.</w:t>
      </w:r>
    </w:p>
    <w:p>
      <w:pPr>
        <w:pStyle w:val="ListBullet"/>
      </w:pPr>
      <w:r/>
      <w:r>
        <w:rPr>
          <w:b/>
        </w:rPr>
        <w:t>Piège — Amiodarone + AVK</w:t>
      </w:r>
      <w:r>
        <w:t xml:space="preserve"> : </w:t>
      </w:r>
      <w:r>
        <w:rPr>
          <w:b/>
        </w:rPr>
        <w:t>réduction obligatoire de 30–50 % de la dose de warfarine</w:t>
      </w:r>
      <w:r>
        <w:t xml:space="preserve"> dès l'initiation de l'amiodarone (inhibition CYP2C9). Surveillance INR 2 fois/semaine pendant 1 mois, équilibre en 4–8 semaines. À l'inverse, à l'arrêt de l'amiodarone, augmentation progressive de la dose de warfarine sur 1–2 mois en raison de la persistance de l'effet inhibiteur 2–6 mois après l'arrêt (longue demi-vie).</w:t>
      </w:r>
    </w:p>
    <w:p>
      <w:pPr>
        <w:pStyle w:val="ListBullet"/>
      </w:pPr>
      <w:r/>
      <w:r>
        <w:rPr>
          <w:b/>
        </w:rPr>
        <w:t>Piège — Amiodarone + Statines</w:t>
      </w:r>
      <w:r>
        <w:t xml:space="preserve"> : </w:t>
      </w:r>
      <w:r>
        <w:rPr>
          <w:b/>
        </w:rPr>
        <w:t>simvastatine CI absolue au-delà de 20 mg/j</w:t>
      </w:r>
      <w:r>
        <w:t xml:space="preserve"> (rhabdomyolyse) ; atorvastatine max 40 mg/j. Préférer pravastatine, rosuvastatine, fluvastatine (non métabolisées par CYP3A4).</w:t>
      </w:r>
    </w:p>
    <w:p>
      <w:pPr>
        <w:pStyle w:val="ListBullet"/>
      </w:pPr>
      <w:r/>
      <w:r>
        <w:rPr>
          <w:b/>
        </w:rPr>
        <w:t>Piège — Amiodarone + Digoxine</w:t>
      </w:r>
      <w:r>
        <w:t xml:space="preserve"> : </w:t>
      </w:r>
      <w:r>
        <w:rPr>
          <w:b/>
        </w:rPr>
        <w:t>réduction de 50 % de la dose de digoxine</w:t>
      </w:r>
      <w:r>
        <w:t xml:space="preserve"> (inhibition P-gp). Surveillance digoxinémie et signes cliniques de toxicité.</w:t>
      </w:r>
    </w:p>
    <w:p>
      <w:pPr>
        <w:pStyle w:val="ListBullet"/>
      </w:pPr>
      <w:r/>
      <w:r>
        <w:rPr>
          <w:b/>
        </w:rPr>
        <w:t>Piège — Dilution IV</w:t>
      </w:r>
      <w:r>
        <w:t xml:space="preserve"> : </w:t>
      </w:r>
      <w:r>
        <w:rPr>
          <w:b/>
        </w:rPr>
        <w:t>exclusivement G5 %</w:t>
      </w:r>
      <w:r>
        <w:t xml:space="preserve"> — ne jamais diluer en NaCl 0,9 % (précipitation immédiate de micro-cristaux → embolie pulmonaire). À l'officine, vérifier systématiquement la dilution prescrite pour la perfusion IV.</w:t>
      </w:r>
    </w:p>
    <w:p>
      <w:pPr>
        <w:pStyle w:val="ListBullet"/>
      </w:pPr>
      <w:r/>
      <w:r>
        <w:rPr>
          <w:b/>
        </w:rPr>
        <w:t>Piège — Forme IV : thrombophlébite</w:t>
      </w:r>
      <w:r>
        <w:t xml:space="preserve"> : la forme IV est très irritante pour les veines — perfusion </w:t>
      </w:r>
      <w:r>
        <w:rPr>
          <w:b/>
        </w:rPr>
        <w:t>centrale</w:t>
      </w:r>
      <w:r>
        <w:t xml:space="preserve"> préférable en cas de perfusion &gt; 24 h. En voie périphérique, surveillance du point de ponction, rotation toutes les 48 h.</w:t>
      </w:r>
    </w:p>
    <w:p>
      <w:pPr>
        <w:pStyle w:val="ListBullet"/>
      </w:pPr>
      <w:r/>
      <w:r>
        <w:rPr>
          <w:b/>
        </w:rPr>
        <w:t>Piège — Allongement QT &gt; 500 ms</w:t>
      </w:r>
      <w:r>
        <w:t xml:space="preserve"> : arrêt immédiat (risque torsadogène). Surveillance ECG systématique.</w:t>
      </w:r>
    </w:p>
    <w:p>
      <w:pPr>
        <w:pStyle w:val="ListBullet"/>
      </w:pPr>
      <w:r/>
      <w:r>
        <w:rPr>
          <w:b/>
        </w:rPr>
        <w:t>Piège — Photosensibilité cumulativité</w:t>
      </w:r>
      <w:r>
        <w:t xml:space="preserve"> : la photosensibilité persiste 3–6 mois après l'arrêt (longue demi-vie). Prévention stricte du soleil indispensable, à poursuivre plusieurs mois après l'arrêt.</w:t>
      </w:r>
    </w:p>
    <w:p>
      <w:pPr>
        <w:pStyle w:val="ListBullet"/>
      </w:pPr>
      <w:r/>
      <w:r>
        <w:rPr>
          <w:b/>
        </w:rPr>
        <w:t>Piège — Grossesse</w:t>
      </w:r>
      <w:r>
        <w:t xml:space="preserve"> : </w:t>
      </w:r>
      <w:r>
        <w:rPr>
          <w:b/>
        </w:rPr>
        <w:t>CI absolue</w:t>
      </w:r>
      <w:r>
        <w:t xml:space="preserve"> — contraception efficace obligatoire chez la femme en âge de procréer. Information et éducation à la contraception essentielle.</w:t>
      </w:r>
    </w:p>
    <w:p>
      <w:pPr>
        <w:pStyle w:val="ListBullet"/>
      </w:pPr>
      <w:r/>
      <w:r>
        <w:rPr>
          <w:b/>
        </w:rPr>
        <w:t>Piège — Anesthésie</w:t>
      </w:r>
      <w:r>
        <w:t xml:space="preserve"> : en cas d'anesthésie programmée, informer l'anesthésiste du traitement par amiodarone (bradycardie peropératoire, hypotension, interactions avec les anesthésiques généraux).</w:t>
      </w:r>
    </w:p>
    <w:p>
      <w:pPr>
        <w:pStyle w:val="ListBullet"/>
      </w:pPr>
      <w:r/>
      <w:r>
        <w:rPr>
          <w:b/>
        </w:rPr>
        <w:t>Règle de prise</w:t>
      </w:r>
      <w:r>
        <w:t xml:space="preserve"> : 200 mg/jour en 1 prise pendant les repas, à heure fixe.</w:t>
      </w:r>
    </w:p>
    <w:p>
      <w:pPr>
        <w:pStyle w:val="ListBullet"/>
      </w:pPr>
      <w:r/>
      <w:r>
        <w:rPr>
          <w:b/>
        </w:rPr>
        <w:t>Préparation et Conservation</w:t>
      </w:r>
      <w:r>
        <w:t xml:space="preserve"> : comprimés à température &lt; 25 °C, à l'abri de l'humidité et de la lumière. Solution IV en ampoule à température &lt; 25 °C — ne pas congeler — à diluer immédiatement avant utilisation (la solution diluée est stable 24 h). Conservation 3 ans.</w:t>
      </w:r>
    </w:p>
    <w:p>
      <w:pPr>
        <w:pStyle w:val="ListBullet"/>
      </w:pPr>
      <w:r/>
      <w:r>
        <w:rPr>
          <w:b/>
        </w:rPr>
        <w:t>Piège du surdosage / Substitution</w:t>
      </w:r>
      <w:r>
        <w:t xml:space="preserve"> : surdosage grave — bradycardie sévère, BAV, hypotension, allongement QT marqué, torsades — prise en charge USI : arrêt, pacing temporaire, isoprénaline IV si bradycardie menaçante (à utiliser avec prudence en raison du risque d'ischémie myocardique), KCl IV, sulfate de magnésium IV, surveillance ECG prolongée 48–72 h (demi-vie allongée en surdosage). Substitution entre génériques d'amiodarone orale possible (mêmes concentrations, même formulation, suivi du patient avec surveillance rapprochée TSH/ECG/transaminases). Substitution forme IV ↔ PO selon le contexte clinique, sous surveillance médicale stricte.</w:t>
      </w:r>
    </w:p>
    <w:p>
      <w:pPr>
        <w:pStyle w:val="Heading2"/>
      </w:pPr>
      <w:r>
        <w:t>Sous-classe : Antiarythmiques — Inhibiteurs du canal If (courant *funny* — courant pacemaker sinusal)</w:t>
      </w:r>
    </w:p>
    <w:p>
      <w:r>
        <w:t xml:space="preserve">Les </w:t>
      </w:r>
      <w:r>
        <w:rPr>
          <w:b/>
        </w:rPr>
        <w:t>inhibiteurs du canal If</w:t>
      </w:r>
      <w:r>
        <w:t xml:space="preserve"> constituent une classe thérapeutique à part entière, distincte de la classification de Vaughan-Williams classique. Le *</w:t>
      </w:r>
      <w:r>
        <w:rPr>
          <w:i/>
        </w:rPr>
        <w:t>courant If (</w:t>
      </w:r>
      <w:r>
        <w:t>funny current</w:t>
      </w:r>
      <w:r>
        <w:rPr>
          <w:i/>
        </w:rPr>
        <w:t xml:space="preserve"> ou courant pacemaker)</w:t>
      </w:r>
      <w:r/>
      <w:r>
        <w:rPr>
          <w:i/>
        </w:rPr>
        <w:t xml:space="preserve"> est un courant entrant mixte Na+/K+ activé à la diastole (potentiel de repos), qui détermine la </w:t>
      </w:r>
      <w:r/>
      <w:r>
        <w:rPr>
          <w:i/>
        </w:rPr>
        <w:t>pente de dépolarisation diastolique spontanée</w:t>
      </w:r>
      <w:r/>
      <w:r>
        <w:rPr>
          <w:i/>
        </w:rPr>
        <w:t xml:space="preserve"> (phase 4) des cellules pacemakers du nœud sinusal et, dans une moindre mesure, du nœud atrio-ventriculaire et des cellules de Purkinje. Ce courant, porté par les canaux </w:t>
      </w:r>
      <w:r/>
      <w:r>
        <w:rPr>
          <w:i/>
        </w:rPr>
        <w:t>HCN (Hyperpolarization-activated Cyclic Nucleotide-gated channels)</w:t>
      </w:r>
      <w:r/>
      <w:r>
        <w:rPr>
          <w:i/>
        </w:rPr>
        <w:t xml:space="preserve"> de sous-types HCN1–4 (principalement HCN4 dans le nœud sinusal), est spécifique des tissus automatiques cardiaques — d'où une </w:t>
      </w:r>
      <w:r/>
      <w:r>
        <w:rPr>
          <w:i/>
        </w:rPr>
        <w:t>action élective sur le nœud sinusal</w:t>
      </w:r>
      <w:r>
        <w:t>* sans effet sur le myocarde atrial, ventriculaire, ou le nœud AV.</w:t>
      </w:r>
    </w:p>
    <w:p>
      <w:r>
        <w:t>L'</w:t>
      </w:r>
      <w:r>
        <w:rPr>
          <w:b/>
        </w:rPr>
        <w:t>ivabradine</w:t>
      </w:r>
      <w:r>
        <w:t xml:space="preserve"> est l'</w:t>
      </w:r>
      <w:r>
        <w:rPr>
          <w:b/>
        </w:rPr>
        <w:t>unique molécule</w:t>
      </w:r>
      <w:r>
        <w:t xml:space="preserve"> commercialisée de cette classe, introduite en clinique en 2005. Elle est indiquée dans : (1) </w:t>
      </w:r>
      <w:r>
        <w:rPr>
          <w:b/>
        </w:rPr>
        <w:t>l'insuffisance cardiaque chronique stable</w:t>
      </w:r>
      <w:r>
        <w:t xml:space="preserve"> avec FEVG ≤ 35 % en rythme sinusal et FC ≥ 70 bpm — selon les recommandations ESC 2021 (essai SHIFT 2010) — en association aux traitements standard (IEC/ARA2, β-bloquants à dose optimale, ARM, dapagliflozine/empagliflozine) ; (2) </w:t>
      </w:r>
      <w:r>
        <w:rPr>
          <w:b/>
        </w:rPr>
        <w:t>l'angor stable chronique</w:t>
      </w:r>
      <w:r>
        <w:t xml:space="preserve"> en cas de contre-indication ou d'intolérance aux β-bloquants, ou en association aux β-bloquants à dose sous-optimale — essai BEAUTIFUL 2008, ASSOCIATE 2009 ; (3) </w:t>
      </w:r>
      <w:r>
        <w:rPr>
          <w:b/>
        </w:rPr>
        <w:t>la tachycardie sinusale inappropriée</w:t>
      </w:r>
      <w:r>
        <w:t xml:space="preserve"> (TSI — diagnostic d'élimination : FC &gt; 100 bpm au repos sans cause curable — traitement de fond en seconde ligne). L'originalité de l'ivabradine est d'être une </w:t>
      </w:r>
      <w:r>
        <w:rPr>
          <w:b/>
        </w:rPr>
        <w:t>bradycardisante pure</w:t>
      </w:r>
      <w:r>
        <w:t xml:space="preserve"> — sans effet inotrope négatif, sans effet vasoconstricteur, sans effet bronchodilatateur ni bronchoconstricteur, sans effet métabolique (neutre sur la glycémie, le poids, le profil lipidique) — d'où un excellent profil de tolérance par rapport aux β-bloquants (chez l'asthmatique, le diabétique, le patient en IC avec FEVG très altérée). La </w:t>
      </w:r>
      <w:r>
        <w:rPr>
          <w:b/>
        </w:rPr>
        <w:t>CI absolue</w:t>
      </w:r>
      <w:r>
        <w:t xml:space="preserve"> est la </w:t>
      </w:r>
      <w:r>
        <w:rPr>
          <w:b/>
        </w:rPr>
        <w:t>FC &lt; 70 bpm</w:t>
      </w:r>
      <w:r>
        <w:t xml:space="preserve"> (à l'initiation), le BAV non appareillé, le choc cardiogénique, l'AC/FA (l'ivabradine agit sur le nœud sinusal — inefficace si le rythme est non sinusal). Les </w:t>
      </w:r>
      <w:r>
        <w:rPr>
          <w:b/>
        </w:rPr>
        <w:t>effets indésirables</w:t>
      </w:r>
      <w:r>
        <w:t xml:space="preserve"> principaux sont la </w:t>
      </w:r>
      <w:r>
        <w:rPr>
          <w:b/>
        </w:rPr>
        <w:t>bradycardie symptomatique</w:t>
      </w:r>
      <w:r>
        <w:t xml:space="preserve"> (3–5 %), les </w:t>
      </w:r>
      <w:r>
        <w:rPr>
          <w:b/>
        </w:rPr>
        <w:t>phosphènes</w:t>
      </w:r>
      <w:r>
        <w:t xml:space="preserve"> (effet luminieux transitoire à l'origine du passage en lumière — </w:t>
      </w:r>
      <w:r>
        <w:rPr>
          <w:i/>
        </w:rPr>
        <w:t>phosphenes</w:t>
      </w:r>
      <w:r>
        <w:t xml:space="preserve"> — lié à l'inhibition des canaux HCN1 rétiniens, 5–15 %, bénin et réversible), et la </w:t>
      </w:r>
      <w:r>
        <w:rPr>
          <w:b/>
        </w:rPr>
        <w:t>FA</w:t>
      </w:r>
      <w:r>
        <w:t xml:space="preserve"> (légère augmentation de l'incidence, ~5 % vs 4 % placebo — essai SIGNIFY 2014, à surveiller).</w:t>
      </w:r>
    </w:p>
    <w:p>
      <w:r>
        <w:t xml:space="preserve">La particularité algérienne est que l'ivabradine (PROCORALAN — Servier) est en </w:t>
      </w:r>
      <w:r>
        <w:rPr>
          <w:b/>
        </w:rPr>
        <w:t>statut Non Renouvelable pour la forme 5 mg</w:t>
      </w:r>
      <w:r>
        <w:t xml:space="preserve"> et </w:t>
      </w:r>
      <w:r>
        <w:rPr>
          <w:b/>
        </w:rPr>
        <w:t>Retirée pour la forme 7,5 mg</w:t>
      </w:r>
      <w:r>
        <w:t xml:space="preserve"> — la molécule est donc </w:t>
      </w:r>
      <w:r>
        <w:rPr>
          <w:b/>
        </w:rPr>
        <w:t>en voie de retrait du marché algérien</w:t>
      </w:r>
      <w:r>
        <w:t>, ce qui en fait un enjeu d'accès au traitement pour les patients insuffisants cardiaques chroniques stables. La molécule reste néanmoins une référence thérapeutique à connaître pour le pharmacien d'officine, en raison de son profil original et de l'usage hospitalier spécialisé (cardiologie).</w:t>
      </w:r>
    </w:p>
    <w:p>
      <w:pPr>
        <w:pStyle w:val="Heading3"/>
      </w:pPr>
      <w:r>
        <w:t>6. DCI : Ivabradine (Chlorhydrate exprimé en ivabradine) (Seule)</w:t>
      </w:r>
    </w:p>
    <w:p>
      <w:r/>
      <w:r>
        <w:rPr>
          <w:b/>
        </w:rPr>
        <w:t>Liste des Catégories :</w:t>
      </w:r>
      <w:r>
        <w:t xml:space="preserve"> Antiarythmiques — Inhibiteurs du canal If (courant </w:t>
      </w:r>
      <w:r>
        <w:rPr>
          <w:i/>
        </w:rPr>
        <w:t>funny</w:t>
      </w:r>
      <w:r>
        <w:t xml:space="preserve"> — courant pacemaker sinusal) ; Bradycardisant pur d'action sinuso-auriculaire ; Indications en insuffisance cardiaque chronique stable et angor stable.</w:t>
      </w:r>
    </w:p>
    <w:p>
      <w:r>
        <w:t>L'ivabradine (chlorhydrate de 3-[3-({[(7S)-3,4-diméthoxybicyclo[4.2.0]octa-1,3,5-trién-7-yl]méthyl}méthylamino)propyl]-1,3,4,5-tétraméthyl-2,6-dioxo-1,2,3,6-tétrahydropyrimidine-5-carboxamide) est l'</w:t>
      </w:r>
      <w:r>
        <w:rPr>
          <w:b/>
        </w:rPr>
        <w:t>unique inhibiteur du canal If commercialisé</w:t>
      </w:r>
      <w:r>
        <w:t xml:space="preserve"> au monde. Introduite en clinique en 2005 (autorisation de mise sur le marché européen), elle représente une avancée pharmacologique majeure dans le traitement de l'insuffisance cardiaque chronique stable avec FEVG altérée en rythme sinusal et FC ≥ 70 bpm — à la suite de l'essai SHIFT (2010, </w:t>
      </w:r>
      <w:r>
        <w:rPr>
          <w:i/>
        </w:rPr>
        <w:t>Systolic Heart Failure Treatment with the If Inhibitor Ivabradine Trial</w:t>
      </w:r>
      <w:r>
        <w:t xml:space="preserve">) qui a démontré une réduction de 18 % du critère composite mortalité cardiovasculaire + hospitalisation pour décompensation cardiaque vs placebo en association aux traitements standard. Sa particularité est d'être une </w:t>
      </w:r>
      <w:r>
        <w:rPr>
          <w:b/>
        </w:rPr>
        <w:t>bradycardisante pure</w:t>
      </w:r>
      <w:r>
        <w:t xml:space="preserve"> sans effet inotrope négatif, sans effet vasoconstricteur, sans effet bronchodilatateur/bronchoconstricteur, sans effet métabolique — d'où un profil de tolérance supérieur aux β-bloquants (chez l'asthmatique, le diabétique, l'IC sévère). Son mécanisme d'action électif sur le canal HCN4 sinusal en fait une molécule </w:t>
      </w:r>
      <w:r>
        <w:rPr>
          <w:b/>
        </w:rPr>
        <w:t>inactive en cas de rythme non sinusal</w:t>
      </w:r>
      <w:r>
        <w:t xml:space="preserve"> (FA, flutter atrial) — d'où la surveillance ECG à l'initiation pour confirmer le rythme sinusal. Sa </w:t>
      </w:r>
      <w:r>
        <w:rPr>
          <w:b/>
        </w:rPr>
        <w:t>demi-vie plasmatique</w:t>
      </w:r>
      <w:r>
        <w:t xml:space="preserve"> est de 6 h (forme immédiate) à 11 h (métabolite actif), imposant une </w:t>
      </w:r>
      <w:r>
        <w:rPr>
          <w:b/>
        </w:rPr>
        <w:t>bithérapie quotidienne</w:t>
      </w:r>
      <w:r>
        <w:t xml:space="preserve"> (matin et soir). Son métabolisme hépatique est assuré par le </w:t>
      </w:r>
      <w:r>
        <w:rPr>
          <w:b/>
        </w:rPr>
        <w:t>CYP3A4</w:t>
      </w:r>
      <w:r>
        <w:t xml:space="preserve"> — d'où interactions avec les inhibiteurs (clarithromycine, itraconazole, ritonavir, jus de pamplemousse — CI absolue) et les inducteurs (rifampicine, phénobarbital — baisse d'efficacité).</w:t>
      </w:r>
    </w:p>
    <w:p>
      <w:r/>
      <w:r>
        <w:rPr>
          <w:b/>
        </w:rPr>
        <w:t>Médicaments disponibles en Algérie (Marques, Laboratoires, Formes et Dosages) :</w:t>
      </w:r>
      <w:r/>
    </w:p>
    <w:p>
      <w:pPr>
        <w:pStyle w:val="ListBullet"/>
      </w:pPr>
      <w:r/>
      <w:r>
        <w:rPr>
          <w:b/>
        </w:rPr>
        <w:t>PROCORALAN 5 mg</w:t>
      </w:r>
      <w:r>
        <w:t xml:space="preserve"> (SERVIER)</w:t>
      </w:r>
    </w:p>
    <w:p>
      <w:pPr>
        <w:pStyle w:val="ListBullet"/>
      </w:pPr>
      <w:r>
        <w:t>Formes et Dosages : Comprimé pelliculé 5 mg ; boîte de 56</w:t>
      </w:r>
    </w:p>
    <w:p>
      <w:pPr>
        <w:pStyle w:val="ListBullet"/>
      </w:pPr>
      <w:r>
        <w:t>Statut : Non Renouvelable — Liste I</w:t>
      </w:r>
    </w:p>
    <w:p>
      <w:pPr>
        <w:pStyle w:val="ListBullet"/>
      </w:pPr>
      <w:r/>
      <w:r>
        <w:rPr>
          <w:b/>
        </w:rPr>
        <w:t>PROCORALAN 7,5 mg</w:t>
      </w:r>
      <w:r>
        <w:t xml:space="preserve"> (SERVIER)</w:t>
      </w:r>
    </w:p>
    <w:p>
      <w:pPr>
        <w:pStyle w:val="ListBullet"/>
      </w:pPr>
      <w:r>
        <w:t>Formes et Dosages : Comprimé pelliculé 7,5 mg ; boîte de 56</w:t>
      </w:r>
    </w:p>
    <w:p>
      <w:pPr>
        <w:pStyle w:val="ListBullet"/>
      </w:pPr>
      <w:r>
        <w:t>Statut : Retiré (R) — Liste I</w:t>
      </w:r>
    </w:p>
    <w:p>
      <w:r/>
      <w:r>
        <w:rPr>
          <w:b/>
        </w:rPr>
        <w:t>Sous-classe et Mécanisme d'action :</w:t>
      </w:r>
      <w:r/>
    </w:p>
    <w:p>
      <w:pPr>
        <w:pStyle w:val="ListBullet"/>
      </w:pPr>
      <w:r>
        <w:t>Sous-classe : Inhibiteur sélectif du canal If (*funny current* — courant pacemaker sinusal) — classe à part dans la classification antiarythmique, distincte de Vaughan-Williams.</w:t>
      </w:r>
    </w:p>
    <w:p>
      <w:pPr>
        <w:pStyle w:val="ListBullet"/>
      </w:pPr>
      <w:r>
        <w:t xml:space="preserve">Mécanisme d'action : L'ivabradine inhibe sélectivement le </w:t>
      </w:r>
      <w:r>
        <w:rPr>
          <w:b/>
        </w:rPr>
        <w:t>canal HCN4</w:t>
      </w:r>
      <w:r>
        <w:t xml:space="preserve"> (Hyperpolarization-activated Cyclic Nucleotide-gated channel 4), situé dans les </w:t>
      </w:r>
      <w:r>
        <w:rPr>
          <w:b/>
        </w:rPr>
        <w:t>cellules pacemakers du nœud sinusal</w:t>
      </w:r>
      <w:r>
        <w:t xml:space="preserve"> (et accessoirement dans le nœud AV et les cellules de Purkinje, mais à un degré moindre). Ce canal porte le **courant If (*funny current*)</w:t>
      </w:r>
      <w:r>
        <w:rPr>
          <w:b/>
        </w:rPr>
        <w:t xml:space="preserve"> — courant entrant mixte Na+/K+ (principalement Na+ à la diastole) activé à la </w:t>
      </w:r>
      <w:r>
        <w:t>phase 4 du potentiel d'action</w:t>
      </w:r>
      <w:r>
        <w:rPr>
          <w:b/>
        </w:rPr>
        <w:t xml:space="preserve"> (potentiel de repos/diastolique, ~ -60 à -40 mV), qui détermine la </w:t>
      </w:r>
      <w:r>
        <w:t>pente de dépolarisation diastolique spontanée</w:t>
      </w:r>
      <w:r>
        <w:rPr>
          <w:b/>
        </w:rPr>
        <w:t xml:space="preserve"> des cellules automatiques. À la différence des canaux sodiques voltage-dépendants NaV1.5 (phase 0 — dépolarisation rapide), les canaux HCN s'activent à l'hyperpolarisation (potentiel de repos), s'ouvrent lentement et laissent passer un courant entrant dépolarisant qui ramène le potentiel de membrane au seuil d'activation des canaux Ca2+ T puis Ca2+ L (phase 0 du potentiel d'action sinusal). L'inhibition du courant If par l'ivabradine </w:t>
      </w:r>
      <w:r>
        <w:t>ralentit la pente de phase 4</w:t>
      </w:r>
      <w:r>
        <w:rPr>
          <w:b/>
        </w:rPr>
        <w:t xml:space="preserve"> → allongement de la durée de la diastole → </w:t>
      </w:r>
      <w:r>
        <w:t>ralentissement de la fréquence sinusal</w:t>
      </w:r>
      <w:r>
        <w:rPr>
          <w:b/>
        </w:rPr>
        <w:t xml:space="preserve"> (FC ↓ dose-dépendante, ~ 10–15 bpm en moyenne à dose thérapeutique). L'action est </w:t>
      </w:r>
      <w:r>
        <w:t>élective sur le nœud sinusal** — sans effet sur : (1) la conduction AV (pas d'allongement du PR) ; (2) la repolarisation ventriculaire (pas d'allongement du QTc) ; (3) la contractilité myocardique (pas d'effet inotrope négatif — d'où son avantage majeur par rapport aux β-bloquants en IC avec FEVG très altérée) ; (4) la pression artérielle (pas d'effet vasoconstricteur ni vasodilatateur) ; (5) les voies respiratoires (pas d'effet bronchodilatateur ni bronchoconstricteur — d'où sa compatibilité chez l'asthmatique) ; (6) le métabolisme glucido-lipidique (neutre sur la glycémie, le poids, le profil lipidique). Cette sélectivité d'action explique l'excellent profil de tolérance et son utilisation chez des patients pour lesquels les β-bloquants sont CI ou mal tolérés (asthme, diabète déséquilibré, IC avec FEVG &lt; 30 %, intolérance orthostatique).</w:t>
      </w:r>
    </w:p>
    <w:p>
      <w:r/>
      <w:r>
        <w:rPr>
          <w:b/>
        </w:rPr>
        <w:t>Profil Pharmacologique :</w:t>
      </w:r>
      <w:r/>
    </w:p>
    <w:p>
      <w:pPr>
        <w:pStyle w:val="ListBullet"/>
      </w:pPr>
      <w:r>
        <w:t xml:space="preserve">Indications : (1) </w:t>
      </w:r>
      <w:r>
        <w:rPr>
          <w:b/>
        </w:rPr>
        <w:t>Insuffisance cardiaque chronique stable (NYHA II–IV)</w:t>
      </w:r>
      <w:r>
        <w:t xml:space="preserve"> avec </w:t>
      </w:r>
      <w:r>
        <w:rPr>
          <w:b/>
        </w:rPr>
        <w:t>FEVG ≤ 35 %</w:t>
      </w:r>
      <w:r>
        <w:t xml:space="preserve"> en </w:t>
      </w:r>
      <w:r>
        <w:rPr>
          <w:b/>
        </w:rPr>
        <w:t>rythme sinusal</w:t>
      </w:r>
      <w:r>
        <w:t xml:space="preserve"> et </w:t>
      </w:r>
      <w:r>
        <w:rPr>
          <w:b/>
        </w:rPr>
        <w:t>FC ≥ 70 bpm</w:t>
      </w:r>
      <w:r>
        <w:t xml:space="preserve"> — en association aux traitements standard (IEC/ARA2, β-bloquants à dose optimale tolérée, ARM, dapagliflozine/empagliflozine) — selon ESC 2021 (recommandation Classe IIa, niveau B) et essai SHIFT 2010 ; (2) </w:t>
      </w:r>
      <w:r>
        <w:rPr>
          <w:b/>
        </w:rPr>
        <w:t>AnGOR stable chronique</w:t>
      </w:r>
      <w:r>
        <w:t xml:space="preserve"> en cas de </w:t>
      </w:r>
      <w:r>
        <w:rPr>
          <w:b/>
        </w:rPr>
        <w:t>contre-indication ou d'intolérance aux β-bloquants</w:t>
      </w:r>
      <w:r>
        <w:t xml:space="preserve"> — en monothérapie, selon ESC 2019 (recommandation Classe IIa) et essai INITIATIVE 2005 ; ou en </w:t>
      </w:r>
      <w:r>
        <w:rPr>
          <w:b/>
        </w:rPr>
        <w:t>association aux β-bloquants à dose sous-optimale</w:t>
      </w:r>
      <w:r>
        <w:t xml:space="preserve"> (FC ≥ 70 bpm sous β-bloquant à dose maximale tolérée) — selon essai ASSOCIATE 2009 ; (3) </w:t>
      </w:r>
      <w:r>
        <w:rPr>
          <w:b/>
        </w:rPr>
        <w:t>Tachycardie sinusale inappropriée</w:t>
      </w:r>
      <w:r>
        <w:t xml:space="preserve"> (TSI — FC &gt; 100 bpm au repos sans cause identifiable — diagnostic d'élimination après avoir éliminé anémie, hyperthyroïdie, fièvre, hypovolémie, anxiete, etc.) en seconde ligne après β-bloquant. Posologie usuelle : 5 mg x 2/jour (matin et soir à 12 h d'intervalle) en initiation pendant 3–4 semaines, puis adaptation selon la FC : si FC persistante ≥ 70 bpm → augmenter à 7,5 mg x 2/jour ; si FC &lt; 50 bpm → réduire à 2,5 mg x 2/jour (1/2 comprimé de 5 mg). Dose maximale : 7,5 mg x 2/j = 15 mg/j.</w:t>
      </w:r>
    </w:p>
    <w:p>
      <w:pPr>
        <w:pStyle w:val="ListBullet"/>
      </w:pPr>
      <w:r>
        <w:t xml:space="preserve">Contre-indications : (1) </w:t>
      </w:r>
      <w:r>
        <w:rPr>
          <w:b/>
        </w:rPr>
        <w:t>FC &lt; 70 bpm</w:t>
      </w:r>
      <w:r>
        <w:t xml:space="preserve"> à l'initiation (la molécule est bradycardisante — un patient déjà bradycarde ne bénéficiera pas et risque de bradycardie sévère) ; (2) </w:t>
      </w:r>
      <w:r>
        <w:rPr>
          <w:b/>
        </w:rPr>
        <w:t>Choc cardiogénique</w:t>
      </w:r>
      <w:r>
        <w:t xml:space="preserve"> (la baisse de FC aggrave le bas débit) ; (3) </w:t>
      </w:r>
      <w:r>
        <w:rPr>
          <w:b/>
        </w:rPr>
        <w:t>Arythmie sinusale</w:t>
      </w:r>
      <w:r>
        <w:t xml:space="preserve"> sévère, </w:t>
      </w:r>
      <w:r>
        <w:rPr>
          <w:b/>
        </w:rPr>
        <w:t>BAV de haut degré</w:t>
      </w:r>
      <w:r>
        <w:t xml:space="preserve"> non appareillé (risque d'asystolie) ; (4) </w:t>
      </w:r>
      <w:r>
        <w:rPr>
          <w:b/>
        </w:rPr>
        <w:t>Fibrillation atriale (FA)</w:t>
      </w:r>
      <w:r>
        <w:t xml:space="preserve"> ou </w:t>
      </w:r>
      <w:r>
        <w:rPr>
          <w:b/>
        </w:rPr>
        <w:t>flutter atrial</w:t>
      </w:r>
      <w:r>
        <w:t xml:space="preserve"> (l'ivabradine agit sur le nœud sinusal — inefficace en rythme non sinusal) ; (5) </w:t>
      </w:r>
      <w:r>
        <w:rPr>
          <w:b/>
        </w:rPr>
        <w:t>Fibrillation ventriculaire</w:t>
      </w:r>
      <w:r>
        <w:t xml:space="preserve"> ou </w:t>
      </w:r>
      <w:r>
        <w:rPr>
          <w:b/>
        </w:rPr>
        <w:t>tachycardie ventriculaire</w:t>
      </w:r>
      <w:r>
        <w:t xml:space="preserve"> (en cours ou récente — l'ivabradine n'a pas d'effet antiarythmique ventriculaire) ; (6) </w:t>
      </w:r>
      <w:r>
        <w:rPr>
          <w:b/>
        </w:rPr>
        <w:t>Insuffisance cardiaque aiguë</w:t>
      </w:r>
      <w:r>
        <w:t xml:space="preserve"> décompensée ; (7) </w:t>
      </w:r>
      <w:r>
        <w:rPr>
          <w:b/>
        </w:rPr>
        <w:t>Bloc sino-auriculaire</w:t>
      </w:r>
      <w:r>
        <w:t xml:space="preserve"> (BAV sino-auriculaire symptomatique) ; (8) </w:t>
      </w:r>
      <w:r>
        <w:rPr>
          <w:b/>
        </w:rPr>
        <w:t>Bradycardie sinusale symptomatique</w:t>
      </w:r>
      <w:r>
        <w:t xml:space="preserve"> ; (9) </w:t>
      </w:r>
      <w:r>
        <w:rPr>
          <w:b/>
        </w:rPr>
        <w:t>Insuffisance hépatique sévère</w:t>
      </w:r>
      <w:r>
        <w:t xml:space="preserve"> (Child-Pugh C — métabolisme CYP3A4 altéré) ; (10) </w:t>
      </w:r>
      <w:r>
        <w:rPr>
          <w:b/>
        </w:rPr>
        <w:t>Hypersensibilité</w:t>
      </w:r>
      <w:r>
        <w:t xml:space="preserve"> à l'ivabradine ; (11) </w:t>
      </w:r>
      <w:r>
        <w:rPr>
          <w:b/>
        </w:rPr>
        <w:t>Association aux inhibiteurs puissants du CYP3A4</w:t>
      </w:r>
      <w:r>
        <w:t xml:space="preserve"> (clarithromycine, itraconazole, kétoconazole, ritonavir, nelfinavir, jus de pamplemousse) — CI absolue (augmentation majeure des concentrations → bradycardie sévère) ; (12) </w:t>
      </w:r>
      <w:r>
        <w:rPr>
          <w:b/>
        </w:rPr>
        <w:t>Association aux inducteurs du CYP3A4</w:t>
      </w:r>
      <w:r>
        <w:t xml:space="preserve"> (rifampicine, phénobarbital, carbamazépine, phénytoïne, millepertuis) — CI absolue (baisse d'efficacité) ; (13) </w:t>
      </w:r>
      <w:r>
        <w:rPr>
          <w:b/>
        </w:rPr>
        <w:t>Grossesse</w:t>
      </w:r>
      <w:r>
        <w:t xml:space="preserve"> (cf. infra — précaution) ; (14) </w:t>
      </w:r>
      <w:r>
        <w:rPr>
          <w:b/>
        </w:rPr>
        <w:t>Allaitement</w:t>
      </w:r>
      <w:r>
        <w:t xml:space="preserve"> ; (15) </w:t>
      </w:r>
      <w:r>
        <w:rPr>
          <w:b/>
        </w:rPr>
        <w:t>Enfant &lt; 18 ans</w:t>
      </w:r>
      <w:r>
        <w:t xml:space="preserve"> (hors AMM).</w:t>
      </w:r>
    </w:p>
    <w:p>
      <w:pPr>
        <w:pStyle w:val="ListBullet"/>
      </w:pPr>
      <w:r>
        <w:t xml:space="preserve">Effets Indésirables : (1) </w:t>
      </w:r>
      <w:r>
        <w:rPr>
          <w:b/>
        </w:rPr>
        <w:t>Bradycardie symptomatique</w:t>
      </w:r>
      <w:r>
        <w:t xml:space="preserve"> (3–5 % — parfois sévère avec malaise lipothymique, syncope vasovagale) — surveillance FC à l'initiation et à chaque adaptation ; (2) </w:t>
      </w:r>
      <w:r>
        <w:rPr>
          <w:b/>
        </w:rPr>
        <w:t>Phosphènes</w:t>
      </w:r>
      <w:r>
        <w:t xml:space="preserve"> (5–15 % — sensation de flashs lumineux transitoires, halos colorés, en particulier à l'exposition brutale à la lumière — bénin et réversible à l'arrêt, lié à l'inhibition des canaux HCN1 rétiniens) — information du patient, ne pas arrêter le traitement si tolérable (régression spontanée en 1–3 mois dans 75 % des cas) ; (3) </w:t>
      </w:r>
      <w:r>
        <w:rPr>
          <w:b/>
        </w:rPr>
        <w:t>Fibrillation atriale</w:t>
      </w:r>
      <w:r>
        <w:t xml:space="preserve"> (légère augmentation de l'incidence — ~5 % vs 4 % placebo, essai SIGNIFY 2014, à surveiller — arrêt si FA persistante) ; (4) </w:t>
      </w:r>
      <w:r>
        <w:rPr>
          <w:b/>
        </w:rPr>
        <w:t>Hypertension artérielle</w:t>
      </w:r>
      <w:r>
        <w:t xml:space="preserve"> légère (~1 %, paradoxal pour un bradycardisant — mécanisme mal élucidé, récepteur HCN3 vasculaire ?) ; (5) </w:t>
      </w:r>
      <w:r>
        <w:rPr>
          <w:b/>
        </w:rPr>
        <w:t>Bradycardie sinusale sévère</w:t>
      </w:r>
      <w:r>
        <w:t xml:space="preserve">, pauses sinusales, BAV sino-auriculaire (rare) ; (6) </w:t>
      </w:r>
      <w:r>
        <w:rPr>
          <w:b/>
        </w:rPr>
        <w:t>Extrasystoles ventriculaires</w:t>
      </w:r>
      <w:r>
        <w:t xml:space="preserve"> (rare) ; (7) </w:t>
      </w:r>
      <w:r>
        <w:rPr>
          <w:b/>
        </w:rPr>
        <w:t>Céphalées</w:t>
      </w:r>
      <w:r>
        <w:t xml:space="preserve"> (~5 %) ; (8) </w:t>
      </w:r>
      <w:r>
        <w:rPr>
          <w:b/>
        </w:rPr>
        <w:t>Vertiges</w:t>
      </w:r>
      <w:r>
        <w:t xml:space="preserve"> (~3 %) ; (9) </w:t>
      </w:r>
      <w:r>
        <w:rPr>
          <w:b/>
        </w:rPr>
        <w:t>Vision floue</w:t>
      </w:r>
      <w:r>
        <w:t xml:space="preserve"> (en dehors des phosphènes, plus rare) ; (10) </w:t>
      </w:r>
      <w:r>
        <w:rPr>
          <w:b/>
        </w:rPr>
        <w:t>Nausées, constipation</w:t>
      </w:r>
      <w:r>
        <w:t xml:space="preserve"> (~2 %) ; (11) </w:t>
      </w:r>
      <w:r>
        <w:rPr>
          <w:b/>
        </w:rPr>
        <w:t>Rash cutané</w:t>
      </w:r>
      <w:r>
        <w:t xml:space="preserve"> (rare) ; (12) </w:t>
      </w:r>
      <w:r>
        <w:rPr>
          <w:b/>
        </w:rPr>
        <w:t>Allongement du QT</w:t>
      </w:r>
      <w:r>
        <w:t xml:space="preserve"> (rare, à surveiller en association à torsadogène) ; (13) </w:t>
      </w:r>
      <w:r>
        <w:rPr>
          <w:b/>
        </w:rPr>
        <w:t>Élévation de l'uricémie</w:t>
      </w:r>
      <w:r>
        <w:t xml:space="preserve"> (rare).</w:t>
      </w:r>
    </w:p>
    <w:p>
      <w:r/>
      <w:r>
        <w:rPr>
          <w:b/>
        </w:rPr>
        <w:t>Prévention et Gestion des Effets Indésirables :</w:t>
      </w:r>
      <w:r/>
    </w:p>
    <w:p>
      <w:pPr>
        <w:pStyle w:val="ListBullet"/>
      </w:pPr>
      <w:r>
        <w:t xml:space="preserve">Mesures Préventives : (a) </w:t>
      </w:r>
      <w:r>
        <w:rPr>
          <w:b/>
        </w:rPr>
        <w:t>ECG pré-thérapeutique</w:t>
      </w:r>
      <w:r>
        <w:t xml:space="preserve"> : vérifier le rythme sinusal (CI en FA/flutter), mesurer FC de base (≥ 70 bpm requis), vérifier l'absence de BAV et l'absence d'allongement du QTc ; (b) </w:t>
      </w:r>
      <w:r>
        <w:rPr>
          <w:b/>
        </w:rPr>
        <w:t>Surveillance FC</w:t>
      </w:r>
      <w:r>
        <w:t xml:space="preserve"> à l'initiation (à 2 semaines puis 4 semaines), après chaque adaptation posologique, puis tous les 6 mois — cible FC 55–60 bpm au repos ; si FC &lt; 50 bpm → réduire la dose ; si FC persistante ≥ 70 bpm → augmenter (à 7,5 mg x 2/j) ; (c) </w:t>
      </w:r>
      <w:r>
        <w:rPr>
          <w:b/>
        </w:rPr>
        <w:t>Surveillance ECG</w:t>
      </w:r>
      <w:r>
        <w:t xml:space="preserve"> à l'initiation puis semestriellement (rythme sinusal, FC, QTc) ; (d) </w:t>
      </w:r>
      <w:r>
        <w:rPr>
          <w:b/>
        </w:rPr>
        <w:t>Information du patient sur les phosphènes</w:t>
      </w:r>
      <w:r>
        <w:t xml:space="preserve"> : phénomène bénin, transitoire, à signaler sans urgence (sauf si gênant pour la conduite — l'ivabradine peut entraîner une perte de contrôle visuel transitoire à l'exposition brutale à la lumière — précaution pour la conduite automobile notamment nocturne) ; (e) Vérification systématique des </w:t>
      </w:r>
      <w:r>
        <w:rPr>
          <w:b/>
        </w:rPr>
        <w:t>interactions médicamenteuses</w:t>
      </w:r>
      <w:r>
        <w:t xml:space="preserve"> avec le CYP3A4 (inhibiteurs et inducteurs) ; (f) En cas d'insuffisance hépatique modérée (Child-Pugh A ou B), réduire la dose à 2,5 mg x 2/jour en initiation (clairance CYP3A4 réduite) ; (g) En cas d'insuffisance rénale sévère (DFG &lt; 15 mL/min), réduire la dose à 2,5 mg x 2/jour ; (h) </w:t>
      </w:r>
      <w:r>
        <w:rPr>
          <w:b/>
        </w:rPr>
        <w:t>Éducation à la reconnaissance de la FA</w:t>
      </w:r>
      <w:r>
        <w:t xml:space="preserve"> (palpitations rapides irrégulières) — arrêt immédiat de l'ivabradine et consultation (la molécule est inefficace en FA et peut aggraver le risque embolique).</w:t>
      </w:r>
    </w:p>
    <w:p>
      <w:pPr>
        <w:pStyle w:val="ListBullet"/>
      </w:pPr>
      <w:r>
        <w:t xml:space="preserve">Conduite à Tenir : En cas de </w:t>
      </w:r>
      <w:r>
        <w:rPr>
          <w:b/>
        </w:rPr>
        <w:t>bradycardie symptomatique</w:t>
      </w:r>
      <w:r>
        <w:t xml:space="preserve"> (FC &lt; 50 bpm avec malaise, syncope, vertiges) → </w:t>
      </w:r>
      <w:r>
        <w:rPr>
          <w:b/>
        </w:rPr>
        <w:t>arrêt immédiat de l'ivabradine</w:t>
      </w:r>
      <w:r>
        <w:t xml:space="preserve">, surveillance ECG continue, atropine 0,5–1 mg IV si bradycardie menaçante, isoprénaline IV si résistance à l'atropine, pacing temporaire si nécessaire. Ne pas réintroduire l'ivabradine sans surveillance médicale stricte (réduction de dose à 2,5 mg x 2/jour ou arrêt définitif). En cas de </w:t>
      </w:r>
      <w:r>
        <w:rPr>
          <w:b/>
        </w:rPr>
        <w:t>phosphènes</w:t>
      </w:r>
      <w:r>
        <w:t xml:space="preserve"> gênants (impact sur la conduite, sur la qualité de vie) → information du patient sur le caractère bénin et transitoire (régression spontanée en 1–3 mois dans 75 % des cas), réduire la dose à 2,5 mg x 2/jour ou 5 mg x 2/jour, arrêt si intolérance persistante. En cas de </w:t>
      </w:r>
      <w:r>
        <w:rPr>
          <w:b/>
        </w:rPr>
        <w:t>FA survenant sous ivabradine</w:t>
      </w:r>
      <w:r>
        <w:t xml:space="preserve"> → arrêt immédiat (la molécule est inefficace en FA et ne contrôle pas la réponse ventriculaire — relayée par β-bloquant, inhibiteur calcique non DHP, ou digoxine), surveillance ECG, anticoagulation selon score CHA2DS2-VASc. En cas de </w:t>
      </w:r>
      <w:r>
        <w:rPr>
          <w:b/>
        </w:rPr>
        <w:t>syncope</w:t>
      </w:r>
      <w:r>
        <w:t xml:space="preserve"> sous ivabradine → arrêt, ECG, Holter-ECG 24 h à la recherche de pauses sinusales, BAV, exploration électrophysiologique si doute.</w:t>
      </w:r>
    </w:p>
    <w:p>
      <w:r/>
      <w:r>
        <w:rPr>
          <w:b/>
        </w:rPr>
        <w:t>Interactions Importantes :</w:t>
      </w:r>
      <w:r/>
    </w:p>
    <w:p>
      <w:pPr>
        <w:pStyle w:val="ListBullet"/>
      </w:pPr>
      <w:r>
        <w:t xml:space="preserve">Ivabradine + </w:t>
      </w:r>
      <w:r>
        <w:rPr>
          <w:b/>
        </w:rPr>
        <w:t>Inhibiteurs puissants du CYP3A4</w:t>
      </w:r>
      <w:r>
        <w:t xml:space="preserve"> (clarithromycine, téithromycine, itraconazole, kétoconazole, posaconazole, ritonavir, nelfinavir, indinavir, jus de pamplemousse en quantité &gt; 1 L/j) : </w:t>
      </w:r>
      <w:r>
        <w:rPr>
          <w:b/>
        </w:rPr>
        <w:t>augmentation majeure des concentrations d'ivabradine</w:t>
      </w:r>
      <w:r>
        <w:t xml:space="preserve"> (× 3–8) → </w:t>
      </w:r>
      <w:r>
        <w:rPr>
          <w:b/>
        </w:rPr>
        <w:t>bradycardie sévère, allongement QT, risque de torsades</w:t>
      </w:r>
      <w:r>
        <w:t xml:space="preserve">. </w:t>
      </w:r>
      <w:r>
        <w:rPr>
          <w:b/>
        </w:rPr>
        <w:t>CI absolue</w:t>
      </w:r>
      <w:r>
        <w:t xml:space="preserve"> — choisir un antibiotique/antifongique alternatif (azithromycine, fluconazole).</w:t>
      </w:r>
    </w:p>
    <w:p>
      <w:pPr>
        <w:pStyle w:val="ListBullet"/>
      </w:pPr>
      <w:r>
        <w:t xml:space="preserve">Ivabradine + </w:t>
      </w:r>
      <w:r>
        <w:rPr>
          <w:b/>
        </w:rPr>
        <w:t>Inducteurs du CYP3A4</w:t>
      </w:r>
      <w:r>
        <w:t xml:space="preserve"> (rifampicine, phénobarbital, carbamazépine, phénytoïne, oxcarbazépine, éfavirenz, névirapine, millepertuis) : </w:t>
      </w:r>
      <w:r>
        <w:rPr>
          <w:b/>
        </w:rPr>
        <w:t>baisse des concentrations d'ivabradine</w:t>
      </w:r>
      <w:r>
        <w:t xml:space="preserve"> → perte d'efficacité (FC persistante). </w:t>
      </w:r>
      <w:r>
        <w:rPr>
          <w:b/>
        </w:rPr>
        <w:t>CI absolue</w:t>
      </w:r>
      <w:r>
        <w:t xml:space="preserve"> — choisir une alternative.</w:t>
      </w:r>
    </w:p>
    <w:p>
      <w:pPr>
        <w:pStyle w:val="ListBullet"/>
      </w:pPr>
      <w:r>
        <w:t xml:space="preserve">Ivabradine + </w:t>
      </w:r>
      <w:r>
        <w:rPr>
          <w:b/>
        </w:rPr>
        <w:t>Inhibiteurs modérés du CYP3A4</w:t>
      </w:r>
      <w:r>
        <w:t xml:space="preserve"> (fluconazole, érythromycine, diltiazem, vérapamil, amiodarone) : </w:t>
      </w:r>
      <w:r>
        <w:rPr>
          <w:b/>
        </w:rPr>
        <w:t>augmentation modérée des concentrations</w:t>
      </w:r>
      <w:r>
        <w:t xml:space="preserve"> (× 2) → réduire la dose d'ivabradine à 2,5 mg x 2/jour en initiation, surveillance FC et ECG.</w:t>
      </w:r>
    </w:p>
    <w:p>
      <w:pPr>
        <w:pStyle w:val="ListBullet"/>
      </w:pPr>
      <w:r>
        <w:t xml:space="preserve">Ivabradine + </w:t>
      </w:r>
      <w:r>
        <w:rPr>
          <w:b/>
        </w:rPr>
        <w:t>Diltiazem, Vérapamil</w:t>
      </w:r>
      <w:r>
        <w:t xml:space="preserve"> (inhibiteurs calciques non DHP) : double interaction — augmentation concentrations ivabradine (CYP3A4) + addition des effets bradycardisants (FC sinuso-auriculaire + nœud AV) → </w:t>
      </w:r>
      <w:r>
        <w:rPr>
          <w:b/>
        </w:rPr>
        <w:t>bradycardie sévère, BAV</w:t>
      </w:r>
      <w:r>
        <w:t>. Surveillance ECG, réduction de dose.</w:t>
      </w:r>
    </w:p>
    <w:p>
      <w:pPr>
        <w:pStyle w:val="ListBullet"/>
      </w:pPr>
      <w:r>
        <w:t xml:space="preserve">Ivabradine + </w:t>
      </w:r>
      <w:r>
        <w:rPr>
          <w:b/>
        </w:rPr>
        <w:t>β-bloquants</w:t>
      </w:r>
      <w:r>
        <w:t xml:space="preserve"> : addition des effets bradycardisants → surveillance FC, ne pas dépasser β-bloquant à dose optimale et ivabradine à dose maximale tolérée. Association licite et recommandée dans l'IC (essai SHIFT).</w:t>
      </w:r>
    </w:p>
    <w:p>
      <w:pPr>
        <w:pStyle w:val="ListBullet"/>
      </w:pPr>
      <w:r>
        <w:t xml:space="preserve">Ivabradine + </w:t>
      </w:r>
      <w:r>
        <w:rPr>
          <w:b/>
        </w:rPr>
        <w:t>Digoxine</w:t>
      </w:r>
      <w:r>
        <w:t xml:space="preserve"> : pas d'interaction pharmacocinétique, mais addition des effets bradycardisants sur le nœud AV (digoxine) et sinusal (ivabradine) — surveillance FC.</w:t>
      </w:r>
    </w:p>
    <w:p>
      <w:pPr>
        <w:pStyle w:val="ListBullet"/>
      </w:pPr>
      <w:r>
        <w:t xml:space="preserve">Ivabradine + </w:t>
      </w:r>
      <w:r>
        <w:rPr>
          <w:b/>
        </w:rPr>
        <w:t>Allongeurs du QT</w:t>
      </w:r>
      <w:r>
        <w:t xml:space="preserve"> (amiodarone, sotalol, macrolides, fluoroquinolones, antipsychotiques, IRS) : addition d'effets → surveillance ECG (QTc).</w:t>
      </w:r>
    </w:p>
    <w:p>
      <w:pPr>
        <w:pStyle w:val="ListBullet"/>
      </w:pPr>
      <w:r>
        <w:t xml:space="preserve">Ivabradine + </w:t>
      </w:r>
      <w:r>
        <w:rPr>
          <w:b/>
        </w:rPr>
        <w:t>Cimétidine</w:t>
      </w:r>
      <w:r>
        <w:t xml:space="preserve"> (anti-H2) : inhibiteur modéré du CYP3A4 → surveillance.</w:t>
      </w:r>
    </w:p>
    <w:p>
      <w:r/>
      <w:r>
        <w:rPr>
          <w:b/>
        </w:rPr>
        <w:t>Grossesse et Allaitement :</w:t>
      </w:r>
      <w:r/>
    </w:p>
    <w:p>
      <w:pPr>
        <w:pStyle w:val="ListBullet"/>
      </w:pPr>
      <w:r>
        <w:t xml:space="preserve">Grossesse : Selon le CRAT, l'ivabradine est </w:t>
      </w:r>
      <w:r>
        <w:rPr>
          <w:b/>
        </w:rPr>
        <w:t>à éviter pendant la grossesse</w:t>
      </w:r>
      <w:r>
        <w:t xml:space="preserve"> — les données animales ont montré une </w:t>
      </w:r>
      <w:r>
        <w:rPr>
          <w:b/>
        </w:rPr>
        <w:t>embryotoxicité</w:t>
      </w:r>
      <w:r>
        <w:t xml:space="preserve"> et une </w:t>
      </w:r>
      <w:r>
        <w:rPr>
          <w:b/>
        </w:rPr>
        <w:t>tératogénicité</w:t>
      </w:r>
      <w:r>
        <w:t xml:space="preserve"> (malformations cardiaques) à doses thérapeutiques chez le rat et le lapin, et le passage placentaire est démontré. Il n'y a pas de données humaines suffisantes. En cas d'indication impérieuse chez une femme enceinte (IC décompensée avec FC ≥ 70 bpm résistante aux β-bloquants), discussion au cas par cas en milieu spécialisé — préférer les β-bloquants (compatibles selon CRAT — métoprolol, bisoprolol). </w:t>
      </w:r>
      <w:r>
        <w:rPr>
          <w:b/>
        </w:rPr>
        <w:t>Contraception efficace obligatoire</w:t>
      </w:r>
      <w:r>
        <w:t xml:space="preserve"> chez la femme en âge de procréer pendant le traitement et pendant 1 semaine après l'arrêt.</w:t>
      </w:r>
    </w:p>
    <w:p>
      <w:pPr>
        <w:pStyle w:val="ListBullet"/>
      </w:pPr>
      <w:r>
        <w:t xml:space="preserve">Allaitement : </w:t>
      </w:r>
      <w:r>
        <w:rPr>
          <w:b/>
        </w:rPr>
        <w:t>CI absolue</w:t>
      </w:r>
      <w:r>
        <w:t xml:space="preserve"> — passage dans le lait maternel démontré chez l'animal, données humaines limitées. Préférer un β-bloquant compatible (métoprolol, propranolol) ou suspendre l'allaitement pendant le traitement et 1 semaine après l'arrêt.</w:t>
      </w:r>
    </w:p>
    <w:p>
      <w:pPr>
        <w:pStyle w:val="ListBullet"/>
      </w:pPr>
      <w:r>
        <w:t>Précisions : La prescription chez la femme jeune en âge de procréer doit être précédée d'un test de grossesse et d'une contraception efficace (estroprogestatif ou dispositif intra-utérin).</w:t>
      </w:r>
    </w:p>
    <w:p>
      <w:r/>
      <w:r>
        <w:rPr>
          <w:b/>
        </w:rPr>
        <w:t>Posologie et Mode d'administration (Standard) :</w:t>
      </w:r>
      <w:r/>
    </w:p>
    <w:p>
      <w:pPr>
        <w:pStyle w:val="ListBullet"/>
      </w:pPr>
      <w:r>
        <w:t>Adulte : 5 mg x 2/jour (matin et soir à 12 h d'intervalle, au cours des repas) en initiation pendant 3–4 semaines, puis adaptation selon la FC : si FC persistante ≥ 70 bpm → augmenter à 7,5 mg x 2/jour ; si FC &lt; 50 bpm → réduire à 2,5 mg x 2/jour (1/2 comprimé de 5 mg) ou arrêter si FC &lt; 50 bpm symptomatique. Dose maximale : 7,5 mg x 2/jour = 15 mg/jour. Dose minimale : 2,5 mg x 2/jour = 5 mg/jour.</w:t>
      </w:r>
    </w:p>
    <w:p>
      <w:pPr>
        <w:pStyle w:val="ListBullet"/>
      </w:pPr>
      <w:r>
        <w:t>Sujet âgé (&gt; 75 ans) : pas d'adaptation posologique systématique mais surveillance FC renforcée (clairance CYP3A4 réduite).</w:t>
      </w:r>
    </w:p>
    <w:p>
      <w:pPr>
        <w:pStyle w:val="ListBullet"/>
      </w:pPr>
      <w:r>
        <w:t>Insuffisant rénal (DFG 15–60 mL/min) : pas d'adaptation. Insuffisant rénal sévère (DFG &lt; 15 mL/min) : réduire à 2,5 mg x 2/jour en initiation.</w:t>
      </w:r>
    </w:p>
    <w:p>
      <w:pPr>
        <w:pStyle w:val="ListBullet"/>
      </w:pPr>
      <w:r>
        <w:t xml:space="preserve">Insuffisant hépatique modérée (Child-Pugh A ou B) : réduire à 2,5 mg x 2/jour en initiation. Insuffisant hépatique sévère (Child-Pugh C) : </w:t>
      </w:r>
      <w:r>
        <w:rPr>
          <w:b/>
        </w:rPr>
        <w:t>CI absolue</w:t>
      </w:r>
      <w:r>
        <w:t>.</w:t>
      </w:r>
    </w:p>
    <w:p>
      <w:pPr>
        <w:pStyle w:val="ListBullet"/>
      </w:pPr>
      <w:r>
        <w:t xml:space="preserve">Enfant (&lt; 18 ans) : </w:t>
      </w:r>
      <w:r>
        <w:rPr>
          <w:b/>
        </w:rPr>
        <w:t>hors AMM</w:t>
      </w:r>
      <w:r>
        <w:t xml:space="preserve"> — utilisation réservée aux essais cliniques.</w:t>
      </w:r>
    </w:p>
    <w:p>
      <w:pPr>
        <w:pStyle w:val="ListBullet"/>
      </w:pPr>
      <w:r>
        <w:t>Durée : au long cours pour l'IC chronique stable et l'angor stable — réévaluation annuelle de la pertinence (persistance de l'indication, FC sous traitement).</w:t>
      </w:r>
    </w:p>
    <w:p>
      <w:pPr>
        <w:pStyle w:val="ListBullet"/>
      </w:pPr>
      <w:r>
        <w:t>Moment de prise : pendant ou après repas (l'absorption est augmentée par les aliments — biodisponibilité 40 % à jeun, 60–70 % au cours des repas).</w:t>
      </w:r>
    </w:p>
    <w:p>
      <w:r/>
      <w:r>
        <w:rPr>
          <w:b/>
        </w:rPr>
        <w:t>Arbitrage et Bénéfices des Formes Galéniques :</w:t>
      </w:r>
      <w:r/>
    </w:p>
    <w:p>
      <w:r>
        <w:t xml:space="preserve">L'ivabradine est disponible en Algérie sous deux dosages de la même forme galénique : (1) </w:t>
      </w:r>
      <w:r>
        <w:rPr>
          <w:b/>
        </w:rPr>
        <w:t>comprimé pelliculé 5 mg</w:t>
      </w:r>
      <w:r>
        <w:t xml:space="preserve"> (PROCORALAN — Servier) — forme de référence pour l'initiation et l'adaptation posologique (permet la dose initiale de 5 mg x 2/jour et la réduction à 2,5 mg x 2/jour par 1/2 comprimé) ; (2) </w:t>
      </w:r>
      <w:r>
        <w:rPr>
          <w:b/>
        </w:rPr>
        <w:t>comprimé pelliculé 7,5 mg</w:t>
      </w:r>
      <w:r>
        <w:t xml:space="preserve"> (PROCORALAN 7,5 mg — Servier) — forme d'adaptation supérieure (palier posologique maximal). </w:t>
      </w:r>
      <w:r>
        <w:rPr>
          <w:b/>
        </w:rPr>
        <w:t>Particularité algérienne</w:t>
      </w:r>
      <w:r>
        <w:t xml:space="preserve"> : la forme 5 mg est en </w:t>
      </w:r>
      <w:r>
        <w:rPr>
          <w:b/>
        </w:rPr>
        <w:t>statut Non Renouvelable</w:t>
      </w:r>
      <w:r>
        <w:t xml:space="preserve"> et la forme 7,5 mg est </w:t>
      </w:r>
      <w:r>
        <w:rPr>
          <w:b/>
        </w:rPr>
        <w:t>Retirée</w:t>
      </w:r>
      <w:r>
        <w:t xml:space="preserve"> — la molécule est donc en voie de retrait du marché algérien, posant un enjeu d'accès au traitement pour les patients insuffisants cardiaques chroniques stables qui en bénéficient. À l'officine, informer le patient et le médecin prescripteur de cette disponibilité limitée et anticiper un switch thérapeutique vers une alternative (augmentation du β-bloquant à dose optimale, digoxine si FC persistante, dapagliflozine/empagliflozine si non déjà prescrites). L'ivabradine n'est pas disponible en forme IV (le projet de forme IV a été abandonné en phase III). À l'officine, vérifier systématiquement la FC de base avant dispensation (FC ≥ 70 bpm requis) et l'absence de FA (ECG récent). Vérifier la non-écrasabilité des comprimés pelliculés (la sécabilité n'est pas prévue dans l'AMM — utiliser le dosage 5 mg pour la dose 2,5 mg en 1/2 comprimé si nécessaire).</w:t>
      </w:r>
    </w:p>
    <w:p>
      <w:r/>
      <w:r>
        <w:rPr>
          <w:b/>
        </w:rPr>
        <w:t>Instructions et Conseils au Patient :</w:t>
      </w:r>
      <w:r/>
    </w:p>
    <w:p>
      <w:pPr>
        <w:pStyle w:val="ListBullet"/>
      </w:pPr>
      <w:r>
        <w:t xml:space="preserve">Communication au comptoir : « Ce médicament (ivabradine) est un bradycardisant qui agit en ralentissant votre cœur au niveau du nœud sinusal. Il est prescrit pour ralentir les battements de votre cœur quand ils sont trop rapides malgré les autres traitements (insuffisance cardiaque, angor stable). </w:t>
      </w:r>
      <w:r>
        <w:rPr>
          <w:b/>
        </w:rPr>
        <w:t>Important</w:t>
      </w:r>
      <w:r>
        <w:t xml:space="preserve"> : prenez-le 2 fois par jour, matin et soir, à heures fixes, au cours des repas. Prévenez immédiatement votre médecin si vous avez : malaises, vertiges, sensation de évanouissement (signes de bradycardie trop marquée) ; palpitations rapides irrégulières (signe d'arythmie — FA — où l'ivabradine devient inefficace) ; flashs lumineux, halos colorés dans votre vision (phénomène bénin appelé "phosphène", lié à l'effet du médicament sur la rétine, transitoire, à signaler mais sans urgence). Évitez absolument le pamplemousse (interaction grave). Ne pas associer à un antibiotique de la famille des macrolides (clarithromycine, érythromycine) sans avis médical — interaction grave. Ne pas arrêter brutalement le traitement. Surveillance FC et ECG régulière obligatoire. »</w:t>
      </w:r>
    </w:p>
    <w:p>
      <w:pPr>
        <w:pStyle w:val="ListBullet"/>
      </w:pPr>
      <w:r>
        <w:t xml:space="preserve">Mode d'utilisation pratique : (1) Comprimé pelliculé à avaler entier avec un verre d'eau, </w:t>
      </w:r>
      <w:r>
        <w:rPr>
          <w:b/>
        </w:rPr>
        <w:t>au cours des repas</w:t>
      </w:r>
      <w:r>
        <w:t xml:space="preserve"> (mieux absorbé). (2) Heure fixe : matin (8 h) et soir (20 h), à 12 h d'intervalle. (3) En cas d'oubli &lt; 6 h : prendre la dose oubliée ; au-delà de 6 h : sauter la prise et reprendre à l'horaire suivant — ne jamais doubler la dose. (4) </w:t>
      </w:r>
      <w:r>
        <w:rPr>
          <w:b/>
        </w:rPr>
        <w:t>Mesure de la FC</w:t>
      </w:r>
      <w:r>
        <w:t xml:space="preserve"> : autosurveillance par tensiomètre ou montre connectée au repos, idéalement le matin avant la prise. Noter dans un carnet. (5) </w:t>
      </w:r>
      <w:r>
        <w:rPr>
          <w:b/>
        </w:rPr>
        <w:t>Conduite automobile</w:t>
      </w:r>
      <w:r>
        <w:t xml:space="preserve"> : prudence en cas de phosphènes (perte de contrôle visuel transitoire à l'exposition brutale à la lumière — notamment nocturne). (6) Ne pas arrêter brutalement. (7) Conservation à température &lt; 25 °C, à l'abri de l'humidité.</w:t>
      </w:r>
    </w:p>
    <w:p>
      <w:r/>
      <w:r>
        <w:rPr>
          <w:b/>
        </w:rPr>
        <w:t>Notes, Règles d'Or &amp; Pièges au Comptoir :</w:t>
      </w:r>
      <w:r/>
    </w:p>
    <w:p>
      <w:pPr>
        <w:pStyle w:val="ListBullet"/>
      </w:pPr>
      <w:r/>
      <w:r>
        <w:rPr>
          <w:b/>
        </w:rPr>
        <w:t>Piège classique — FC &lt; 70 bpm à l'initiation</w:t>
      </w:r>
      <w:r>
        <w:t xml:space="preserve"> : l'ivabradine est </w:t>
      </w:r>
      <w:r>
        <w:rPr>
          <w:b/>
        </w:rPr>
        <w:t>CI si FC &lt; 70 bpm</w:t>
      </w:r>
      <w:r>
        <w:t xml:space="preserve"> à l'initiation — vérifier la FC de base (mesurée au repos, au calme, idéalement le matin avant la prise). Devant une prescription chez un patient déjà bradycarde (FC 50–70 bpm), contacter le cardiologue prescripteur pour vérification de l'indication.</w:t>
      </w:r>
    </w:p>
    <w:p>
      <w:pPr>
        <w:pStyle w:val="ListBullet"/>
      </w:pPr>
      <w:r/>
      <w:r>
        <w:rPr>
          <w:b/>
        </w:rPr>
        <w:t>Piège — FA méconnue sous ivabradine</w:t>
      </w:r>
      <w:r>
        <w:t xml:space="preserve"> : la molécule est </w:t>
      </w:r>
      <w:r>
        <w:rPr>
          <w:b/>
        </w:rPr>
        <w:t>inefficace en FA/flutter</w:t>
      </w:r>
      <w:r>
        <w:t xml:space="preserve"> (elle agit sur le nœud sinusal). Devant une prescription chez un patient en FA ou flutter atrial, contacter le cardiologue pour vérification du rythme. En cas de FA survenant sous ivabradine (palpitations rapides irrégulières), arrêt immédiat de l'ivabradine (inefficace + risque de ne pas contrôler la réponse ventriculaire) et consultation urgente.</w:t>
      </w:r>
    </w:p>
    <w:p>
      <w:pPr>
        <w:pStyle w:val="ListBullet"/>
      </w:pPr>
      <w:r/>
      <w:r>
        <w:rPr>
          <w:b/>
        </w:rPr>
        <w:t>Piège — Statut Non Renouvelable (5 mg) et Retiré (7,5 mg)</w:t>
      </w:r>
      <w:r>
        <w:t xml:space="preserve"> : la molécule est </w:t>
      </w:r>
      <w:r>
        <w:rPr>
          <w:b/>
        </w:rPr>
        <w:t>en voie de retrait du marché algérien</w:t>
      </w:r>
      <w:r>
        <w:t xml:space="preserve"> — à l'officine, anticiper la rupture de stock avec le patient et le médecin, et prévoir un switch thérapeutique vers une alternative (β-bloquant à dose optimale, digoxine, dapagliflozine/empagliflozine).</w:t>
      </w:r>
    </w:p>
    <w:p>
      <w:pPr>
        <w:pStyle w:val="ListBullet"/>
      </w:pPr>
      <w:r/>
      <w:r>
        <w:rPr>
          <w:b/>
        </w:rPr>
        <w:t>Piège — Pamplemousse</w:t>
      </w:r>
      <w:r>
        <w:t xml:space="preserve"> : interaction grave avec le jus de pamplemousse (inhibition du CYP3A4 intestinal) → augmentation majeure des concentrations d'ivabradine → bradycardie sévère, allongement QT, torsades. </w:t>
      </w:r>
      <w:r>
        <w:rPr>
          <w:b/>
        </w:rPr>
        <w:t>Éviction stricte du pamplemousse pendant le traitement</w:t>
      </w:r>
      <w:r>
        <w:t>.</w:t>
      </w:r>
    </w:p>
    <w:p>
      <w:pPr>
        <w:pStyle w:val="ListBullet"/>
      </w:pPr>
      <w:r/>
      <w:r>
        <w:rPr>
          <w:b/>
        </w:rPr>
        <w:t>Piège — Macrolides</w:t>
      </w:r>
      <w:r>
        <w:t xml:space="preserve"> : la </w:t>
      </w:r>
      <w:r>
        <w:rPr>
          <w:b/>
        </w:rPr>
        <w:t>clarithromycine</w:t>
      </w:r>
      <w:r>
        <w:t xml:space="preserve"> et l'</w:t>
      </w:r>
      <w:r>
        <w:rPr>
          <w:b/>
        </w:rPr>
        <w:t>érythromycine</w:t>
      </w:r>
      <w:r>
        <w:t xml:space="preserve"> sont </w:t>
      </w:r>
      <w:r>
        <w:rPr>
          <w:b/>
        </w:rPr>
        <w:t>CI absolues</w:t>
      </w:r>
      <w:r>
        <w:t xml:space="preserve"> (inhibition CYP3A4) — préférer </w:t>
      </w:r>
      <w:r>
        <w:rPr>
          <w:b/>
        </w:rPr>
        <w:t>azithromycine</w:t>
      </w:r>
      <w:r>
        <w:t xml:space="preserve"> (peu inhibitrice) ou </w:t>
      </w:r>
      <w:r>
        <w:rPr>
          <w:b/>
        </w:rPr>
        <w:t>pristinamycine</w:t>
      </w:r>
      <w:r>
        <w:t xml:space="preserve"> en cas d'infection respiratoire chez un patient sous ivabradine.</w:t>
      </w:r>
    </w:p>
    <w:p>
      <w:pPr>
        <w:pStyle w:val="ListBullet"/>
      </w:pPr>
      <w:r/>
      <w:r>
        <w:rPr>
          <w:b/>
        </w:rPr>
        <w:t>Piège — Phosphènes</w:t>
      </w:r>
      <w:r>
        <w:t xml:space="preserve"> : information systématique du patient sur ce phénomène bénin et transitoire (5–15 %) — éviter l'arrêt intempestif du traitement. Si gênant pour la conduite, réduire la dose.</w:t>
      </w:r>
    </w:p>
    <w:p>
      <w:pPr>
        <w:pStyle w:val="ListBullet"/>
      </w:pPr>
      <w:r/>
      <w:r>
        <w:rPr>
          <w:b/>
        </w:rPr>
        <w:t>Piège — Allongement QT</w:t>
      </w:r>
      <w:r>
        <w:t xml:space="preserve"> : surveillance ECG en association à torsadogène.</w:t>
      </w:r>
    </w:p>
    <w:p>
      <w:pPr>
        <w:pStyle w:val="ListBullet"/>
      </w:pPr>
      <w:r/>
      <w:r>
        <w:rPr>
          <w:b/>
        </w:rPr>
        <w:t>Piège — Grossesse</w:t>
      </w:r>
      <w:r>
        <w:t xml:space="preserve"> : contraception efficace obligatoire chez la femme en âge de procréer (embryotoxicité animale).</w:t>
      </w:r>
    </w:p>
    <w:p>
      <w:pPr>
        <w:pStyle w:val="ListBullet"/>
      </w:pPr>
      <w:r/>
      <w:r>
        <w:rPr>
          <w:b/>
        </w:rPr>
        <w:t>Règle de prise</w:t>
      </w:r>
      <w:r>
        <w:t xml:space="preserve"> : 5 mg x 2/jour en initiation (paliers à 2,5 mg x 2/jour et 7,5 mg x 2/jour selon FC), à heures fixes, pendant les repas.</w:t>
      </w:r>
    </w:p>
    <w:p>
      <w:pPr>
        <w:pStyle w:val="ListBullet"/>
      </w:pPr>
      <w:r/>
      <w:r>
        <w:rPr>
          <w:b/>
        </w:rPr>
        <w:t>Préparation et Conservation</w:t>
      </w:r>
      <w:r>
        <w:t xml:space="preserve"> : comprimés pelliculés à température &lt; 25 °C, à l'abri de l'humidité. Conservation 3 ans.</w:t>
      </w:r>
    </w:p>
    <w:p>
      <w:pPr>
        <w:pStyle w:val="ListBullet"/>
      </w:pPr>
      <w:r/>
      <w:r>
        <w:rPr>
          <w:b/>
        </w:rPr>
        <w:t>Piège du surdosage / Substitution</w:t>
      </w:r>
      <w:r>
        <w:t xml:space="preserve"> : surdosage — bradycardie sévère symptomatique, pauses sinusales, BAV — prise en charge USI : arrêt, atropine 0,5–1 mg IV, isoprénaline IV 1–5 µg/min si résistance à l'atropine, pacing temporaire si nécessaire. Substitution interdite (médicament à prescription initiale hospitalo-universitaire, sans générique disponible en Algérie).</w:t>
      </w:r>
    </w:p>
    <w:p>
      <w:pPr>
        <w:pStyle w:val="Heading2"/>
      </w:pPr>
      <w:r>
        <w:t>Sous-classe : Antiarythmiques — Purines (Adénosine)</w:t>
      </w:r>
    </w:p>
    <w:p>
      <w:r>
        <w:t xml:space="preserve">Les </w:t>
      </w:r>
      <w:r>
        <w:rPr>
          <w:b/>
        </w:rPr>
        <w:t>purines antiarythmiques</w:t>
      </w:r>
      <w:r>
        <w:t xml:space="preserve"> constituent une classe à part, distincte de la classification de Vaughan-Williams. L'</w:t>
      </w:r>
      <w:r>
        <w:rPr>
          <w:b/>
        </w:rPr>
        <w:t>adénosine</w:t>
      </w:r>
      <w:r>
        <w:t xml:space="preserve"> (et son métabolite actif, l'ATP — adénosine triphosphate) est une </w:t>
      </w:r>
      <w:r>
        <w:rPr>
          <w:b/>
        </w:rPr>
        <w:t>nucléotide endogène</w:t>
      </w:r>
      <w:r>
        <w:t xml:space="preserve"> purinergique qui active les </w:t>
      </w:r>
      <w:r>
        <w:rPr>
          <w:b/>
        </w:rPr>
        <w:t>récepteurs A1</w:t>
      </w:r>
      <w:r>
        <w:t xml:space="preserve"> au niveau des cellules du nœud sinusal et du nœud atrio-ventriculaire (AV). Cette activation provoque une </w:t>
      </w:r>
      <w:r>
        <w:rPr>
          <w:b/>
        </w:rPr>
        <w:t>ouverture des canaux potassiques entrants GIRK (Kir3.1/3.4 — couplés à la protéine Gi/Go)</w:t>
      </w:r>
      <w:r>
        <w:t xml:space="preserve">, à l'origine d'une </w:t>
      </w:r>
      <w:r>
        <w:rPr>
          <w:b/>
        </w:rPr>
        <w:t>hyperpolarisation</w:t>
      </w:r>
      <w:r>
        <w:t xml:space="preserve"> des cellules nodales → ralentissement marqué de la conduction AV (effet dromotrope négatif) → </w:t>
      </w:r>
      <w:r>
        <w:rPr>
          <w:b/>
        </w:rPr>
        <w:t>blocage AV transitoire</w:t>
      </w:r>
      <w:r>
        <w:t xml:space="preserve"> (parfois complet quelques secondes). Cette action brève (10–20 secondes — liée à la </w:t>
      </w:r>
      <w:r>
        <w:rPr>
          <w:b/>
        </w:rPr>
        <w:t>demi-vie plasmatique extrêmement courte</w:t>
      </w:r>
      <w:r>
        <w:t xml:space="preserve"> de l'adénosine, 8–10 s, en raison d'une </w:t>
      </w:r>
      <w:r>
        <w:rPr>
          <w:b/>
        </w:rPr>
        <w:t>dégradation quasi-immédiate par l'adénosine désaminase</w:t>
      </w:r>
      <w:r>
        <w:t xml:space="preserve"> en inosine puis hypoxanthine) en fait le traitement de référence de la </w:t>
      </w:r>
      <w:r>
        <w:rPr>
          <w:b/>
        </w:rPr>
        <w:t>termination des tachycardies jonctionnelles réentrantes (TJR)</w:t>
      </w:r>
      <w:r>
        <w:t xml:space="preserve"> et des </w:t>
      </w:r>
      <w:r>
        <w:rPr>
          <w:b/>
        </w:rPr>
        <w:t>tachycardies atriales focales</w:t>
      </w:r>
      <w:r>
        <w:t xml:space="preserve"> — par blocage de la conduction dans la boucle de réentrée au niveau du nœud AV.</w:t>
      </w:r>
    </w:p>
    <w:p>
      <w:r>
        <w:t xml:space="preserve">L'adénosine est utilisée exclusivement par </w:t>
      </w:r>
      <w:r>
        <w:rPr>
          <w:b/>
        </w:rPr>
        <w:t>voie IV stricte en bolus rapide</w:t>
      </w:r>
      <w:r>
        <w:t xml:space="preserve"> (3–6–9–12 mg en protocole progressif), en milieu </w:t>
      </w:r>
      <w:r>
        <w:rPr>
          <w:b/>
        </w:rPr>
        <w:t>hospitalier cardiologique</w:t>
      </w:r>
      <w:r>
        <w:t xml:space="preserve"> avec </w:t>
      </w:r>
      <w:r>
        <w:rPr>
          <w:b/>
        </w:rPr>
        <w:t>surveillance ECG continue</w:t>
      </w:r>
      <w:r>
        <w:t xml:space="preserve"> (scope, défibrillateur prêt à l'emploi). Son effet est quasi-immédiat (10–20 s après le bolus), avec une sensation très désagréable pour le patient (flush, dyspnée transitoire, oppression thoracique — liés à l'activation des récepteurs A2 vasculaires → vasodilatation, et A3 mastocytaires → dégranulation histaminique). L'</w:t>
      </w:r>
      <w:r>
        <w:rPr>
          <w:b/>
        </w:rPr>
        <w:t>efficacité</w:t>
      </w:r>
      <w:r>
        <w:t xml:space="preserve"> dans la termination des TJR est supérieure à 90 % (gold standard thérapeutique). En cas d'échec, relais par </w:t>
      </w:r>
      <w:r>
        <w:rPr>
          <w:b/>
        </w:rPr>
        <w:t>vérapamil IV</w:t>
      </w:r>
      <w:r>
        <w:t xml:space="preserve"> ou </w:t>
      </w:r>
      <w:r>
        <w:rPr>
          <w:b/>
        </w:rPr>
        <w:t>cardioversion électrique</w:t>
      </w:r>
      <w:r>
        <w:t>.</w:t>
      </w:r>
    </w:p>
    <w:p>
      <w:r/>
      <w:r>
        <w:rPr>
          <w:b/>
        </w:rPr>
        <w:t>Particularité algérienne</w:t>
      </w:r>
      <w:r>
        <w:t xml:space="preserve"> : l'</w:t>
      </w:r>
      <w:r>
        <w:rPr>
          <w:b/>
        </w:rPr>
        <w:t>adénosine IV n'est PAS commercialisée</w:t>
      </w:r>
      <w:r>
        <w:t xml:space="preserve"> en Algérie — la seule spécialité disponible est l'</w:t>
      </w:r>
      <w:r>
        <w:rPr>
          <w:b/>
        </w:rPr>
        <w:t>ATP sous forme orale</w:t>
      </w:r>
      <w:r>
        <w:t xml:space="preserve"> (ATPADENE 30 mg gélules — ProPharmal ; ATP NOVAGENERICS 30 mg gélules — Novapharm Trading), indiquée comme « complément de l'insuffisance cardiaque » et « traitement d'appoint des arythmies » — sans AMM stricte pour la termination des TJR, et sans efficacité démontrée (la biodisponibilité orale de l'ATP est quasi nulle en raison d'une dégradation complète par les phosphatases intestinales et hépatiques). Cette </w:t>
      </w:r>
      <w:r>
        <w:rPr>
          <w:b/>
        </w:rPr>
        <w:t>disparité entre la disponibilité algérienne (orale, sans effet antiarythmique clinique) et la référence internationale (IV, gold standard des TJR)</w:t>
      </w:r>
      <w:r>
        <w:t xml:space="preserve"> est un point pédagogique essentiel pour le pharmacien d'officine — qui doit informer le patient et le médecin de cette particularité et orienter vers les alternatives disponibles (vérapamil IV en milieu cardiologique, manœuvres vagales en première intention, cardioversion électrique en urgence). L'adénosine IV reste accessible </w:t>
      </w:r>
      <w:r>
        <w:rPr>
          <w:b/>
        </w:rPr>
        <w:t>par importation exceptionnelle</w:t>
      </w:r>
      <w:r>
        <w:t xml:space="preserve"> en cas d'indication impérieuse (TJR réfractaire au vérapamil IV) — à valider avec le centre de pharmacovigilance et le ministère de la Santé.</w:t>
      </w:r>
    </w:p>
    <w:p>
      <w:pPr>
        <w:pStyle w:val="Heading3"/>
      </w:pPr>
      <w:r>
        <w:t>7. DCI : Adénosine (Triphosphate — ATP) (Seule)</w:t>
      </w:r>
    </w:p>
    <w:p>
      <w:r/>
      <w:r>
        <w:rPr>
          <w:b/>
        </w:rPr>
        <w:t>Liste des Catégories :</w:t>
      </w:r>
      <w:r>
        <w:t xml:space="preserve"> Antiarythmiques — Purines (purinergiques) ; Nucléotide endogène (métabolite énergétique cellulaire) ; Forme orale disponible en Algérie (sans effet antiarythmique clinique — la forme IV, gold standard des TJR, n'est pas commercialisée en Algérie).</w:t>
      </w:r>
    </w:p>
    <w:p>
      <w:r>
        <w:t xml:space="preserve">L'adénosine (9-β-D-ribofuranosyl-adénine) est un </w:t>
      </w:r>
      <w:r>
        <w:rPr>
          <w:b/>
        </w:rPr>
        <w:t>nucléotide purinique endogène</w:t>
      </w:r>
      <w:r>
        <w:t xml:space="preserve"> composé d'une base purique (adénine) liée à un ribose. C'est un métabolite cellulaire ubiquitaire, impliqué dans le métabolisme énergétique (ATP — adénosine triphosphate, ADP, AMP), dans la neurotransmission (récepteurs purinergiques A1, A2A, A2B, A3) et dans la régulation du tonus vasculaire. Son utilisation thérapeutique comme antiarythmique repose sur son </w:t>
      </w:r>
      <w:r>
        <w:rPr>
          <w:b/>
        </w:rPr>
        <w:t>action agoniste A1</w:t>
      </w:r>
      <w:r>
        <w:t xml:space="preserve"> au niveau du nœud sinusal et du nœud AV — qui provoque un </w:t>
      </w:r>
      <w:r>
        <w:rPr>
          <w:b/>
        </w:rPr>
        <w:t>blocage AV transitoire</w:t>
      </w:r>
      <w:r>
        <w:t xml:space="preserve"> par ouverture des canaux K+ GIRK (Kir3.1/3.4 couplés Gi/Go). La </w:t>
      </w:r>
      <w:r>
        <w:rPr>
          <w:b/>
        </w:rPr>
        <w:t>demi-vie plasmatique</w:t>
      </w:r>
      <w:r>
        <w:t xml:space="preserve"> de l'adénosine est </w:t>
      </w:r>
      <w:r>
        <w:rPr>
          <w:b/>
        </w:rPr>
        <w:t>extrêmement courte</w:t>
      </w:r>
      <w:r>
        <w:t xml:space="preserve"> (8–10 s) en raison d'une </w:t>
      </w:r>
      <w:r>
        <w:rPr>
          <w:b/>
        </w:rPr>
        <w:t>dégradation quasi-immédiate par l'adénosine désaminase</w:t>
      </w:r>
      <w:r>
        <w:t xml:space="preserve"> (enzyme ubiquitaire intracellulaire et endothéliale) en inosine puis hypoxanthine → xanthine → acide urique — d'où la nécessité d'une </w:t>
      </w:r>
      <w:r>
        <w:rPr>
          <w:b/>
        </w:rPr>
        <w:t>administration IV stricte en bolus rapide</w:t>
      </w:r>
      <w:r>
        <w:t xml:space="preserve"> (la perfusion lente est inefficace — l'adénosine est dégradée avant d'atteindre le cœur). L'</w:t>
      </w:r>
      <w:r>
        <w:rPr>
          <w:b/>
        </w:rPr>
        <w:t>ATP (adénosine triphosphate)</w:t>
      </w:r>
      <w:r>
        <w:t xml:space="preserve"> est le métabolite précurseur qui est </w:t>
      </w:r>
      <w:r>
        <w:rPr>
          <w:b/>
        </w:rPr>
        <w:t>rapidement dégradé en adénosine</w:t>
      </w:r>
      <w:r>
        <w:t xml:space="preserve"> par les ecto-nucléotidases à la surface des cellules endothéliales — l'administration d'ATP IV équivaut donc à une administration d'adénosine. En Algérie, seule la forme </w:t>
      </w:r>
      <w:r>
        <w:rPr>
          <w:b/>
        </w:rPr>
        <w:t>orale d'ATP (gélules 30 mg)</w:t>
      </w:r>
      <w:r>
        <w:t xml:space="preserve"> est disponible — sous les marques ATPADENE et ATP NOVAGENERICS, indiquées comme « traitement d'appoint de l'insuffisance cardiaque et de certaines arythmies » — sans AMM stricte ni efficacité clinique démontrée (la biodisponibilité orale de l'ATP/adénosine est </w:t>
      </w:r>
      <w:r>
        <w:rPr>
          <w:b/>
        </w:rPr>
        <w:t>quasi nulle</w:t>
      </w:r>
      <w:r>
        <w:t xml:space="preserve"> en raison d'une </w:t>
      </w:r>
      <w:r>
        <w:rPr>
          <w:b/>
        </w:rPr>
        <w:t>dégradation complète par les phosphatases intestinales et hépatiques</w:t>
      </w:r>
      <w:r>
        <w:t xml:space="preserve">). Cette particularité fait de l'adénosine IV un </w:t>
      </w:r>
      <w:r>
        <w:rPr>
          <w:b/>
        </w:rPr>
        <w:t>médicament non disponible en routine en Algérie</w:t>
      </w:r>
      <w:r>
        <w:t xml:space="preserve"> — la termination des TJR en urgence repose sur les </w:t>
      </w:r>
      <w:r>
        <w:rPr>
          <w:b/>
        </w:rPr>
        <w:t>manœuvres vagales</w:t>
      </w:r>
      <w:r>
        <w:t xml:space="preserve"> (massage sinocarotidien, Valsalva), le </w:t>
      </w:r>
      <w:r>
        <w:rPr>
          <w:b/>
        </w:rPr>
        <w:t>vérapamil IV</w:t>
      </w:r>
      <w:r>
        <w:t xml:space="preserve"> (inhibiteur calcique non DHP), et en cas d'échec ou d'instabilité hémodynamique, la </w:t>
      </w:r>
      <w:r>
        <w:rPr>
          <w:b/>
        </w:rPr>
        <w:t>cardioversion électrique</w:t>
      </w:r>
      <w:r>
        <w:t>. L'importation exceptionnelle de l'adénosine IV (Adenocor, Sanofi — non commercialisée en Algérie) est possible en cas d'indication impérieuse, sur autorisation du ministère de la Santé.</w:t>
      </w:r>
    </w:p>
    <w:p>
      <w:r/>
      <w:r>
        <w:rPr>
          <w:b/>
        </w:rPr>
        <w:t>Médicaments disponibles en Algérie (Marques, Laboratoires, Formes et Dosages) :</w:t>
      </w:r>
      <w:r/>
    </w:p>
    <w:p>
      <w:pPr>
        <w:pStyle w:val="ListBullet"/>
      </w:pPr>
      <w:r/>
      <w:r>
        <w:rPr>
          <w:b/>
        </w:rPr>
        <w:t>ATEPADENE</w:t>
      </w:r>
      <w:r>
        <w:t xml:space="preserve"> (PROPHARMAL)</w:t>
      </w:r>
    </w:p>
    <w:p>
      <w:pPr>
        <w:pStyle w:val="ListBullet"/>
      </w:pPr>
      <w:r>
        <w:t>Formes et Dosages : Gélule 30 mg ; boîte de 30</w:t>
      </w:r>
    </w:p>
    <w:p>
      <w:pPr>
        <w:pStyle w:val="ListBullet"/>
      </w:pPr>
      <w:r>
        <w:t>Statut : Actif (liste non précisée — classement apparenté Liste II)</w:t>
      </w:r>
    </w:p>
    <w:p>
      <w:pPr>
        <w:pStyle w:val="ListBullet"/>
      </w:pPr>
      <w:r/>
      <w:r>
        <w:rPr>
          <w:b/>
        </w:rPr>
        <w:t>ATP NOVAGENERICS</w:t>
      </w:r>
      <w:r>
        <w:t xml:space="preserve"> (NOVAPHARM TRADING)</w:t>
      </w:r>
    </w:p>
    <w:p>
      <w:pPr>
        <w:pStyle w:val="ListBullet"/>
      </w:pPr>
      <w:r>
        <w:t>Formes et Dosages : Gélule 30 mg ; boîte de 30</w:t>
      </w:r>
    </w:p>
    <w:p>
      <w:pPr>
        <w:pStyle w:val="ListBullet"/>
      </w:pPr>
      <w:r>
        <w:t>Statut : Actif (liste non précisée — classement apparenté Liste II)</w:t>
      </w:r>
    </w:p>
    <w:p>
      <w:r/>
      <w:r>
        <w:rPr>
          <w:i/>
        </w:rPr>
        <w:t>Forme IV (Adénosine IV — Adenocor, Sanofi — gold standard international des TJR) : non commercialisée en Algérie — accessible par importation exceptionnelle.</w:t>
      </w:r>
      <w:r/>
    </w:p>
    <w:p>
      <w:r/>
      <w:r>
        <w:rPr>
          <w:b/>
        </w:rPr>
        <w:t>Sous-classe et Mécanisme d'action :</w:t>
      </w:r>
      <w:r/>
    </w:p>
    <w:p>
      <w:pPr>
        <w:pStyle w:val="ListBullet"/>
      </w:pPr>
      <w:r>
        <w:t>Sous-classe : Antiarythmique purinergique (agoniste A1) — classe à part dans la classification antiarythmique, distincte de Vaughan-Williams. ATP = précurseur métabolique de l'adénosine (dégradé en adénosine par les ecto-nucléotidases endothéliales).</w:t>
      </w:r>
    </w:p>
    <w:p>
      <w:pPr>
        <w:pStyle w:val="ListBullet"/>
      </w:pPr>
      <w:r>
        <w:t xml:space="preserve">Mécanisme d'action : L'adénosine est un </w:t>
      </w:r>
      <w:r>
        <w:rPr>
          <w:b/>
        </w:rPr>
        <w:t>agoniste endogène des récepteurs purinergiques P1</w:t>
      </w:r>
      <w:r>
        <w:t xml:space="preserve">, divisés en 4 sous-types (A1, A2A, A2B, A3), tous couplés à la protéine Gi/Go. Au niveau cardiaque, l'action thérapeutique repose sur l'activation du </w:t>
      </w:r>
      <w:r>
        <w:rPr>
          <w:b/>
        </w:rPr>
        <w:t>récepteur A1</w:t>
      </w:r>
      <w:r>
        <w:t xml:space="preserve"> des cellules du </w:t>
      </w:r>
      <w:r>
        <w:rPr>
          <w:b/>
        </w:rPr>
        <w:t>nœud sinusal</w:t>
      </w:r>
      <w:r>
        <w:t xml:space="preserve"> et du </w:t>
      </w:r>
      <w:r>
        <w:rPr>
          <w:b/>
        </w:rPr>
        <w:t>nœud atrio-ventriculaire (AV)</w:t>
      </w:r>
      <w:r>
        <w:t xml:space="preserve"> — couplé à la protéine Gi/Go, qui déclenche : (1) </w:t>
      </w:r>
      <w:r>
        <w:rPr>
          <w:b/>
        </w:rPr>
        <w:t>inhibition de l'adénylate cyclase</w:t>
      </w:r>
      <w:r>
        <w:t xml:space="preserve"> → baisse de l'AMPc intracellulaire ; (2) </w:t>
      </w:r>
      <w:r>
        <w:rPr>
          <w:b/>
        </w:rPr>
        <w:t>ouverture des canaux potassiques GIRK (Kir3.1/3.4 couplés Gi/Go)</w:t>
      </w:r>
      <w:r>
        <w:t xml:space="preserve"> → sortie de K+ → </w:t>
      </w:r>
      <w:r>
        <w:rPr>
          <w:b/>
        </w:rPr>
        <w:t>hyperpolarisation</w:t>
      </w:r>
      <w:r>
        <w:t xml:space="preserve"> de la membrane cellulaire → ralentissement de la dépolarisation spontanée (phase 4) du nœud sinusal → </w:t>
      </w:r>
      <w:r>
        <w:rPr>
          <w:b/>
        </w:rPr>
        <w:t>bradycardie sinusale</w:t>
      </w:r>
      <w:r>
        <w:t xml:space="preserve"> ; (3) </w:t>
      </w:r>
      <w:r>
        <w:rPr>
          <w:b/>
        </w:rPr>
        <w:t>ralentissement marqué de la conduction AV</w:t>
      </w:r>
      <w:r>
        <w:t xml:space="preserve"> (effet dromotrope négatif sur le nœud AV — d'où allongement du PR, BAV transitoire parfois complet pendant quelques secondes) ; (4) </w:t>
      </w:r>
      <w:r>
        <w:rPr>
          <w:b/>
        </w:rPr>
        <w:t>diminution de la contractilité atriale</w:t>
      </w:r>
      <w:r>
        <w:t xml:space="preserve"> (effet inotrope négatif atrial). Au niveau vasculaire, l'adénosine active les récepteurs </w:t>
      </w:r>
      <w:r>
        <w:rPr>
          <w:b/>
        </w:rPr>
        <w:t>A2A</w:t>
      </w:r>
      <w:r>
        <w:t xml:space="preserve"> endothéliaux et vasculaires → activation de l'adénylate cyclase → augmentation de l'AMPc → </w:t>
      </w:r>
      <w:r>
        <w:rPr>
          <w:b/>
        </w:rPr>
        <w:t>vasodilatation artérielle coronaire et systémique</w:t>
      </w:r>
      <w:r>
        <w:t xml:space="preserve"> (d'où l'effet pharmacologique exploité dans les tests pharmacologiques d'ischémie myocardique — scintigraphie myocardique de perfusion). Au niveau pulmonaire, activation des récepteurs </w:t>
      </w:r>
      <w:r>
        <w:rPr>
          <w:b/>
        </w:rPr>
        <w:t>A2B</w:t>
      </w:r>
      <w:r>
        <w:t xml:space="preserve"> bronchiques → bronchoconstriction (d'où la CI chez l'asthmatique). Au niveau mastocytaire, activation des récepteurs </w:t>
      </w:r>
      <w:r>
        <w:rPr>
          <w:b/>
        </w:rPr>
        <w:t>A3</w:t>
      </w:r>
      <w:r>
        <w:t xml:space="preserve"> → dégranulation histaminique → flush, urticaire, bronchospasme (effet indésirable fréquent mais transitoire). L'</w:t>
      </w:r>
      <w:r>
        <w:rPr>
          <w:b/>
        </w:rPr>
        <w:t>effet antiarythmique</w:t>
      </w:r>
      <w:r>
        <w:t xml:space="preserve"> repose sur le </w:t>
      </w:r>
      <w:r>
        <w:rPr>
          <w:b/>
        </w:rPr>
        <w:t>blocage AV transitoire</w:t>
      </w:r>
      <w:r>
        <w:t xml:space="preserve"> qui </w:t>
      </w:r>
      <w:r>
        <w:rPr>
          <w:b/>
        </w:rPr>
        <w:t>interrompt la boucle de réentrée</w:t>
      </w:r>
      <w:r>
        <w:t xml:space="preserve"> dans les </w:t>
      </w:r>
      <w:r>
        <w:rPr>
          <w:b/>
        </w:rPr>
        <w:t>TJR (tachycardies jonctionnelles réentrantes)</w:t>
      </w:r>
      <w:r>
        <w:t xml:space="preserve"> et les </w:t>
      </w:r>
      <w:r>
        <w:rPr>
          <w:b/>
        </w:rPr>
        <w:t>TJR avec faisceau accessoire</w:t>
      </w:r>
      <w:r>
        <w:t xml:space="preserve"> (Wolf-Parkinson-White). La durée d'action est </w:t>
      </w:r>
      <w:r>
        <w:rPr>
          <w:b/>
        </w:rPr>
        <w:t>brève</w:t>
      </w:r>
      <w:r>
        <w:t xml:space="preserve"> (10–20 s) en raison de la </w:t>
      </w:r>
      <w:r>
        <w:rPr>
          <w:b/>
        </w:rPr>
        <w:t>demi-vie plasmatique extrêmement courte</w:t>
      </w:r>
      <w:r>
        <w:t xml:space="preserve"> (8–10 s — dégradation quasi-immédiate par l'adénosine désaminase en inosine, hypoxanthine, xanthine, acide urique). Cette brièveté impose une </w:t>
      </w:r>
      <w:r>
        <w:rPr>
          <w:b/>
        </w:rPr>
        <w:t>administration IV stricte en bolus rapide</w:t>
      </w:r>
      <w:r>
        <w:t xml:space="preserve"> (3–6–9–12 mg en protocole progressif, suivie d'un flush immédiat de NaCl 0,9 % 20 mL) — la perfusion lente est inefficace (l'adénosine est dégradée avant d'atteindre le cœur). L'</w:t>
      </w:r>
      <w:r>
        <w:rPr>
          <w:b/>
        </w:rPr>
        <w:t>ATP (adénosine triphosphate)</w:t>
      </w:r>
      <w:r>
        <w:t xml:space="preserve"> est un </w:t>
      </w:r>
      <w:r>
        <w:rPr>
          <w:b/>
        </w:rPr>
        <w:t>précurseur métabolique</w:t>
      </w:r>
      <w:r>
        <w:t xml:space="preserve"> qui est rapidement dégradé en ADP → AMP → adénosine par les ecto-nucléotidases à la surface des cellules endothéliales — l'administration d'ATP IV équivaut donc à une administration d'adénosine (efficacité équivalente, profil d'effets indésirables identique). En revanche, l'</w:t>
      </w:r>
      <w:r>
        <w:rPr>
          <w:b/>
        </w:rPr>
        <w:t>ATP oral</w:t>
      </w:r>
      <w:r>
        <w:t xml:space="preserve"> (forme disponible en Algérie — ATPADENE, ATP NOVAGENERICS) est </w:t>
      </w:r>
      <w:r>
        <w:rPr>
          <w:b/>
        </w:rPr>
        <w:t>dégradé complètement par les phosphatases intestinales et hépatiques</w:t>
      </w:r>
      <w:r>
        <w:t xml:space="preserve"> → biodisponibilité orale </w:t>
      </w:r>
      <w:r>
        <w:rPr>
          <w:b/>
        </w:rPr>
        <w:t>quasi nulle</w:t>
      </w:r>
      <w:r>
        <w:t xml:space="preserve"> → aucun effet antiarythmique clinique. Son utilisation orale repose sur une indication historique de « traitement d'appoint de l'insuffisance cardiaque » et de « certaines arythmies » — sans AMM stricte et sans preuve clinique d'efficacité (essais cliniques négatifs ou non concluants). À signaler l'utilisation de l'</w:t>
      </w:r>
      <w:r>
        <w:rPr>
          <w:b/>
        </w:rPr>
        <w:t>adénosine IV</w:t>
      </w:r>
      <w:r>
        <w:t xml:space="preserve"> (forme internationale, non disponible en Algérie) dans les tests pharmacologiques d'ischémie myocardique (scintigraphie de perfusion, IRM myocardique de stress — alternative à l'épreuve d'effort chez le patient incapable d'effort).</w:t>
      </w:r>
    </w:p>
    <w:p>
      <w:r/>
      <w:r>
        <w:rPr>
          <w:b/>
        </w:rPr>
        <w:t>Profil Pharmacologique :</w:t>
      </w:r>
      <w:r/>
    </w:p>
    <w:p>
      <w:pPr>
        <w:pStyle w:val="ListBullet"/>
      </w:pPr>
      <w:r>
        <w:t xml:space="preserve">Indications : (1) </w:t>
      </w:r>
      <w:r>
        <w:rPr>
          <w:b/>
        </w:rPr>
        <w:t>Termination des tachycardies jonctionnelles réentrantes (TJR)</w:t>
      </w:r>
      <w:r>
        <w:t xml:space="preserve"> — gold standard thérapeutique (efficacité &gt; 90 %) — par bolus IV stricte en protocole progressif (3–6–9–12 mg) avec surveillance ECG continue et défibrillateur prêt. Forme IV non disponible en Algérie — utiliser alternative (manœuvres vagales en première intention, </w:t>
      </w:r>
      <w:r>
        <w:rPr>
          <w:b/>
        </w:rPr>
        <w:t>vérapamil IV 5–10 mg</w:t>
      </w:r>
      <w:r>
        <w:t xml:space="preserve"> en seconde intention, cardioversion électrique si instabilité hémodynamique) ; (2) </w:t>
      </w:r>
      <w:r>
        <w:rPr>
          <w:b/>
        </w:rPr>
        <w:t>Termination des tachycardies atriales focales</w:t>
      </w:r>
      <w:r>
        <w:t xml:space="preserve"> (avec bloc AV induit par l'adénosine — utilisation diagnostique et thérapeutique) ; (3) </w:t>
      </w:r>
      <w:r>
        <w:rPr>
          <w:b/>
        </w:rPr>
        <w:t>Diagnostic différentiel des tachycardies à QRS larges</w:t>
      </w:r>
      <w:r>
        <w:t xml:space="preserve"> (l'adénosine peut ralentir le rythme sinusal et clarifier l'origine atriale vs ventriculaire — mais avec risque d'instabilité si tachycardie ventriculaire — à réserver au milieu hospitalier spécialisé) ; (4) </w:t>
      </w:r>
      <w:r>
        <w:rPr>
          <w:b/>
        </w:rPr>
        <w:t>Diagnostic différentiel des tachycardies à QRS fins</w:t>
      </w:r>
      <w:r>
        <w:t xml:space="preserve"> (peut révéler les ondes P rétrogrades ou les ondes P flutter en cas de flutter atrial masqué par la conduction 2:1) ; (5) </w:t>
      </w:r>
      <w:r>
        <w:rPr>
          <w:b/>
        </w:rPr>
        <w:t>Tests pharmacologiques d'ischémie myocardique</w:t>
      </w:r>
      <w:r>
        <w:t xml:space="preserve"> — scintigraphie myocardique de perfusion ou IRM myocardique de stress (alternative à l'épreuve d'effort chez les patients incapables d'effort physique). Posologie IV : 3 mg IV bolus rapide sur 2 s dans une grosse veine périphérique (cubital), suivi d'un flush immédiat de NaCl 0,9 % 20 mL ; si échec à 3 mg, </w:t>
      </w:r>
      <w:r>
        <w:rPr>
          <w:b/>
        </w:rPr>
        <w:t>6 mg IV bolus rapide</w:t>
      </w:r>
      <w:r>
        <w:t xml:space="preserve"> à 1–2 min d'intervalle ; si échec à 6 mg, </w:t>
      </w:r>
      <w:r>
        <w:rPr>
          <w:b/>
        </w:rPr>
        <w:t>12 mg IV bolus rapide</w:t>
      </w:r>
      <w:r>
        <w:t xml:space="preserve"> à 1–2 min d'intervalle ; si échec à 12 mg, diagnostic à reconsidérer (probable tachycardie atriale ou ventriculaire — pas une TJR), relais par vérapamil IV ou cardioversion électrique. Posologie </w:t>
      </w:r>
      <w:r>
        <w:rPr>
          <w:b/>
        </w:rPr>
        <w:t>orale</w:t>
      </w:r>
      <w:r>
        <w:t xml:space="preserve"> (ATPADENE, ATP NOVAGENERICS 30 mg) : 1 à 3 gélules/jour en 1 à 3 prises — sans efficacité antiarythmique clinique démontrée.</w:t>
      </w:r>
    </w:p>
    <w:p>
      <w:pPr>
        <w:pStyle w:val="ListBullet"/>
      </w:pPr>
      <w:r>
        <w:t xml:space="preserve">Contre-indications (forme IV — à connaître pour la culture pharmacologique) : (1) </w:t>
      </w:r>
      <w:r>
        <w:rPr>
          <w:b/>
        </w:rPr>
        <w:t>Asthme</w:t>
      </w:r>
      <w:r>
        <w:t xml:space="preserve"> non contrôlé (effet bronchoconstricteur via A2B — risque de bronchospasme sévère) ; (2) </w:t>
      </w:r>
      <w:r>
        <w:rPr>
          <w:b/>
        </w:rPr>
        <w:t>BAV de haut degré</w:t>
      </w:r>
      <w:r>
        <w:t xml:space="preserve"> non appareillé (risque d'asystolie prolongée) ; (3) </w:t>
      </w:r>
      <w:r>
        <w:rPr>
          <w:b/>
        </w:rPr>
        <w:t>Bradycardie sinusale</w:t>
      </w:r>
      <w:r>
        <w:t xml:space="preserve"> &lt; 50 bpm non appareillée ; (4) </w:t>
      </w:r>
      <w:r>
        <w:rPr>
          <w:b/>
        </w:rPr>
        <w:t>Syndrome du nœud sinusal</w:t>
      </w:r>
      <w:r>
        <w:t xml:space="preserve"> malade (maladie de l'oreillette) non appareillé ; (5) </w:t>
      </w:r>
      <w:r>
        <w:rPr>
          <w:b/>
        </w:rPr>
        <w:t>Hypersensibilité</w:t>
      </w:r>
      <w:r>
        <w:t xml:space="preserve"> à l'adénosine ; (6) </w:t>
      </w:r>
      <w:r>
        <w:rPr>
          <w:b/>
        </w:rPr>
        <w:t>Prise récente de dipyridamole</w:t>
      </w:r>
      <w:r>
        <w:t xml:space="preserve"> (inhibiteur de l'adénosine désaminase → augmentation majeure et prolongée des concentrations d'adénosine → bradycardie sévère, hypotension, bronchospasme — respecter 24 h de délai) ; (7) </w:t>
      </w:r>
      <w:r>
        <w:rPr>
          <w:b/>
        </w:rPr>
        <w:t>Prise de carbamazépine</w:t>
      </w:r>
      <w:r>
        <w:t xml:space="preserve"> (potentialisation du bloc nodal — risque de BAV) ; (8) </w:t>
      </w:r>
      <w:r>
        <w:rPr>
          <w:b/>
        </w:rPr>
        <w:t>Insuffisance cardiaque décompensée</w:t>
      </w:r>
      <w:r>
        <w:t xml:space="preserve"> (l'effet inotrope négatif peut aggraver) — précaution ; (9) </w:t>
      </w:r>
      <w:r>
        <w:rPr>
          <w:b/>
        </w:rPr>
        <w:t>Choc cardiogénique</w:t>
      </w:r>
      <w:r>
        <w:t xml:space="preserve"> (CI absolue). Contre-indications de la forme </w:t>
      </w:r>
      <w:r>
        <w:rPr>
          <w:b/>
        </w:rPr>
        <w:t>orale</w:t>
      </w:r>
      <w:r>
        <w:t xml:space="preserve"> (ATPADENE, ATP NOVAGENERICS) : (1) hypersensibilité ; (2) hyperuricémie sévère (l'ATP est métabolisé en acide urique — risque de crise de goutte) ; (3) goutte non contrôlée ; (4) insuffisance rénale sévère (DFG &lt; 30 mL/min — baisse de l'excrétion d'acide urique).</w:t>
      </w:r>
    </w:p>
    <w:p>
      <w:pPr>
        <w:pStyle w:val="ListBullet"/>
      </w:pPr>
      <w:r>
        <w:t xml:space="preserve">Effets Indésirables (forme IV — généralement transitoires, &lt; 30 s, liés à la brièveté de la demi-vie) : (1) </w:t>
      </w:r>
      <w:r>
        <w:rPr>
          <w:b/>
        </w:rPr>
        <w:t>Flush</w:t>
      </w:r>
      <w:r>
        <w:t xml:space="preserve"> (vasodilatation cutanée — très fréquent, ~30 %, régressif en 30 s) ; (2) </w:t>
      </w:r>
      <w:r>
        <w:rPr>
          <w:b/>
        </w:rPr>
        <w:t>Dyspnée transitoire</w:t>
      </w:r>
      <w:r>
        <w:t xml:space="preserve"> (~25 % — bronchoconstriction légère A2B + stimulation des chémorécepteurs carotidiens — régressif en 30 s) ; (3) </w:t>
      </w:r>
      <w:r>
        <w:rPr>
          <w:b/>
        </w:rPr>
        <w:t>Oppression thoracique</w:t>
      </w:r>
      <w:r>
        <w:t xml:space="preserve"> (~20 % — vasodilatation coronaire avec vol coronaire, potentiellement douloureuse chez le coronarien — régressif en 30 s) ; (4) </w:t>
      </w:r>
      <w:r>
        <w:rPr>
          <w:b/>
        </w:rPr>
        <w:t>Sensation de malaise, angoisse</w:t>
      </w:r>
      <w:r>
        <w:t xml:space="preserve"> (~10 % — effet central A1/A2A — régressif en 1 min) ; (5) </w:t>
      </w:r>
      <w:r>
        <w:rPr>
          <w:b/>
        </w:rPr>
        <w:t>Céphalées</w:t>
      </w:r>
      <w:r>
        <w:t xml:space="preserve"> (~10 % — vasodilatation cérébrale) ; (6) </w:t>
      </w:r>
      <w:r>
        <w:rPr>
          <w:b/>
        </w:rPr>
        <w:t>Bradycardie sinusale sévère, pauses sinusales</w:t>
      </w:r>
      <w:r>
        <w:t xml:space="preserve"> (~5 % — parfois 3–6 s d'asystolie transitoire — régressif en 10–20 s) ; (7) </w:t>
      </w:r>
      <w:r>
        <w:rPr>
          <w:b/>
        </w:rPr>
        <w:t>BAV transitoire</w:t>
      </w:r>
      <w:r>
        <w:t xml:space="preserve"> (parfois complet 5–15 s — régressif spontanément) ; (8) </w:t>
      </w:r>
      <w:r>
        <w:rPr>
          <w:b/>
        </w:rPr>
        <w:t>Hypotension</w:t>
      </w:r>
      <w:r>
        <w:t xml:space="preserve"> transitoire (~5 %) ; (9) </w:t>
      </w:r>
      <w:r>
        <w:rPr>
          <w:b/>
        </w:rPr>
        <w:t>Bronchospasme</w:t>
      </w:r>
      <w:r>
        <w:t xml:space="preserve"> (rare, mais grave — surtout chez l'asthmatique) ; (10) </w:t>
      </w:r>
      <w:r>
        <w:rPr>
          <w:b/>
        </w:rPr>
        <w:t>Fibrillation atriale</w:t>
      </w:r>
      <w:r>
        <w:t xml:space="preserve"> paroxystique transitoire (rare — risque en cas de WPW avec voie accessoire à courte période réfractaire) ; (11) </w:t>
      </w:r>
      <w:r>
        <w:rPr>
          <w:b/>
        </w:rPr>
        <w:t>Torsades de pointe</w:t>
      </w:r>
      <w:r>
        <w:t xml:space="preserve"> (très rare — décrit en cas d'allongement QT préexistant) ; (12) </w:t>
      </w:r>
      <w:r>
        <w:rPr>
          <w:b/>
        </w:rPr>
        <w:t>Nausées, goût métallique</w:t>
      </w:r>
      <w:r>
        <w:t xml:space="preserve"> (~5 %). Effets indésirables de la forme </w:t>
      </w:r>
      <w:r>
        <w:rPr>
          <w:b/>
        </w:rPr>
        <w:t>orale</w:t>
      </w:r>
      <w:r>
        <w:t xml:space="preserve"> (ATPADENE, ATP NOVAGENERICS) : (a) </w:t>
      </w:r>
      <w:r>
        <w:rPr>
          <w:b/>
        </w:rPr>
        <w:t>Hyperuricémie</w:t>
      </w:r>
      <w:r>
        <w:t xml:space="preserve"> (métabolisme en acide urique — risque de crise de goutte chez le prédisposé) ; (b) </w:t>
      </w:r>
      <w:r>
        <w:rPr>
          <w:b/>
        </w:rPr>
        <w:t>Troubles digestifs</w:t>
      </w:r>
      <w:r>
        <w:t xml:space="preserve"> (nausées, diarrhée) ; (c) </w:t>
      </w:r>
      <w:r>
        <w:rPr>
          <w:b/>
        </w:rPr>
        <w:t>Céphalées</w:t>
      </w:r>
      <w:r>
        <w:t xml:space="preserve"> ; (d) </w:t>
      </w:r>
      <w:r>
        <w:rPr>
          <w:b/>
        </w:rPr>
        <w:t>Allergie rare</w:t>
      </w:r>
      <w:r>
        <w:t>.</w:t>
      </w:r>
    </w:p>
    <w:p>
      <w:r/>
      <w:r>
        <w:rPr>
          <w:b/>
        </w:rPr>
        <w:t>Prévention et Gestion des Effets Indésirables :</w:t>
      </w:r>
      <w:r/>
    </w:p>
    <w:p>
      <w:pPr>
        <w:pStyle w:val="ListBullet"/>
      </w:pPr>
      <w:r>
        <w:t xml:space="preserve">Mesures Préventives (forme IV — à connaître) : (a) </w:t>
      </w:r>
      <w:r>
        <w:rPr>
          <w:b/>
        </w:rPr>
        <w:t>Surveillance ECG continue</w:t>
      </w:r>
      <w:r>
        <w:t xml:space="preserve"> (scope), </w:t>
      </w:r>
      <w:r>
        <w:rPr>
          <w:b/>
        </w:rPr>
        <w:t>défibrillateur prêt à l'emploi</w:t>
      </w:r>
      <w:r>
        <w:t xml:space="preserve"> (pads collés, énergie pré-programmée 200 J biphasique), voie veineuse périphérique franche (grosse veine cubitale) ; (b) </w:t>
      </w:r>
      <w:r>
        <w:rPr>
          <w:b/>
        </w:rPr>
        <w:t>Interrogatoire préalable</w:t>
      </w:r>
      <w:r>
        <w:t xml:space="preserve"> : asthme (CI), BAV non appareillé (CI), prise récente de dipyridamole (respecter 24 h de délai), prise de carbamazépine (CI), insuffisance cardiaque décompensée (précaution), allergie à l'adénosine ; (c) </w:t>
      </w:r>
      <w:r>
        <w:rPr>
          <w:b/>
        </w:rPr>
        <w:t>Information du patient</w:t>
      </w:r>
      <w:r>
        <w:t xml:space="preserve"> sur les effets transitoires désagréables à prévoir (flush, dyspnée brève, oppression thoracique de quelques secondes) — patient prévenu pour ne pas s'alarmer ; (d) </w:t>
      </w:r>
      <w:r>
        <w:rPr>
          <w:b/>
        </w:rPr>
        <w:t>Position du patient</w:t>
      </w:r>
      <w:r>
        <w:t xml:space="preserve"> : décubitus dorsal avec monitoring ; (e) </w:t>
      </w:r>
      <w:r>
        <w:rPr>
          <w:b/>
        </w:rPr>
        <w:t>Préparation du flush</w:t>
      </w:r>
      <w:r>
        <w:t xml:space="preserve"> de NaCl 0,9 % 20 mL pour injection immédiate après le bolus ; (f) </w:t>
      </w:r>
      <w:r>
        <w:rPr>
          <w:b/>
        </w:rPr>
        <w:t>Personnel formé</w:t>
      </w:r>
      <w:r>
        <w:t xml:space="preserve"> à la cardioversion électrique en urgence en cas de complication (FV, asystolie prolongée) ; (g) En cas d'asthme connu, préférence pour le </w:t>
      </w:r>
      <w:r>
        <w:rPr>
          <w:b/>
        </w:rPr>
        <w:t>vérapamil IV</w:t>
      </w:r>
      <w:r>
        <w:t xml:space="preserve"> comme alternative. Mesures préventives de la forme </w:t>
      </w:r>
      <w:r>
        <w:rPr>
          <w:b/>
        </w:rPr>
        <w:t>orale</w:t>
      </w:r>
      <w:r>
        <w:t xml:space="preserve"> : (a) Dosage de l'uricémie pré-thérapeutique et surveillance semestrielle ; (b) Précaution chez le goutteux (CI si goutte non contrôlée) ; (c) Précaution chez l'insuffisant rénal sévère (DFG &lt; 30 mL/min — baisse de l'excrétion de l'acide urique).</w:t>
      </w:r>
    </w:p>
    <w:p>
      <w:pPr>
        <w:pStyle w:val="ListBullet"/>
      </w:pPr>
      <w:r>
        <w:t xml:space="preserve">Conduite à Tenir : En cas de </w:t>
      </w:r>
      <w:r>
        <w:rPr>
          <w:b/>
        </w:rPr>
        <w:t>bronchospasme</w:t>
      </w:r>
      <w:r>
        <w:t xml:space="preserve"> (surtout chez l'asthmatique) → oxygène, bronchodilatateurs β2-mimétiques (salbutamol nébulisé 5 mg), surveillance SpO2, glucocorticoïdes IV si sévère. En cas d'</w:t>
      </w:r>
      <w:r>
        <w:rPr>
          <w:b/>
        </w:rPr>
        <w:t>asystolie prolongée &gt; 10 s</w:t>
      </w:r>
      <w:r>
        <w:t xml:space="preserve"> (rare) → massage cardiaque externe si pas de reprise spontanée, atropine 0,5–1 mg IV, adrénaline 1 mg IV si asystolie persistante. En cas de </w:t>
      </w:r>
      <w:r>
        <w:rPr>
          <w:b/>
        </w:rPr>
        <w:t>FV</w:t>
      </w:r>
      <w:r>
        <w:t xml:space="preserve"> (très rare, décrit en cas de WPW à voie accessoire courte période réfractaire) → choque électrique 200 J biphasique immédiat. En cas de </w:t>
      </w:r>
      <w:r>
        <w:rPr>
          <w:b/>
        </w:rPr>
        <w:t>hypotension sévère</w:t>
      </w:r>
      <w:r>
        <w:t xml:space="preserve"> → remplissage vasculaire (cristalloïdes 500 mL), vasopresseurs (noradrénaline) si réfractaire. En cas d'</w:t>
      </w:r>
      <w:r>
        <w:rPr>
          <w:b/>
        </w:rPr>
        <w:t>allergie</w:t>
      </w:r>
      <w:r>
        <w:t xml:space="preserve"> → antihistaminiques, corticoïdes, adrénaline si anaphylaxie. En cas de </w:t>
      </w:r>
      <w:r>
        <w:rPr>
          <w:b/>
        </w:rPr>
        <w:t>trop longue durée d'effet</w:t>
      </w:r>
      <w:r>
        <w:t xml:space="preserve"> (effet prolongé anormal — suspicion de prise de dipyridamole méconnue) → aminophylline IV 50–100 mg (antagoniste purinergique A1/A2 — antidote spécifique).</w:t>
      </w:r>
    </w:p>
    <w:p>
      <w:r/>
      <w:r>
        <w:rPr>
          <w:b/>
        </w:rPr>
        <w:t>Interactions Importantes :</w:t>
      </w:r>
      <w:r/>
    </w:p>
    <w:p>
      <w:pPr>
        <w:pStyle w:val="ListBullet"/>
      </w:pPr>
      <w:r>
        <w:t xml:space="preserve">Adénosine + </w:t>
      </w:r>
      <w:r>
        <w:rPr>
          <w:b/>
        </w:rPr>
        <w:t>Dipyridamole</w:t>
      </w:r>
      <w:r>
        <w:t xml:space="preserve"> (antiagrégant purinergique — inhibiteur de la PDE et de l'adénosine désaminase) : </w:t>
      </w:r>
      <w:r>
        <w:rPr>
          <w:b/>
        </w:rPr>
        <w:t>augmentation majeure et prolongée des concentrations d'adénosine</w:t>
      </w:r>
      <w:r>
        <w:t xml:space="preserve"> (blocage de sa dégradation) → </w:t>
      </w:r>
      <w:r>
        <w:rPr>
          <w:b/>
        </w:rPr>
        <w:t>bradycardie sévère, hypotension, bronchospasme prolongé</w:t>
      </w:r>
      <w:r>
        <w:t xml:space="preserve">. </w:t>
      </w:r>
      <w:r>
        <w:rPr>
          <w:b/>
        </w:rPr>
        <w:t>CI absolue</w:t>
      </w:r>
      <w:r>
        <w:t xml:space="preserve"> — respecter </w:t>
      </w:r>
      <w:r>
        <w:rPr>
          <w:b/>
        </w:rPr>
        <w:t>24 h de délai</w:t>
      </w:r>
      <w:r>
        <w:t xml:space="preserve"> entre la dernière prise de dipyridamole et l'administration d'adénosine (ou réduire la dose d'adénosine à 1 mg initial).</w:t>
      </w:r>
    </w:p>
    <w:p>
      <w:pPr>
        <w:pStyle w:val="ListBullet"/>
      </w:pPr>
      <w:r>
        <w:t xml:space="preserve">Adénosine + </w:t>
      </w:r>
      <w:r>
        <w:rPr>
          <w:b/>
        </w:rPr>
        <w:t>Carbamazépine, dipyridamole</w:t>
      </w:r>
      <w:r>
        <w:t xml:space="preserve"> : potentialisation du bloc nodal → risque de BAV sévère. Surveillance.</w:t>
      </w:r>
    </w:p>
    <w:p>
      <w:pPr>
        <w:pStyle w:val="ListBullet"/>
      </w:pPr>
      <w:r>
        <w:t xml:space="preserve">Adénosine + </w:t>
      </w:r>
      <w:r>
        <w:rPr>
          <w:b/>
        </w:rPr>
        <w:t>Théophylline, caféine</w:t>
      </w:r>
      <w:r>
        <w:t xml:space="preserve"> (antagonistes purinergiques A1/A2A) : </w:t>
      </w:r>
      <w:r>
        <w:rPr>
          <w:b/>
        </w:rPr>
        <w:t>antagonisme pharmacologique</w:t>
      </w:r>
      <w:r>
        <w:t xml:space="preserve"> → baisse d'efficacité de l'adénosine. Peut nécessiter une dose d'adénosine supérieure.</w:t>
      </w:r>
    </w:p>
    <w:p>
      <w:pPr>
        <w:pStyle w:val="ListBullet"/>
      </w:pPr>
      <w:r>
        <w:t xml:space="preserve">Adénosine + </w:t>
      </w:r>
      <w:r>
        <w:rPr>
          <w:b/>
        </w:rPr>
        <w:t>Médicaments bradycardisants</w:t>
      </w:r>
      <w:r>
        <w:t xml:space="preserve"> (β-bloquants, inhibiteurs calciques non DHP, digoxine, amiodarone) : addition des effets → bradycardie sévère, BAV, asystolie. Surveillance ECG stricte.</w:t>
      </w:r>
    </w:p>
    <w:p>
      <w:pPr>
        <w:pStyle w:val="ListBullet"/>
      </w:pPr>
      <w:r>
        <w:t xml:space="preserve">Adénosine + </w:t>
      </w:r>
      <w:r>
        <w:rPr>
          <w:b/>
        </w:rPr>
        <w:t>Aminophylline</w:t>
      </w:r>
      <w:r>
        <w:t xml:space="preserve"> (antagoniste A1/A2A) : </w:t>
      </w:r>
      <w:r>
        <w:rPr>
          <w:b/>
        </w:rPr>
        <w:t>antagonisme pharmacologique</w:t>
      </w:r>
      <w:r>
        <w:t xml:space="preserve"> — utilisé comme antidote en cas d'effet prolongé de l'adénosine (50–100 mg IV).</w:t>
      </w:r>
    </w:p>
    <w:p>
      <w:pPr>
        <w:pStyle w:val="ListBullet"/>
      </w:pPr>
      <w:r>
        <w:t xml:space="preserve">ATP oral + </w:t>
      </w:r>
      <w:r>
        <w:rPr>
          <w:b/>
        </w:rPr>
        <w:t>Médicaments hyperuricémiants</w:t>
      </w:r>
      <w:r>
        <w:t xml:space="preserve"> (diurétiques thiazidiques, furosémide, aspirine à faible dose, pyrazinamide, éthambutol, ciclosporine, lévodopa) : potentialisation de l'hyperuricémie → risque de crise de goutte. Surveillance uricémie.</w:t>
      </w:r>
    </w:p>
    <w:p>
      <w:pPr>
        <w:pStyle w:val="ListBullet"/>
      </w:pPr>
      <w:r>
        <w:t xml:space="preserve">ATP oral + </w:t>
      </w:r>
      <w:r>
        <w:rPr>
          <w:b/>
        </w:rPr>
        <w:t>Allopurinol, fébuxostat</w:t>
      </w:r>
      <w:r>
        <w:t xml:space="preserve"> (hypouricémiants) : potentialisation de l'effet hypouricémiant — adaptation posologique.</w:t>
      </w:r>
    </w:p>
    <w:p>
      <w:r/>
      <w:r>
        <w:rPr>
          <w:b/>
        </w:rPr>
        <w:t>Grossesse et Allaitement :</w:t>
      </w:r>
      <w:r/>
    </w:p>
    <w:p>
      <w:pPr>
        <w:pStyle w:val="ListBullet"/>
      </w:pPr>
      <w:r>
        <w:t>Grossesse : Selon le CRAT, l'</w:t>
      </w:r>
      <w:r>
        <w:rPr>
          <w:b/>
        </w:rPr>
        <w:t>adénosine IV est compatible avec la grossesse</w:t>
      </w:r>
      <w:r>
        <w:t xml:space="preserve"> — elle est le traitement de choix des TJR pendant la grossesse (à toutes les phases), en raison de son </w:t>
      </w:r>
      <w:r>
        <w:rPr>
          <w:b/>
        </w:rPr>
        <w:t>effet transitoire</w:t>
      </w:r>
      <w:r>
        <w:t xml:space="preserve"> (10–20 s) et de son métabolisme en métabolites naturels (inosine, hypoxanthine — sans toxicité fœtale démontrée). L'adénosine IV traverse le placenta (rapport fœto-maternel ≈ 0,5), mais l'effet sur le cœur fœtal est minimal (le nœud AV fœtal est moins sensible à l'adénosine que le nœud AV maternel). Surveillance de la FC fœtale pendant et après le bolus. En cas d'échec ou de TJR récidivante pendant la grossesse, alternative par </w:t>
      </w:r>
      <w:r>
        <w:rPr>
          <w:b/>
        </w:rPr>
        <w:t>vérapamil IV</w:t>
      </w:r>
      <w:r>
        <w:t xml:space="preserve"> (compatible selon CRAT — surveillance bradycardie fœtale et hypotension maternelle), ou </w:t>
      </w:r>
      <w:r>
        <w:rPr>
          <w:b/>
        </w:rPr>
        <w:t>cardioversion électrique</w:t>
      </w:r>
      <w:r>
        <w:t xml:space="preserve"> (compatible à tous les trimestres en urgence vitale maternelle). Pour la forme </w:t>
      </w:r>
      <w:r>
        <w:rPr>
          <w:b/>
        </w:rPr>
        <w:t>orale (ATPADENE, ATP NOVAGENERICS)</w:t>
      </w:r>
      <w:r>
        <w:t>, à éviter pendant la grossesse par prudence (données limitées, hyperuricémie théorique), préférant l'adénosine IV (spécialité importée) ou le vérapamil IV.</w:t>
      </w:r>
    </w:p>
    <w:p>
      <w:pPr>
        <w:pStyle w:val="ListBullet"/>
      </w:pPr>
      <w:r>
        <w:t>Allaitement : Selon le CRAT, l'</w:t>
      </w:r>
      <w:r>
        <w:rPr>
          <w:b/>
        </w:rPr>
        <w:t>adénosine IV est compatible avec l'allaitement</w:t>
      </w:r>
      <w:r>
        <w:t xml:space="preserve"> (demi-vie ultra-courte 8–10 s — aucun passage significatif dans le lait, aucune accumulation possible). Pour la forme </w:t>
      </w:r>
      <w:r>
        <w:rPr>
          <w:b/>
        </w:rPr>
        <w:t>orale (ATPADENE, ATP NOVAGENERICS)</w:t>
      </w:r>
      <w:r>
        <w:t>, à éviter par prudence (données limitées, métabolites passant dans le lait).</w:t>
      </w:r>
    </w:p>
    <w:p>
      <w:pPr>
        <w:pStyle w:val="ListBullet"/>
      </w:pPr>
      <w:r>
        <w:t>Précisions : La compatibilité de l'adénosine IV avec la grossesse et l'allaitement en fait le traitement de référence des TJR chez la femme enceinte — mais sa non-disponibilité en routine en Algérie (forme IV non commercialisée) impose un recours aux alternatives (vérapamil IV, manœuvres vagales, cardioversion électrique).</w:t>
      </w:r>
    </w:p>
    <w:p>
      <w:r/>
      <w:r>
        <w:rPr>
          <w:b/>
        </w:rPr>
        <w:t>Posologie et Mode d'administration (Standard) :</w:t>
      </w:r>
      <w:r/>
    </w:p>
    <w:p>
      <w:r/>
      <w:r>
        <w:rPr>
          <w:i/>
        </w:rPr>
        <w:t>Forme IV (Adénosine IV — Adenocor, Sanofi — non commercialisée en Algérie, accessible par importation exceptionnelle) :</w:t>
      </w:r>
      <w:r/>
    </w:p>
    <w:p>
      <w:pPr>
        <w:pStyle w:val="ListBullet"/>
      </w:pPr>
      <w:r>
        <w:t xml:space="preserve">Adulte : </w:t>
      </w:r>
      <w:r>
        <w:rPr>
          <w:b/>
        </w:rPr>
        <w:t>Protocole progressif</w:t>
      </w:r>
      <w:r>
        <w:t xml:space="preserve"> : 3 mg IV bolus rapide sur 2 s dans une grosse veine périphérique (cubitale), suivi immédiatement d'un </w:t>
      </w:r>
      <w:r>
        <w:rPr>
          <w:b/>
        </w:rPr>
        <w:t>flush de NaCl 0,9 % 20 mL</w:t>
      </w:r>
      <w:r>
        <w:t xml:space="preserve"> pour entraîner le bolus vers le cœur (l'adénosine est dégradée en ~10 s par l'adénosine désaminase endothéliale — d'où la nécessité d'un flush rapide). Surveillance ECG continue. Si échec à 3 mg (persistance de la TJR après 1–2 min) → </w:t>
      </w:r>
      <w:r>
        <w:rPr>
          <w:b/>
        </w:rPr>
        <w:t>6 mg IV bolus rapide + flush</w:t>
      </w:r>
      <w:r>
        <w:t xml:space="preserve">. Si échec à 6 mg → </w:t>
      </w:r>
      <w:r>
        <w:rPr>
          <w:b/>
        </w:rPr>
        <w:t>12 mg IV bolus rapide + flush</w:t>
      </w:r>
      <w:r>
        <w:t xml:space="preserve"> (dose maximale par bolus). Si échec à 12 mg → diagnostic à reconsidérer (probable tachycardie atriale ou ventriculaire — pas une TJR), relais par </w:t>
      </w:r>
      <w:r>
        <w:rPr>
          <w:b/>
        </w:rPr>
        <w:t>vérapamil IV 5–10 mg</w:t>
      </w:r>
      <w:r>
        <w:t xml:space="preserve"> ou </w:t>
      </w:r>
      <w:r>
        <w:rPr>
          <w:b/>
        </w:rPr>
        <w:t>cardioversion électrique</w:t>
      </w:r>
      <w:r>
        <w:t xml:space="preserve"> si instabilité hémodynamique. En cas d'efficacité (terminaison de la TJR en 10–20 s), surveillance ECG continue pendant 5 min (risque de récidive précoce), puis rythme sinusal stable.</w:t>
      </w:r>
    </w:p>
    <w:p>
      <w:pPr>
        <w:pStyle w:val="ListBullet"/>
      </w:pPr>
      <w:r>
        <w:t>Sujet âgé : commencer à 3 mg, surveillance ECG renforcée (risque de bradycardie sévère et de BAV prolongé).</w:t>
      </w:r>
    </w:p>
    <w:p>
      <w:pPr>
        <w:pStyle w:val="ListBullet"/>
      </w:pPr>
      <w:r>
        <w:t>Insuffisant cardiaque : commencer à 3 mg, surveillance hémodynamique (effet inotrope négatif potentiel).</w:t>
      </w:r>
    </w:p>
    <w:p>
      <w:pPr>
        <w:pStyle w:val="ListBullet"/>
      </w:pPr>
      <w:r>
        <w:t>Transplanté cardiaque : réduire à 1 mg initial (hypersensibilité à l'adénosine en raison de la dénervation — risque de bradycardie sévère et d'asystolie prolongée).</w:t>
      </w:r>
    </w:p>
    <w:p>
      <w:pPr>
        <w:pStyle w:val="ListBullet"/>
      </w:pPr>
      <w:r>
        <w:t>Enfant &gt; 50 kg : protocole adulte. Enfant &lt; 50 kg : 0,05–0,1 mg/kg en bolus, max 0,3 mg/kg par dose, max 12 mg.</w:t>
      </w:r>
    </w:p>
    <w:p>
      <w:pPr>
        <w:pStyle w:val="ListBullet"/>
      </w:pPr>
      <w:r>
        <w:t>Durée : acte ponctuel en urgence (bolus unique ou répété en cas de récidive). Pas de traitement d'entretien.</w:t>
      </w:r>
    </w:p>
    <w:p>
      <w:r/>
      <w:r>
        <w:rPr>
          <w:i/>
        </w:rPr>
        <w:t>Forme orale (ATPADENE, ATP NOVAGENERICS 30 mg gélules — disponible en Algérie) :</w:t>
      </w:r>
      <w:r/>
    </w:p>
    <w:p>
      <w:pPr>
        <w:pStyle w:val="ListBullet"/>
      </w:pPr>
      <w:r>
        <w:t>Adulte : 1 à 3 gélules/jour (30 à 90 mg) en 1 à 3 prises, pendant les repas, avec un verre d'eau.</w:t>
      </w:r>
    </w:p>
    <w:p>
      <w:pPr>
        <w:pStyle w:val="ListBullet"/>
      </w:pPr>
      <w:r>
        <w:t>Sujet âgé : commencer à 1 gélule/jour (30 mg), surveillance uricémie et tolérance.</w:t>
      </w:r>
    </w:p>
    <w:p>
      <w:pPr>
        <w:pStyle w:val="ListBullet"/>
      </w:pPr>
      <w:r>
        <w:t>Insuffisant rénal : CI si DFG &lt; 30 mL/min (risque d'accumulation d'acide urique).</w:t>
      </w:r>
    </w:p>
    <w:p>
      <w:pPr>
        <w:pStyle w:val="ListBullet"/>
      </w:pPr>
      <w:r>
        <w:t>Enfant : non recommandé.</w:t>
      </w:r>
    </w:p>
    <w:p>
      <w:pPr>
        <w:pStyle w:val="ListBullet"/>
      </w:pPr>
      <w:r>
        <w:t>Durée : traitement d'appoint prolongé possible (insuffisance cardiaque chronique) — réévaluation annuelle de la pertinence (absence de preuve d'efficacité).</w:t>
      </w:r>
    </w:p>
    <w:p>
      <w:pPr>
        <w:pStyle w:val="ListBullet"/>
      </w:pPr>
      <w:r>
        <w:t>Moment de prise : pendant les repas.</w:t>
      </w:r>
    </w:p>
    <w:p>
      <w:r/>
      <w:r>
        <w:rPr>
          <w:b/>
        </w:rPr>
        <w:t>Arbitrage et Bénéfices des Formes Galéniques :</w:t>
      </w:r>
      <w:r/>
    </w:p>
    <w:p>
      <w:r>
        <w:t xml:space="preserve">L'adénosine/ATP est disponible en Algérie uniquement sous </w:t>
      </w:r>
      <w:r>
        <w:rPr>
          <w:b/>
        </w:rPr>
        <w:t>forme orale</w:t>
      </w:r>
      <w:r>
        <w:t xml:space="preserve"> (gélules 30 mg — ATPADENE ProPharmal, ATP NOVAGENERICS Novapharm Trading), pour une indication d'appoint de l'insuffisance cardiaque et de certaines arythmies — sans efficacité antiarythmique clinique démontrée (la biodisponibilité orale de l'ATP est quasi nulle en raison d'une dégradation complète par les phosphatases intestinales et hépatiques). </w:t>
      </w:r>
      <w:r>
        <w:rPr>
          <w:b/>
        </w:rPr>
        <w:t>La forme IV (Adenocor, Sanofi — gold standard international des TJR) n'est pas commercialisée en Algérie</w:t>
      </w:r>
      <w:r>
        <w:t xml:space="preserve">, ce qui pose un enjeu d'accès au traitement de référence des TJR en urgence. À l'officine, informer le patient et le médecin de cette particularité : la forme orale ne remplace pas la forme IV dans la termination des TJR en urgence. La stratégie thérapeutique de la TJR en Algérie repose sur : (1) </w:t>
      </w:r>
      <w:r>
        <w:rPr>
          <w:b/>
        </w:rPr>
        <w:t>manœuvres vagales</w:t>
      </w:r>
      <w:r>
        <w:t xml:space="preserve"> en première intention (massage sinocarotidien — contre-indiqué en cas de bruit carotidien ou d'AVC ischémique récent ; manœuvre de Valsalva modifiée — technique de REVERT 2015, efficacité 43 % vs 17 % pour la version classique) ; (2) </w:t>
      </w:r>
      <w:r>
        <w:rPr>
          <w:b/>
        </w:rPr>
        <w:t>vérapamil IV 5–10 mg</w:t>
      </w:r>
      <w:r>
        <w:t xml:space="preserve"> en seconde intention (alternatives : diltiazem IV, β-bloquant IV — métoprolol, esmolol) ; (3) </w:t>
      </w:r>
      <w:r>
        <w:rPr>
          <w:b/>
        </w:rPr>
        <w:t>cardioversion électrique</w:t>
      </w:r>
      <w:r>
        <w:t xml:space="preserve"> si instabilité hémodynamique ( collapsus, douleur thoracique, dyspnée, altération de la conscience) ou échec des médicaments IV. L'</w:t>
      </w:r>
      <w:r>
        <w:rPr>
          <w:b/>
        </w:rPr>
        <w:t>importation exceptionnelle de l'adénosine IV</w:t>
      </w:r>
      <w:r>
        <w:t xml:space="preserve"> (Adenocor, Sanofi — 6 mg/2 mL en ampoules, ou Adenoscan 30 mg/10 mL pour les tests pharmacologiques d'ischémie) est possible en cas d'indication impérieuse (TJR réfractaire au vérapamil IV, patient transplanté cardiaque hypersensible au vérapamil, contre-indication au vérapamil), sur autorisation du ministère de la Santé et du centre de pharmacovigilance. La forme orale (ATPADENE, ATP NOVAGENERICS) conserve une place dans le traitement d'appoint de l'insuffisance cardiaque chronique (effet métabolique cellulaire théorique — fourniture de phosphate à haute énergie — sans preuve clinique d'efficacité), à connaître par le pharmacien d'officine en raison de sa disponibilité — mais à réserver aux patients informés de l'absence de preuve d'efficacité et de la surveillance uricémie. À l'officine, vérifier l'</w:t>
      </w:r>
      <w:r>
        <w:rPr>
          <w:b/>
        </w:rPr>
        <w:t>absence de goutte méconnue</w:t>
      </w:r>
      <w:r>
        <w:t xml:space="preserve"> (interrogatoire, dosage uricémie si doute) avant dispensation de l'ATP oral, et </w:t>
      </w:r>
      <w:r>
        <w:rPr>
          <w:b/>
        </w:rPr>
        <w:t>informer le patient</w:t>
      </w:r>
      <w:r>
        <w:t xml:space="preserve"> sur les limites d'efficacité de cette forme.</w:t>
      </w:r>
    </w:p>
    <w:p>
      <w:r/>
      <w:r>
        <w:rPr>
          <w:b/>
        </w:rPr>
        <w:t>Instructions et Conseils au Patient :</w:t>
      </w:r>
      <w:r/>
    </w:p>
    <w:p>
      <w:pPr>
        <w:pStyle w:val="ListBullet"/>
      </w:pPr>
      <w:r>
        <w:t xml:space="preserve">Communication au comptoir (forme orale — ATPADENE, ATP NOVAGENERICS) : « Ce médicament (ATP) est un complément de traitement de l'insuffisance cardiaque et de certaines arythmies. Il agit en apportant de l'énergie aux cellules du cœur. </w:t>
      </w:r>
      <w:r>
        <w:rPr>
          <w:b/>
        </w:rPr>
        <w:t>Important</w:t>
      </w:r>
      <w:r>
        <w:t xml:space="preserve"> : prenez-le pendant les repas avec un verre d'eau, à heures fixes. Prévenez votre médecin si vous avez : douleurs articulaires (signe de crise de goutte — augmentation possible de l'acide urique), troubles digestifs, céphalées. Si vous êtes goutteux ou si vous avez un taux d'acide urique élevé, prévenez votre médecin avant de prendre ce médicament. </w:t>
      </w:r>
      <w:r>
        <w:rPr>
          <w:b/>
        </w:rPr>
        <w:t>Ce médicament ne remplace pas vos autres traitements cardiaques</w:t>
      </w:r>
      <w:r>
        <w:t xml:space="preserve"> (diurétiques, IEC, β-bloquants) — continuez-les impérativement. Ne pas l'utiliser en cas de crise de palpitations rapides — dans ce cas, contactez votre médecin ou les urgences (la forme orale n'a pas d'action rapide sur le rythme cardiaque). »</w:t>
      </w:r>
    </w:p>
    <w:p>
      <w:pPr>
        <w:pStyle w:val="ListBullet"/>
      </w:pPr>
      <w:r>
        <w:t>Communication au comptoir (forme IV — à connaître pour la culture pharmacologique) : « L'adénosine IV est un médicament d'urgence utilisé en milieu hospitalier pour stopper certaines crises de tachycardie (tachycardies jonctionnelles). Elle est administrée par voie veineuse stricte, en bolus très rapide, sous surveillance ECG continue. Le patient peut ressentir pendant quelques secondes : bouffées de chaleur (flush), essoufflement transitoire, oppression thoracique, malaise — phénomènes normaux et brefs, à signaler sans s'alarmer. Le médecin qui administre le produit prévient le patient avant chaque injection. »</w:t>
      </w:r>
    </w:p>
    <w:p>
      <w:pPr>
        <w:pStyle w:val="ListBullet"/>
      </w:pPr>
      <w:r>
        <w:t>Mode d'utilisation pratique (forme orale) : (1) Gélule à avaler entière avec un verre d'eau, pendant les repas. (2) Heure fixe : matin, midi et soir si trithérapie, ou matin et soir si bithérapie, ou matin si monothérapie. (3) En cas d'oubli &lt; 4 h : prendre la dose oubliée ; au-delà de 4 h : sauter la prise. (4) Ne pas arrêter brutalement le traitement. (5) Surveillance : uricémie avant traitement puis semestrielle ; signes de crise de goutte (douleur articulaire, surtout gros orteil — arrêt et consultation). (6) Conservation à température &lt; 25 °C, à l'abri de l'humidité.</w:t>
      </w:r>
    </w:p>
    <w:p>
      <w:r/>
      <w:r>
        <w:rPr>
          <w:b/>
        </w:rPr>
        <w:t>Notes, Règles d'Or &amp; Pièges au Comptoir :</w:t>
      </w:r>
      <w:r/>
    </w:p>
    <w:p>
      <w:pPr>
        <w:pStyle w:val="ListBullet"/>
      </w:pPr>
      <w:r/>
      <w:r>
        <w:rPr>
          <w:b/>
        </w:rPr>
        <w:t>Piège classique — Forme orale sans efficacité antiarythmique</w:t>
      </w:r>
      <w:r>
        <w:t xml:space="preserve"> : la forme orale d'ATP (ATPADENE, ATP NOVAGENERICS) </w:t>
      </w:r>
      <w:r>
        <w:rPr>
          <w:b/>
        </w:rPr>
        <w:t>n'a pas d'efficacité antiarythmique clinique démontrée</w:t>
      </w:r>
      <w:r>
        <w:t xml:space="preserve"> (biodisponibilité orale quasi nulle en raison d'une dégradation complète par les phosphatases intestinales et hépatiques). À l'officine, </w:t>
      </w:r>
      <w:r>
        <w:rPr>
          <w:b/>
        </w:rPr>
        <w:t>ne pas laisser le patient croire</w:t>
      </w:r>
      <w:r>
        <w:t xml:space="preserve"> que cette forme orale peut remplacer l'adénosine IV dans la termination des TJR en urgence. Information claire du patient et du médecin.</w:t>
      </w:r>
    </w:p>
    <w:p>
      <w:pPr>
        <w:pStyle w:val="ListBullet"/>
      </w:pPr>
      <w:r/>
      <w:r>
        <w:rPr>
          <w:b/>
        </w:rPr>
        <w:t>Piège — Hyperuricémie iatrogène</w:t>
      </w:r>
      <w:r>
        <w:t xml:space="preserve"> : la forme orale d'ATP est métabolisée en acide urique → </w:t>
      </w:r>
      <w:r>
        <w:rPr>
          <w:b/>
        </w:rPr>
        <w:t>risque d'hyperuricémie et de crise de goutte</w:t>
      </w:r>
      <w:r>
        <w:t xml:space="preserve"> chez le prédisposé. Dosage de l'uricémie pré-thérapeutique et surveillance semestrielle. CI relative en cas de goutte non contrôlée ou d'hyperuricémie &gt; 480 µmol/L. Précaution chez l'insuffisant rénal sévère.</w:t>
      </w:r>
    </w:p>
    <w:p>
      <w:pPr>
        <w:pStyle w:val="ListBullet"/>
      </w:pPr>
      <w:r/>
      <w:r>
        <w:rPr>
          <w:b/>
        </w:rPr>
        <w:t>Piège — Adénosine IV + Dipyridamole</w:t>
      </w:r>
      <w:r>
        <w:t xml:space="preserve"> : </w:t>
      </w:r>
      <w:r>
        <w:rPr>
          <w:b/>
        </w:rPr>
        <w:t>interaction potentiellement fatale</w:t>
      </w:r>
      <w:r>
        <w:t xml:space="preserve"> — le dipyridamole inhibe l'adénosine désaminase (enzyme de dégradation) → augmentation majeure et prolongée des concentrations d'adénosine → bradycardie sévère, hypotension, bronchospasme prolongé potentiellement létal. Respecter </w:t>
      </w:r>
      <w:r>
        <w:rPr>
          <w:b/>
        </w:rPr>
        <w:t>24 h de délai</w:t>
      </w:r>
      <w:r>
        <w:t xml:space="preserve"> entre la dernière prise de dipyridamole et l'administration d'adénosine IV (ou réduire la dose d'adénosine à 1 mg initial).</w:t>
      </w:r>
    </w:p>
    <w:p>
      <w:pPr>
        <w:pStyle w:val="ListBullet"/>
      </w:pPr>
      <w:r/>
      <w:r>
        <w:rPr>
          <w:b/>
        </w:rPr>
        <w:t>Piège — Adénosine IV chez l'asthmatique</w:t>
      </w:r>
      <w:r>
        <w:t xml:space="preserve"> : </w:t>
      </w:r>
      <w:r>
        <w:rPr>
          <w:b/>
        </w:rPr>
        <w:t>CI absolue</w:t>
      </w:r>
      <w:r>
        <w:t xml:space="preserve"> — risque de bronchospasme sévère (effet A2B bronchique). Préférer le </w:t>
      </w:r>
      <w:r>
        <w:rPr>
          <w:b/>
        </w:rPr>
        <w:t>vérapamil IV</w:t>
      </w:r>
      <w:r>
        <w:t xml:space="preserve"> comme alternative dans la termination des TJR chez l'asthmatique.</w:t>
      </w:r>
    </w:p>
    <w:p>
      <w:pPr>
        <w:pStyle w:val="ListBullet"/>
      </w:pPr>
      <w:r/>
      <w:r>
        <w:rPr>
          <w:b/>
        </w:rPr>
        <w:t>Piège — Adénosine IV dans le WPW avec FA</w:t>
      </w:r>
      <w:r>
        <w:t xml:space="preserve"> : risque de </w:t>
      </w:r>
      <w:r>
        <w:rPr>
          <w:b/>
        </w:rPr>
        <w:t>dégradation en FV</w:t>
      </w:r>
      <w:r>
        <w:t xml:space="preserve"> — l'adénosine bloque le nœud AV, ce qui peut favoriser la conduction par la voie accessoire (à courte période réfractaire) → FV potentiellement fatale. </w:t>
      </w:r>
      <w:r>
        <w:rPr>
          <w:b/>
        </w:rPr>
        <w:t>CI relative</w:t>
      </w:r>
      <w:r>
        <w:t xml:space="preserve"> dans le WPW avec FA ou flutter.</w:t>
      </w:r>
    </w:p>
    <w:p>
      <w:pPr>
        <w:pStyle w:val="ListBullet"/>
      </w:pPr>
      <w:r/>
      <w:r>
        <w:rPr>
          <w:b/>
        </w:rPr>
        <w:t>Piège — Non-disponibilité de l'adénosine IV en Algérie</w:t>
      </w:r>
      <w:r>
        <w:t xml:space="preserve"> : la forme IV (Adenocor, Sanofi) n'est pas commercialisée en routine en Algérie — informer le patient et le médecin de cette particularité et orienter vers les alternatives (manœuvres vagales, vérapamil IV, cardioversion électrique). L'importation exceptionnelle est possible sur autorisation du ministère de la Santé.</w:t>
      </w:r>
    </w:p>
    <w:p>
      <w:pPr>
        <w:pStyle w:val="ListBullet"/>
      </w:pPr>
      <w:r/>
      <w:r>
        <w:rPr>
          <w:b/>
        </w:rPr>
        <w:t>Piège — Dipyridamole et adénosine orale</w:t>
      </w:r>
      <w:r>
        <w:t xml:space="preserve"> : pas d'interaction systémique avec la forme orale (l'ATP oral ne passe pas la barrière intestinale) — mais à éviter par prudence chez le patient sous dipyridamole.</w:t>
      </w:r>
    </w:p>
    <w:p>
      <w:pPr>
        <w:pStyle w:val="ListBullet"/>
      </w:pPr>
      <w:r/>
      <w:r>
        <w:rPr>
          <w:b/>
        </w:rPr>
        <w:t>Règle de prise</w:t>
      </w:r>
      <w:r>
        <w:t xml:space="preserve"> : forme orale — 30 à 90 mg/jour en 1 à 3 prises pendant les repas. Forme IV — protocole progressif 3–6–9–12 mg en bolus IV rapide + flush NaCl 0,9 %.</w:t>
      </w:r>
    </w:p>
    <w:p>
      <w:pPr>
        <w:pStyle w:val="ListBullet"/>
      </w:pPr>
      <w:r/>
      <w:r>
        <w:rPr>
          <w:b/>
        </w:rPr>
        <w:t>Préparation et Conservation</w:t>
      </w:r>
      <w:r>
        <w:t xml:space="preserve"> : gélules à température &lt; 25 °C, à l'abri de l'humidité. Solution IV (importation) : conservation 2–8 °C, à l'abri de la lumière, ne pas congeler, à utiliser immédiatement après ouverture.</w:t>
      </w:r>
    </w:p>
    <w:p>
      <w:pPr>
        <w:pStyle w:val="ListBullet"/>
      </w:pPr>
      <w:r/>
      <w:r>
        <w:rPr>
          <w:b/>
        </w:rPr>
        <w:t>Piège du surdosage / Substitution</w:t>
      </w:r>
      <w:r>
        <w:t xml:space="preserve"> : surdosage de la forme IV — bradycardie sévère, asystolie, hypotension, bronchospasme prolongé — prise en charge USI : oxygène, massage cardiaque si asystolie, atropine 0,5–1 mg IV, adrénaline 1 mg IV si asystolie persistante, </w:t>
      </w:r>
      <w:r>
        <w:rPr>
          <w:b/>
        </w:rPr>
        <w:t>aminophylline 50–100 mg IV</w:t>
      </w:r>
      <w:r>
        <w:t xml:space="preserve"> (antidote spécifique — antagoniste purinergique A1/A2A), bronchodilatateurs β2-mimétiques. Substitution interdite (médicament à prescription initiale hospitalière spécialisée pour la forme IV ; pour la forme orale, substitution entre ATPADENE et ATP NOVAGENERICS possible — mêmes concentrations, même formulation).</w:t>
      </w:r>
    </w:p>
    <w:p>
      <w:pPr>
        <w:pStyle w:val="Heading2"/>
      </w:pPr>
      <w:r>
        <w:t>Tableau Comparatif des 7 DCIs Antiarythmiques</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Classe VW</w:t>
            </w:r>
          </w:p>
        </w:tc>
        <w:tc>
          <w:tcPr>
            <w:tcW w:type="dxa" w:w="1169"/>
          </w:tcPr>
          <w:p>
            <w:r>
              <w:rPr>
                <w:b/>
                <w:sz w:val="20"/>
              </w:rPr>
              <w:t>Cible moléculaire</w:t>
            </w:r>
          </w:p>
        </w:tc>
        <w:tc>
          <w:tcPr>
            <w:tcW w:type="dxa" w:w="1169"/>
          </w:tcPr>
          <w:p>
            <w:r>
              <w:rPr>
                <w:b/>
                <w:sz w:val="20"/>
              </w:rPr>
              <w:t>Demi-vie</w:t>
            </w:r>
          </w:p>
        </w:tc>
        <w:tc>
          <w:tcPr>
            <w:tcW w:type="dxa" w:w="1169"/>
          </w:tcPr>
          <w:p>
            <w:r>
              <w:rPr>
                <w:b/>
                <w:sz w:val="20"/>
              </w:rPr>
              <w:t>Posologie usuelle adulte</w:t>
            </w:r>
          </w:p>
        </w:tc>
        <w:tc>
          <w:tcPr>
            <w:tcW w:type="dxa" w:w="1169"/>
          </w:tcPr>
          <w:p>
            <w:r>
              <w:rPr>
                <w:b/>
                <w:sz w:val="20"/>
              </w:rPr>
              <w:t>EI majeur</w:t>
            </w:r>
          </w:p>
        </w:tc>
        <w:tc>
          <w:tcPr>
            <w:tcW w:type="dxa" w:w="1169"/>
          </w:tcPr>
          <w:p>
            <w:r>
              <w:rPr>
                <w:b/>
                <w:sz w:val="20"/>
              </w:rPr>
              <w:t>CI</w:t>
            </w:r>
          </w:p>
        </w:tc>
        <w:tc>
          <w:tcPr>
            <w:tcW w:type="dxa" w:w="1169"/>
          </w:tcPr>
          <w:p>
            <w:r>
              <w:rPr>
                <w:b/>
                <w:sz w:val="20"/>
              </w:rPr>
              <w:t>Grossesse</w:t>
            </w:r>
          </w:p>
        </w:tc>
      </w:tr>
      <w:tr>
        <w:tc>
          <w:tcPr>
            <w:tcW w:type="dxa" w:w="1169"/>
          </w:tcPr>
          <w:p>
            <w:r>
              <w:rPr>
                <w:sz w:val="20"/>
              </w:rPr>
              <w:t>**Disopyramide**</w:t>
            </w:r>
          </w:p>
        </w:tc>
        <w:tc>
          <w:tcPr>
            <w:tcW w:type="dxa" w:w="1169"/>
          </w:tcPr>
          <w:p>
            <w:r>
              <w:rPr>
                <w:sz w:val="20"/>
              </w:rPr>
              <w:t>Ia</w:t>
            </w:r>
          </w:p>
        </w:tc>
        <w:tc>
          <w:tcPr>
            <w:tcW w:type="dxa" w:w="1169"/>
          </w:tcPr>
          <w:p>
            <w:r>
              <w:rPr>
                <w:sz w:val="20"/>
              </w:rPr>
              <w:t>Canal Na+ NaV1.5 (cinétique intermédiaire) + Canal K+ Kr/hERG (accessoire) + effet anticholinergique</w:t>
            </w:r>
          </w:p>
        </w:tc>
        <w:tc>
          <w:tcPr>
            <w:tcW w:type="dxa" w:w="1169"/>
          </w:tcPr>
          <w:p>
            <w:r>
              <w:rPr>
                <w:sz w:val="20"/>
              </w:rPr>
              <w:t>6–8 h (LI), 10–12 h (LP)</w:t>
            </w:r>
          </w:p>
        </w:tc>
        <w:tc>
          <w:tcPr>
            <w:tcW w:type="dxa" w:w="1169"/>
          </w:tcPr>
          <w:p>
            <w:r>
              <w:rPr>
                <w:sz w:val="20"/>
              </w:rPr>
              <w:t>250 mg LP x 2/j (max 1 g/j)</w:t>
            </w:r>
          </w:p>
        </w:tc>
        <w:tc>
          <w:tcPr>
            <w:tcW w:type="dxa" w:w="1169"/>
          </w:tcPr>
          <w:p>
            <w:r>
              <w:rPr>
                <w:sz w:val="20"/>
              </w:rPr>
              <w:t>Allongement QT, torsades, hypoglycémie, effet anticholinergique (rétention urinaire, glaucome), proarythmie</w:t>
            </w:r>
          </w:p>
        </w:tc>
        <w:tc>
          <w:tcPr>
            <w:tcW w:type="dxa" w:w="1169"/>
          </w:tcPr>
          <w:p>
            <w:r>
              <w:rPr>
                <w:sz w:val="20"/>
              </w:rPr>
              <w:t>Glaucome angle fermé, HBP, allongement QT, BAV, bradycardie &lt; 50 bpm, IC décompensée, hypokaliémie</w:t>
            </w:r>
          </w:p>
        </w:tc>
        <w:tc>
          <w:tcPr>
            <w:tcW w:type="dxa" w:w="1169"/>
          </w:tcPr>
          <w:p>
            <w:r>
              <w:rPr>
                <w:sz w:val="20"/>
              </w:rPr>
              <w:t>CI relative (effet oxytocique, contractions utérines) ; CI allaitement</w:t>
            </w:r>
          </w:p>
        </w:tc>
      </w:tr>
      <w:tr>
        <w:tc>
          <w:tcPr>
            <w:tcW w:type="dxa" w:w="1169"/>
          </w:tcPr>
          <w:p>
            <w:r>
              <w:rPr>
                <w:sz w:val="20"/>
              </w:rPr>
              <w:t>**Lidocaïne (antiarythmique IV)**</w:t>
            </w:r>
          </w:p>
        </w:tc>
        <w:tc>
          <w:tcPr>
            <w:tcW w:type="dxa" w:w="1169"/>
          </w:tcPr>
          <w:p>
            <w:r>
              <w:rPr>
                <w:sz w:val="20"/>
              </w:rPr>
              <w:t>Ib</w:t>
            </w:r>
          </w:p>
        </w:tc>
        <w:tc>
          <w:tcPr>
            <w:tcW w:type="dxa" w:w="1169"/>
          </w:tcPr>
          <w:p>
            <w:r>
              <w:rPr>
                <w:sz w:val="20"/>
              </w:rPr>
              <w:t>Canal Na+ NaV1.5 (cinétique rapide, use-dependent, préférence tissu ischémique) + bloc accessoire K-ATP</w:t>
            </w:r>
          </w:p>
        </w:tc>
        <w:tc>
          <w:tcPr>
            <w:tcW w:type="dxa" w:w="1169"/>
          </w:tcPr>
          <w:p>
            <w:r>
              <w:rPr>
                <w:sz w:val="20"/>
              </w:rPr>
              <w:t>1,5–2 h (distribution 8–10 min)</w:t>
            </w:r>
          </w:p>
        </w:tc>
        <w:tc>
          <w:tcPr>
            <w:tcW w:type="dxa" w:w="1169"/>
          </w:tcPr>
          <w:p>
            <w:r>
              <w:rPr>
                <w:sz w:val="20"/>
              </w:rPr>
              <w:t>Bolus IV 1–1,5 mg/kg/2 min + perfusion 1–4 mg/min</w:t>
            </w:r>
          </w:p>
        </w:tc>
        <w:tc>
          <w:tcPr>
            <w:tcW w:type="dxa" w:w="1169"/>
          </w:tcPr>
          <w:p>
            <w:r>
              <w:rPr>
                <w:sz w:val="20"/>
              </w:rPr>
              <w:t>Convulsions, dépression myocardique, dépression respiratoire, méthémoglobinémie (prilocaïne crème), allergies</w:t>
            </w:r>
          </w:p>
        </w:tc>
        <w:tc>
          <w:tcPr>
            <w:tcW w:type="dxa" w:w="1169"/>
          </w:tcPr>
          <w:p>
            <w:r>
              <w:rPr>
                <w:sz w:val="20"/>
              </w:rPr>
              <w:t>BAV haut degré non appareillé, IC sévère, porphyrie, allergie amide, bradycardie &lt; 50 bpm (pour usage IV)</w:t>
            </w:r>
          </w:p>
        </w:tc>
        <w:tc>
          <w:tcPr>
            <w:tcW w:type="dxa" w:w="1169"/>
          </w:tcPr>
          <w:p>
            <w:r>
              <w:rPr>
                <w:sz w:val="20"/>
              </w:rPr>
              <w:t>Compatible (anesthésique local de référence chez la femme enceinte) ; allaitement compatible (dose unique ponctuelle)</w:t>
            </w:r>
          </w:p>
        </w:tc>
      </w:tr>
      <w:tr>
        <w:tc>
          <w:tcPr>
            <w:tcW w:type="dxa" w:w="1169"/>
          </w:tcPr>
          <w:p>
            <w:r>
              <w:rPr>
                <w:sz w:val="20"/>
              </w:rPr>
              <w:t>**Flécaïnide**</w:t>
            </w:r>
          </w:p>
        </w:tc>
        <w:tc>
          <w:tcPr>
            <w:tcW w:type="dxa" w:w="1169"/>
          </w:tcPr>
          <w:p>
            <w:r>
              <w:rPr>
                <w:sz w:val="20"/>
              </w:rPr>
              <w:t>Ic</w:t>
            </w:r>
          </w:p>
        </w:tc>
        <w:tc>
          <w:tcPr>
            <w:tcW w:type="dxa" w:w="1169"/>
          </w:tcPr>
          <w:p>
            <w:r>
              <w:rPr>
                <w:sz w:val="20"/>
              </w:rPr>
              <w:t>Canal Na+ NaV1.5 (cinétique lente, τ &gt; 10 s, bloc use-dependent marqué)</w:t>
            </w:r>
          </w:p>
        </w:tc>
        <w:tc>
          <w:tcPr>
            <w:tcW w:type="dxa" w:w="1169"/>
          </w:tcPr>
          <w:p>
            <w:r>
              <w:rPr>
                <w:sz w:val="20"/>
              </w:rPr>
              <w:t>12–27 h (allongée IR/IH)</w:t>
            </w:r>
          </w:p>
        </w:tc>
        <w:tc>
          <w:tcPr>
            <w:tcW w:type="dxa" w:w="1169"/>
          </w:tcPr>
          <w:p>
            <w:r>
              <w:rPr>
                <w:sz w:val="20"/>
              </w:rPr>
              <w:t>100 mg x 2/j (LI) ou 200 mg LP/j (max 400 mg/j) ; *pill in the pocket* 200–300 mg PO dose unique</w:t>
            </w:r>
          </w:p>
        </w:tc>
        <w:tc>
          <w:tcPr>
            <w:tcW w:type="dxa" w:w="1169"/>
          </w:tcPr>
          <w:p>
            <w:r>
              <w:rPr>
                <w:sz w:val="20"/>
              </w:rPr>
              <w:t>Proarythmie (FV post-IDM — essai CAST), élargissement QRS, troubles visuels (halos, scintillements), bradycardie</w:t>
            </w:r>
          </w:p>
        </w:tc>
        <w:tc>
          <w:tcPr>
            <w:tcW w:type="dxa" w:w="1169"/>
          </w:tcPr>
          <w:p>
            <w:r>
              <w:rPr>
                <w:sz w:val="20"/>
              </w:rPr>
              <w:t>Cardiopathie structurelle (post-IDM, IC FEVG &lt; 40 %, HVG), BAV, bradycardie &lt; 50 bpm, Brugada, allongement QT</w:t>
            </w:r>
          </w:p>
        </w:tc>
        <w:tc>
          <w:tcPr>
            <w:tcW w:type="dxa" w:w="1169"/>
          </w:tcPr>
          <w:p>
            <w:r>
              <w:rPr>
                <w:sz w:val="20"/>
              </w:rPr>
              <w:t>Compatible (référence pour arythmies maternelles sur cœur sain en 2e intention) ; allaitement compatible</w:t>
            </w:r>
          </w:p>
        </w:tc>
      </w:tr>
      <w:tr>
        <w:tc>
          <w:tcPr>
            <w:tcW w:type="dxa" w:w="1169"/>
          </w:tcPr>
          <w:p>
            <w:r>
              <w:rPr>
                <w:sz w:val="20"/>
              </w:rPr>
              <w:t>**Propafénone**</w:t>
            </w:r>
          </w:p>
        </w:tc>
        <w:tc>
          <w:tcPr>
            <w:tcW w:type="dxa" w:w="1169"/>
          </w:tcPr>
          <w:p>
            <w:r>
              <w:rPr>
                <w:sz w:val="20"/>
              </w:rPr>
              <w:t>Ic + effet β-bloquant intrinsèque</w:t>
            </w:r>
          </w:p>
        </w:tc>
        <w:tc>
          <w:tcPr>
            <w:tcW w:type="dxa" w:w="1169"/>
          </w:tcPr>
          <w:p>
            <w:r>
              <w:rPr>
                <w:sz w:val="20"/>
              </w:rPr>
              <w:t>Canal Na+ NaV1.5 (cinétique lente) + effet β-bloquant faible (2,5–5 % propranolol)</w:t>
            </w:r>
          </w:p>
        </w:tc>
        <w:tc>
          <w:tcPr>
            <w:tcW w:type="dxa" w:w="1169"/>
          </w:tcPr>
          <w:p>
            <w:r>
              <w:rPr>
                <w:sz w:val="20"/>
              </w:rPr>
              <w:t>5–8 h (variable selon CYP2D6 : 2–32 h)</w:t>
            </w:r>
          </w:p>
        </w:tc>
        <w:tc>
          <w:tcPr>
            <w:tcW w:type="dxa" w:w="1169"/>
          </w:tcPr>
          <w:p>
            <w:r>
              <w:rPr>
                <w:sz w:val="20"/>
              </w:rPr>
              <w:t>150 mg x 3/j (max 900 mg/j) ; *pill in the pocket* 450–600 mg PO dose unique</w:t>
            </w:r>
          </w:p>
        </w:tc>
        <w:tc>
          <w:tcPr>
            <w:tcW w:type="dxa" w:w="1169"/>
          </w:tcPr>
          <w:p>
            <w:r>
              <w:rPr>
                <w:sz w:val="20"/>
              </w:rPr>
              <w:t>Proarythmie, élargissement QRS, bradycardie (β-bloquant), bronchospasme, goût métallique, interactions CYP2D6</w:t>
            </w:r>
          </w:p>
        </w:tc>
        <w:tc>
          <w:tcPr>
            <w:tcW w:type="dxa" w:w="1169"/>
          </w:tcPr>
          <w:p>
            <w:r>
              <w:rPr>
                <w:sz w:val="20"/>
              </w:rPr>
              <w:t>Cardiopathie structurelle, BAV, bradycardie &lt; 50 bpm, asthme sévère, hypokaliémie, allongement QT</w:t>
            </w:r>
          </w:p>
        </w:tc>
        <w:tc>
          <w:tcPr>
            <w:tcW w:type="dxa" w:w="1169"/>
          </w:tcPr>
          <w:p>
            <w:r>
              <w:rPr>
                <w:sz w:val="20"/>
              </w:rPr>
              <w:t>Compatible (prudence — effet β-bloquant intrinsèque) ; allaitement compatible</w:t>
            </w:r>
          </w:p>
        </w:tc>
      </w:tr>
      <w:tr>
        <w:tc>
          <w:tcPr>
            <w:tcW w:type="dxa" w:w="1169"/>
          </w:tcPr>
          <w:p>
            <w:r>
              <w:rPr>
                <w:sz w:val="20"/>
              </w:rPr>
              <w:t>**Amiodarone**</w:t>
            </w:r>
          </w:p>
        </w:tc>
        <w:tc>
          <w:tcPr>
            <w:tcW w:type="dxa" w:w="1169"/>
          </w:tcPr>
          <w:p>
            <w:r>
              <w:rPr>
                <w:sz w:val="20"/>
              </w:rPr>
              <w:t>III (multi-canal)</w:t>
            </w:r>
          </w:p>
        </w:tc>
        <w:tc>
          <w:tcPr>
            <w:tcW w:type="dxa" w:w="1169"/>
          </w:tcPr>
          <w:p>
            <w:r>
              <w:rPr>
                <w:sz w:val="20"/>
              </w:rPr>
              <w:t>Canaux K+ (Kr, Ks, K-ACh, K-ATP) + Na+ + Ca2+ L + α-bloquant + β-bloquant non compétitif</w:t>
            </w:r>
          </w:p>
        </w:tc>
        <w:tc>
          <w:tcPr>
            <w:tcW w:type="dxa" w:w="1169"/>
          </w:tcPr>
          <w:p>
            <w:r>
              <w:rPr>
                <w:sz w:val="20"/>
              </w:rPr>
              <w:t>50–60 jours (jusqu'à 100 j — accumulation tissulaire massive)</w:t>
            </w:r>
          </w:p>
        </w:tc>
        <w:tc>
          <w:tcPr>
            <w:tcW w:type="dxa" w:w="1169"/>
          </w:tcPr>
          <w:p>
            <w:r>
              <w:rPr>
                <w:sz w:val="20"/>
              </w:rPr>
              <w:t>Charge PO 600 mg/j x 5–7 j puis 400 mg/j x 5–7 j puis entretien 200 mg/j ; IV 5 mg/kg sur 1 h puis 900 mg/24 h</w:t>
            </w:r>
          </w:p>
        </w:tc>
        <w:tc>
          <w:tcPr>
            <w:tcW w:type="dxa" w:w="1169"/>
          </w:tcPr>
          <w:p>
            <w:r>
              <w:rPr>
                <w:sz w:val="20"/>
              </w:rPr>
              <w:t>Dysthyroïdie (5–20 %), fibrose pulmonaire (1–5 %), hépatotoxicité, dépôts cornéens, photosensibilité, pigmentations cutanées, neuropathie, bradycardie, allongement QT</w:t>
            </w:r>
          </w:p>
        </w:tc>
        <w:tc>
          <w:tcPr>
            <w:tcW w:type="dxa" w:w="1169"/>
          </w:tcPr>
          <w:p>
            <w:r>
              <w:rPr>
                <w:sz w:val="20"/>
              </w:rPr>
              <w:t>Hyperthyroïdie, hypothyroïdie non traitée, BAV, bradycardie &lt; 50 bpm, allongement QT, grossesse, allaitement, pneumopathie évolutive</w:t>
            </w:r>
          </w:p>
        </w:tc>
        <w:tc>
          <w:tcPr>
            <w:tcW w:type="dxa" w:w="1169"/>
          </w:tcPr>
          <w:p>
            <w:r>
              <w:rPr>
                <w:sz w:val="20"/>
              </w:rPr>
              <w:t>**CI absolue** (dysthyroïdie fœtale — charge iodée massive) ; CI allaitement</w:t>
            </w:r>
          </w:p>
        </w:tc>
      </w:tr>
      <w:tr>
        <w:tc>
          <w:tcPr>
            <w:tcW w:type="dxa" w:w="1169"/>
          </w:tcPr>
          <w:p>
            <w:r>
              <w:rPr>
                <w:sz w:val="20"/>
              </w:rPr>
              <w:t>**Ivabradine**</w:t>
            </w:r>
          </w:p>
        </w:tc>
        <w:tc>
          <w:tcPr>
            <w:tcW w:type="dxa" w:w="1169"/>
          </w:tcPr>
          <w:p>
            <w:r>
              <w:rPr>
                <w:sz w:val="20"/>
              </w:rPr>
              <w:t>If (classe à part)</w:t>
            </w:r>
          </w:p>
        </w:tc>
        <w:tc>
          <w:tcPr>
            <w:tcW w:type="dxa" w:w="1169"/>
          </w:tcPr>
          <w:p>
            <w:r>
              <w:rPr>
                <w:sz w:val="20"/>
              </w:rPr>
              <w:t>Canal HCN4 (courant If pacemaker sinusal)</w:t>
            </w:r>
          </w:p>
        </w:tc>
        <w:tc>
          <w:tcPr>
            <w:tcW w:type="dxa" w:w="1169"/>
          </w:tcPr>
          <w:p>
            <w:r>
              <w:rPr>
                <w:sz w:val="20"/>
              </w:rPr>
              <w:t>6 h (forme immédiate)</w:t>
            </w:r>
          </w:p>
        </w:tc>
        <w:tc>
          <w:tcPr>
            <w:tcW w:type="dxa" w:w="1169"/>
          </w:tcPr>
          <w:p>
            <w:r>
              <w:rPr>
                <w:sz w:val="20"/>
              </w:rPr>
              <w:t>5 mg x 2/j en initiation → 7,5 mg x 2/j (max 15 mg/j) ; adaptation selon FC</w:t>
            </w:r>
          </w:p>
        </w:tc>
        <w:tc>
          <w:tcPr>
            <w:tcW w:type="dxa" w:w="1169"/>
          </w:tcPr>
          <w:p>
            <w:r>
              <w:rPr>
                <w:sz w:val="20"/>
              </w:rPr>
              <w:t>Bradycardie symptomatique, phosphènes (5–15 %), FA (légère augmentation), céphalées</w:t>
            </w:r>
          </w:p>
        </w:tc>
        <w:tc>
          <w:tcPr>
            <w:tcW w:type="dxa" w:w="1169"/>
          </w:tcPr>
          <w:p>
            <w:r>
              <w:rPr>
                <w:sz w:val="20"/>
              </w:rPr>
              <w:t>FC &lt; 70 bpm, FA/flutter (inefficace), BAV, choc cardiogénique, IC aiguë décompensée, association inhibiteurs puissants CYP3A4</w:t>
            </w:r>
          </w:p>
        </w:tc>
        <w:tc>
          <w:tcPr>
            <w:tcW w:type="dxa" w:w="1169"/>
          </w:tcPr>
          <w:p>
            <w:r>
              <w:rPr>
                <w:sz w:val="20"/>
              </w:rPr>
              <w:t>**CI relative** (embryotoxicité animale — contraception obligatoire) ; CI allaitement</w:t>
            </w:r>
          </w:p>
        </w:tc>
      </w:tr>
      <w:tr>
        <w:tc>
          <w:tcPr>
            <w:tcW w:type="dxa" w:w="1169"/>
          </w:tcPr>
          <w:p>
            <w:r>
              <w:rPr>
                <w:sz w:val="20"/>
              </w:rPr>
              <w:t>**Adénosine (ATP)**</w:t>
            </w:r>
          </w:p>
        </w:tc>
        <w:tc>
          <w:tcPr>
            <w:tcW w:type="dxa" w:w="1169"/>
          </w:tcPr>
          <w:p>
            <w:r>
              <w:rPr>
                <w:sz w:val="20"/>
              </w:rPr>
              <w:t>Purines (classe à part)</w:t>
            </w:r>
          </w:p>
        </w:tc>
        <w:tc>
          <w:tcPr>
            <w:tcW w:type="dxa" w:w="1169"/>
          </w:tcPr>
          <w:p>
            <w:r>
              <w:rPr>
                <w:sz w:val="20"/>
              </w:rPr>
              <w:t>Récepteur A1 (nœud sinusal + AV) → ouverture K+ GIRK → hyperpolarisation → bloc AV transitoire</w:t>
            </w:r>
          </w:p>
        </w:tc>
        <w:tc>
          <w:tcPr>
            <w:tcW w:type="dxa" w:w="1169"/>
          </w:tcPr>
          <w:p>
            <w:r>
              <w:rPr>
                <w:sz w:val="20"/>
              </w:rPr>
              <w:t>8–10 s (dégradation adénosine désaminase) — IV stricte</w:t>
            </w:r>
          </w:p>
        </w:tc>
        <w:tc>
          <w:tcPr>
            <w:tcW w:type="dxa" w:w="1169"/>
          </w:tcPr>
          <w:p>
            <w:r>
              <w:rPr>
                <w:sz w:val="20"/>
              </w:rPr>
              <w:t>IV (Adenocor — non disponible Algérie) : 3–6–9–12 mg bolus IV rapide + flush NaCl ; Oral (ATPADENE — disponible Algérie) : 30–90 mg/j en 1–3 prises (sans efficacité antiarythmique)</w:t>
            </w:r>
          </w:p>
        </w:tc>
        <w:tc>
          <w:tcPr>
            <w:tcW w:type="dxa" w:w="1169"/>
          </w:tcPr>
          <w:p>
            <w:r>
              <w:rPr>
                <w:sz w:val="20"/>
              </w:rPr>
              <w:t>Flush, dyspnée transitoire, oppression thoracique, bradycardie/pause sinusale, BAV transitoire, bronchospasme (asthmatique)</w:t>
            </w:r>
          </w:p>
        </w:tc>
        <w:tc>
          <w:tcPr>
            <w:tcW w:type="dxa" w:w="1169"/>
          </w:tcPr>
          <w:p>
            <w:r>
              <w:rPr>
                <w:sz w:val="20"/>
              </w:rPr>
              <w:t>Asthme, BAV haut degré non appareillé, bradycardie &lt; 50 bpm, syndrome nœud sinusal, prise récente dipyridamole, carbamazépine</w:t>
            </w:r>
          </w:p>
        </w:tc>
        <w:tc>
          <w:tcPr>
            <w:tcW w:type="dxa" w:w="1169"/>
          </w:tcPr>
          <w:p>
            <w:r>
              <w:rPr>
                <w:sz w:val="20"/>
              </w:rPr>
              <w:t>**Compatible** (IV — premier choix TJR pendant grossesse) ; oral à éviter par prudence ; allaitement compatible (IV)</w:t>
            </w:r>
          </w:p>
        </w:tc>
      </w:tr>
    </w:tbl>
    <w:p/>
    <w:p>
      <w:pPr>
        <w:pStyle w:val="Heading2"/>
      </w:pPr>
      <w:r>
        <w:t>Synthèse pour la Pratique Pharmaceutique Algérienne</w:t>
      </w:r>
    </w:p>
    <w:p>
      <w:r>
        <w:t>La classe des antiarythmiques en Algérie se caractérise par une diversité de molécules couvrant 6 sous-classes thérapeutiques (Ia, Ib, Ic, III, inhibiteurs du canal If, purines), avec une place prépondérante de l'</w:t>
      </w:r>
      <w:r>
        <w:rPr>
          <w:b/>
        </w:rPr>
        <w:t>amiodarone</w:t>
      </w:r>
      <w:r>
        <w:t xml:space="preserve"> comme chef de file de la classe III et de l'</w:t>
      </w:r>
      <w:r>
        <w:rPr>
          <w:b/>
        </w:rPr>
        <w:t>antiarythmique le plus prescrit</w:t>
      </w:r>
      <w:r>
        <w:t xml:space="preserve"> en Algérie. Les principales règles pédagogiques à retenir sont :</w:t>
      </w:r>
    </w:p>
    <w:p>
      <w:pPr>
        <w:pStyle w:val="ListNumber"/>
      </w:pPr>
      <w:r/>
      <w:r>
        <w:rPr>
          <w:b/>
        </w:rPr>
        <w:t>La classification de Vaughan-Williams (1970, amendée Sicilian Gambit 1991)</w:t>
      </w:r>
      <w:r>
        <w:t xml:space="preserve"> reste la référence pédagogique pour comprendre les mécanismes d'action — distinguant les classes I (bloc Na+ avec cinétique variable Ia/Ib/Ic), II (β-bloquants), III (bloc K+), IV (inhibiteurs calciques non DHP). Les inhibiteurs du canal If et les purines (adénosine) constituent des classes à part, distinctes de VW.</w:t>
      </w:r>
    </w:p>
    <w:p>
      <w:pPr>
        <w:pStyle w:val="ListNumber"/>
      </w:pPr>
      <w:r/>
      <w:r>
        <w:rPr>
          <w:b/>
        </w:rPr>
        <w:t>L'amiodarone est l'antiarythmique de référence</w:t>
      </w:r>
      <w:r>
        <w:t xml:space="preserve"> — puissance antiarythmique supérieure (efficace à la fois sur les arythmies supraventriculaires et ventriculaires, sur cœur sain et sur cardiopathie structurelle), profil multi-canal original (K+ + Na+ + Ca2+ + α/β-bloquant) à l'origine d'un faible taux de proarythmie malgré un allongement du QT marqué (bloc Ca2+ L accessoire prévenant les EAD). Sa </w:t>
      </w:r>
      <w:r>
        <w:rPr>
          <w:b/>
        </w:rPr>
        <w:t>demi-vie extrêmement longue</w:t>
      </w:r>
      <w:r>
        <w:t xml:space="preserve"> (50–60 jours) impose une </w:t>
      </w:r>
      <w:r>
        <w:rPr>
          <w:b/>
        </w:rPr>
        <w:t>charge IV puis PO</w:t>
      </w:r>
      <w:r>
        <w:t xml:space="preserve"> suivie d'un </w:t>
      </w:r>
      <w:r>
        <w:rPr>
          <w:b/>
        </w:rPr>
        <w:t>entretien à dose minimale efficace</w:t>
      </w:r>
      <w:r>
        <w:t xml:space="preserve"> pour limiter la toxicité cumulative. Sa </w:t>
      </w:r>
      <w:r>
        <w:rPr>
          <w:b/>
        </w:rPr>
        <w:t>surcharge iodée</w:t>
      </w:r>
      <w:r>
        <w:t xml:space="preserve"> (75 mg d'iode par comprimé 200 mg) provoque une </w:t>
      </w:r>
      <w:r>
        <w:rPr>
          <w:b/>
        </w:rPr>
        <w:t>dysthyroïdie</w:t>
      </w:r>
      <w:r>
        <w:t xml:space="preserve"> caractéristique (5–20 %) — surveillance TSH systématique semestrielle. Sa </w:t>
      </w:r>
      <w:r>
        <w:rPr>
          <w:b/>
        </w:rPr>
        <w:t>toxicité multiviscérale cumulative</w:t>
      </w:r>
      <w:r>
        <w:t xml:space="preserve"> (fibrose pulmonaire, hépatotoxicité, dépôts cornéens, photosensibilité, neuropathie) impose une surveillance systématique pluridisciplinaire (TSH, scanner thoracique, EFR, transaminases, ophtalmo) tout au long du traitement.</w:t>
      </w:r>
    </w:p>
    <w:p>
      <w:pPr>
        <w:pStyle w:val="ListNumber"/>
      </w:pPr>
      <w:r/>
      <w:r>
        <w:rPr>
          <w:b/>
        </w:rPr>
        <w:t>Les interactions médicamenteuses de l'amiodarone sont majeures</w:t>
      </w:r>
      <w:r>
        <w:t xml:space="preserve"> — inhibition du CYP3A4, CYP2C9, CYP2D6 et de la P-glycoprotéine (P-gp) → </w:t>
      </w:r>
      <w:r>
        <w:rPr>
          <w:b/>
        </w:rPr>
        <w:t>adaptation obligatoire des doses d'AVK (warfarine —30–50 %), de digoxine (—50 %), de statines (simvastatine max 20 mg/j, atorvastatine max 40 mg/j)</w:t>
      </w:r>
      <w:r>
        <w:t xml:space="preserve"> dès l'initiation, et surveillance prolongée 2–6 mois après l'arrêt (longue demi-vie). À l'officine, vérification systématique des associations médicamenteuses avant dispensation.</w:t>
      </w:r>
    </w:p>
    <w:p>
      <w:pPr>
        <w:pStyle w:val="ListNumber"/>
      </w:pPr>
      <w:r/>
      <w:r>
        <w:rPr>
          <w:b/>
        </w:rPr>
        <w:t>La flécaïnide est la classe Ic de référence</w:t>
      </w:r>
      <w:r>
        <w:t xml:space="preserve"> disponible en Algérie — indications limitées aux arythmies supraventriculaires </w:t>
      </w:r>
      <w:r>
        <w:rPr>
          <w:b/>
        </w:rPr>
        <w:t>sur cœur sain</w:t>
      </w:r>
      <w:r>
        <w:t xml:space="preserve"> (FA paroxystique, flutter atrial, TJR avec faisceau accessoire) — </w:t>
      </w:r>
      <w:r>
        <w:rPr>
          <w:b/>
        </w:rPr>
        <w:t>CI absolue en cardiopathie structurelle</w:t>
      </w:r>
      <w:r>
        <w:t xml:space="preserve"> (essai CAST 1989 — surmortalité par FV récurrente en post-IDM). Stratégie « pilule dans la poche » (*pill in the pocket*) pour FA paroxystique bien tolérée, peu fréquente, sur cœur sain, chez le patient éduqué. Surveillance ECG systématique (élargissement QRS, allongement PR). Compatible avec la grossesse et l'allaitement (atout majeur chez la femme jeune).</w:t>
      </w:r>
    </w:p>
    <w:p>
      <w:pPr>
        <w:pStyle w:val="ListNumber"/>
      </w:pPr>
      <w:r/>
      <w:r>
        <w:rPr>
          <w:b/>
        </w:rPr>
        <w:t>La propafénone</w:t>
      </w:r>
      <w:r>
        <w:t xml:space="preserve"> partage les indications de la flécaînide mais avec un </w:t>
      </w:r>
      <w:r>
        <w:rPr>
          <w:b/>
        </w:rPr>
        <w:t>effet β-bloquant intrinsèque</w:t>
      </w:r>
      <w:r>
        <w:t xml:space="preserve"> faible (attention chez l'asthmatique et le diabétique). Sa </w:t>
      </w:r>
      <w:r>
        <w:rPr>
          <w:b/>
        </w:rPr>
        <w:t>trithérapie quotidienne</w:t>
      </w:r>
      <w:r>
        <w:t xml:space="preserve"> et son </w:t>
      </w:r>
      <w:r>
        <w:rPr>
          <w:b/>
        </w:rPr>
        <w:t>polymorphisme CYP2D6</w:t>
      </w:r>
      <w:r>
        <w:t xml:space="preserve"> (métaboliseurs lents ~5–10 %, ultra-rapides ~3–5 % en Afrique du Nord) en font une molécule à surveillance rapprochée. Son statut </w:t>
      </w:r>
      <w:r>
        <w:rPr>
          <w:b/>
        </w:rPr>
        <w:t>Non Renouvelable en Algérie</w:t>
      </w:r>
      <w:r>
        <w:t xml:space="preserve"> impose un switch vers la flécaînide.</w:t>
      </w:r>
    </w:p>
    <w:p>
      <w:pPr>
        <w:pStyle w:val="ListNumber"/>
      </w:pPr>
      <w:r/>
      <w:r>
        <w:rPr>
          <w:b/>
        </w:rPr>
        <w:t>La lidocaïne IV</w:t>
      </w:r>
      <w:r>
        <w:t xml:space="preserve"> reste l'antiarythmique de référence de la phase aiguë de l'ischémie myocardique (TV post-IDM, ESV menaçantes ischémiques), mais est aujourd'hui </w:t>
      </w:r>
      <w:r>
        <w:rPr>
          <w:b/>
        </w:rPr>
        <w:t>supplantée par l'amiodarone</w:t>
      </w:r>
      <w:r>
        <w:t xml:space="preserve"> selon les recommandations ESC 2020 et ILCOR 2020 sur la prise en charge des arrêts cardiaques et des TV soutenues. À l'officine, </w:t>
      </w:r>
      <w:r>
        <w:rPr>
          <w:b/>
        </w:rPr>
        <w:t>délivrer exclusivement la forme pure 1 % sans adrénaline</w:t>
      </w:r>
      <w:r>
        <w:t xml:space="preserve"> pour usage antiarythmique IV (les formes adrénalinées sont CI absolues en usage IV — risque vital).</w:t>
      </w:r>
    </w:p>
    <w:p>
      <w:pPr>
        <w:pStyle w:val="ListNumber"/>
      </w:pPr>
      <w:r/>
      <w:r>
        <w:rPr>
          <w:b/>
        </w:rPr>
        <w:t>Le disopyramide</w:t>
      </w:r>
      <w:r>
        <w:t xml:space="preserve"> (classe Ia) est en voie de retrait du marché algérien — son usage est devenu très marginal (rare alternative à la flécaînide et l'amiodarone, en seconde/3e ligne spécialisée). Son </w:t>
      </w:r>
      <w:r>
        <w:rPr>
          <w:b/>
        </w:rPr>
        <w:t>effet anticholinergique</w:t>
      </w:r>
      <w:r>
        <w:t xml:space="preserve"> marqué et son </w:t>
      </w:r>
      <w:r>
        <w:rPr>
          <w:b/>
        </w:rPr>
        <w:t>allongement du QT</w:t>
      </w:r>
      <w:r>
        <w:t xml:space="preserve"> (risque torsadogène) en font une molécule à surveillance stricte (ECG, kaliémie, STP, glycémie — hypoglycémie iatrogène par effet β-pancréatique).</w:t>
      </w:r>
    </w:p>
    <w:p>
      <w:pPr>
        <w:pStyle w:val="ListNumber"/>
      </w:pPr>
      <w:r/>
      <w:r>
        <w:rPr>
          <w:b/>
        </w:rPr>
        <w:t>L'ivabradine</w:t>
      </w:r>
      <w:r>
        <w:t xml:space="preserve"> est l'unique inhibiteur du canal If disponible — indiquée dans l'</w:t>
      </w:r>
      <w:r>
        <w:rPr>
          <w:b/>
        </w:rPr>
        <w:t>IC chronique stable avec FEVG ≤ 35 % en rythme sinusal et FC ≥ 70 bpm</w:t>
      </w:r>
      <w:r>
        <w:t xml:space="preserve"> (essai SHIFT 2010) et dans l'</w:t>
      </w:r>
      <w:r>
        <w:rPr>
          <w:b/>
        </w:rPr>
        <w:t>angor stable chronique</w:t>
      </w:r>
      <w:r>
        <w:t xml:space="preserve"> en cas de CI/intolérance aux β-bloquants. </w:t>
      </w:r>
      <w:r>
        <w:rPr>
          <w:b/>
        </w:rPr>
        <w:t>Bradycardisante pure</w:t>
      </w:r>
      <w:r>
        <w:t xml:space="preserve"> sans effet inotrope négatif — profil de tolérance supérieur aux β-bloquants. </w:t>
      </w:r>
      <w:r>
        <w:rPr>
          <w:b/>
        </w:rPr>
        <w:t>CI absolue si FC &lt; 70 bpm à l'initiation</w:t>
      </w:r>
      <w:r>
        <w:t xml:space="preserve"> et </w:t>
      </w:r>
      <w:r>
        <w:rPr>
          <w:b/>
        </w:rPr>
        <w:t>en cas de FA/flutter</w:t>
      </w:r>
      <w:r>
        <w:t xml:space="preserve"> (inefficace sur le nœud sinusal). Particularité algérienne : </w:t>
      </w:r>
      <w:r>
        <w:rPr>
          <w:b/>
        </w:rPr>
        <w:t>statut Non Renouvelable (5 mg) et Retirée (7,5 mg)</w:t>
      </w:r>
      <w:r>
        <w:t xml:space="preserve"> — la molécule est en voie de retrait du marché algérien.</w:t>
      </w:r>
    </w:p>
    <w:p>
      <w:pPr>
        <w:pStyle w:val="ListNumber"/>
      </w:pPr>
      <w:r/>
      <w:r>
        <w:rPr>
          <w:b/>
        </w:rPr>
        <w:t>L'adénosine</w:t>
      </w:r>
      <w:r>
        <w:t xml:space="preserve"> est le gold standard international de la </w:t>
      </w:r>
      <w:r>
        <w:rPr>
          <w:b/>
        </w:rPr>
        <w:t>termination des TJR en urgence</w:t>
      </w:r>
      <w:r>
        <w:t xml:space="preserve"> (efficacité &gt; 90 % par blocage AV transitoire) — mais sa </w:t>
      </w:r>
      <w:r>
        <w:rPr>
          <w:b/>
        </w:rPr>
        <w:t>forme IV (Adenocor, Sanofi) n'est pas commercialisée en Algérie</w:t>
      </w:r>
      <w:r>
        <w:t>. La seule forme disponible est l'</w:t>
      </w:r>
      <w:r>
        <w:rPr>
          <w:b/>
        </w:rPr>
        <w:t>ATP oral</w:t>
      </w:r>
      <w:r>
        <w:t xml:space="preserve"> (ATPADENE, ATP NOVAGENERICS 30 mg) — sans efficacité antiarythmique clinique (biodisponibilité orale quasi nulle). À l'officine, </w:t>
      </w:r>
      <w:r>
        <w:rPr>
          <w:b/>
        </w:rPr>
        <w:t>informer le patient et le médecin</w:t>
      </w:r>
      <w:r>
        <w:t xml:space="preserve"> de cette particularité et orienter vers les alternatives (manœuvres vagales, vérapamil IV, cardioversion électrique). L'adénosine IV est accessible </w:t>
      </w:r>
      <w:r>
        <w:rPr>
          <w:b/>
        </w:rPr>
        <w:t>par importation exceptionnelle</w:t>
      </w:r>
      <w:r>
        <w:t xml:space="preserve"> sur autorisation du ministère de la Santé.</w:t>
      </w:r>
    </w:p>
    <w:p>
      <w:pPr>
        <w:pStyle w:val="ListNumber"/>
      </w:pPr>
      <w:r/>
      <w:r>
        <w:rPr>
          <w:b/>
        </w:rPr>
        <w:t>La prescription des antiarythmiques est strictement hospitalière spécialisée</w:t>
      </w:r>
      <w:r>
        <w:t xml:space="preserve"> (cardiologie rythmologique et soins intensifs cardiologiques) pour l'initiation, puis relayée en ville sur ordonnance de cardiologue. Les statuts Liste I/Liste II/Stupéfiant varient selon les molécules et les formes (amiodarone IV : Liste I pour AMIOCARDONE, Liste II pour CORDARONE ; comprimés : Liste II ; flécaînide : Liste I ; ivabradine : Liste I ; disopyramide : Liste I ; lidocaïne : Liste II pour formes pures, Liste I pour formes adrénalinées).</w:t>
      </w:r>
    </w:p>
    <w:p>
      <w:pPr>
        <w:pStyle w:val="ListNumber"/>
      </w:pPr>
      <w:r/>
      <w:r>
        <w:rPr>
          <w:b/>
        </w:rPr>
        <w:t>La surveillance ECG est systématique</w:t>
      </w:r>
      <w:r>
        <w:t xml:space="preserve"> à l'initiation puis régulièrement pendant toute la durée du traitement — vérification de la FC (cible selon le médicament), du PR (β-bloquants, propafénone), du QRS (flécaînide, propafénone, disopyramide), du QTc (disopyramide, amiodarone, propafénone), du rythme sinusal (ivabradine). À l'officine, vérifier l'existence d'un ECG récent avant délivrance.</w:t>
      </w:r>
    </w:p>
    <w:p>
      <w:pPr>
        <w:pStyle w:val="ListNumber"/>
      </w:pPr>
      <w:r/>
      <w:r>
        <w:rPr>
          <w:b/>
        </w:rPr>
        <w:t>La grossesse et l'allaitement</w:t>
      </w:r>
      <w:r>
        <w:t xml:space="preserve"> imposent des précautions spécifiques par molécule : (a) </w:t>
      </w:r>
      <w:r>
        <w:rPr>
          <w:b/>
        </w:rPr>
        <w:t>CI absolue pour l'amiodarone</w:t>
      </w:r>
      <w:r>
        <w:t xml:space="preserve"> (dysthyroïdie fœtale — charge iodée massive) — contraception obligatoire chez la femme en âge de procréer ; (b) </w:t>
      </w:r>
      <w:r>
        <w:rPr>
          <w:b/>
        </w:rPr>
        <w:t>CI relative pour le disopyramide</w:t>
      </w:r>
      <w:r>
        <w:t xml:space="preserve"> (effet oxytocique) et l'</w:t>
      </w:r>
      <w:r>
        <w:rPr>
          <w:b/>
        </w:rPr>
        <w:t>ivabradine</w:t>
      </w:r>
      <w:r>
        <w:t xml:space="preserve"> (embryotoxicité animale) ; (c) </w:t>
      </w:r>
      <w:r>
        <w:rPr>
          <w:b/>
        </w:rPr>
        <w:t>Compatible pour la flécaînide</w:t>
      </w:r>
      <w:r>
        <w:t xml:space="preserve"> (référence pour arythmies maternelles sur cœur sain), la </w:t>
      </w:r>
      <w:r>
        <w:rPr>
          <w:b/>
        </w:rPr>
        <w:t>lidocaïne</w:t>
      </w:r>
      <w:r>
        <w:t xml:space="preserve"> (anesthésique local de référence), et l'</w:t>
      </w:r>
      <w:r>
        <w:rPr>
          <w:b/>
        </w:rPr>
        <w:t>adénosine IV</w:t>
      </w:r>
      <w:r>
        <w:t xml:space="preserve"> (référence pour TJR pendant la grossesse).</w:t>
      </w:r>
    </w:p>
    <w:p>
      <w:pPr>
        <w:pStyle w:val="ListNumber"/>
      </w:pPr>
      <w:r/>
      <w:r>
        <w:rPr>
          <w:b/>
        </w:rPr>
        <w:t>Les sources de référence</w:t>
      </w:r>
      <w:r>
        <w:t xml:space="preserve"> à mobiliser en Algérie sont : VIDAL 2024, ANSM (RCP des spécialités), Thériaque, CRAT (données grossesse/allaitement), UpToDate, Micromedex, ESC guidelines 2020 (FA), ESC guidelines 2021 (insuffisance cardiaque), ESC guidelines 2019 (supraventricular tachycardias), ACC/AHA/HRS 2017. Le pharmacien d'officine joue un rôle central dans la </w:t>
      </w:r>
      <w:r>
        <w:rPr>
          <w:b/>
        </w:rPr>
        <w:t>dispensation, le conseil, la surveillance et la détection des interactions</w:t>
      </w:r>
      <w:r>
        <w:t>.</w:t>
      </w:r>
    </w:p>
    <w:p>
      <w:pPr>
        <w:pStyle w:val="ListNumber"/>
      </w:pPr>
      <w:r/>
      <w:r>
        <w:rPr>
          <w:b/>
        </w:rPr>
        <w:t>Le pharmacien d'officine algérien</w:t>
      </w:r>
      <w:r>
        <w:t xml:space="preserve"> doit être particulièrement vigilant sur : (a) les </w:t>
      </w:r>
      <w:r>
        <w:rPr>
          <w:b/>
        </w:rPr>
        <w:t>statuts de disponibilité</w:t>
      </w:r>
      <w:r>
        <w:t xml:space="preserve"> des molécules (Non Renouvelable pour disopyramide, propafénone, ivabradine 5 mg, amiodarone Mylan/Medochemie/Julphar — Retiré pour ivabradine 7,5 mg et plusieurs marques d'amiodarone) ; (b) les </w:t>
      </w:r>
      <w:r>
        <w:rPr>
          <w:b/>
        </w:rPr>
        <w:t>interactions médicamenteuses</w:t>
      </w:r>
      <w:r>
        <w:t xml:space="preserve"> majeures (amiodarone + AVK/digoxine/statines, adénosine IV + dipyridamole, ivabradine + inhibiteurs CYP3A4, flécaînide + macrolides) ; (c) la </w:t>
      </w:r>
      <w:r>
        <w:rPr>
          <w:b/>
        </w:rPr>
        <w:t>surveillance systématique</w:t>
      </w:r>
      <w:r>
        <w:t xml:space="preserve"> (ECG, TSH, scanner thoracique, transaminases, ophtalmo pour l'amiodarone) ; (d) l'</w:t>
      </w:r>
      <w:r>
        <w:rPr>
          <w:b/>
        </w:rPr>
        <w:t>éducation du patient</w:t>
      </w:r>
      <w:r>
        <w:t xml:space="preserve"> (photosensibilité amiodarone, surveillance FC pour ivabradine, reconnaissance des signes d'alerte arythmique, « pilule dans la poche » pour flécaînide, contraception pour amiodarone chez la femme en âge de procréer) ; (e) la </w:t>
      </w:r>
      <w:r>
        <w:rPr>
          <w:b/>
        </w:rPr>
        <w:t>communication avec le cardiologue référent</w:t>
      </w:r>
      <w:r>
        <w:t xml:space="preserve"> pour toute question ou signe d'alerte.</w:t>
      </w:r>
    </w:p>
    <w:p>
      <w:pPr>
        <w:pStyle w:val="ListNumber"/>
      </w:pPr>
      <w:r/>
      <w:r>
        <w:rPr>
          <w:b/>
        </w:rPr>
        <w:t>La place des antiarythmiques en Algérie reste sous-optimisée</w:t>
      </w:r>
      <w:r>
        <w:t xml:space="preserve"> pour la prise en charge des troubles du rythme — notamment pour l'accès à l'</w:t>
      </w:r>
      <w:r>
        <w:rPr>
          <w:b/>
        </w:rPr>
        <w:t>adénosine IV</w:t>
      </w:r>
      <w:r>
        <w:t xml:space="preserve"> (gold standard des TJR, non disponible), l'</w:t>
      </w:r>
      <w:r>
        <w:rPr>
          <w:b/>
        </w:rPr>
        <w:t>ivabradine</w:t>
      </w:r>
      <w:r>
        <w:t xml:space="preserve"> (Non Renouvelable), le </w:t>
      </w:r>
      <w:r>
        <w:rPr>
          <w:b/>
        </w:rPr>
        <w:t>sotalol</w:t>
      </w:r>
      <w:r>
        <w:t xml:space="preserve"> (non commercialisé), le </w:t>
      </w:r>
      <w:r>
        <w:rPr>
          <w:b/>
        </w:rPr>
        <w:t>dronédarone</w:t>
      </w:r>
      <w:r>
        <w:t xml:space="preserve"> (non commercialisé), et la </w:t>
      </w:r>
      <w:r>
        <w:rPr>
          <w:b/>
        </w:rPr>
        <w:t>quinidine</w:t>
      </w:r>
      <w:r>
        <w:t xml:space="preserve"> (retirée). Les patients algériens atteints de troubles du rythme bénéficient néanmoins d'un accès large à l'</w:t>
      </w:r>
      <w:r>
        <w:rPr>
          <w:b/>
        </w:rPr>
        <w:t>amiodarone</w:t>
      </w:r>
      <w:r>
        <w:t xml:space="preserve"> (forme IV et orale, plusieurs marques disponibles) et à la </w:t>
      </w:r>
      <w:r>
        <w:rPr>
          <w:b/>
        </w:rPr>
        <w:t>flécaînide</w:t>
      </w:r>
      <w:r>
        <w:t xml:space="preserve"> (4 marques de comprimés 100 mg + 3 dosages LP), ce qui constitue une base thérapeutique solide pour la cardiologie rythmologique algérienne. L'</w:t>
      </w:r>
      <w:r>
        <w:rPr>
          <w:b/>
        </w:rPr>
        <w:t>ablation par radiofréquence</w:t>
      </w:r>
      <w:r>
        <w:t xml:space="preserve"> (technique interventionnelle de traitement curatif des TJR, FA paroxystique et flutter atrial) est disponible dans les centres hospitalo-universitaires d'Alger, Oran et Constantine — à privilégier comme alternative curative aux traitements antiarythmiques pharmacologiques au long cours.</w:t>
      </w:r>
    </w:p>
    <w:p>
      <w:r/>
      <w:r>
        <w:rPr>
          <w:i/>
        </w:rPr>
        <w:t>Fin du chapitre 35 — Antiarythmiques</w:t>
      </w:r>
      <w:r/>
    </w:p>
    <w:p>
      <w:pPr>
        <w:pStyle w:val="Heading1"/>
      </w:pPr>
      <w:r>
        <w:t>Section 36 — Anticoagulants oraux (AVK &amp; AOD) et Héparines (HNF &amp; HBPM)</w:t>
      </w:r>
    </w:p>
    <w:p>
      <w:pPr>
        <w:pStyle w:val="Heading2"/>
      </w:pPr>
      <w:r>
        <w:t>Fascicule IV — Cardiologie</w:t>
      </w:r>
    </w:p>
    <w:p>
      <w:pPr>
        <w:pStyle w:val="Heading2"/>
      </w:pPr>
      <w:r>
        <w:t>Introduction générale aux antithrombotiques anticoagulants</w:t>
      </w:r>
    </w:p>
    <w:p>
      <w:r>
        <w:t>Les anticoagulants constituent une classe pivot de la pharmacologie cardiovasculaire et de la médecine vasculaire. Ils partagent un objectif thérapeutique commun — prévenir et traiter la formation et l'extension du thrombus intravasculaire — mais se différencient par leur site d'action sur la cascade de coagulation, leur voie d'administration, leur délai d'action, leur mode de surveillance et leurs antidotes. Leur maniement reste l'un des plus complexes de la thérapeutique, car la marge entre efficacité antithrombotique et risque hémorragique est étroite, et les interactions médicamenteuses ainsi que les particularités pharmacocinétiques (insuffisance rénale, âge, poids) influent directement sur la posologie et la tolérance.</w:t>
      </w:r>
    </w:p>
    <w:p>
      <w:r>
        <w:t xml:space="preserve">La présente section regroupe </w:t>
      </w:r>
      <w:r>
        <w:rPr>
          <w:b/>
        </w:rPr>
        <w:t>10 DCIs</w:t>
      </w:r>
      <w:r>
        <w:t xml:space="preserve"> effectivement commercialisées (actives ou ayant été commercialisées en Algérie à des périodes récentes) réparties sur </w:t>
      </w:r>
      <w:r>
        <w:rPr>
          <w:b/>
        </w:rPr>
        <w:t>5 sous-classes</w:t>
      </w:r>
      <w:r>
        <w:t xml:space="preserve"> selon le schéma classique de la cascade de coagulation :</w:t>
      </w:r>
    </w:p>
    <w:p>
      <w:pPr>
        <w:pStyle w:val="ListNumber"/>
      </w:pPr>
      <w:r/>
      <w:r>
        <w:rPr>
          <w:b/>
        </w:rPr>
        <w:t>Antagonistes de la vitamine K (AVK)</w:t>
      </w:r>
      <w:r>
        <w:t xml:space="preserve"> — Acénocoumarol : inhibent indirectement la synthèse hépatique des facteurs vit-K-dépendants (II, VII, IX, X, protéines C et S), d'action lente (48–72 h), surveillance par INR.</w:t>
      </w:r>
    </w:p>
    <w:p>
      <w:pPr>
        <w:pStyle w:val="ListNumber"/>
      </w:pPr>
      <w:r/>
      <w:r>
        <w:rPr>
          <w:b/>
        </w:rPr>
        <w:t>AOD anti-Xa directs</w:t>
      </w:r>
      <w:r>
        <w:t xml:space="preserve"> — Apixaban, Rivaroxaban : inhibiteurs directs et réversibles du facteur Xa, sans intermédiaire antithrombine, d'action immédiate par voie orale, sans surveillance biologique de routine.</w:t>
      </w:r>
    </w:p>
    <w:p>
      <w:pPr>
        <w:pStyle w:val="ListNumber"/>
      </w:pPr>
      <w:r/>
      <w:r>
        <w:rPr>
          <w:b/>
        </w:rPr>
        <w:t>AOD anti-IIa directs</w:t>
      </w:r>
      <w:r>
        <w:t xml:space="preserve"> — Dabigatran : inhibiteur direct de la thrombine (facteur IIa), actif par voie orale, sans nécessité d'antithrombine.</w:t>
      </w:r>
    </w:p>
    <w:p>
      <w:pPr>
        <w:pStyle w:val="ListNumber"/>
      </w:pPr>
      <w:r/>
      <w:r>
        <w:rPr>
          <w:b/>
        </w:rPr>
        <w:t>Héparine non fractionnée (HNF)</w:t>
      </w:r>
      <w:r>
        <w:t xml:space="preserve"> : potentialise l'antithrombine (AT), inhibition de la thrombine (IIa) et du Xa, voie IV/SC, surveillance par TCA.</w:t>
      </w:r>
    </w:p>
    <w:p>
      <w:pPr>
        <w:pStyle w:val="ListNumber"/>
      </w:pPr>
      <w:r/>
      <w:r>
        <w:rPr>
          <w:b/>
        </w:rPr>
        <w:t>Héparines de bas poids moléculaire (HBPM)</w:t>
      </w:r>
      <w:r>
        <w:t xml:space="preserve"> — Enoxaparine, Daltéparine, Nadroparine, Tinzaparine, Bémiparine : fragments d'héparine de PM ~4–6 kDa, potentialisent l'AT, action prédominante anti-Xa, voie SC, surveillance optionnelle par activité anti-Xa.</w:t>
      </w:r>
    </w:p>
    <w:p>
      <w:r/>
      <w:r>
        <w:rPr>
          <w:b/>
        </w:rPr>
        <w:t>Rappel physiologique de la cascade de coagulation :</w:t>
      </w:r>
      <w:r/>
    </w:p>
    <w:p>
      <w:r>
        <w:t>La coagulation met en jeu deux voies (intrinsèque et extrinsèque) convergentes vers la voie commune, aboutissant à la conversion du fibrinogène (I) en fibrine (Ia) par la thrombine (IIa). La thrombine est l'enzyme-clé : elle catalyse la conversion du fibrinogène en fibrine, active les facteurs V, VIII, XI et XIII, et active les plaquettes. Le facteur Xa (Xa) est le carrefour de la voie commune : il active la prothrombine (II) en thrombine (IIa) au sein du complexe prothrombinase (Xa + Va + phospholipides plaquettaires + Ca²⁺). L'inhibition du Xa est donc un point stratégique pour réduire la génération de thrombine, sans abolir complètement la coagulation résiduelle (concept de "frein" plutôt que de "blocage"). L'inhibition directe de la thrombine (IIa) cible elle l'enzyme déjà formée, ce qui bloque à la fois la formation de fibrine et l'activation plaquettaire résiduelle.</w:t>
      </w:r>
    </w:p>
    <w:p>
      <w:r/>
      <w:r>
        <w:rPr>
          <w:b/>
        </w:rPr>
        <w:t>Particularités du marché algérien :</w:t>
      </w:r>
      <w:r/>
    </w:p>
    <w:p>
      <w:r>
        <w:t xml:space="preserve">L'Algérie dispose d'une gamme large d'anticoagulants, avec une transition progressive des AVK (acénocoumarol = Sintrom® historiquement, désormais plusieurs génériques) vers les AOD (apixaban et rivaroxaban principalement, dabigatran plus marginal). La warfarine, AVK de référence dans le monde anglo-saxon, </w:t>
      </w:r>
      <w:r>
        <w:rPr>
          <w:b/>
        </w:rPr>
        <w:t>n'est pas commercialisée en Algérie</w:t>
      </w:r>
      <w:r>
        <w:t xml:space="preserve"> ; l'acénocoumarol reste donc l'AVK oral de référence (demi-vie plus courte que la warfarine, 8–24 h vs 36–42 h, ce qui facilite l'ajustement mais impose une observance stricte). Les HBPM sont bien représentées (enoxaparine = princeps Lovenox® + multiples génériques : Lomoh, Theranox, Varenox ; daltéparine = Fragmine ; tinzaparine = Innohep ; bémiparine = Hibor, actuellement non renouvelée ; nadroparine = Fraxiparine/Fraxodi, actuellement retirée). La HNF reste disponible en flacon IV (Nevparin® ; Héparine Sodique LEO non renouvelée ; Hikma Héparine retirée).</w:t>
      </w:r>
    </w:p>
    <w:p>
      <w:r/>
      <w:r>
        <w:rPr>
          <w:b/>
        </w:rPr>
        <w:t>Surveillance et antidotes — tableau d'orientation :</w:t>
      </w:r>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Classe</w:t>
            </w:r>
          </w:p>
        </w:tc>
        <w:tc>
          <w:tcPr>
            <w:tcW w:type="dxa" w:w="2339"/>
          </w:tcPr>
          <w:p>
            <w:r>
              <w:rPr>
                <w:b/>
                <w:sz w:val="20"/>
              </w:rPr>
              <w:t>Molécule</w:t>
            </w:r>
          </w:p>
        </w:tc>
        <w:tc>
          <w:tcPr>
            <w:tcW w:type="dxa" w:w="2339"/>
          </w:tcPr>
          <w:p>
            <w:r>
              <w:rPr>
                <w:b/>
                <w:sz w:val="20"/>
              </w:rPr>
              <w:t>Surveillance</w:t>
            </w:r>
          </w:p>
        </w:tc>
        <w:tc>
          <w:tcPr>
            <w:tcW w:type="dxa" w:w="2339"/>
          </w:tcPr>
          <w:p>
            <w:r>
              <w:rPr>
                <w:b/>
                <w:sz w:val="20"/>
              </w:rPr>
              <w:t>Antidote</w:t>
            </w:r>
          </w:p>
        </w:tc>
      </w:tr>
      <w:tr>
        <w:tc>
          <w:tcPr>
            <w:tcW w:type="dxa" w:w="2339"/>
          </w:tcPr>
          <w:p>
            <w:r>
              <w:rPr>
                <w:sz w:val="20"/>
              </w:rPr>
              <w:t>AVK</w:t>
            </w:r>
          </w:p>
        </w:tc>
        <w:tc>
          <w:tcPr>
            <w:tcW w:type="dxa" w:w="2339"/>
          </w:tcPr>
          <w:p>
            <w:r>
              <w:rPr>
                <w:sz w:val="20"/>
              </w:rPr>
              <w:t>Acénocoumarol</w:t>
            </w:r>
          </w:p>
        </w:tc>
        <w:tc>
          <w:tcPr>
            <w:tcW w:type="dxa" w:w="2339"/>
          </w:tcPr>
          <w:p>
            <w:r>
              <w:rPr>
                <w:sz w:val="20"/>
              </w:rPr>
              <w:t>INR cible 2–3 (ou 2,5–3,5 valve mécanique)</w:t>
            </w:r>
          </w:p>
        </w:tc>
        <w:tc>
          <w:tcPr>
            <w:tcW w:type="dxa" w:w="2339"/>
          </w:tcPr>
          <w:p>
            <w:r>
              <w:rPr>
                <w:sz w:val="20"/>
              </w:rPr>
              <w:t>Vitamine K (phytoménadione) ; PPC/PPSB en urgence</w:t>
            </w:r>
          </w:p>
        </w:tc>
      </w:tr>
      <w:tr>
        <w:tc>
          <w:tcPr>
            <w:tcW w:type="dxa" w:w="2339"/>
          </w:tcPr>
          <w:p>
            <w:r>
              <w:rPr>
                <w:sz w:val="20"/>
              </w:rPr>
              <w:t>AOD anti-Xa</w:t>
            </w:r>
          </w:p>
        </w:tc>
        <w:tc>
          <w:tcPr>
            <w:tcW w:type="dxa" w:w="2339"/>
          </w:tcPr>
          <w:p>
            <w:r>
              <w:rPr>
                <w:sz w:val="20"/>
              </w:rPr>
              <w:t>Apixaban, Rivaroxaban</w:t>
            </w:r>
          </w:p>
        </w:tc>
        <w:tc>
          <w:tcPr>
            <w:tcW w:type="dxa" w:w="2339"/>
          </w:tcPr>
          <w:p>
            <w:r>
              <w:rPr>
                <w:sz w:val="20"/>
              </w:rPr>
              <w:t>Pas de surveillance de routine (anti-Xa si besoin)</w:t>
            </w:r>
          </w:p>
        </w:tc>
        <w:tc>
          <w:tcPr>
            <w:tcW w:type="dxa" w:w="2339"/>
          </w:tcPr>
          <w:p>
            <w:r>
              <w:rPr>
                <w:sz w:val="20"/>
              </w:rPr>
              <w:t>Andexanet alpha (antagoniste spécifique) ; PPC si indisponible</w:t>
            </w:r>
          </w:p>
        </w:tc>
      </w:tr>
      <w:tr>
        <w:tc>
          <w:tcPr>
            <w:tcW w:type="dxa" w:w="2339"/>
          </w:tcPr>
          <w:p>
            <w:r>
              <w:rPr>
                <w:sz w:val="20"/>
              </w:rPr>
              <w:t>AOD anti-IIa</w:t>
            </w:r>
          </w:p>
        </w:tc>
        <w:tc>
          <w:tcPr>
            <w:tcW w:type="dxa" w:w="2339"/>
          </w:tcPr>
          <w:p>
            <w:r>
              <w:rPr>
                <w:sz w:val="20"/>
              </w:rPr>
              <w:t>Dabigatran</w:t>
            </w:r>
          </w:p>
        </w:tc>
        <w:tc>
          <w:tcPr>
            <w:tcW w:type="dxa" w:w="2339"/>
          </w:tcPr>
          <w:p>
            <w:r>
              <w:rPr>
                <w:sz w:val="20"/>
              </w:rPr>
              <w:t>Pas de surveillance de routine (TCA, TT si besoin)</w:t>
            </w:r>
          </w:p>
        </w:tc>
        <w:tc>
          <w:tcPr>
            <w:tcW w:type="dxa" w:w="2339"/>
          </w:tcPr>
          <w:p>
            <w:r>
              <w:rPr>
                <w:sz w:val="20"/>
              </w:rPr>
              <w:t>Idarucizumab (Praxbind®)</w:t>
            </w:r>
          </w:p>
        </w:tc>
      </w:tr>
      <w:tr>
        <w:tc>
          <w:tcPr>
            <w:tcW w:type="dxa" w:w="2339"/>
          </w:tcPr>
          <w:p>
            <w:r>
              <w:rPr>
                <w:sz w:val="20"/>
              </w:rPr>
              <w:t>HNF</w:t>
            </w:r>
          </w:p>
        </w:tc>
        <w:tc>
          <w:tcPr>
            <w:tcW w:type="dxa" w:w="2339"/>
          </w:tcPr>
          <w:p>
            <w:r>
              <w:rPr>
                <w:sz w:val="20"/>
              </w:rPr>
              <w:t>Héparine</w:t>
            </w:r>
          </w:p>
        </w:tc>
        <w:tc>
          <w:tcPr>
            <w:tcW w:type="dxa" w:w="2339"/>
          </w:tcPr>
          <w:p>
            <w:r>
              <w:rPr>
                <w:sz w:val="20"/>
              </w:rPr>
              <w:t>TCA (×1,5–2,5)</w:t>
            </w:r>
          </w:p>
        </w:tc>
        <w:tc>
          <w:tcPr>
            <w:tcW w:type="dxa" w:w="2339"/>
          </w:tcPr>
          <w:p>
            <w:r>
              <w:rPr>
                <w:sz w:val="20"/>
              </w:rPr>
              <w:t>Sulfate de protamine (neutralisation 1 mg pour 100 UI)</w:t>
            </w:r>
          </w:p>
        </w:tc>
      </w:tr>
      <w:tr>
        <w:tc>
          <w:tcPr>
            <w:tcW w:type="dxa" w:w="2339"/>
          </w:tcPr>
          <w:p>
            <w:r>
              <w:rPr>
                <w:sz w:val="20"/>
              </w:rPr>
              <w:t>HBPM</w:t>
            </w:r>
          </w:p>
        </w:tc>
        <w:tc>
          <w:tcPr>
            <w:tcW w:type="dxa" w:w="2339"/>
          </w:tcPr>
          <w:p>
            <w:r>
              <w:rPr>
                <w:sz w:val="20"/>
              </w:rPr>
              <w:t>Enoxaparine etc.</w:t>
            </w:r>
          </w:p>
        </w:tc>
        <w:tc>
          <w:tcPr>
            <w:tcW w:type="dxa" w:w="2339"/>
          </w:tcPr>
          <w:p>
            <w:r>
              <w:rPr>
                <w:sz w:val="20"/>
              </w:rPr>
              <w:t>Activité anti-Xa si besoin (IRM, obèse, IRC)</w:t>
            </w:r>
          </w:p>
        </w:tc>
        <w:tc>
          <w:tcPr>
            <w:tcW w:type="dxa" w:w="2339"/>
          </w:tcPr>
          <w:p>
            <w:r>
              <w:rPr>
                <w:sz w:val="20"/>
              </w:rPr>
              <w:t>Sulfate de protamine (neutralisation partielle ~60 %)</w:t>
            </w:r>
          </w:p>
        </w:tc>
      </w:tr>
    </w:tbl>
    <w:p/>
    <w:p>
      <w:r>
        <w:t xml:space="preserve">L'objectif de cette section est de fournir au pharmacien d'officine et à l'étudiant en pharmacie une vision intégrée et opérationnelle des anticoagulants disponibles en Algérie : mécanisme, indications, contre-indications, surveillance, interactions, grossesse, posologie, antidotes et conseils au comptoir. Une attention particulière est portée aux </w:t>
      </w:r>
      <w:r>
        <w:rPr>
          <w:b/>
        </w:rPr>
        <w:t>pièges classiques</w:t>
      </w:r>
      <w:r>
        <w:t xml:space="preserve"> (TIH, nécrose cutanée des AVK, interactions Amiodarone–AVK, AOD et insuffisance rénale, grossesse et AOD CI) qui font l'objet de questions récurrentes aux examens et de mises en garde réglementaires.</w:t>
      </w:r>
    </w:p>
    <w:p>
      <w:pPr>
        <w:pStyle w:val="Heading2"/>
      </w:pPr>
      <w:r>
        <w:t>I. Sous-classe : Anticoagulants oraux — Antagonistes de la vitamine K (AVK)</w:t>
      </w:r>
    </w:p>
    <w:p>
      <w:pPr>
        <w:pStyle w:val="Heading3"/>
      </w:pPr>
      <w:r>
        <w:t>Introduction à la sous-classe</w:t>
      </w:r>
    </w:p>
    <w:p>
      <w:r>
        <w:t xml:space="preserve">Les antagonistes de la vitamine K (AVK) sont utilisés comme anticoagulants oraux depuis les années 1950 (warfarine aux USA, acénocoumarol en Europe, fluindione en France). En Algérie, </w:t>
      </w:r>
      <w:r>
        <w:rPr>
          <w:b/>
        </w:rPr>
        <w:t>seul l'acénocoumarol</w:t>
      </w:r>
      <w:r>
        <w:t xml:space="preserve"> est commercialisé (warfarine et fluindione absentes). Malgré l'essor des AOD depuis 2010, les AVK restent indiqués dans plusieurs situations où les AOD sont contre-indiqués ou non évalués : </w:t>
      </w:r>
      <w:r>
        <w:rPr>
          <w:b/>
        </w:rPr>
        <w:t>valves mécaniques</w:t>
      </w:r>
      <w:r>
        <w:t xml:space="preserve"> (CI des AOD, RE-ALIGN négatif pour dabigatran), </w:t>
      </w:r>
      <w:r>
        <w:rPr>
          <w:b/>
        </w:rPr>
        <w:t>sténose mitrale rhumatismale</w:t>
      </w:r>
      <w:r>
        <w:t xml:space="preserve"> (fréquente en Algérie) et </w:t>
      </w:r>
      <w:r>
        <w:rPr>
          <w:b/>
        </w:rPr>
        <w:t>insuffisance rénale sévère</w:t>
      </w:r>
      <w:r>
        <w:t xml:space="preserve"> (ClCr &lt; 15–30 mL/min). Ils restent donc un pilier incontournable de l'anticoagulation orale, en particulier en cardiologie valvulaire.</w:t>
      </w:r>
    </w:p>
    <w:p>
      <w:r/>
      <w:r>
        <w:rPr>
          <w:b/>
        </w:rPr>
        <w:t>Mécanisme d'action :</w:t>
      </w:r>
      <w:r/>
    </w:p>
    <w:p>
      <w:r>
        <w:t xml:space="preserve">La vitamine K est un cofacteur indispensable à la γ-carboxylation post-traductionnelle des résidus glutamate des facteurs II (prothrombine), VII, IX, X et des protéines anticoagulantes C et S, étape qui permet leur fixation aux phospholipides membranaires par l'intermédiaire de Ca²⁺. Cette carboxylation est assurée par la </w:t>
      </w:r>
      <w:r>
        <w:rPr>
          <w:b/>
        </w:rPr>
        <w:t>vitamine K époxide réductase</w:t>
      </w:r>
      <w:r>
        <w:t xml:space="preserve"> (VKORC1), enzyme régénérant la vitamine K hydroquinone active à partir de l'époxyde. Les AVK inhibent cette enzyme (sous-unité VKORC1), empêchant le recyclage de la vitamine K, ce qui aboutit à la synthèse de facteurs "décarboxylés" inactifs (PIVKA — Proteins Induced by Vitamin K Absence). L'effet anticoagulant est </w:t>
      </w:r>
      <w:r>
        <w:rPr>
          <w:b/>
        </w:rPr>
        <w:t>différé</w:t>
      </w:r>
      <w:r>
        <w:t xml:space="preserve"> car les facteurs déjà carboxylés circulant doivent être éliminés selon leur demi-vie propre : facteur VII (demi-vie 6 h) le plus rapide, puis IX (24 h), X (48 h) et II (60–72 h). L'effet maximal est obtenu en 72–96 h, d'où la nécessité d'un </w:t>
      </w:r>
      <w:r>
        <w:rPr>
          <w:b/>
        </w:rPr>
        <w:t>relais héparine-AVK</w:t>
      </w:r>
      <w:r>
        <w:t xml:space="preserve"> (chevauchement 3–5 jours tant que l'INR &lt; 2 × 2 jours consécutifs).</w:t>
      </w:r>
    </w:p>
    <w:p>
      <w:r/>
      <w:r>
        <w:rPr>
          <w:b/>
        </w:rPr>
        <w:t>Particularités pharmacocinétiques de l'acénocoumarol :</w:t>
      </w:r>
      <w:r/>
    </w:p>
    <w:p>
      <w:r>
        <w:t xml:space="preserve">L'acénocoumarol se distingue de la warfarine par sa </w:t>
      </w:r>
      <w:r>
        <w:rPr>
          <w:b/>
        </w:rPr>
        <w:t>demi-vie courte (8–24 h)</w:t>
      </w:r>
      <w:r>
        <w:t xml:space="preserve"> — celle de la warfarine est de 36–42 h. Cette particularité a deux conséquences pratiques : (i) l'équilibre posologique est atteint plus rapidement (3–4 jours vs 5–7 jours pour la warfarine), mais (ii) tout oubli d'une prise entraîne une chute rapide de l'INR, ce qui impose une </w:t>
      </w:r>
      <w:r>
        <w:rPr>
          <w:b/>
        </w:rPr>
        <w:t>observance stricte</w:t>
      </w:r>
      <w:r>
        <w:t xml:space="preserve"> et une prise </w:t>
      </w:r>
      <w:r>
        <w:rPr>
          <w:b/>
        </w:rPr>
        <w:t>à heure fixe</w:t>
      </w:r>
      <w:r>
        <w:t>. L'acénocoumarol est métabolisé par le CYP2C9 (et accessoirement CYP1A2, CYP3A4), substrat de la P-gp. Sa liaison aux protéines est &gt; 99 %, son métabolisme est hépatique avec élimination urinaire des métabolites.</w:t>
      </w:r>
    </w:p>
    <w:p>
      <w:r/>
      <w:r>
        <w:rPr>
          <w:b/>
        </w:rPr>
        <w:t>Surveillance par l'INR :</w:t>
      </w:r>
      <w:r/>
    </w:p>
    <w:p>
      <w:r>
        <w:t xml:space="preserve">L'International Normalized Ratio (INR) standardise le temps de Quick en corrigeant par l'ISI (International Sensitivity Index) du réactif. Les </w:t>
      </w:r>
      <w:r>
        <w:rPr>
          <w:b/>
        </w:rPr>
        <w:t>INR cibles</w:t>
      </w:r>
      <w:r>
        <w:t xml:space="preserve"> selon l'indication :</w:t>
      </w:r>
    </w:p>
    <w:p>
      <w:pPr>
        <w:pStyle w:val="ListBullet"/>
      </w:pPr>
      <w:r>
        <w:t xml:space="preserve">FA non valvulaire, TVP/EP, post-IDM : INR cible </w:t>
      </w:r>
      <w:r>
        <w:rPr>
          <w:b/>
        </w:rPr>
        <w:t>2,5 (zone 2,0–3,0)</w:t>
      </w:r>
      <w:r>
        <w:t>.</w:t>
      </w:r>
    </w:p>
    <w:p>
      <w:pPr>
        <w:pStyle w:val="ListBullet"/>
      </w:pPr>
      <w:r>
        <w:t xml:space="preserve">Valve mécanique mitralique, maladie thromboembolique récidivante : INR cible </w:t>
      </w:r>
      <w:r>
        <w:rPr>
          <w:b/>
        </w:rPr>
        <w:t>3,0 (zone 2,5–3,5)</w:t>
      </w:r>
      <w:r>
        <w:t>.</w:t>
      </w:r>
    </w:p>
    <w:p>
      <w:pPr>
        <w:pStyle w:val="ListBullet"/>
      </w:pPr>
      <w:r>
        <w:t>Valve mécanique aortique moderne (bileaflet) : INR 2,5 suffisant.</w:t>
      </w:r>
    </w:p>
    <w:p>
      <w:r>
        <w:t>L'INR se mesure :</w:t>
      </w:r>
    </w:p>
    <w:p>
      <w:pPr>
        <w:pStyle w:val="ListBullet"/>
      </w:pPr>
      <w:r>
        <w:t>Tous les jours en initiation hospitalière, puis 2×/semaine la première semaine, puis 1×/semaine pendant 1 mois, puis 1×/15 j à 1×/mois en équilibre.</w:t>
      </w:r>
    </w:p>
    <w:p>
      <w:pPr>
        <w:pStyle w:val="ListBullet"/>
      </w:pPr>
      <w:r>
        <w:t>En cas d'événement intercurrent (infection, modification de traitement, diarrhée), l'INR doit être recontrôlé à 48–72 h.</w:t>
      </w:r>
    </w:p>
    <w:p>
      <w:r/>
      <w:r>
        <w:rPr>
          <w:b/>
        </w:rPr>
        <w:t>Variabilité interindividuelle :</w:t>
      </w:r>
      <w:r/>
    </w:p>
    <w:p>
      <w:r>
        <w:t>La sensibilité aux AVK est influencée par des polymorphismes génétiques (VKORC1 –1639G&gt;A, CYP2C9</w:t>
      </w:r>
      <w:r>
        <w:rPr>
          <w:i/>
        </w:rPr>
        <w:t xml:space="preserve">2 et </w:t>
      </w:r>
      <w:r>
        <w:t>3) qui modifient la posologie d'équilibration de 50 % environ, mais le génotypage n'est pas pratiqué en routine en Algérie. L'âge avancé, l'insuffisance hépatique, la dénutrition, l'hypothyroïdie, l'insuffisance cardiaque congestive majorent la sensibilité. Les interactions médicamenteuses sont nombreuses (voir Acénocoumarol).</w:t>
      </w:r>
    </w:p>
    <w:p>
      <w:pPr>
        <w:pStyle w:val="Heading3"/>
      </w:pPr>
      <w:r>
        <w:t>1. DCI : Acénocoumarol (Seule)</w:t>
      </w:r>
    </w:p>
    <w:p>
      <w:r/>
      <w:r>
        <w:rPr>
          <w:b/>
        </w:rPr>
        <w:t>Liste des Catégories :</w:t>
      </w:r>
      <w:r>
        <w:t xml:space="preserve"> Liste I (toutes spécialités).</w:t>
      </w:r>
    </w:p>
    <w:p>
      <w:r>
        <w:t>L'acénocoumarol (4-hydroxycoumarine substituée en position 3 par un groupe nitroacétyle, d'où son ancien nom "nicoumalone") est l'unique AVK disponible en Algérie. Commercialisé historiquement sous le nom de Sintrom® (Novartis, puis Medius AG), il est désormais disponible en génériques (Auraceno® d'Aurobindo, Novarol® de Nova Argentia et Generic Lab). Présenté exclusivement en comprimés quadri-sécables à 4 mg, il permet une flexibilité posologique fine (1 mg par quart) adaptée à la titration INR. Sa demi-vie courte (8–24 h) impose une observance stricte à heure fixe (en général le soir), mais offre l'avantage d'une correction rapide en cas de surdosage.</w:t>
      </w:r>
    </w:p>
    <w:p>
      <w:r/>
      <w:r>
        <w:rPr>
          <w:b/>
        </w:rPr>
        <w:t>Médicaments disponibles en Algérie (Marques, Laboratoires, Formes et Dosages) :</w:t>
      </w:r>
      <w:r/>
    </w:p>
    <w:p>
      <w:pPr>
        <w:pStyle w:val="ListBullet"/>
      </w:pPr>
      <w:r/>
      <w:r>
        <w:rPr>
          <w:b/>
        </w:rPr>
        <w:t>AURACENO</w:t>
      </w:r>
      <w:r>
        <w:t xml:space="preserve"> (AUROBINDO PHARMA LIMITED)</w:t>
      </w:r>
    </w:p>
    <w:p>
      <w:pPr>
        <w:pStyle w:val="ListBullet"/>
      </w:pPr>
      <w:r>
        <w:t>Formes et Dosages : Comprimé quadri-sécable 4 mg, B/60</w:t>
      </w:r>
    </w:p>
    <w:p>
      <w:pPr>
        <w:pStyle w:val="ListBullet"/>
      </w:pPr>
      <w:r>
        <w:t>Statut : Actif</w:t>
      </w:r>
    </w:p>
    <w:p>
      <w:pPr>
        <w:pStyle w:val="ListBullet"/>
      </w:pPr>
      <w:r/>
      <w:r>
        <w:rPr>
          <w:b/>
        </w:rPr>
        <w:t>NOVAROL</w:t>
      </w:r>
      <w:r>
        <w:t xml:space="preserve"> (INDUSTRIA FARMACEUTICA NOVA ARGENTIA SPA)</w:t>
      </w:r>
    </w:p>
    <w:p>
      <w:pPr>
        <w:pStyle w:val="ListBullet"/>
      </w:pPr>
      <w:r>
        <w:t>Formes et Dosages : Comprimé quadri-sécable 4 mg, B/30</w:t>
      </w:r>
    </w:p>
    <w:p>
      <w:pPr>
        <w:pStyle w:val="ListBullet"/>
      </w:pPr>
      <w:r>
        <w:t>Statut : Actif</w:t>
      </w:r>
    </w:p>
    <w:p>
      <w:pPr>
        <w:pStyle w:val="ListBullet"/>
      </w:pPr>
      <w:r/>
      <w:r>
        <w:rPr>
          <w:b/>
        </w:rPr>
        <w:t>NOVAROL</w:t>
      </w:r>
      <w:r>
        <w:t xml:space="preserve"> (GENERIC LAB)</w:t>
      </w:r>
    </w:p>
    <w:p>
      <w:pPr>
        <w:pStyle w:val="ListBullet"/>
      </w:pPr>
      <w:r>
        <w:t>Formes et Dosages : Comprimé quadri-sécable 4 mg, B/30</w:t>
      </w:r>
    </w:p>
    <w:p>
      <w:pPr>
        <w:pStyle w:val="ListBullet"/>
      </w:pPr>
      <w:r>
        <w:t>Statut : Actif</w:t>
      </w:r>
    </w:p>
    <w:p>
      <w:pPr>
        <w:pStyle w:val="ListBullet"/>
      </w:pPr>
      <w:r/>
      <w:r>
        <w:rPr>
          <w:b/>
        </w:rPr>
        <w:t>SINTROM</w:t>
      </w:r>
      <w:r>
        <w:t xml:space="preserve"> (MEDIUS AG)</w:t>
      </w:r>
    </w:p>
    <w:p>
      <w:pPr>
        <w:pStyle w:val="ListBullet"/>
      </w:pPr>
      <w:r>
        <w:t>Formes et Dosages : Comprimé quadri-sécable 4 mg, B/30</w:t>
      </w:r>
    </w:p>
    <w:p>
      <w:pPr>
        <w:pStyle w:val="ListBullet"/>
      </w:pPr>
      <w:r>
        <w:t>Statut : Actif</w:t>
      </w:r>
    </w:p>
    <w:p>
      <w:r>
        <w:t>À noter : les comprimés quadri-sécables à 4 mg permettent une titration fine par quarts (1 mg, 2 mg, 3 mg, 4 mg) ; les schémas alternent généralement plusieurs dosages dans la semaine (ex : 2 mg le lundi, 1,5 mg le mardi, etc.).</w:t>
      </w:r>
    </w:p>
    <w:p>
      <w:r/>
      <w:r>
        <w:rPr>
          <w:b/>
        </w:rPr>
        <w:t>Sous-classe et Mécanisme d'action :</w:t>
      </w:r>
      <w:r/>
    </w:p>
    <w:p>
      <w:pPr>
        <w:pStyle w:val="ListBullet"/>
      </w:pPr>
      <w:r/>
      <w:r>
        <w:rPr>
          <w:b/>
        </w:rPr>
        <w:t>Sous-classe :</w:t>
      </w:r>
      <w:r>
        <w:t xml:space="preserve"> Anticoagulant oral de la famille des coumarines, antagoniste de la vitamine K (AVK). Anticoagulant oral de référence en Algérie, indiqué en relais des HBPM ou en première intention dans les indications chroniques (FA valvulaire, valve mécanique, sténose mitrale).</w:t>
      </w:r>
    </w:p>
    <w:p>
      <w:pPr>
        <w:pStyle w:val="ListBullet"/>
      </w:pPr>
      <w:r/>
      <w:r>
        <w:rPr>
          <w:b/>
        </w:rPr>
        <w:t>Mécanisme d'action :</w:t>
      </w:r>
      <w:r>
        <w:t xml:space="preserve"> Inhibition compétitive et réversible de la </w:t>
      </w:r>
      <w:r>
        <w:rPr>
          <w:b/>
        </w:rPr>
        <w:t>vitamine K époxide réductase</w:t>
      </w:r>
      <w:r>
        <w:t xml:space="preserve"> (VKORC1), enzyme qui régénère la vitamine K hydroquinone active à partir de l'époxyde. La baisse de vitamine K active empêche la γ-carboxylation des résidus glutamate des facteurs vit-K-dépendants (II, VII, IX, X) et des protéines anticoagulantes C et S. Les facteurs synthétisés sont décarboxylés (PIVKA) et biologiquement inactifs. L'effet anticoagulant apparaît après élimination des facteurs déjà carboxylés circulants, soit 48–72 h pour atteindre un effet thérapeutique.</w:t>
      </w:r>
    </w:p>
    <w:p>
      <w:r/>
      <w:r>
        <w:rPr>
          <w:b/>
        </w:rPr>
        <w:t>Profil Pharmacologique :</w:t>
      </w:r>
      <w:r/>
    </w:p>
    <w:p>
      <w:pPr>
        <w:pStyle w:val="ListBullet"/>
      </w:pPr>
      <w:r/>
      <w:r>
        <w:rPr>
          <w:b/>
        </w:rPr>
        <w:t>Indications :</w:t>
      </w:r>
      <w:r>
        <w:t xml:space="preserve"> Fibrillation atriale (FA) non valvulaire (en alternative aux AOD), FA valvulaire (mitrale rhumatismale ou prothèse valvulaire mécanique — indication où les AOD sont contre-indiqués), prévention et traitement de la maladie veineuse thromboembolique (TVP, EP) en relais des HBPM, prévention secondaire de l'infarctus du myocarde (rare), prévention thromboembolique en cas de thrombose intracardiaque, de cardiomyopathie dilatée avec thrombus mural ou de syndrome des antiphospholipides (APS — les AOD étant déconseillés dans l'APS).</w:t>
      </w:r>
    </w:p>
    <w:p>
      <w:pPr>
        <w:pStyle w:val="ListBullet"/>
      </w:pPr>
      <w:r/>
      <w:r>
        <w:rPr>
          <w:b/>
        </w:rPr>
        <w:t>Contre-indications :</w:t>
      </w:r>
      <w:r>
        <w:t xml:space="preserve"> Hypersensibilité aux coumarines ; hémorragie active (digestive, cérébrale, urinaire) ; insuffisance hépatique sévère (cytolyse &gt; 5× LSN, cirrhose décompensée) ; thrombopénie &lt; 50 G/L ; grossesse (1er trimestre : embryopathie ; 3e trimestre : hémorragie fœtoplacentaire et rétro-placentaire) ; poursuite d'un traitement thrombopénisant ou antiagrégant non justifié ; patient non observant ou incapable de comprendre la surveillance INR ; intervention chirurgicale programmée non couverte (à arrêter 5 j avant chirurgie).</w:t>
      </w:r>
    </w:p>
    <w:p>
      <w:pPr>
        <w:pStyle w:val="ListBullet"/>
      </w:pPr>
      <w:r/>
      <w:r>
        <w:rPr>
          <w:b/>
        </w:rPr>
        <w:t>Effets Indésirables :</w:t>
      </w:r>
      <w:r/>
    </w:p>
    <w:p>
      <w:pPr>
        <w:pStyle w:val="ListBullet"/>
      </w:pPr>
      <w:r/>
      <w:r>
        <w:rPr>
          <w:b/>
        </w:rPr>
        <w:t>Hémorragies</w:t>
      </w:r>
      <w:r>
        <w:t xml:space="preserve"> (effet de classe, principal risque) : tous types — gingivorragies, épistaxis, ecchymoses, hématurie, méléna, hématomes musculaires, hémorragie intracrânienne (gravissime, 0,5–1 %/an), hémorragie digestive (en particulier association AINS/aspirine).</w:t>
      </w:r>
    </w:p>
    <w:p>
      <w:pPr>
        <w:pStyle w:val="ListBullet"/>
      </w:pPr>
      <w:r/>
      <w:r>
        <w:rPr>
          <w:b/>
        </w:rPr>
        <w:t>Nécrose cutanée</w:t>
      </w:r>
      <w:r>
        <w:t xml:space="preserve"> (rare, 0,01–0,1 %) : typique des premiers jours de traitement, liée à la baisse plus rapide de la </w:t>
      </w:r>
      <w:r>
        <w:rPr>
          <w:b/>
        </w:rPr>
        <w:t>protéine C</w:t>
      </w:r>
      <w:r>
        <w:t xml:space="preserve"> (demi-vie 8 h, plus courte que les facteurs procoagulants II et X), créant un état d'hypercoagulabilité paradoxal transitoire (capillarite thrombosante). Risque majeur chez les déficitaires héréditaires en protéine C/S et les patients avec APS ou déficit acquis. Prévention : relais héparine-AVK obligatoire pendant ≥ 3 jours avant l'arrêt de l'héparine.</w:t>
      </w:r>
    </w:p>
    <w:p>
      <w:pPr>
        <w:pStyle w:val="ListBullet"/>
      </w:pPr>
      <w:r/>
      <w:r>
        <w:rPr>
          <w:b/>
        </w:rPr>
        <w:t>Alopécie, rash cutané</w:t>
      </w:r>
      <w:r>
        <w:t xml:space="preserve"> (rare) ; </w:t>
      </w:r>
      <w:r>
        <w:rPr>
          <w:b/>
        </w:rPr>
        <w:t>coloration orangée des urines</w:t>
      </w:r>
      <w:r>
        <w:t xml:space="preserve"> (bénin).</w:t>
      </w:r>
    </w:p>
    <w:p>
      <w:pPr>
        <w:pStyle w:val="ListBullet"/>
      </w:pPr>
      <w:r/>
      <w:r>
        <w:rPr>
          <w:b/>
        </w:rPr>
        <w:t>Hépatotoxicité</w:t>
      </w:r>
      <w:r>
        <w:t xml:space="preserve"> (rares cas de cytolyse, cholestase).</w:t>
      </w:r>
    </w:p>
    <w:p>
      <w:pPr>
        <w:pStyle w:val="ListBullet"/>
      </w:pPr>
      <w:r/>
      <w:r>
        <w:rPr>
          <w:b/>
        </w:rPr>
        <w:t>Purpura vasculaire</w:t>
      </w:r>
      <w:r>
        <w:t xml:space="preserve"> (rare, immunoallergique).</w:t>
      </w:r>
    </w:p>
    <w:p>
      <w:r/>
      <w:r>
        <w:rPr>
          <w:b/>
        </w:rPr>
        <w:t>Prévention et Gestion des Effets Indésirables :</w:t>
      </w:r>
      <w:r/>
    </w:p>
    <w:p>
      <w:pPr>
        <w:pStyle w:val="ListBullet"/>
      </w:pPr>
      <w:r/>
      <w:r>
        <w:rPr>
          <w:b/>
        </w:rPr>
        <w:t>Mesures Préventives :</w:t>
      </w:r>
      <w:r>
        <w:t xml:space="preserve"> (i) Bilan pré-thérapeutique : NFS, plaquettes, TP/INR basal, TCA, créatininémie, ASAT/ALAT, gamma-GT ; sérologies VHB/VHC si risque ; recherche de saignement occulte (FO / coloscopie si &gt; 50 ans). (ii) Information du patient : carnet de suivi AVK, observance stricte à heure fixe, signes d'alerte hémorragique, aliments riches en vitamine K (choux, brocolis, épinards, foie, avocat) à consommer de façon </w:t>
      </w:r>
      <w:r>
        <w:rPr>
          <w:b/>
        </w:rPr>
        <w:t>régulière</w:t>
      </w:r>
      <w:r>
        <w:t xml:space="preserve"> et non de manière intermittente. (iii) Éducation thérapeutique : ne jamais arrêter brutalement, prévenir tout médecin (dentiste, anesthésiste) du traitement AVK. (iv) Éviter les associations à risque (AINS, aspirine, antibiotiques interférants) ; si indispensables, surveillance INR rapprochée. (v) Pour la femme en âge de procréer : contraception efficace.</w:t>
      </w:r>
    </w:p>
    <w:p>
      <w:pPr>
        <w:pStyle w:val="ListBullet"/>
      </w:pPr>
      <w:r/>
      <w:r>
        <w:rPr>
          <w:b/>
        </w:rPr>
        <w:t>Conduite à Tenir :</w:t>
      </w:r>
      <w:r/>
    </w:p>
    <w:p>
      <w:pPr>
        <w:pStyle w:val="ListBullet"/>
      </w:pPr>
      <w:r/>
      <w:r>
        <w:rPr>
          <w:b/>
        </w:rPr>
        <w:t>INR &gt; 5 sans saignement</w:t>
      </w:r>
      <w:r>
        <w:t xml:space="preserve"> : arrêt temporaire de l'acénocoumarol, contrôle INR à 24–48 h ; pas de vitamine K si INR &lt; 9.</w:t>
      </w:r>
    </w:p>
    <w:p>
      <w:pPr>
        <w:pStyle w:val="ListBullet"/>
      </w:pPr>
      <w:r/>
      <w:r>
        <w:rPr>
          <w:b/>
        </w:rPr>
        <w:t>INR entre 5 et 9 sans saignement</w:t>
      </w:r>
      <w:r>
        <w:t xml:space="preserve"> : arrêt 1–2 prises, réintroduction à dose réduite ; vitamine K 1–2 mg per os si risque hémorragique élevé.</w:t>
      </w:r>
    </w:p>
    <w:p>
      <w:pPr>
        <w:pStyle w:val="ListBullet"/>
      </w:pPr>
      <w:r/>
      <w:r>
        <w:rPr>
          <w:b/>
        </w:rPr>
        <w:t>INR &gt; 9 sans saignement</w:t>
      </w:r>
      <w:r>
        <w:t xml:space="preserve"> : arrêt + vitamine K 2,5–5 mg per os, contrôle INR à 24 h.</w:t>
      </w:r>
    </w:p>
    <w:p>
      <w:pPr>
        <w:pStyle w:val="ListBullet"/>
      </w:pPr>
      <w:r/>
      <w:r>
        <w:rPr>
          <w:b/>
        </w:rPr>
        <w:t>Saignement mineur</w:t>
      </w:r>
      <w:r>
        <w:t xml:space="preserve"> (gingivorragie, épistaxis cessant à la compression) : arrêt 1 prise, contrôle INR.</w:t>
      </w:r>
    </w:p>
    <w:p>
      <w:pPr>
        <w:pStyle w:val="ListBullet"/>
      </w:pPr>
      <w:r/>
      <w:r>
        <w:rPr>
          <w:b/>
        </w:rPr>
        <w:t>Saignement majeur</w:t>
      </w:r>
      <w:r>
        <w:t xml:space="preserve"> (digestif, intracrânien, choc hémorragique) : arrêt immédiat + </w:t>
      </w:r>
      <w:r>
        <w:rPr>
          <w:b/>
        </w:rPr>
        <w:t>vitamine K 10 mg IV lent</w:t>
      </w:r>
      <w:r>
        <w:t xml:space="preserve"> (5–10 min) + </w:t>
      </w:r>
      <w:r>
        <w:rPr>
          <w:b/>
        </w:rPr>
        <w:t>PPC (PCC) 25–50 UI/kg</w:t>
      </w:r>
      <w:r>
        <w:t xml:space="preserve"> (concentré de complexes prothrombiniques = PPSB, produits type Beriplex/Octaplex) ; l'effet est visible en 30 min. Transfusion CGR si besoin.</w:t>
      </w:r>
    </w:p>
    <w:p>
      <w:pPr>
        <w:pStyle w:val="ListBullet"/>
      </w:pPr>
      <w:r/>
      <w:r>
        <w:rPr>
          <w:b/>
        </w:rPr>
        <w:t>Nécrose cutanée</w:t>
      </w:r>
      <w:r>
        <w:t xml:space="preserve"> : arrêt immédiat AVK, relais par héparine (HNF/HBPM), avis dermatologique/vasculaire urgent.</w:t>
      </w:r>
    </w:p>
    <w:p>
      <w:r/>
      <w:r>
        <w:rPr>
          <w:b/>
        </w:rPr>
        <w:t>Interactions Importantes :</w:t>
      </w:r>
      <w:r/>
    </w:p>
    <w:p>
      <w:pPr>
        <w:pStyle w:val="ListBullet"/>
      </w:pPr>
      <w:r/>
      <w:r>
        <w:rPr>
          <w:b/>
        </w:rPr>
        <w:t>Acénocoumarol + Amiodarone</w:t>
      </w:r>
      <w:r>
        <w:t xml:space="preserve"> (Cordarone®) : </w:t>
      </w:r>
      <w:r>
        <w:rPr>
          <w:b/>
        </w:rPr>
        <w:t>interaction majeure</w:t>
      </w:r>
      <w:r>
        <w:t xml:space="preserve"> — l'amiodarone inhibe le CYP2C9 et潜在ement le métabolisme hépatique des AVK. L'INR peut doubler en 2–4 semaines après instauration de l'amiodarone. </w:t>
      </w:r>
      <w:r>
        <w:rPr>
          <w:b/>
        </w:rPr>
        <w:t>Réduction de 30–50 % de la dose d'acénocoumarol</w:t>
      </w:r>
      <w:r>
        <w:t xml:space="preserve"> nécessaire ; surveillance INR 2×/semaine pendant 1 mois après instauration/arrêt de l'amiodarone. Piège classique au comptoir et à l'hôpital.</w:t>
      </w:r>
    </w:p>
    <w:p>
      <w:pPr>
        <w:pStyle w:val="ListBullet"/>
      </w:pPr>
      <w:r/>
      <w:r>
        <w:rPr>
          <w:b/>
        </w:rPr>
        <w:t>Acénocoumarol + Fluconazole / Miconazole / Kétoconazole / Itraconazole / Voriconazole</w:t>
      </w:r>
      <w:r>
        <w:t xml:space="preserve"> : inhibition CYP2C9 → INR↑↑, hémorragie. Le miconazole oral gel (Daktarin®) est un piège fréquent : l'effet se voit dès 3–7 jours. Contre-indication de l'azole oral si possible ; sinon réduire AVK et surveiller INR.</w:t>
      </w:r>
    </w:p>
    <w:p>
      <w:pPr>
        <w:pStyle w:val="ListBullet"/>
      </w:pPr>
      <w:r/>
      <w:r>
        <w:rPr>
          <w:b/>
        </w:rPr>
        <w:t>Acénocoumarol + Cotrimoxazole (Bactrim®) / Métronidazole / Macrolides (sauf azithromycine) / Ciprofloxacine / Norfloxacine</w:t>
      </w:r>
      <w:r>
        <w:t xml:space="preserve"> : inhibition CYP2C9 + déplacement des protéines + effet hypoprothrombinémiant propre → INR↑. Réduire la dose d'acénocoumarol de 25–50 %.</w:t>
      </w:r>
    </w:p>
    <w:p>
      <w:pPr>
        <w:pStyle w:val="ListBullet"/>
      </w:pPr>
      <w:r/>
      <w:r>
        <w:rPr>
          <w:b/>
        </w:rPr>
        <w:t>Acénocoumarol + AINS / Aspirine</w:t>
      </w:r>
      <w:r>
        <w:t xml:space="preserve"> : majoration du risque hémorragique digestif (lésions muqueuses + effet anticoagulant). À éviter ; si triple association AVK + aspirine + clopidogrel (post-PCI chez FA), durée la plus courte possible et IPP systématique.</w:t>
      </w:r>
    </w:p>
    <w:p>
      <w:pPr>
        <w:pStyle w:val="ListBullet"/>
      </w:pPr>
      <w:r/>
      <w:r>
        <w:rPr>
          <w:b/>
        </w:rPr>
        <w:t>Acénocoumarol + Rifampicine / Carbamazépine / Phénobarbital / Phénytoïne</w:t>
      </w:r>
      <w:r>
        <w:t xml:space="preserve"> : induction enzymatique → INR↓, perte d'efficacité. Augmentation de dose souvent nécessaire.</w:t>
      </w:r>
    </w:p>
    <w:p>
      <w:pPr>
        <w:pStyle w:val="ListBullet"/>
      </w:pPr>
      <w:r/>
      <w:r>
        <w:rPr>
          <w:b/>
        </w:rPr>
        <w:t>Acénocoumarol + Lévothyroxine / Antithyroïdiens</w:t>
      </w:r>
      <w:r>
        <w:t xml:space="preserve"> : variation de la sensibilité aux AVK selon la dysthyroïdie (hyperthyroïdie ↑ sensibilité).</w:t>
      </w:r>
    </w:p>
    <w:p>
      <w:pPr>
        <w:pStyle w:val="ListBullet"/>
      </w:pPr>
      <w:r/>
      <w:r>
        <w:rPr>
          <w:b/>
        </w:rPr>
        <w:t>Acénocoumarol + Alimentation riche en vitamine K</w:t>
      </w:r>
      <w:r>
        <w:t xml:space="preserve"> (choux, épinards, foie, avocat, thé vert) : antagonisme. Privilégier une alimentation stable plutôt qu'une restriction stricte.</w:t>
      </w:r>
    </w:p>
    <w:p>
      <w:pPr>
        <w:pStyle w:val="ListBullet"/>
      </w:pPr>
      <w:r/>
      <w:r>
        <w:rPr>
          <w:b/>
        </w:rPr>
        <w:t>Acénocoumarol + Alcool</w:t>
      </w:r>
      <w:r>
        <w:t xml:space="preserve"> : effet dose-dépendant — aigu : inhibition métabolique → INR↑ ; chronique : induction enzymatique → INR↓. À évaluer cas par cas.</w:t>
      </w:r>
    </w:p>
    <w:p>
      <w:r/>
      <w:r>
        <w:rPr>
          <w:b/>
        </w:rPr>
        <w:t>Grossesse et Allaitement :</w:t>
      </w:r>
      <w:r/>
    </w:p>
    <w:p>
      <w:pPr>
        <w:pStyle w:val="ListBullet"/>
      </w:pPr>
      <w:r/>
      <w:r>
        <w:rPr>
          <w:b/>
        </w:rPr>
        <w:t>Grossesse :</w:t>
      </w:r>
      <w:r>
        <w:t xml:space="preserve"> </w:t>
      </w:r>
      <w:r>
        <w:rPr>
          <w:b/>
        </w:rPr>
        <w:t>Contre-indication absolue</w:t>
      </w:r>
      <w:r>
        <w:t xml:space="preserve"> des AVK au 1er trimestre (embryopathie à l'acénocoumarol = hypoplasie nasale, dysplasies osseuses, atteintes oculaires, retard mental, syndrome de Warfarin — 4–10 % d'embryopathies entre 6e et 12e SA) et au 3e trimestre (hémorragie fœtoplacentaire, rétro-placentaire, hémorragie cérébrale fœtale, surtout en période péri-partum). Au 2e trimestre, possible en cas d'absolue nécessité (valve mécanique) à dose minimale efficace avec INR cible bas (2,0–2,5). Le CRAT recommande le relais par HBPM à dose curative (enoxaparine 100 UI/kg × 2/j) durant toute la grossesse chez la femme avec valve mécanique. Une contraception efficace est indispensable chez toute femme en âge de procréer sous AVK.</w:t>
      </w:r>
    </w:p>
    <w:p>
      <w:pPr>
        <w:pStyle w:val="ListBullet"/>
      </w:pPr>
      <w:r/>
      <w:r>
        <w:rPr>
          <w:b/>
        </w:rPr>
        <w:t>Allaitement :</w:t>
      </w:r>
      <w:r>
        <w:t xml:space="preserve"> </w:t>
      </w:r>
      <w:r>
        <w:rPr>
          <w:b/>
        </w:rPr>
        <w:t>Compatible</w:t>
      </w:r>
      <w:r>
        <w:t xml:space="preserve"> selon le CRAT. L'acénocoumarol passe très peu dans le lait maternel (faible lipophilie, forte liaison aux protéines plasmatiques). L'allaitement est autorisé ; surveillance clinique de l'enfant (pas d'ecchymoses anormales), pas de contrôle INR systématique de l'enfant.</w:t>
      </w:r>
    </w:p>
    <w:p>
      <w:pPr>
        <w:pStyle w:val="ListBullet"/>
      </w:pPr>
      <w:r/>
      <w:r>
        <w:rPr>
          <w:b/>
        </w:rPr>
        <w:t>Précisions :</w:t>
      </w:r>
      <w:r>
        <w:t xml:space="preserve"> La planification de grossesse chez une patiente sous AVK doit être anticipée (relais par HBPM avant conception).</w:t>
      </w:r>
    </w:p>
    <w:p>
      <w:r/>
      <w:r>
        <w:rPr>
          <w:b/>
        </w:rPr>
        <w:t>Posologie et Mode d'administration (Standard) :</w:t>
      </w:r>
      <w:r/>
    </w:p>
    <w:p>
      <w:pPr>
        <w:pStyle w:val="ListBullet"/>
      </w:pPr>
      <w:r/>
      <w:r>
        <w:rPr>
          <w:b/>
        </w:rPr>
        <w:t>Adulte :</w:t>
      </w:r>
      <w:r>
        <w:t xml:space="preserve"> Dose initiale 2 mg/j (1/2 comprimé) le soir pendant 2–3 jours, puis ajustement selon INR à J3–J5. Dose d'entretien variable selon la sensibilité individuelle : 1 mg à 8 mg/j, le plus souvent 2–4 mg/j en moyenne. INR cible 2,5 (2,0–3,0) pour la plupart des indications ; INR cible 3,0 (2,5–3,5) pour valve mécanique mitrale et thrombophilie sévère. </w:t>
      </w:r>
      <w:r>
        <w:rPr>
          <w:b/>
        </w:rPr>
        <w:t>Relais héparine-AVK</w:t>
      </w:r>
      <w:r>
        <w:t xml:space="preserve"> : débuter l'AVK J1 ou J2 de l'héparine, arrêt de l'héparine lorsque INR ≥ 2,0 pendant 2 jours consécutifs (durée minimale 5 jours pour TVP/EP).</w:t>
      </w:r>
    </w:p>
    <w:p>
      <w:pPr>
        <w:pStyle w:val="ListBullet"/>
      </w:pPr>
      <w:r/>
      <w:r>
        <w:rPr>
          <w:b/>
        </w:rPr>
        <w:t>Sujet âgé :</w:t>
      </w:r>
      <w:r>
        <w:t xml:space="preserve"> Posologie initiale réduite (1 mg/j) en raison de la sensibilité accrue (baisse du facteur VII, moindre synthèse hépatique, polymédication). Surveillance INR rapprochée.</w:t>
      </w:r>
    </w:p>
    <w:p>
      <w:pPr>
        <w:pStyle w:val="ListBullet"/>
      </w:pPr>
      <w:r/>
      <w:r>
        <w:rPr>
          <w:b/>
        </w:rPr>
        <w:t>Durée :</w:t>
      </w:r>
      <w:r>
        <w:t xml:space="preserve"> Selon l'indication — FA au long cours (à vie), valve mécanique (à vie), TVP provoked (3 mois), EP provoked (3–6 mois), thrombose idiopathique (≥ 6 mois, parfois à vie), syndrome des antiphospholipides (à vie).</w:t>
      </w:r>
    </w:p>
    <w:p>
      <w:pPr>
        <w:pStyle w:val="ListBullet"/>
      </w:pPr>
      <w:r/>
      <w:r>
        <w:rPr>
          <w:b/>
        </w:rPr>
        <w:t>Moment de prise :</w:t>
      </w:r>
      <w:r>
        <w:t xml:space="preserve"> Le soir à heure fixe (en général 18 h–19 h), pour permettre une adaptation posologique le matin même si l'INR revient à midi. Prise orale, indépendante des repas.</w:t>
      </w:r>
    </w:p>
    <w:p>
      <w:r/>
      <w:r>
        <w:rPr>
          <w:b/>
        </w:rPr>
        <w:t>Arbitrage et Bénéfices des Formes Galéniques :</w:t>
      </w:r>
      <w:r/>
    </w:p>
    <w:p>
      <w:r>
        <w:t xml:space="preserve">Le comprimé quadri-sécable à 4 mg est </w:t>
      </w:r>
      <w:r>
        <w:rPr>
          <w:b/>
        </w:rPr>
        <w:t>la seule forme</w:t>
      </w:r>
      <w:r>
        <w:t xml:space="preserve"> disponible en Algérie. Ce conditionnement permet une titration fine par quarts (1 mg), demi (2 mg) ou trois-quarts (3 mg), indispensable pour atteindre l'INR cible. Les schémas alternés (ex : 2 mg un jour, 1,5 mg le suivant) sont fréquents pour atteindre une posologie moyenne impossible à administrer en une prise unique. Le patient doit être informé qu'</w:t>
      </w:r>
      <w:r>
        <w:rPr>
          <w:b/>
        </w:rPr>
        <w:t>il ne faut pas croquer ni écraser</w:t>
      </w:r>
      <w:r>
        <w:t xml:space="preserve"> le comprimé, mais bien le casser selon les sillons. Le pharmacien doit insister sur la nécessité d'utiliser </w:t>
      </w:r>
      <w:r>
        <w:rPr>
          <w:b/>
        </w:rPr>
        <w:t>toujours la même marque</w:t>
      </w:r>
      <w:r>
        <w:t xml:space="preserve"> (sauf substitution générique validée par le prescripteur), car une variation inter-marques de biodisponibilité de 5–10 % peut faire varier l'INR.</w:t>
      </w:r>
    </w:p>
    <w:p>
      <w:r/>
      <w:r>
        <w:rPr>
          <w:b/>
        </w:rPr>
        <w:t>Instructions et Conseils au Patient :</w:t>
      </w:r>
      <w:r/>
    </w:p>
    <w:p>
      <w:pPr>
        <w:pStyle w:val="ListBullet"/>
      </w:pPr>
      <w:r/>
      <w:r>
        <w:rPr>
          <w:b/>
        </w:rPr>
        <w:t>Communication au comptoir :</w:t>
      </w:r>
      <w:r>
        <w:t xml:space="preserve"> "Ce traitement fluidifie votre sang pour éviter la formation de caillots. Il nécessite une surveillance par prise de sang régulière (INR). Ne changez pas la marque sans avis médical. Prenez-le </w:t>
      </w:r>
      <w:r>
        <w:rPr>
          <w:b/>
        </w:rPr>
        <w:t>tous les jours à la même heure</w:t>
      </w:r>
      <w:r>
        <w:t xml:space="preserve"> (en général le soir). Ne l'arrêtez jamais sans avis médical."</w:t>
      </w:r>
    </w:p>
    <w:p>
      <w:pPr>
        <w:pStyle w:val="ListBullet"/>
      </w:pPr>
      <w:r/>
      <w:r>
        <w:rPr>
          <w:b/>
        </w:rPr>
        <w:t>Mode d'utilisation pratique :</w:t>
      </w:r>
      <w:r/>
    </w:p>
    <w:p>
      <w:pPr>
        <w:pStyle w:val="ListBullet"/>
      </w:pPr>
      <w:r>
        <w:t xml:space="preserve">Toujours avoir son </w:t>
      </w:r>
      <w:r>
        <w:rPr>
          <w:b/>
        </w:rPr>
        <w:t>carnet AVK</w:t>
      </w:r>
      <w:r>
        <w:t xml:space="preserve"> sur soi (et le présenter à chaque prise de sang).</w:t>
      </w:r>
    </w:p>
    <w:p>
      <w:pPr>
        <w:pStyle w:val="ListBullet"/>
      </w:pPr>
      <w:r>
        <w:t>Signes d'alerte à connaître : saignement prolongé (&gt; 15 min) au moindre traumatisme, ecchymoses spontanées, gingivorragies spontanées, méléna (selles noires), hématurie (urines rouges), céphalées brutales (suspicion d'HIC), vomissements sanglants → consulter en urgence.</w:t>
      </w:r>
    </w:p>
    <w:p>
      <w:pPr>
        <w:pStyle w:val="ListBullet"/>
      </w:pPr>
      <w:r>
        <w:t>Prévenir tout professionnel de santé (dentiste, chirurgien, anesthésiste, kiné pour IM/AR) du traitement AVK.</w:t>
      </w:r>
    </w:p>
    <w:p>
      <w:pPr>
        <w:pStyle w:val="ListBullet"/>
      </w:pPr>
      <w:r>
        <w:t>Éviter les sports à risque traumatique (boxe, rugby, ski).</w:t>
      </w:r>
    </w:p>
    <w:p>
      <w:pPr>
        <w:pStyle w:val="ListBullet"/>
      </w:pPr>
      <w:r>
        <w:t>Pas d'alimentation fluctuante en vitamine K (régime stable).</w:t>
      </w:r>
    </w:p>
    <w:p>
      <w:pPr>
        <w:pStyle w:val="ListBullet"/>
      </w:pPr>
      <w:r>
        <w:t>Pas d'automédication (AINS, aspirine, millepertuis, ginkgo, ail, ginseng).</w:t>
      </w:r>
    </w:p>
    <w:p>
      <w:pPr>
        <w:pStyle w:val="ListBullet"/>
      </w:pPr>
      <w:r/>
      <w:r>
        <w:rPr>
          <w:b/>
        </w:rPr>
        <w:t>Surveillance :</w:t>
      </w:r>
      <w:r>
        <w:t xml:space="preserve"> INR régulier selon protocole. Le patient doit noter la date et la valeur de l'INR dans son carnet, ainsi que la posologie prescrite.</w:t>
      </w:r>
    </w:p>
    <w:p>
      <w:r/>
      <w:r>
        <w:rPr>
          <w:b/>
        </w:rPr>
        <w:t>Notes, Règles d'Or &amp; Pièges au Comptoir :</w:t>
      </w:r>
      <w:r/>
    </w:p>
    <w:p>
      <w:pPr>
        <w:pStyle w:val="ListBullet"/>
      </w:pPr>
      <w:r/>
      <w:r>
        <w:rPr>
          <w:b/>
        </w:rPr>
        <w:t>Piège classique :</w:t>
      </w:r>
      <w:r>
        <w:t xml:space="preserve"> Acénocoumarol + Amiodarone → INR qui monte en quelques jours à semaines. Réduire la dose d'acénocoumarol de 30–50 %, surveillance 2×/semaine 1 mois.</w:t>
      </w:r>
    </w:p>
    <w:p>
      <w:pPr>
        <w:pStyle w:val="ListBullet"/>
      </w:pPr>
      <w:r/>
      <w:r>
        <w:rPr>
          <w:b/>
        </w:rPr>
        <w:t>Piège classique :</w:t>
      </w:r>
      <w:r>
        <w:t xml:space="preserve"> Acénocoumarol + gel buccal de miconazole (Daktarin®) → INR↑↑. À signaler au prescripteur, éviter ou compenser.</w:t>
      </w:r>
    </w:p>
    <w:p>
      <w:pPr>
        <w:pStyle w:val="ListBullet"/>
      </w:pPr>
      <w:r/>
      <w:r>
        <w:rPr>
          <w:b/>
        </w:rPr>
        <w:t>Piège classique :</w:t>
      </w:r>
      <w:r>
        <w:t xml:space="preserve"> Début d'AVK sans relais héparine → nécrose cutanée (baisse de protéine C avant baisse des facteurs procoagulants).</w:t>
      </w:r>
    </w:p>
    <w:p>
      <w:pPr>
        <w:pStyle w:val="ListBullet"/>
      </w:pPr>
      <w:r/>
      <w:r>
        <w:rPr>
          <w:b/>
        </w:rPr>
        <w:t>Règle de prise :</w:t>
      </w:r>
      <w:r>
        <w:t xml:space="preserve"> À heure fixe, le soir. Ne jamais doubler la prise en cas d'oubli (consulter le médecin en cas d'oubli &gt; 12 h).</w:t>
      </w:r>
    </w:p>
    <w:p>
      <w:pPr>
        <w:pStyle w:val="ListBullet"/>
      </w:pPr>
      <w:r/>
      <w:r>
        <w:rPr>
          <w:b/>
        </w:rPr>
        <w:t>Préparation et Conservation :</w:t>
      </w:r>
      <w:r>
        <w:t xml:space="preserve"> À température ambiante (&lt; 25 °C), à l'abri de l'humidité. Durée de validité après déconditionnement : selon DCI.</w:t>
      </w:r>
    </w:p>
    <w:p>
      <w:pPr>
        <w:pStyle w:val="ListBullet"/>
      </w:pPr>
      <w:r/>
      <w:r>
        <w:rPr>
          <w:b/>
        </w:rPr>
        <w:t>Piège du surdosage / Substitution :</w:t>
      </w:r>
      <w:r>
        <w:t xml:space="preserve"> Vitamine K 10 mg IV en urgence pour hémorragie majeure + PPC. Pour les surdosages asymptomatiques INR &gt; 5–9, arrêt + vitamine K 1–2 mg per os. </w:t>
      </w:r>
      <w:r>
        <w:rPr>
          <w:b/>
        </w:rPr>
        <w:t>Pas d'Idarucizumab ni d'Andexanet</w:t>
      </w:r>
      <w:r>
        <w:t xml:space="preserve"> (antidotes des AOD, inefficaces sur les AVK). Pour la </w:t>
      </w:r>
      <w:r>
        <w:rPr>
          <w:b/>
        </w:rPr>
        <w:t>substitution de marque</w:t>
      </w:r>
      <w:r>
        <w:t>, demander l'avis du prescripteur (risque de variation de l'INR).</w:t>
      </w:r>
    </w:p>
    <w:p>
      <w:pPr>
        <w:pStyle w:val="Heading2"/>
      </w:pPr>
      <w:r>
        <w:t>II. Sous-classe : Anticoagulants oraux directs (AOD) — Anti-Xa directs (Apixaban, Rivaroxaban)</w:t>
      </w:r>
    </w:p>
    <w:p>
      <w:pPr>
        <w:pStyle w:val="Heading3"/>
      </w:pPr>
      <w:r>
        <w:t>Introduction à la sous-classe</w:t>
      </w:r>
    </w:p>
    <w:p>
      <w:r>
        <w:t xml:space="preserve">Les anticoagulants oraux directs (AOD), également appelés NAO (nouveaux anticoagulants oraux) ou DOAC (Direct Oral Anticoagulants), constituent une révolution thérapeutique majeure de la dernière décennie. Ils agissent par </w:t>
      </w:r>
      <w:r>
        <w:rPr>
          <w:b/>
        </w:rPr>
        <w:t>inhibition directe et réversible</w:t>
      </w:r>
      <w:r>
        <w:t xml:space="preserve"> d'un facteur unique de la coagulation, sans intermédiaire antithrombine ni cofacteur. Leur avantage principal réside dans leur </w:t>
      </w:r>
      <w:r>
        <w:rPr>
          <w:b/>
        </w:rPr>
        <w:t>maniement simplifié</w:t>
      </w:r>
      <w:r>
        <w:t xml:space="preserve"> : pas de surveillance biologique de routine, posologie fixe, pas de relais héparine-AVK, interactions médicamenteuses limitées par rapport aux AVK, et demi-vie plus courte permettant une interruption préopératoire courte. Leur principal écueil réside dans leur </w:t>
      </w:r>
      <w:r>
        <w:rPr>
          <w:b/>
        </w:rPr>
        <w:t>élimination rénale partielle ou majeure</w:t>
      </w:r>
      <w:r>
        <w:t>, qui impose une adaptation posologique chez le sujet âgé et/ou insuffisant rénal, ainsi que la disponibilité d'antidotes spécifiques (idarucizumab pour dabigatran, andexanet alpha pour apixaban/rivaroxaban) — encore peu accessibles en Algérie à ce jour.</w:t>
      </w:r>
    </w:p>
    <w:p>
      <w:r/>
      <w:r>
        <w:rPr>
          <w:b/>
        </w:rPr>
        <w:t>Mécanisme d'action des anti-Xa directs :</w:t>
      </w:r>
      <w:r/>
    </w:p>
    <w:p>
      <w:r>
        <w:t xml:space="preserve">Les anti-Xa directs (apixaban, rivaroxaban, edoxaban non commercialisé en Algérie) sont de petites molécules non peptidiques qui se fixent </w:t>
      </w:r>
      <w:r>
        <w:rPr>
          <w:b/>
        </w:rPr>
        <w:t>directement</w:t>
      </w:r>
      <w:r>
        <w:t xml:space="preserve"> au site actif du facteur Xa, indépendamment de l'antithrombine. Ils inhibent aussi bien le Xa libre que le Xa lié au complexe prothrombinase (Xa–Va–phospholipides), ce qui constitue un avantage théorique sur les HBPM (qui n'inhibent que le Xa libre). L'inhibition est </w:t>
      </w:r>
      <w:r>
        <w:rPr>
          <w:b/>
        </w:rPr>
        <w:t>réversible</w:t>
      </w:r>
      <w:r>
        <w:t xml:space="preserve"> et compétitive, avec une cinétique de dissociation rapide. Le résultat pharmacodynamique est une </w:t>
      </w:r>
      <w:r>
        <w:rPr>
          <w:b/>
        </w:rPr>
        <w:t>réduction dose-dépendante de la génération de thrombine</w:t>
      </w:r>
      <w:r>
        <w:t>, sans suppression complète (résiduelle ~10–20 % même à forte dose), ce qui explique le moindre risque hémorragique par rapport aux AVK à dose thérapeutique.</w:t>
      </w:r>
    </w:p>
    <w:p>
      <w:r/>
      <w:r>
        <w:rPr>
          <w:b/>
        </w:rPr>
        <w:t>Pharmacocinétique commune :</w:t>
      </w:r>
      <w:r/>
    </w:p>
    <w:p>
      <w:pPr>
        <w:pStyle w:val="ListBullet"/>
      </w:pPr>
      <w:r>
        <w:t>Biodisponibilité orale : variable selon molécule (apixaban ~50 %, rivaroxaban ~80 % à jeun ; le rivaroxaban 15 mg/20 mg nécessite une prise pendant un repas pour une absorption optimale).</w:t>
      </w:r>
    </w:p>
    <w:p>
      <w:pPr>
        <w:pStyle w:val="ListBullet"/>
      </w:pPr>
      <w:r>
        <w:t>Liaison aux protéines : ~87 % (apixaban) à 95 % (rivaroxaban).</w:t>
      </w:r>
    </w:p>
    <w:p>
      <w:pPr>
        <w:pStyle w:val="ListBullet"/>
      </w:pPr>
      <w:r>
        <w:t>Demi-vie : apixaban ~12 h (justifie b.i.d.), rivaroxaban ~5–13 h (âge et fonction rénale) ; justifie o.d. pour les doses ≤ 15 mg.</w:t>
      </w:r>
    </w:p>
    <w:p>
      <w:pPr>
        <w:pStyle w:val="ListBullet"/>
      </w:pPr>
      <w:r>
        <w:t xml:space="preserve">Métabolisme : hépatique par CYP3A4 + CYP2J2 (apixaban) ou CYP3A4/CYP2J2 (rivaroxaban), substrats de la </w:t>
      </w:r>
      <w:r>
        <w:rPr>
          <w:b/>
        </w:rPr>
        <w:t>P-glycoprotéine</w:t>
      </w:r>
      <w:r>
        <w:t xml:space="preserve"> (P-gp) — d'où les interactions avec les inhibiteurs puissants de P-gp/CYP3A4 (azoles antifongiques, antiprotéases, clarithromycine, ciclosporine) et les inducteurs (rifampicine, phénytoïne, carbamazépine, millepertuis).</w:t>
      </w:r>
    </w:p>
    <w:p>
      <w:pPr>
        <w:pStyle w:val="ListBullet"/>
      </w:pPr>
      <w:r>
        <w:t>Élimination : mixte rénale et hépatique/fécale — apixaban ~27 % rénal, ~50 % fécal ; rivaroxaban ~33 % rénal (inchangé + métabolites), ~33 % hépatique.</w:t>
      </w:r>
    </w:p>
    <w:p>
      <w:r/>
      <w:r>
        <w:rPr>
          <w:b/>
        </w:rPr>
        <w:t>Indications comparées Apixaban vs Rivaroxaban (en Algérie) :</w:t>
      </w:r>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Indication</w:t>
            </w:r>
          </w:p>
        </w:tc>
        <w:tc>
          <w:tcPr>
            <w:tcW w:type="dxa" w:w="3118"/>
          </w:tcPr>
          <w:p>
            <w:r>
              <w:rPr>
                <w:b/>
                <w:sz w:val="20"/>
              </w:rPr>
              <w:t>Apixaban</w:t>
            </w:r>
          </w:p>
        </w:tc>
        <w:tc>
          <w:tcPr>
            <w:tcW w:type="dxa" w:w="3118"/>
          </w:tcPr>
          <w:p>
            <w:r>
              <w:rPr>
                <w:b/>
                <w:sz w:val="20"/>
              </w:rPr>
              <w:t>Rivaroxaban</w:t>
            </w:r>
          </w:p>
        </w:tc>
      </w:tr>
      <w:tr>
        <w:tc>
          <w:tcPr>
            <w:tcW w:type="dxa" w:w="3118"/>
          </w:tcPr>
          <w:p>
            <w:r>
              <w:rPr>
                <w:sz w:val="20"/>
              </w:rPr>
              <w:t>FA non valvulaire</w:t>
            </w:r>
          </w:p>
        </w:tc>
        <w:tc>
          <w:tcPr>
            <w:tcW w:type="dxa" w:w="3118"/>
          </w:tcPr>
          <w:p>
            <w:r>
              <w:rPr>
                <w:sz w:val="20"/>
              </w:rPr>
              <w:t>5 mg ×2/j</w:t>
            </w:r>
          </w:p>
        </w:tc>
        <w:tc>
          <w:tcPr>
            <w:tcW w:type="dxa" w:w="3118"/>
          </w:tcPr>
          <w:p>
            <w:r>
              <w:rPr>
                <w:sz w:val="20"/>
              </w:rPr>
              <w:t>20 mg ×1/j</w:t>
            </w:r>
          </w:p>
        </w:tc>
      </w:tr>
      <w:tr>
        <w:tc>
          <w:tcPr>
            <w:tcW w:type="dxa" w:w="3118"/>
          </w:tcPr>
          <w:p>
            <w:r>
              <w:rPr>
                <w:sz w:val="20"/>
              </w:rPr>
              <w:t>TVP/EP curatif</w:t>
            </w:r>
          </w:p>
        </w:tc>
        <w:tc>
          <w:tcPr>
            <w:tcW w:type="dxa" w:w="3118"/>
          </w:tcPr>
          <w:p>
            <w:r>
              <w:rPr>
                <w:sz w:val="20"/>
              </w:rPr>
              <w:t>10 mg ×2/j ×7 j puis 5 mg ×2/j</w:t>
            </w:r>
          </w:p>
        </w:tc>
        <w:tc>
          <w:tcPr>
            <w:tcW w:type="dxa" w:w="3118"/>
          </w:tcPr>
          <w:p>
            <w:r>
              <w:rPr>
                <w:sz w:val="20"/>
              </w:rPr>
              <w:t>15 mg ×2/j ×3 sem. puis 20 mg ×1/j</w:t>
            </w:r>
          </w:p>
        </w:tc>
      </w:tr>
      <w:tr>
        <w:tc>
          <w:tcPr>
            <w:tcW w:type="dxa" w:w="3118"/>
          </w:tcPr>
          <w:p>
            <w:r>
              <w:rPr>
                <w:sz w:val="20"/>
              </w:rPr>
              <w:t>Prévention TVP chirurgie ortho (PTH/PTG)</w:t>
            </w:r>
          </w:p>
        </w:tc>
        <w:tc>
          <w:tcPr>
            <w:tcW w:type="dxa" w:w="3118"/>
          </w:tcPr>
          <w:p>
            <w:r>
              <w:rPr>
                <w:sz w:val="20"/>
              </w:rPr>
              <w:t>2,5 mg ×2/j</w:t>
            </w:r>
          </w:p>
        </w:tc>
        <w:tc>
          <w:tcPr>
            <w:tcW w:type="dxa" w:w="3118"/>
          </w:tcPr>
          <w:p>
            <w:r>
              <w:rPr>
                <w:sz w:val="20"/>
              </w:rPr>
              <w:t>10 mg ×1/j</w:t>
            </w:r>
          </w:p>
        </w:tc>
      </w:tr>
      <w:tr>
        <w:tc>
          <w:tcPr>
            <w:tcW w:type="dxa" w:w="3118"/>
          </w:tcPr>
          <w:p>
            <w:r>
              <w:rPr>
                <w:sz w:val="20"/>
              </w:rPr>
              <w:t>Prévention TVP médical alité</w:t>
            </w:r>
          </w:p>
        </w:tc>
        <w:tc>
          <w:tcPr>
            <w:tcW w:type="dxa" w:w="3118"/>
          </w:tcPr>
          <w:p>
            <w:r>
              <w:rPr>
                <w:sz w:val="20"/>
              </w:rPr>
              <w:t>—</w:t>
            </w:r>
          </w:p>
        </w:tc>
        <w:tc>
          <w:tcPr>
            <w:tcW w:type="dxa" w:w="3118"/>
          </w:tcPr>
          <w:p>
            <w:r>
              <w:rPr>
                <w:sz w:val="20"/>
              </w:rPr>
              <w:t>10 mg ×1/j ×30–39 j</w:t>
            </w:r>
          </w:p>
        </w:tc>
      </w:tr>
      <w:tr>
        <w:tc>
          <w:tcPr>
            <w:tcW w:type="dxa" w:w="3118"/>
          </w:tcPr>
          <w:p>
            <w:r>
              <w:rPr>
                <w:sz w:val="20"/>
              </w:rPr>
              <w:t>Réduction risque CV (post-ACS)</w:t>
            </w:r>
          </w:p>
        </w:tc>
        <w:tc>
          <w:tcPr>
            <w:tcW w:type="dxa" w:w="3118"/>
          </w:tcPr>
          <w:p>
            <w:r>
              <w:rPr>
                <w:sz w:val="20"/>
              </w:rPr>
              <w:t>—</w:t>
            </w:r>
          </w:p>
        </w:tc>
        <w:tc>
          <w:tcPr>
            <w:tcW w:type="dxa" w:w="3118"/>
          </w:tcPr>
          <w:p>
            <w:r>
              <w:rPr>
                <w:sz w:val="20"/>
              </w:rPr>
              <w:t>2,5 mg ×2/j + aspirine (ATLAS)</w:t>
            </w:r>
          </w:p>
        </w:tc>
      </w:tr>
    </w:tbl>
    <w:p/>
    <w:p>
      <w:r/>
      <w:r>
        <w:rPr>
          <w:b/>
        </w:rPr>
        <w:t>Surveillance biologique :</w:t>
      </w:r>
      <w:r/>
    </w:p>
    <w:p>
      <w:r>
        <w:t xml:space="preserve">Pas de surveillance de routine par INR/TCA (ces tests sont </w:t>
      </w:r>
      <w:r>
        <w:rPr>
          <w:b/>
        </w:rPr>
        <w:t>peu sensibles</w:t>
      </w:r>
      <w:r>
        <w:t xml:space="preserve"> aux AOD anti-Xa). En cas d'urgence (hémorragie, chirurgie urgente, suspicion de surdosage), les tests utiles sont : </w:t>
      </w:r>
      <w:r>
        <w:rPr>
          <w:b/>
        </w:rPr>
        <w:t>anti-Xa spécifique</w:t>
      </w:r>
      <w:r>
        <w:t xml:space="preserve"> (étalonné sur la molécule), </w:t>
      </w:r>
      <w:r>
        <w:rPr>
          <w:b/>
        </w:rPr>
        <w:t>temps de thrombine</w:t>
      </w:r>
      <w:r>
        <w:t xml:space="preserve"> (TT), ou test de </w:t>
      </w:r>
      <w:r>
        <w:rPr>
          <w:b/>
        </w:rPr>
        <w:t>clotting protéique anti-Xa</w:t>
      </w:r>
      <w:r>
        <w:t>. Le TCA peut être allongé mais avec une sensibilité variable selon réactifs.</w:t>
      </w:r>
    </w:p>
    <w:p>
      <w:r/>
      <w:r>
        <w:rPr>
          <w:b/>
        </w:rPr>
        <w:t>Place dans l'arsenal thérapeutique algérien :</w:t>
      </w:r>
      <w:r/>
    </w:p>
    <w:p>
      <w:r>
        <w:t xml:space="preserve">Les AOD sont devenus depuis 2015–2018 l'option de </w:t>
      </w:r>
      <w:r>
        <w:rPr>
          <w:b/>
        </w:rPr>
        <w:t>première intention</w:t>
      </w:r>
      <w:r>
        <w:t xml:space="preserve"> dans la FA non valvulaire chez le patient naïf, en alternative à l'acénocoumarol. Ils sont également indiqués dans la MVTE en ambulatoire (TV distale sans critère de gravité). Les AVK restent indiqués en cas de valve mécanique, de sténose mitrale rhumatismale, d'APS, d'insuffisance rénale sévère (ClCr &lt; 15 mL/min pour apixaban ; &lt; 15 mL/min pour rivaroxaban) et en cas de contre-indication financière d'accès aux AOD (non remboursés dans certaines indications par la sécurité sociale algérienne).</w:t>
      </w:r>
    </w:p>
    <w:p>
      <w:pPr>
        <w:pStyle w:val="Heading3"/>
      </w:pPr>
      <w:r>
        <w:t>2. DCI : Apixaban (Seule)</w:t>
      </w:r>
    </w:p>
    <w:p>
      <w:r/>
      <w:r>
        <w:rPr>
          <w:b/>
        </w:rPr>
        <w:t>Liste des Catégories :</w:t>
      </w:r>
      <w:r>
        <w:t xml:space="preserve"> Liste I (toutes spécialités).</w:t>
      </w:r>
    </w:p>
    <w:p>
      <w:r>
        <w:t xml:space="preserve">L'apixaban (1-(4-méthoxyphényl)-7-oxo-6-[4-(2-oxopipéridin-1-yl)phényl]-1,2,3,4-tétrahydropyrimido[4,5-d]pyrimidin-2-yl]méthanoate de méthyle) est un inhibiteur direct, sélectif et réversible du facteur Xa. Commercialisé en France sous le princeps Eliquis® (BMS/Pfizer), il est désormais largement disponible en Algérie sous formes génériques (Apixabek, Apixar, Biopexa, Inibix, Xiban) aux dosages 2,5 mg et 5 mg. Le princeps Eliquis® (BMS/Pfizer) est en cours de retrait du marché algérien (non-renouvellement). L'apixaban se distingue des autres AOD par une </w:t>
      </w:r>
      <w:r>
        <w:rPr>
          <w:b/>
        </w:rPr>
        <w:t>moindre élimination rénale (~27 %)</w:t>
      </w:r>
      <w:r>
        <w:t xml:space="preserve">, ce qui en fait le AOD de choix chez le patient insuffisant rénal modéré à sévère, et par son administration </w:t>
      </w:r>
      <w:r>
        <w:rPr>
          <w:b/>
        </w:rPr>
        <w:t>b.i.d.</w:t>
      </w:r>
      <w:r>
        <w:t xml:space="preserve"> (2 prises par jour) qui assure un profil anticoagulant plus stable. Les essais pivots (ARISTOTLE vs warfarine dans la FA ; AMPLIFY dans la TVP/EP ; ADVANCE-3 en orthopédie) ont montré une </w:t>
      </w:r>
      <w:r>
        <w:rPr>
          <w:b/>
        </w:rPr>
        <w:t>supériorité ou non-infériorité</w:t>
      </w:r>
      <w:r>
        <w:t xml:space="preserve"> avec </w:t>
      </w:r>
      <w:r>
        <w:rPr>
          <w:b/>
        </w:rPr>
        <w:t>moins d'hémorragies intracrâniennes et d'hémorragies majeures</w:t>
      </w:r>
      <w:r>
        <w:t xml:space="preserve"> vs warfarine, ce qui en fait l'AOD avec le meilleur profil bénéfice-risque actuel.</w:t>
      </w:r>
    </w:p>
    <w:p>
      <w:r/>
      <w:r>
        <w:rPr>
          <w:b/>
        </w:rPr>
        <w:t>Médicaments disponibles en Algérie (Marques, Laboratoires, Formes et Dosages) :</w:t>
      </w:r>
      <w:r/>
    </w:p>
    <w:p>
      <w:pPr>
        <w:pStyle w:val="ListBullet"/>
      </w:pPr>
      <w:r/>
      <w:r>
        <w:rPr>
          <w:b/>
        </w:rPr>
        <w:t>APIXABEK</w:t>
      </w:r>
      <w:r>
        <w:t xml:space="preserve"> (LABORATOIRES BEKER)</w:t>
      </w:r>
    </w:p>
    <w:p>
      <w:pPr>
        <w:pStyle w:val="ListBullet"/>
      </w:pPr>
      <w:r>
        <w:t>Formes et Dosages : Comprimé pelliculé 2,5 mg (B/30 et B/60) ; Comprimé pelliculé 5 mg (B/30 et B/60)</w:t>
      </w:r>
    </w:p>
    <w:p>
      <w:pPr>
        <w:pStyle w:val="ListBullet"/>
      </w:pPr>
      <w:r>
        <w:t>Statut : Actif</w:t>
      </w:r>
    </w:p>
    <w:p>
      <w:pPr>
        <w:pStyle w:val="ListBullet"/>
      </w:pPr>
      <w:r/>
      <w:r>
        <w:rPr>
          <w:b/>
        </w:rPr>
        <w:t>APIXAR</w:t>
      </w:r>
      <w:r>
        <w:t xml:space="preserve"> (HIKMA PHARMA ALGERIA)</w:t>
      </w:r>
    </w:p>
    <w:p>
      <w:pPr>
        <w:pStyle w:val="ListBullet"/>
      </w:pPr>
      <w:r>
        <w:t>Formes et Dosages : Comprimé pelliculé 2,5 mg (B/20 et B/60) ; Comprimé pelliculé 5 mg (B/60)</w:t>
      </w:r>
    </w:p>
    <w:p>
      <w:pPr>
        <w:pStyle w:val="ListBullet"/>
      </w:pPr>
      <w:r>
        <w:t>Statut : Actif</w:t>
      </w:r>
    </w:p>
    <w:p>
      <w:pPr>
        <w:pStyle w:val="ListBullet"/>
      </w:pPr>
      <w:r/>
      <w:r>
        <w:rPr>
          <w:b/>
        </w:rPr>
        <w:t>BIOPEXA</w:t>
      </w:r>
      <w:r>
        <w:t xml:space="preserve"> (BIOPHARM)</w:t>
      </w:r>
    </w:p>
    <w:p>
      <w:pPr>
        <w:pStyle w:val="ListBullet"/>
      </w:pPr>
      <w:r>
        <w:t>Formes et Dosages : Comprimé pelliculé 2,5 mg (B/60) ; Comprimé pelliculé 5 mg (B/60)</w:t>
      </w:r>
    </w:p>
    <w:p>
      <w:pPr>
        <w:pStyle w:val="ListBullet"/>
      </w:pPr>
      <w:r>
        <w:t>Statut : Actif</w:t>
      </w:r>
    </w:p>
    <w:p>
      <w:pPr>
        <w:pStyle w:val="ListBullet"/>
      </w:pPr>
      <w:r/>
      <w:r>
        <w:rPr>
          <w:b/>
        </w:rPr>
        <w:t>INIBIX 2.5 / INIBIX 5</w:t>
      </w:r>
      <w:r>
        <w:t xml:space="preserve"> (LABORATOIRES MERINAL)</w:t>
      </w:r>
    </w:p>
    <w:p>
      <w:pPr>
        <w:pStyle w:val="ListBullet"/>
      </w:pPr>
      <w:r>
        <w:t>Formes et Dosages : Comprimé pelliculé 2,5 mg (B/60) ; Comprimé pelliculé 5 mg (B/60)</w:t>
      </w:r>
    </w:p>
    <w:p>
      <w:pPr>
        <w:pStyle w:val="ListBullet"/>
      </w:pPr>
      <w:r>
        <w:t>Statut : Actif</w:t>
      </w:r>
    </w:p>
    <w:p>
      <w:pPr>
        <w:pStyle w:val="ListBullet"/>
      </w:pPr>
      <w:r/>
      <w:r>
        <w:rPr>
          <w:b/>
        </w:rPr>
        <w:t>XIBAN</w:t>
      </w:r>
      <w:r>
        <w:t xml:space="preserve"> (EL KENDI INDUSTRIE DU MEDICAMENT)</w:t>
      </w:r>
    </w:p>
    <w:p>
      <w:pPr>
        <w:pStyle w:val="ListBullet"/>
      </w:pPr>
      <w:r>
        <w:t>Formes et Dosages : Comprimé pelliculé 2,5 mg (B/30 et B/60) ; Comprimé pelliculé 5 mg (B/30 et B/60)</w:t>
      </w:r>
    </w:p>
    <w:p>
      <w:pPr>
        <w:pStyle w:val="ListBullet"/>
      </w:pPr>
      <w:r>
        <w:t>Statut : Actif</w:t>
      </w:r>
    </w:p>
    <w:p>
      <w:pPr>
        <w:pStyle w:val="ListBullet"/>
      </w:pPr>
      <w:r/>
      <w:r>
        <w:rPr>
          <w:b/>
        </w:rPr>
        <w:t>ELIQUIS</w:t>
      </w:r>
      <w:r>
        <w:t xml:space="preserve"> (BRISTOL-MYERS SQUIBB/PFIZER EEIG)</w:t>
      </w:r>
    </w:p>
    <w:p>
      <w:pPr>
        <w:pStyle w:val="ListBullet"/>
      </w:pPr>
      <w:r>
        <w:t>Formes et Dosages : Comprimé pelliculé 2,5 mg (B/20 et B/60) ; Comprimé pelliculé 5 mg (B/60)</w:t>
      </w:r>
    </w:p>
    <w:p>
      <w:pPr>
        <w:pStyle w:val="ListBullet"/>
      </w:pPr>
      <w:r>
        <w:t>Statut : Retrait (R)</w:t>
      </w:r>
    </w:p>
    <w:p>
      <w:r/>
      <w:r>
        <w:rPr>
          <w:b/>
        </w:rPr>
        <w:t>Sous-classe et Mécanisme d'action :</w:t>
      </w:r>
      <w:r/>
    </w:p>
    <w:p>
      <w:pPr>
        <w:pStyle w:val="ListBullet"/>
      </w:pPr>
      <w:r/>
      <w:r>
        <w:rPr>
          <w:b/>
        </w:rPr>
        <w:t>Sous-classe :</w:t>
      </w:r>
      <w:r>
        <w:t xml:space="preserve"> Anticoagulant oral direct (AOD), inhibiteur direct et réversible du facteur Xa (anti-Xa direct), indépendant de l'antithrombine.</w:t>
      </w:r>
    </w:p>
    <w:p>
      <w:pPr>
        <w:pStyle w:val="ListBullet"/>
      </w:pPr>
      <w:r/>
      <w:r>
        <w:rPr>
          <w:b/>
        </w:rPr>
        <w:t>Mécanisme d'action :</w:t>
      </w:r>
      <w:r>
        <w:t xml:space="preserve"> Inhibition directe, sélective et réversible du </w:t>
      </w:r>
      <w:r>
        <w:rPr>
          <w:b/>
        </w:rPr>
        <w:t>facteur Xa</w:t>
      </w:r>
      <w:r>
        <w:t xml:space="preserve"> libre et lié à la prothrombinase (Xa-Va-Ca²⁺-phospholipides), sans nécessité de cofacteur antithrombine. Cette inhibition diminue la conversion de la prothrombine (II) en thrombine (IIa), donc la formation de fibrine, sans abolir totalement la génération de thrombine (inhibition partielle). L'effet anticoagulant est </w:t>
      </w:r>
      <w:r>
        <w:rPr>
          <w:b/>
        </w:rPr>
        <w:t>immédiat</w:t>
      </w:r>
      <w:r>
        <w:t xml:space="preserve"> (pic d'action 3–4 h après prise orale), sans période de latence comme pour les AVK. L'inhibition est dose-dépendante et linéaire aux doses thérapeutiques.</w:t>
      </w:r>
    </w:p>
    <w:p>
      <w:r/>
      <w:r>
        <w:rPr>
          <w:b/>
        </w:rPr>
        <w:t>Profil Pharmacologique :</w:t>
      </w:r>
      <w:r/>
    </w:p>
    <w:p>
      <w:pPr>
        <w:pStyle w:val="ListBullet"/>
      </w:pPr>
      <w:r/>
      <w:r>
        <w:rPr>
          <w:b/>
        </w:rPr>
        <w:t>Indications :</w:t>
      </w:r>
      <w:r/>
    </w:p>
    <w:p>
      <w:pPr>
        <w:pStyle w:val="ListBullet"/>
      </w:pPr>
      <w:r>
        <w:t xml:space="preserve">Prévention de l'AVC et de l'embolie systémique dans la </w:t>
      </w:r>
      <w:r>
        <w:rPr>
          <w:b/>
        </w:rPr>
        <w:t>FA non valvulaire</w:t>
      </w:r>
      <w:r>
        <w:t xml:space="preserve"> (avec un facteur de risque additionnel : âge ≥ 75 ans, HTA, diabète, IC, antécédent AVC/AIT).</w:t>
      </w:r>
    </w:p>
    <w:p>
      <w:pPr>
        <w:pStyle w:val="ListBullet"/>
      </w:pPr>
      <w:r>
        <w:t xml:space="preserve">Traitement curatif et prévention récidive de </w:t>
      </w:r>
      <w:r>
        <w:rPr>
          <w:b/>
        </w:rPr>
        <w:t>TVP</w:t>
      </w:r>
      <w:r>
        <w:t xml:space="preserve"> et </w:t>
      </w:r>
      <w:r>
        <w:rPr>
          <w:b/>
        </w:rPr>
        <w:t>EP</w:t>
      </w:r>
      <w:r>
        <w:t xml:space="preserve"> (sans instabilité hémodynamique pour l'EP).</w:t>
      </w:r>
    </w:p>
    <w:p>
      <w:pPr>
        <w:pStyle w:val="ListBullet"/>
      </w:pPr>
      <w:r>
        <w:t xml:space="preserve">Prévention de la TVP/EP après </w:t>
      </w:r>
      <w:r>
        <w:rPr>
          <w:b/>
        </w:rPr>
        <w:t>arthroplastie totale de hanche (PTH)</w:t>
      </w:r>
      <w:r>
        <w:t xml:space="preserve"> ou </w:t>
      </w:r>
      <w:r>
        <w:rPr>
          <w:b/>
        </w:rPr>
        <w:t>du genou (PTG)</w:t>
      </w:r>
      <w:r>
        <w:t>.</w:t>
      </w:r>
    </w:p>
    <w:p>
      <w:pPr>
        <w:pStyle w:val="ListBullet"/>
      </w:pPr>
      <w:r/>
      <w:r>
        <w:rPr>
          <w:b/>
        </w:rPr>
        <w:t>Contre-indications :</w:t>
      </w:r>
      <w:r>
        <w:t xml:space="preserve"> Hypersensibilité à l'apixaban ; </w:t>
      </w:r>
      <w:r>
        <w:rPr>
          <w:b/>
        </w:rPr>
        <w:t>hémorragie active cliniquement significative</w:t>
      </w:r>
      <w:r>
        <w:t xml:space="preserve"> ; </w:t>
      </w:r>
      <w:r>
        <w:rPr>
          <w:b/>
        </w:rPr>
        <w:t>insuffisance rénale sévère ClCr &lt; 15 mL/min</w:t>
      </w:r>
      <w:r>
        <w:t xml:space="preserve"> (non évalué) ; </w:t>
      </w:r>
      <w:r>
        <w:rPr>
          <w:b/>
        </w:rPr>
        <w:t>insuffisance hépatique sévère</w:t>
      </w:r>
      <w:r>
        <w:t xml:space="preserve"> et/ou maladie hépatique avec coagulopathie cliniquement significative (Child-Pugh C) ; </w:t>
      </w:r>
      <w:r>
        <w:rPr>
          <w:b/>
        </w:rPr>
        <w:t>grossesse</w:t>
      </w:r>
      <w:r>
        <w:t xml:space="preserve"> (données animales : augmentation des hémorragies maternelles, passage transplacentaire attendu) ; </w:t>
      </w:r>
      <w:r>
        <w:rPr>
          <w:b/>
        </w:rPr>
        <w:t>allaitement</w:t>
      </w:r>
      <w:r>
        <w:t xml:space="preserve"> ; age &lt; 18 ans ; patients sous traitement </w:t>
      </w:r>
      <w:r>
        <w:rPr>
          <w:b/>
        </w:rPr>
        <w:t>chronique</w:t>
      </w:r>
      <w:r>
        <w:t xml:space="preserve"> par AINS ou antiagrégants non justifié ; valve mécanique (essai PROACT XA et RE-ALIGN négatifs) ; sténose mitrale rhumatismale sévère (non évaluée) ; syndrome des antiphospholipides (APS) avec triple positivité (essai TRAPS négatif) ; endocardite infectieuse.</w:t>
      </w:r>
    </w:p>
    <w:p>
      <w:pPr>
        <w:pStyle w:val="ListBullet"/>
      </w:pPr>
      <w:r/>
      <w:r>
        <w:rPr>
          <w:b/>
        </w:rPr>
        <w:t>Effets Indésirables :</w:t>
      </w:r>
      <w:r/>
    </w:p>
    <w:p>
      <w:pPr>
        <w:pStyle w:val="ListBullet"/>
      </w:pPr>
      <w:r/>
      <w:r>
        <w:rPr>
          <w:b/>
        </w:rPr>
        <w:t>Hémorragies</w:t>
      </w:r>
      <w:r>
        <w:t xml:space="preserve"> (effet de classe, principal) : tous types, dont hémorragie intracrânienne, digestive, génito-urinaire, cutanéo-muqueuse. Incidence annuelle d'hémorragie majeure ~2–3 % dans la FA (inférieure à la warfarine ~3–4 % dans ARISTOTLE), ~0,5–1 % en post-chirurgical ortho. Moins d'HIC que les AVK (-50 %).</w:t>
      </w:r>
    </w:p>
    <w:p>
      <w:pPr>
        <w:pStyle w:val="ListBullet"/>
      </w:pPr>
      <w:r/>
      <w:r>
        <w:rPr>
          <w:b/>
        </w:rPr>
        <w:t>Anémie</w:t>
      </w:r>
      <w:r>
        <w:t xml:space="preserve"> (consécutive aux saignements occultes).</w:t>
      </w:r>
    </w:p>
    <w:p>
      <w:pPr>
        <w:pStyle w:val="ListBullet"/>
      </w:pPr>
      <w:r/>
      <w:r>
        <w:rPr>
          <w:b/>
        </w:rPr>
        <w:t>Troubles digestifs</w:t>
      </w:r>
      <w:r>
        <w:t xml:space="preserve"> : nausées, dyspepsie (~5 %), plus marqués qu'avec warfarine (les AOD sont "irritants" pour la muqueuse gastrique).</w:t>
      </w:r>
    </w:p>
    <w:p>
      <w:pPr>
        <w:pStyle w:val="ListBullet"/>
      </w:pPr>
      <w:r/>
      <w:r>
        <w:rPr>
          <w:b/>
        </w:rPr>
        <w:t>Hépatotoxicité</w:t>
      </w:r>
      <w:r>
        <w:t xml:space="preserve"> : cytolyse modérée, cholestase (rares), augmentation des transaminases &lt; 3× LSN dans 5–10 % des cas.</w:t>
      </w:r>
    </w:p>
    <w:p>
      <w:pPr>
        <w:pStyle w:val="ListBullet"/>
      </w:pPr>
      <w:r/>
      <w:r>
        <w:rPr>
          <w:b/>
        </w:rPr>
        <w:t>Hypersensibilité</w:t>
      </w:r>
      <w:r>
        <w:t xml:space="preserve"> : rash, prurit, très rare anaphylaxie.</w:t>
      </w:r>
    </w:p>
    <w:p>
      <w:pPr>
        <w:pStyle w:val="ListBullet"/>
      </w:pPr>
      <w:r/>
      <w:r>
        <w:rPr>
          <w:b/>
        </w:rPr>
        <w:t>Pas de nécrose cutanée</w:t>
      </w:r>
      <w:r>
        <w:t xml:space="preserve"> (contrairement aux AVK — pas de baisse de protéine C).</w:t>
      </w:r>
    </w:p>
    <w:p>
      <w:pPr>
        <w:pStyle w:val="ListBullet"/>
      </w:pPr>
      <w:r/>
      <w:r>
        <w:rPr>
          <w:b/>
        </w:rPr>
        <w:t>Pas de TIH</w:t>
      </w:r>
      <w:r>
        <w:t xml:space="preserve"> (héparine-induite).</w:t>
      </w:r>
    </w:p>
    <w:p>
      <w:r/>
      <w:r>
        <w:rPr>
          <w:b/>
        </w:rPr>
        <w:t>Prévention et Gestion des Effets Indésirables :</w:t>
      </w:r>
      <w:r/>
    </w:p>
    <w:p>
      <w:pPr>
        <w:pStyle w:val="ListBullet"/>
      </w:pPr>
      <w:r/>
      <w:r>
        <w:rPr>
          <w:b/>
        </w:rPr>
        <w:t>Mesures Préventives :</w:t>
      </w:r>
      <w:r>
        <w:t xml:space="preserve"> (i) Évaluation du rapport bénéfice/risque : score CHA2DS2-VASc pour la FA, score HAS-BLED pour le risque hémorragique. (ii) Bilan pré-thérapeutique minimal : NFS, plaquettes, créatininémie (calcul ClCr Cockcroft), bilan hépatique, TP/TCA de base (pour comparaison ultérieure en cas de saignement). (iii) Information du patient sur l'observance b.i.d., les signes hémorragiques, la nécessité de signaler le traitement à tout professionnel de santé. (iv) Adaptation posologique si : âge ≥ 80 ans + poids ≤ 60 kg + créatininémie ≥ 133 µmol/L → </w:t>
      </w:r>
      <w:r>
        <w:rPr>
          <w:b/>
        </w:rPr>
        <w:t>2,5 mg ×2/j</w:t>
      </w:r>
      <w:r>
        <w:t xml:space="preserve"> (deux critères sur trois ; sinon dose standard 5 mg ×2/j). (v) Éviter l'association aux AINS au long cours et à la double antiagrégation plaquettaire sauf indication formelle (post-ACS).</w:t>
      </w:r>
    </w:p>
    <w:p>
      <w:pPr>
        <w:pStyle w:val="ListBullet"/>
      </w:pPr>
      <w:r/>
      <w:r>
        <w:rPr>
          <w:b/>
        </w:rPr>
        <w:t>Conduite à Tenir :</w:t>
      </w:r>
      <w:r/>
    </w:p>
    <w:p>
      <w:pPr>
        <w:pStyle w:val="ListBullet"/>
      </w:pPr>
      <w:r/>
      <w:r>
        <w:rPr>
          <w:b/>
        </w:rPr>
        <w:t>Hémorragie mineure</w:t>
      </w:r>
      <w:r>
        <w:t xml:space="preserve"> (gingivorragie, ecchymose) : pas de modification, surveillance clinique.</w:t>
      </w:r>
    </w:p>
    <w:p>
      <w:pPr>
        <w:pStyle w:val="ListBullet"/>
      </w:pPr>
      <w:r/>
      <w:r>
        <w:rPr>
          <w:b/>
        </w:rPr>
        <w:t>Hémorragie modérée</w:t>
      </w:r>
      <w:r>
        <w:t xml:space="preserve"> (extériorisée mais stable) : retarder la prise suivante, évaluation médicale.</w:t>
      </w:r>
    </w:p>
    <w:p>
      <w:pPr>
        <w:pStyle w:val="ListBullet"/>
      </w:pPr>
      <w:r/>
      <w:r>
        <w:rPr>
          <w:b/>
        </w:rPr>
        <w:t>Hémorragie majeure</w:t>
      </w:r>
      <w:r>
        <w:t xml:space="preserve"> (digestive, HIC, instabilité hémodynamique) : arrêt immédiat, </w:t>
      </w:r>
      <w:r>
        <w:rPr>
          <w:b/>
        </w:rPr>
        <w:t>réanimation</w:t>
      </w:r>
      <w:r>
        <w:t xml:space="preserve"> (remplissage, CGR, PFC si besoin), </w:t>
      </w:r>
      <w:r>
        <w:rPr>
          <w:b/>
        </w:rPr>
        <w:t>Andexanet alpha</w:t>
      </w:r>
      <w:r>
        <w:t xml:space="preserve"> (antidote spécifique, dose IV bolus 400 ou 800 mg selon dose et délai d'apixaban, puis perfusion 4 ou 8 mg/min pendant 120 min) si disponible ; en l'absence d'andexanet, </w:t>
      </w:r>
      <w:r>
        <w:rPr>
          <w:b/>
        </w:rPr>
        <w:t>PPC 25–50 UI/kg</w:t>
      </w:r>
      <w:r>
        <w:t xml:space="preserve"> ou </w:t>
      </w:r>
      <w:r>
        <w:rPr>
          <w:b/>
        </w:rPr>
        <w:t>FEIBA 50 UI/kg</w:t>
      </w:r>
      <w:r>
        <w:t xml:space="preserve"> (charbon activé si prise &lt; 6 h).</w:t>
      </w:r>
    </w:p>
    <w:p>
      <w:pPr>
        <w:pStyle w:val="ListBullet"/>
      </w:pPr>
      <w:r/>
      <w:r>
        <w:rPr>
          <w:b/>
        </w:rPr>
        <w:t>Surdosage sans saignement</w:t>
      </w:r>
      <w:r>
        <w:t xml:space="preserve"> : surveillance, arrêt de la prochaine prise si prise récente (&lt; 6 h, charbon activé).</w:t>
      </w:r>
    </w:p>
    <w:p>
      <w:pPr>
        <w:pStyle w:val="ListBullet"/>
      </w:pPr>
      <w:r/>
      <w:r>
        <w:rPr>
          <w:b/>
        </w:rPr>
        <w:t>Chirurgie urgente</w:t>
      </w:r>
      <w:r>
        <w:t xml:space="preserve"> : arrêt 24–48 h avant (selon fonction rénale) ; tests biologiques (anti-Xa, TCA).</w:t>
      </w:r>
    </w:p>
    <w:p>
      <w:pPr>
        <w:pStyle w:val="ListBullet"/>
      </w:pPr>
      <w:r/>
      <w:r>
        <w:rPr>
          <w:b/>
        </w:rPr>
        <w:t>Chirurgie programmée</w:t>
      </w:r>
      <w:r>
        <w:t xml:space="preserve"> : arrêt 24 h (ClCr &gt; 60) à 48 h (ClCr 30–60) avant intervention à risque hémorragique ; reprise 24–48 h post-opératoire si hémostase correcte.</w:t>
      </w:r>
    </w:p>
    <w:p>
      <w:r/>
      <w:r>
        <w:rPr>
          <w:b/>
        </w:rPr>
        <w:t>Interactions Importantes :</w:t>
      </w:r>
      <w:r/>
    </w:p>
    <w:p>
      <w:pPr>
        <w:pStyle w:val="ListBullet"/>
      </w:pPr>
      <w:r/>
      <w:r>
        <w:rPr>
          <w:b/>
        </w:rPr>
        <w:t>Apixaban + Inhibiteurs puissants de P-gp et CYP3A4</w:t>
      </w:r>
      <w:r>
        <w:t xml:space="preserve"> (kétoconazole, itraconazole, voriconazole, posaconazole, ritonavir, clarithromycine) : exposition ×2 → réduire dose de moitié (2,5 mg ×2/j au lieu de 5 mg ×2/j). Contre-indication pour azoles oraux systémiques si possible.</w:t>
      </w:r>
    </w:p>
    <w:p>
      <w:pPr>
        <w:pStyle w:val="ListBullet"/>
      </w:pPr>
      <w:r/>
      <w:r>
        <w:rPr>
          <w:b/>
        </w:rPr>
        <w:t>Apixaban + Inducteurs puissants de P-gp et CYP3A4</w:t>
      </w:r>
      <w:r>
        <w:t xml:space="preserve"> (rifampicine, phénytoïne, carbamazépine, phénobarbital, millepertuis) : exposition ÷2 → perte d'efficacité, contre-indication.</w:t>
      </w:r>
    </w:p>
    <w:p>
      <w:pPr>
        <w:pStyle w:val="ListBullet"/>
      </w:pPr>
      <w:r/>
      <w:r>
        <w:rPr>
          <w:b/>
        </w:rPr>
        <w:t>Apixaban + AINS / Aspirine</w:t>
      </w:r>
      <w:r>
        <w:t xml:space="preserve"> : majoration du risque hémorragique digestif. À éviter, surtout en chronique.</w:t>
      </w:r>
    </w:p>
    <w:p>
      <w:pPr>
        <w:pStyle w:val="ListBullet"/>
      </w:pPr>
      <w:r/>
      <w:r>
        <w:rPr>
          <w:b/>
        </w:rPr>
        <w:t>Apixaban + Clopidogrel / Ticagrelor</w:t>
      </w:r>
      <w:r>
        <w:t xml:space="preserve"> (post-ACS ou post-PCI) : triple thérapie (FA post-ACS) : hémorragie +++ ; durée la plus courte possible (1–6 mois selon risque ischémique/hémorragique).</w:t>
      </w:r>
    </w:p>
    <w:p>
      <w:pPr>
        <w:pStyle w:val="ListBullet"/>
      </w:pPr>
      <w:r/>
      <w:r>
        <w:rPr>
          <w:b/>
        </w:rPr>
        <w:t>Apixaban + Anticoagulants</w:t>
      </w:r>
      <w:r>
        <w:t xml:space="preserve"> (HBPM, HNF, AVK) : contre-indication sauf relais (chevauchement bref).</w:t>
      </w:r>
    </w:p>
    <w:p>
      <w:pPr>
        <w:pStyle w:val="ListBullet"/>
      </w:pPr>
      <w:r/>
      <w:r>
        <w:rPr>
          <w:b/>
        </w:rPr>
        <w:t>Apixaban + Sélection sérotininergique (ISRS, IRSN)</w:t>
      </w:r>
      <w:r>
        <w:t xml:space="preserve"> : modeste majoration du risque hémorragique cutané, mais globalement acceptable.</w:t>
      </w:r>
    </w:p>
    <w:p>
      <w:r/>
      <w:r>
        <w:rPr>
          <w:b/>
        </w:rPr>
        <w:t>Grossesse et Allaitement :</w:t>
      </w:r>
      <w:r/>
    </w:p>
    <w:p>
      <w:pPr>
        <w:pStyle w:val="ListBullet"/>
      </w:pPr>
      <w:r/>
      <w:r>
        <w:rPr>
          <w:b/>
        </w:rPr>
        <w:t>Grossesse :</w:t>
      </w:r>
      <w:r>
        <w:t xml:space="preserve"> </w:t>
      </w:r>
      <w:r>
        <w:rPr>
          <w:b/>
        </w:rPr>
        <w:t>Contre-indication</w:t>
      </w:r>
      <w:r>
        <w:t xml:space="preserve"> (CRAT). Données animales : augmentation des hémorragies maternelles, passage transplacentaire attendu (PM ~460 Da, faible liaison), risque tératogène non documenté mais théorique. L'apixaban doit être remplacé par une </w:t>
      </w:r>
      <w:r>
        <w:rPr>
          <w:b/>
        </w:rPr>
        <w:t>HBPM à dose curative</w:t>
      </w:r>
      <w:r>
        <w:t xml:space="preserve"> (enoxaparine 100 UI/kg ×2/j) pendant toute la grossesse. Planification pré-conceptionnelle : relais AVK/AOD → HBPM avant conception.</w:t>
      </w:r>
    </w:p>
    <w:p>
      <w:pPr>
        <w:pStyle w:val="ListBullet"/>
      </w:pPr>
      <w:r/>
      <w:r>
        <w:rPr>
          <w:b/>
        </w:rPr>
        <w:t>Allaitement :</w:t>
      </w:r>
      <w:r>
        <w:t xml:space="preserve"> </w:t>
      </w:r>
      <w:r>
        <w:rPr>
          <w:b/>
        </w:rPr>
        <w:t>Déconseillé</w:t>
      </w:r>
      <w:r>
        <w:t xml:space="preserve"> (CRAT). Pas de données humaines ; passage attendu dans le lait (études animales : exposition &lt; 5 % de la dose maternelle, mais risque d'hémorragie chez le nouveau-né). Préférer l'allaitement sous AVK (compatible) ou HBPM (compatible) si anticoagulation nécessaire en post-partum.</w:t>
      </w:r>
    </w:p>
    <w:p>
      <w:pPr>
        <w:pStyle w:val="ListBullet"/>
      </w:pPr>
      <w:r/>
      <w:r>
        <w:rPr>
          <w:b/>
        </w:rPr>
        <w:t>Précisions :</w:t>
      </w:r>
      <w:r>
        <w:t xml:space="preserve"> En post-partum, l'apixaban peut être introduit après un délai de 2 semaines (3 semaines si facteur de risque thrombotique persistant) selon les recommandations RCOG.</w:t>
      </w:r>
    </w:p>
    <w:p>
      <w:r/>
      <w:r>
        <w:rPr>
          <w:b/>
        </w:rPr>
        <w:t>Posologie et Mode d'administration (Standard) :</w:t>
      </w:r>
      <w:r/>
    </w:p>
    <w:p>
      <w:pPr>
        <w:pStyle w:val="ListBullet"/>
      </w:pPr>
      <w:r/>
      <w:r>
        <w:rPr>
          <w:b/>
        </w:rPr>
        <w:t>Adulte FA non valvulaire :</w:t>
      </w:r>
      <w:r>
        <w:t xml:space="preserve"> </w:t>
      </w:r>
      <w:r>
        <w:rPr>
          <w:b/>
        </w:rPr>
        <w:t>5 mg ×2/j</w:t>
      </w:r>
      <w:r>
        <w:t xml:space="preserve"> (matin et soir, à 12 h d'intervalle). Réduction à </w:t>
      </w:r>
      <w:r>
        <w:rPr>
          <w:b/>
        </w:rPr>
        <w:t>2,5 mg ×2/j</w:t>
      </w:r>
      <w:r>
        <w:t xml:space="preserve"> si 2 des 3 critères : âge ≥ 80 ans, poids ≤ 60 kg, créatininémie ≥ 133 µmol/L (1,5 mg/dL).</w:t>
      </w:r>
    </w:p>
    <w:p>
      <w:pPr>
        <w:pStyle w:val="ListBullet"/>
      </w:pPr>
      <w:r/>
      <w:r>
        <w:rPr>
          <w:b/>
        </w:rPr>
        <w:t>Adulte TVP/EP curatif :</w:t>
      </w:r>
      <w:r>
        <w:t xml:space="preserve"> 10 mg ×2/j pendant 7 jours, puis 5 mg ×2/j. Durée selon étiologie : 3 mois (provoked), 6 mois, ou au long cours (idiopathique ou facteur persistant).</w:t>
      </w:r>
    </w:p>
    <w:p>
      <w:pPr>
        <w:pStyle w:val="ListBullet"/>
      </w:pPr>
      <w:r/>
      <w:r>
        <w:rPr>
          <w:b/>
        </w:rPr>
        <w:t>Adulte prévention TVP post-PTH/PTG :</w:t>
      </w:r>
      <w:r>
        <w:t xml:space="preserve"> 2,5 mg ×2/j, début 12–24 h après intervention, pendant 32–38 jours (PTH) ou 10–14 jours (PTG).</w:t>
      </w:r>
    </w:p>
    <w:p>
      <w:pPr>
        <w:pStyle w:val="ListBullet"/>
      </w:pPr>
      <w:r/>
      <w:r>
        <w:rPr>
          <w:b/>
        </w:rPr>
        <w:t>Sujet âgé :</w:t>
      </w:r>
      <w:r>
        <w:t xml:space="preserve"> Pas de réduction systématique liée à l'âge seul (sauf si critères ci-dessus).</w:t>
      </w:r>
    </w:p>
    <w:p>
      <w:pPr>
        <w:pStyle w:val="ListBullet"/>
      </w:pPr>
      <w:r/>
      <w:r>
        <w:rPr>
          <w:b/>
        </w:rPr>
        <w:t>Insuffisance rénale :</w:t>
      </w:r>
      <w:r/>
    </w:p>
    <w:p>
      <w:pPr>
        <w:pStyle w:val="ListBullet"/>
      </w:pPr>
      <w:r>
        <w:t>ClCr ≥ 30 mL/min : pas d'adaptation (FA, MVTE, post-chirurgical).</w:t>
      </w:r>
    </w:p>
    <w:p>
      <w:pPr>
        <w:pStyle w:val="ListBullet"/>
      </w:pPr>
      <w:r>
        <w:t>ClCr 15–29 mL/min : pas d'adaptation pour FA (utilisé avec prudence) ; pas de données en MVTE, éviter en post-chirurgical ortho.</w:t>
      </w:r>
    </w:p>
    <w:p>
      <w:pPr>
        <w:pStyle w:val="ListBullet"/>
      </w:pPr>
      <w:r>
        <w:t>ClCr &lt; 15 mL/min : contre-indication (non évalué).</w:t>
      </w:r>
    </w:p>
    <w:p>
      <w:pPr>
        <w:pStyle w:val="ListBullet"/>
      </w:pPr>
      <w:r/>
      <w:r>
        <w:rPr>
          <w:b/>
        </w:rPr>
        <w:t>Insuffisance hépatique :</w:t>
      </w:r>
      <w:r>
        <w:t xml:space="preserve"> Child-Pugh A : prudence. Child-Pugh B : prudence, pas de données. Child-Pugh C : contre-indication.</w:t>
      </w:r>
    </w:p>
    <w:p>
      <w:pPr>
        <w:pStyle w:val="ListBullet"/>
      </w:pPr>
      <w:r/>
      <w:r>
        <w:rPr>
          <w:b/>
        </w:rPr>
        <w:t>Durée :</w:t>
      </w:r>
      <w:r>
        <w:t xml:space="preserve"> Selon indication — FA au long cours (à vie), PTH 32–38 j, PTG 10–14 j, TVP/EP 3–6 mois ou plus selon étiologie.</w:t>
      </w:r>
    </w:p>
    <w:p>
      <w:pPr>
        <w:pStyle w:val="ListBullet"/>
      </w:pPr>
      <w:r/>
      <w:r>
        <w:rPr>
          <w:b/>
        </w:rPr>
        <w:t>Moment de prise :</w:t>
      </w:r>
      <w:r>
        <w:t xml:space="preserve"> À heure fixe, matin et soir (b.i.d.), indépendamment des repas (contrairement au rivaroxaban 15/20 mg). En cas d'oubli &lt; 6 h, prendre la dose oubliée ; &gt; 6 h, sauter la prise (ne pas doubler).</w:t>
      </w:r>
    </w:p>
    <w:p>
      <w:r/>
      <w:r>
        <w:rPr>
          <w:b/>
        </w:rPr>
        <w:t>Arbitrage et Bénéfices des Formes Galéniques :</w:t>
      </w:r>
      <w:r/>
    </w:p>
    <w:p>
      <w:r>
        <w:t>L'apixaban est disponible uniquement en comprimés pelliculés à 2,5 mg et 5 mg. La forme pelliculée protège la substance du goût amer et facilite la déglutition. Le comprimé n'est pas sécable mais peut être écrasé pour administration par sonde gastrique (en suspension dans l'eau immédiatement avant administration). Les deux dosages permettent une certaine flexibilité (5 mg ×2 standard, 2,5 mg ×2 chez les patients fragiles) sans nécessité de cassage de comprimé. Le choix du dosage dépend exclusivement des 3 critères (âge/poids/créatinine). Les conditionnements (B/30, B/60) sont adaptés à des traitements mensuels ou bimestriels.</w:t>
      </w:r>
    </w:p>
    <w:p>
      <w:r/>
      <w:r>
        <w:rPr>
          <w:b/>
        </w:rPr>
        <w:t>Instructions et Conseils au Patient :</w:t>
      </w:r>
      <w:r/>
    </w:p>
    <w:p>
      <w:pPr>
        <w:pStyle w:val="ListBullet"/>
      </w:pPr>
      <w:r/>
      <w:r>
        <w:rPr>
          <w:b/>
        </w:rPr>
        <w:t>Communication au comptoir :</w:t>
      </w:r>
      <w:r>
        <w:t xml:space="preserve"> "Ce médicament est un anticoagulant moderne. Il fluidifie le sang pour éviter la formation de caillots. Il se prend </w:t>
      </w:r>
      <w:r>
        <w:rPr>
          <w:b/>
        </w:rPr>
        <w:t>2 fois par jour, à heure fixe</w:t>
      </w:r>
      <w:r>
        <w:t>, matin et soir. Contrairement aux anciens anticoagulants (Sintrom), il ne nécessite pas de prise de sang régulière (INR). Cependant, il faut être très rigoureux sur la prise, et signaler immédiatement tout saignement anormal."</w:t>
      </w:r>
    </w:p>
    <w:p>
      <w:pPr>
        <w:pStyle w:val="ListBullet"/>
      </w:pPr>
      <w:r/>
      <w:r>
        <w:rPr>
          <w:b/>
        </w:rPr>
        <w:t>Mode d'utilisation pratique :</w:t>
      </w:r>
      <w:r/>
    </w:p>
    <w:p>
      <w:pPr>
        <w:pStyle w:val="ListBullet"/>
      </w:pPr>
      <w:r>
        <w:t>Prendre matin et soir à heure fixe (ex : 8 h et 20 h).</w:t>
      </w:r>
    </w:p>
    <w:p>
      <w:pPr>
        <w:pStyle w:val="ListBullet"/>
      </w:pPr>
      <w:r>
        <w:t>En cas d'oubli, prendre dès que possible si &lt; 6 h après l'heure habituelle, sinon sauter la prise (ne pas doubler).</w:t>
      </w:r>
    </w:p>
    <w:p>
      <w:pPr>
        <w:pStyle w:val="ListBullet"/>
      </w:pPr>
      <w:r>
        <w:t>Prévenir tout médecin, dentiste, chirurgien, anesthésiste.</w:t>
      </w:r>
    </w:p>
    <w:p>
      <w:pPr>
        <w:pStyle w:val="ListBullet"/>
      </w:pPr>
      <w:r>
        <w:t>Signes d'alerte : saignement prolongé, ecchymoses spontanées, méléna (selles noires), hématurie, céphalées brutales → urgence.</w:t>
      </w:r>
    </w:p>
    <w:p>
      <w:pPr>
        <w:pStyle w:val="ListBullet"/>
      </w:pPr>
      <w:r>
        <w:t>Éviter l'automédication, en particulier les AINS (ibuprofène, kétoprofène, aspirine) sans avis médical.</w:t>
      </w:r>
    </w:p>
    <w:p>
      <w:pPr>
        <w:pStyle w:val="ListBullet"/>
      </w:pPr>
      <w:r>
        <w:t>Pas de restriction alimentaire stricte.</w:t>
      </w:r>
    </w:p>
    <w:p>
      <w:pPr>
        <w:pStyle w:val="ListBullet"/>
      </w:pPr>
      <w:r>
        <w:t>En cas d'intervention chirurgicale programmée, prévenir le médecin au moins 5 jours avant pour arrêt éventuel.</w:t>
      </w:r>
    </w:p>
    <w:p>
      <w:pPr>
        <w:pStyle w:val="ListBullet"/>
      </w:pPr>
      <w:r/>
      <w:r>
        <w:rPr>
          <w:b/>
        </w:rPr>
        <w:t>Surveillance :</w:t>
      </w:r>
      <w:r>
        <w:t xml:space="preserve"> Pas de surveillance INR. Une fois par an : créatininémie, NFS, bilan hépatique (détection de l'aggravation d'une IRC sous-jacente qui imposerait une adaptation).</w:t>
      </w:r>
    </w:p>
    <w:p>
      <w:r/>
      <w:r>
        <w:rPr>
          <w:b/>
        </w:rPr>
        <w:t>Notes, Règles d'Or &amp; Pièges au Comptoir :</w:t>
      </w:r>
      <w:r/>
    </w:p>
    <w:p>
      <w:pPr>
        <w:pStyle w:val="ListBullet"/>
      </w:pPr>
      <w:r/>
      <w:r>
        <w:rPr>
          <w:b/>
        </w:rPr>
        <w:t>Piège classique :</w:t>
      </w:r>
      <w:r>
        <w:t xml:space="preserve"> Apixaban 5 mg ×2 chez un patient de 82 ans, 55 kg, créatinine 150 µmol/L → </w:t>
      </w:r>
      <w:r>
        <w:rPr>
          <w:b/>
        </w:rPr>
        <w:t>2,5 mg ×2/j</w:t>
      </w:r>
      <w:r>
        <w:t xml:space="preserve"> (3 critères remplis). Piège fréquent de non-réduction de dose.</w:t>
      </w:r>
    </w:p>
    <w:p>
      <w:pPr>
        <w:pStyle w:val="ListBullet"/>
      </w:pPr>
      <w:r/>
      <w:r>
        <w:rPr>
          <w:b/>
        </w:rPr>
        <w:t>Piège classique :</w:t>
      </w:r>
      <w:r>
        <w:t xml:space="preserve"> Apixaban + kétoconazole oral → exposition doublée, hémorragie. Réduire dose de moitié.</w:t>
      </w:r>
    </w:p>
    <w:p>
      <w:pPr>
        <w:pStyle w:val="ListBullet"/>
      </w:pPr>
      <w:r/>
      <w:r>
        <w:rPr>
          <w:b/>
        </w:rPr>
        <w:t>Piège classique :</w:t>
      </w:r>
      <w:r>
        <w:t xml:space="preserve"> Apixaban + rifampicine → exposition divisée par 2 → perte d'efficacité, thrombose.</w:t>
      </w:r>
    </w:p>
    <w:p>
      <w:pPr>
        <w:pStyle w:val="ListBullet"/>
      </w:pPr>
      <w:r/>
      <w:r>
        <w:rPr>
          <w:b/>
        </w:rPr>
        <w:t>Piège classique :</w:t>
      </w:r>
      <w:r>
        <w:t xml:space="preserve"> Apixaban chez valve mécanique → contre-indication (PROACT XA), préférer AVK.</w:t>
      </w:r>
    </w:p>
    <w:p>
      <w:pPr>
        <w:pStyle w:val="ListBullet"/>
      </w:pPr>
      <w:r/>
      <w:r>
        <w:rPr>
          <w:b/>
        </w:rPr>
        <w:t>Règle de prise :</w:t>
      </w:r>
      <w:r>
        <w:t xml:space="preserve"> À heure fixe matin et soir, sans rapport avec les repas.</w:t>
      </w:r>
    </w:p>
    <w:p>
      <w:pPr>
        <w:pStyle w:val="ListBullet"/>
      </w:pPr>
      <w:r/>
      <w:r>
        <w:rPr>
          <w:b/>
        </w:rPr>
        <w:t>Préparation et Conservation :</w:t>
      </w:r>
      <w:r>
        <w:t xml:space="preserve"> À température ambiante (&lt; 30 °C), à l'abri de l'humidité. Les comprimés pelliculés ne doivent pas être coupés (sauf s'il existe une barre de sécabilité, ce qui n'est pas le cas).</w:t>
      </w:r>
    </w:p>
    <w:p>
      <w:pPr>
        <w:pStyle w:val="ListBullet"/>
      </w:pPr>
      <w:r/>
      <w:r>
        <w:rPr>
          <w:b/>
        </w:rPr>
        <w:t>Piège du surdosage / Substitution :</w:t>
      </w:r>
      <w:r>
        <w:t xml:space="preserve"> </w:t>
      </w:r>
      <w:r>
        <w:rPr>
          <w:b/>
        </w:rPr>
        <w:t>Andexanet alpha</w:t>
      </w:r>
      <w:r>
        <w:t xml:space="preserve"> (antidote spécifique — disponible dans les services d'urgence référents) ; à défaut, PPC 25–50 UI/kg ou FEIBA. Charbon activé si prise &lt; 6 h. </w:t>
      </w:r>
      <w:r>
        <w:rPr>
          <w:b/>
        </w:rPr>
        <w:t>Substitution de marque</w:t>
      </w:r>
      <w:r>
        <w:t xml:space="preserve"> possible entre génériques et princeps en raison de la bioéquivalence démontrée, mais à signaler au patient pour éviter les confusions.</w:t>
      </w:r>
    </w:p>
    <w:p>
      <w:pPr>
        <w:pStyle w:val="Heading3"/>
      </w:pPr>
      <w:r>
        <w:t>3. DCI : Rivaroxaban (Seule)</w:t>
      </w:r>
    </w:p>
    <w:p>
      <w:r/>
      <w:r>
        <w:rPr>
          <w:b/>
        </w:rPr>
        <w:t>Liste des Catégories :</w:t>
      </w:r>
      <w:r>
        <w:t xml:space="preserve"> Liste I (toutes spécialités).</w:t>
      </w:r>
    </w:p>
    <w:p>
      <w:r>
        <w:t xml:space="preserve">Le rivaroxaban (5-chloro-N-({(5S)-2-oxo-3-[4-(3-oxomorpholin-4-yl)phényl]-1,3-oxazolidin-5-yl}méthyl)thiophène-2-carboxamide) est le premier AOD commercialisé (2008 en Europe, 2011 en France). Inhibiteur direct et réversible du facteur Xa, il partage avec l'apixaban la sous-classe mais s'en distingue par : (i) une </w:t>
      </w:r>
      <w:r>
        <w:rPr>
          <w:b/>
        </w:rPr>
        <w:t>biodisponibilité orale dose-dépendante</w:t>
      </w:r>
      <w:r>
        <w:t xml:space="preserve"> — quasi complète à 10 mg (à jeun ou non) mais réduite à ~80 % (et retardée) pour les comprimés à 15 et 20 mg qui doivent donc être </w:t>
      </w:r>
      <w:r>
        <w:rPr>
          <w:b/>
        </w:rPr>
        <w:t>pris pendant un repas</w:t>
      </w:r>
      <w:r>
        <w:t xml:space="preserve"> ; (ii) une </w:t>
      </w:r>
      <w:r>
        <w:rPr>
          <w:b/>
        </w:rPr>
        <w:t>demi-vie plus courte</w:t>
      </w:r>
      <w:r>
        <w:t xml:space="preserve"> (5–13 h, moyenne ~7–11 h chez le sujet sain, allongée chez l'insuffisant rénal et le sujet âgé) ; (iii) un schéma </w:t>
      </w:r>
      <w:r>
        <w:rPr>
          <w:b/>
        </w:rPr>
        <w:t>monoprise quotidienne</w:t>
      </w:r>
      <w:r>
        <w:t xml:space="preserve"> (o.d.) pour la FA, la MVTE d'entretien et la prévention chirurgicale, ce qui facilite l'observance mais n'évite pas le risque d'oubli ; (iv) une </w:t>
      </w:r>
      <w:r>
        <w:rPr>
          <w:b/>
        </w:rPr>
        <w:t>élimination rénale plus importante</w:t>
      </w:r>
      <w:r>
        <w:t xml:space="preserve"> (~33 % sous forme inchangée + métabolites actifs), ce qui impose une prudence accrue chez l'insuffisant rénal. Les essais pivots (ROCKET AF vs warfarine dans la FA ; EINSTEIN DVT/PE dans la MVTE ; RECORD 1–4 en orthopédie ; ATLAS ACS-TIMI 51 en post-ACS) ont montré une </w:t>
      </w:r>
      <w:r>
        <w:rPr>
          <w:b/>
        </w:rPr>
        <w:t>non-infériorité</w:t>
      </w:r>
      <w:r>
        <w:t xml:space="preserve"> du rivaroxaban vs comparateurs, avec un profil hémorragique globalement comparable (moins d'HIC, mais plus de saignements digestifs que warfarine).</w:t>
      </w:r>
    </w:p>
    <w:p>
      <w:r/>
      <w:r>
        <w:rPr>
          <w:b/>
        </w:rPr>
        <w:t>Médicaments disponibles en Algérie (Marques, Laboratoires, Formes et Dosages) :</w:t>
      </w:r>
      <w:r/>
    </w:p>
    <w:p>
      <w:r>
        <w:t xml:space="preserve">Le rivaroxaban est disponible en Algérie en une </w:t>
      </w:r>
      <w:r>
        <w:rPr>
          <w:b/>
        </w:rPr>
        <w:t>grande diversité de marques</w:t>
      </w:r>
      <w:r>
        <w:t xml:space="preserve"> (7 laboratoires, plusieurs dosages) — reflet de l'arrivée des génériques après l'expiration du brevet princeps (Xarelto® Bayer).</w:t>
      </w:r>
    </w:p>
    <w:p>
      <w:pPr>
        <w:pStyle w:val="ListBullet"/>
      </w:pPr>
      <w:r/>
      <w:r>
        <w:rPr>
          <w:b/>
        </w:rPr>
        <w:t>XARELTO</w:t>
      </w:r>
      <w:r>
        <w:t xml:space="preserve"> (BAYER PHARMA AG) — Princeps</w:t>
      </w:r>
    </w:p>
    <w:p>
      <w:pPr>
        <w:pStyle w:val="ListBullet"/>
      </w:pPr>
      <w:r>
        <w:t>Formes et Dosages : Comprimé pelliculé 10 mg (B/05, B/10, B/30, B/100) ; 15 mg (B/14, B/42, B/100) ; 20 mg (B/28, B/100)</w:t>
      </w:r>
    </w:p>
    <w:p>
      <w:pPr>
        <w:pStyle w:val="ListBullet"/>
      </w:pPr>
      <w:r>
        <w:t>Statut : Actif</w:t>
      </w:r>
    </w:p>
    <w:p>
      <w:pPr>
        <w:pStyle w:val="ListBullet"/>
      </w:pPr>
      <w:r/>
      <w:r>
        <w:rPr>
          <w:b/>
        </w:rPr>
        <w:t>INHIXA</w:t>
      </w:r>
      <w:r>
        <w:t xml:space="preserve"> (BIOCARE)</w:t>
      </w:r>
    </w:p>
    <w:p>
      <w:pPr>
        <w:pStyle w:val="ListBullet"/>
      </w:pPr>
      <w:r>
        <w:t>Formes et Dosages : Comprimé pelliculé 10 mg (B/30 et B/100) ; 15 mg (B/14, B/28, B/42) ; 20 mg (B/28)</w:t>
      </w:r>
    </w:p>
    <w:p>
      <w:pPr>
        <w:pStyle w:val="ListBullet"/>
      </w:pPr>
      <w:r>
        <w:t>Statut : Actif</w:t>
      </w:r>
    </w:p>
    <w:p>
      <w:pPr>
        <w:pStyle w:val="ListBullet"/>
      </w:pPr>
      <w:r/>
      <w:r>
        <w:rPr>
          <w:b/>
        </w:rPr>
        <w:t>RIVOKSAR</w:t>
      </w:r>
      <w:r>
        <w:t xml:space="preserve"> (ABDI IBRAHIM ILAÇ SANAYI VE TICARET A.Ş)</w:t>
      </w:r>
    </w:p>
    <w:p>
      <w:pPr>
        <w:pStyle w:val="ListBullet"/>
      </w:pPr>
      <w:r>
        <w:t>Formes et Dosages : Comprimé pelliculé 10 mg, 15 mg, 20 mg (B/30 pour chacun)</w:t>
      </w:r>
    </w:p>
    <w:p>
      <w:pPr>
        <w:pStyle w:val="ListBullet"/>
      </w:pPr>
      <w:r>
        <w:t>Statut : Actif</w:t>
      </w:r>
    </w:p>
    <w:p>
      <w:pPr>
        <w:pStyle w:val="ListBullet"/>
      </w:pPr>
      <w:r/>
      <w:r>
        <w:rPr>
          <w:b/>
        </w:rPr>
        <w:t>TROMBIX</w:t>
      </w:r>
      <w:r>
        <w:t xml:space="preserve"> (LABORATOIRES BEKER)</w:t>
      </w:r>
    </w:p>
    <w:p>
      <w:pPr>
        <w:pStyle w:val="ListBullet"/>
      </w:pPr>
      <w:r>
        <w:t>Formes et Dosages : Comprimé pelliculé 10 mg (B/30) ; 15 mg (B/12, B/30, B/42) ; 20 mg (B/30)</w:t>
      </w:r>
    </w:p>
    <w:p>
      <w:pPr>
        <w:pStyle w:val="ListBullet"/>
      </w:pPr>
      <w:r>
        <w:t>Statut : Actif</w:t>
      </w:r>
    </w:p>
    <w:p>
      <w:pPr>
        <w:pStyle w:val="ListBullet"/>
      </w:pPr>
      <w:r/>
      <w:r>
        <w:rPr>
          <w:b/>
        </w:rPr>
        <w:t>VAROXA</w:t>
      </w:r>
      <w:r>
        <w:t xml:space="preserve"> (TABUK ALGERIE)</w:t>
      </w:r>
    </w:p>
    <w:p>
      <w:pPr>
        <w:pStyle w:val="ListBullet"/>
      </w:pPr>
      <w:r>
        <w:t>Formes et Dosages : Comprimé pelliculé 10 mg, 15 mg, 20 mg (B/30 pour chacun)</w:t>
      </w:r>
    </w:p>
    <w:p>
      <w:pPr>
        <w:pStyle w:val="ListBullet"/>
      </w:pPr>
      <w:r>
        <w:t>Statut : Actif</w:t>
      </w:r>
    </w:p>
    <w:p>
      <w:pPr>
        <w:pStyle w:val="ListBullet"/>
      </w:pPr>
      <w:r/>
      <w:r>
        <w:rPr>
          <w:b/>
        </w:rPr>
        <w:t>RYVOL</w:t>
      </w:r>
      <w:r>
        <w:t xml:space="preserve"> (PHARMALLIANCE)</w:t>
      </w:r>
    </w:p>
    <w:p>
      <w:pPr>
        <w:pStyle w:val="ListBullet"/>
      </w:pPr>
      <w:r>
        <w:t>Formes et Dosages : Comprimé pelliculé 10 mg (B/30) ; 15 mg (B/30, B/40, B/42) ; 20 mg (B/30)</w:t>
      </w:r>
    </w:p>
    <w:p>
      <w:pPr>
        <w:pStyle w:val="ListBullet"/>
      </w:pPr>
      <w:r>
        <w:t>Statut : Actif</w:t>
      </w:r>
    </w:p>
    <w:p>
      <w:pPr>
        <w:pStyle w:val="ListBullet"/>
      </w:pPr>
      <w:r/>
      <w:r>
        <w:rPr>
          <w:b/>
        </w:rPr>
        <w:t>RIVALTO</w:t>
      </w:r>
      <w:r>
        <w:t xml:space="preserve"> (FRATER-RAZES FORME SECHE)</w:t>
      </w:r>
    </w:p>
    <w:p>
      <w:pPr>
        <w:pStyle w:val="ListBullet"/>
      </w:pPr>
      <w:r>
        <w:t>Formes et Dosages : Comprimé pelliculé 15 mg (B/30) ; 20 mg (B/30)</w:t>
      </w:r>
    </w:p>
    <w:p>
      <w:pPr>
        <w:pStyle w:val="ListBullet"/>
      </w:pPr>
      <w:r>
        <w:t>Statut : Actif</w:t>
      </w:r>
    </w:p>
    <w:p>
      <w:pPr>
        <w:pStyle w:val="ListBullet"/>
      </w:pPr>
      <w:r/>
      <w:r>
        <w:rPr>
          <w:b/>
        </w:rPr>
        <w:t>ZARLAN</w:t>
      </w:r>
      <w:r>
        <w:t xml:space="preserve"> (DAR AL DAWA)</w:t>
      </w:r>
    </w:p>
    <w:p>
      <w:pPr>
        <w:pStyle w:val="ListBullet"/>
      </w:pPr>
      <w:r>
        <w:t>Formes et Dosages : Comprimé pelliculé 10 mg (B/10, B/30)</w:t>
      </w:r>
    </w:p>
    <w:p>
      <w:pPr>
        <w:pStyle w:val="ListBullet"/>
      </w:pPr>
      <w:r>
        <w:t>Statut : Actif</w:t>
      </w:r>
    </w:p>
    <w:p>
      <w:r>
        <w:t>À noter : le rivaroxaban n'a pas de dosage à 2,5 mg commercialisé en Algérie à ce jour (dosage utilisé dans l'indication post-ACS en association à l'aspirine, ATLAS). Cette indication n'est donc pas couverte en pratique clinique algérienne.</w:t>
      </w:r>
    </w:p>
    <w:p>
      <w:r/>
      <w:r>
        <w:rPr>
          <w:b/>
        </w:rPr>
        <w:t>Sous-classe et Mécanisme d'action :</w:t>
      </w:r>
      <w:r/>
    </w:p>
    <w:p>
      <w:pPr>
        <w:pStyle w:val="ListBullet"/>
      </w:pPr>
      <w:r/>
      <w:r>
        <w:rPr>
          <w:b/>
        </w:rPr>
        <w:t>Sous-classe :</w:t>
      </w:r>
      <w:r>
        <w:t xml:space="preserve"> Anticoagulant oral direct (AOD), inhibiteur direct et réversible du facteur Xa (anti-Xa direct), indépendant de l'antithrombine.</w:t>
      </w:r>
    </w:p>
    <w:p>
      <w:pPr>
        <w:pStyle w:val="ListBullet"/>
      </w:pPr>
      <w:r/>
      <w:r>
        <w:rPr>
          <w:b/>
        </w:rPr>
        <w:t>Mécanisme d'action :</w:t>
      </w:r>
      <w:r>
        <w:t xml:space="preserve"> Inhibition directe, sélective et réversible du </w:t>
      </w:r>
      <w:r>
        <w:rPr>
          <w:b/>
        </w:rPr>
        <w:t>facteur Xa</w:t>
      </w:r>
      <w:r>
        <w:t xml:space="preserve"> libre et lié au complexe prothrombinase. L'inhibition est compétitive, avec une Ki ~0,4 nM. Le rivaroxaban inhibe également le Xa lié au caillot (mais moins efficacement que l'apixaban pour le Xa fixé à la prothrombinase). L'effet anticoagulant est </w:t>
      </w:r>
      <w:r>
        <w:rPr>
          <w:b/>
        </w:rPr>
        <w:t>immédiat</w:t>
      </w:r>
      <w:r>
        <w:t xml:space="preserve"> (pic 2–4 h après prise), sans phase de latence. La sélectivité pour le Xa est &gt; 10 000× supérieure à celle pour d'autres sérine-protéases (thrombine, trypsine, plasmine, facteur VIIa, IXa, XIa, XIIa).</w:t>
      </w:r>
    </w:p>
    <w:p>
      <w:r/>
      <w:r>
        <w:rPr>
          <w:b/>
        </w:rPr>
        <w:t>Profil Pharmacologique :</w:t>
      </w:r>
      <w:r/>
    </w:p>
    <w:p>
      <w:pPr>
        <w:pStyle w:val="ListBullet"/>
      </w:pPr>
      <w:r/>
      <w:r>
        <w:rPr>
          <w:b/>
        </w:rPr>
        <w:t>Indications :</w:t>
      </w:r>
      <w:r/>
    </w:p>
    <w:p>
      <w:pPr>
        <w:pStyle w:val="ListBullet"/>
      </w:pPr>
      <w:r>
        <w:t xml:space="preserve">Prévention de l'AVC et de l'embolie systémique dans la </w:t>
      </w:r>
      <w:r>
        <w:rPr>
          <w:b/>
        </w:rPr>
        <w:t>FA non valvulaire</w:t>
      </w:r>
      <w:r>
        <w:t xml:space="preserve"> (20 mg ×1/j).</w:t>
      </w:r>
    </w:p>
    <w:p>
      <w:pPr>
        <w:pStyle w:val="ListBullet"/>
      </w:pPr>
      <w:r>
        <w:t xml:space="preserve">Traitement curatif et prévention récidive de </w:t>
      </w:r>
      <w:r>
        <w:rPr>
          <w:b/>
        </w:rPr>
        <w:t>TVP</w:t>
      </w:r>
      <w:r>
        <w:t xml:space="preserve"> et </w:t>
      </w:r>
      <w:r>
        <w:rPr>
          <w:b/>
        </w:rPr>
        <w:t>EP</w:t>
      </w:r>
      <w:r>
        <w:t xml:space="preserve"> (sans instabilité hémodynamique) — schéma 15 mg ×2/j ×3 semaines puis 20 mg ×1/j.</w:t>
      </w:r>
    </w:p>
    <w:p>
      <w:pPr>
        <w:pStyle w:val="ListBullet"/>
      </w:pPr>
      <w:r>
        <w:t xml:space="preserve">Prévention de la TVP/EP après </w:t>
      </w:r>
      <w:r>
        <w:rPr>
          <w:b/>
        </w:rPr>
        <w:t>PTH</w:t>
      </w:r>
      <w:r>
        <w:t xml:space="preserve"> (35 jours) et </w:t>
      </w:r>
      <w:r>
        <w:rPr>
          <w:b/>
        </w:rPr>
        <w:t>PTG</w:t>
      </w:r>
      <w:r>
        <w:t xml:space="preserve"> (12 jours) — 10 mg ×1/j.</w:t>
      </w:r>
    </w:p>
    <w:p>
      <w:pPr>
        <w:pStyle w:val="ListBullet"/>
      </w:pPr>
      <w:r>
        <w:t xml:space="preserve">Prévention de la TVP/EP chez le </w:t>
      </w:r>
      <w:r>
        <w:rPr>
          <w:b/>
        </w:rPr>
        <w:t>patient médical alité</w:t>
      </w:r>
      <w:r>
        <w:t xml:space="preserve"> (insuffisance cardiaque, insuffisance respiratoire aiguë, infection aiguë) — 10 mg ×1/j pendant 31–39 jours.</w:t>
      </w:r>
    </w:p>
    <w:p>
      <w:pPr>
        <w:pStyle w:val="ListBullet"/>
      </w:pPr>
      <w:r/>
      <w:r>
        <w:rPr>
          <w:b/>
        </w:rPr>
        <w:t>Post-ACS</w:t>
      </w:r>
      <w:r>
        <w:t xml:space="preserve"> (post-IDM) : 2,5 mg ×2/j en association à l'aspirine (indication ATLAS, non disponible en Algérie faute de dosage 2,5 mg).</w:t>
      </w:r>
    </w:p>
    <w:p>
      <w:pPr>
        <w:pStyle w:val="ListBullet"/>
      </w:pPr>
      <w:r/>
      <w:r>
        <w:rPr>
          <w:b/>
        </w:rPr>
        <w:t>Contre-indications :</w:t>
      </w:r>
      <w:r>
        <w:t xml:space="preserve"> Hypersensibilité au rivaroxaban ; </w:t>
      </w:r>
      <w:r>
        <w:rPr>
          <w:b/>
        </w:rPr>
        <w:t>hémorragie active cliniquement significative</w:t>
      </w:r>
      <w:r>
        <w:t xml:space="preserve"> ; </w:t>
      </w:r>
      <w:r>
        <w:rPr>
          <w:b/>
        </w:rPr>
        <w:t>insuffisance rénale sévère ClCr &lt; 15 mL/min</w:t>
      </w:r>
      <w:r>
        <w:t xml:space="preserve"> (contre-indication) ; </w:t>
      </w:r>
      <w:r>
        <w:rPr>
          <w:b/>
        </w:rPr>
        <w:t>insuffisance hépatique sévère</w:t>
      </w:r>
      <w:r>
        <w:t xml:space="preserve"> (Child-Pugh C) et/ou coagulopathie cliniquement significative ; </w:t>
      </w:r>
      <w:r>
        <w:rPr>
          <w:b/>
        </w:rPr>
        <w:t>grossesse</w:t>
      </w:r>
      <w:r>
        <w:t xml:space="preserve"> et </w:t>
      </w:r>
      <w:r>
        <w:rPr>
          <w:b/>
        </w:rPr>
        <w:t>allaitement</w:t>
      </w:r>
      <w:r>
        <w:t xml:space="preserve"> ; âge &lt; 18 ans ; </w:t>
      </w:r>
      <w:r>
        <w:rPr>
          <w:b/>
        </w:rPr>
        <w:t>valve mécanique</w:t>
      </w:r>
      <w:r>
        <w:t xml:space="preserve"> (essai PROACT XA négatif) ; </w:t>
      </w:r>
      <w:r>
        <w:rPr>
          <w:b/>
        </w:rPr>
        <w:t>sténose mitrale rhumatismale</w:t>
      </w:r>
      <w:r>
        <w:t xml:space="preserve"> (non évaluée) ; </w:t>
      </w:r>
      <w:r>
        <w:rPr>
          <w:b/>
        </w:rPr>
        <w:t>syndrome des antiphospholipides (APS)</w:t>
      </w:r>
      <w:r>
        <w:t xml:space="preserve"> avec triple positivité (essai TRAPS négatif) ; endocardite infectieuse ; patients sous traitement chronique AINS/antiagrégants non justifié.</w:t>
      </w:r>
    </w:p>
    <w:p>
      <w:pPr>
        <w:pStyle w:val="ListBullet"/>
      </w:pPr>
      <w:r/>
      <w:r>
        <w:rPr>
          <w:b/>
        </w:rPr>
        <w:t>Effets Indésirables :</w:t>
      </w:r>
      <w:r/>
    </w:p>
    <w:p>
      <w:pPr>
        <w:pStyle w:val="ListBullet"/>
      </w:pPr>
      <w:r/>
      <w:r>
        <w:rPr>
          <w:b/>
        </w:rPr>
        <w:t>Hémorragies</w:t>
      </w:r>
      <w:r>
        <w:t xml:space="preserve"> : tous types, incidence comparable à la warfarine en global (~3 %/an en FA) mais moins d'HIC (-30 %) et </w:t>
      </w:r>
      <w:r>
        <w:rPr>
          <w:b/>
        </w:rPr>
        <w:t>plus de saignements digestifs</w:t>
      </w:r>
      <w:r>
        <w:t xml:space="preserve"> (+30 % vs warfarine), en particulier chez le sujet âgé.</w:t>
      </w:r>
    </w:p>
    <w:p>
      <w:pPr>
        <w:pStyle w:val="ListBullet"/>
      </w:pPr>
      <w:r/>
      <w:r>
        <w:rPr>
          <w:b/>
        </w:rPr>
        <w:t>Anémie</w:t>
      </w:r>
      <w:r>
        <w:t xml:space="preserve"> post-hémorragique.</w:t>
      </w:r>
    </w:p>
    <w:p>
      <w:pPr>
        <w:pStyle w:val="ListBullet"/>
      </w:pPr>
      <w:r/>
      <w:r>
        <w:rPr>
          <w:b/>
        </w:rPr>
        <w:t>Troubles digestifs</w:t>
      </w:r>
      <w:r>
        <w:t xml:space="preserve"> : nausées, dyspepsie (~5–8 %), plus marqués qu'avec warfarine.</w:t>
      </w:r>
    </w:p>
    <w:p>
      <w:pPr>
        <w:pStyle w:val="ListBullet"/>
      </w:pPr>
      <w:r/>
      <w:r>
        <w:rPr>
          <w:b/>
        </w:rPr>
        <w:t>Hépatotoxicité</w:t>
      </w:r>
      <w:r>
        <w:t xml:space="preserve"> : cytolyse modérée (&lt; 5 %), augmentation des transaminases dans 5–10 % des cas, rares cas d'atteinte cholestatique.</w:t>
      </w:r>
    </w:p>
    <w:p>
      <w:pPr>
        <w:pStyle w:val="ListBullet"/>
      </w:pPr>
      <w:r/>
      <w:r>
        <w:rPr>
          <w:b/>
        </w:rPr>
        <w:t>Hypersensibilité</w:t>
      </w:r>
      <w:r>
        <w:t xml:space="preserve"> : rash, prurit, rare anaphylaxie.</w:t>
      </w:r>
    </w:p>
    <w:p>
      <w:pPr>
        <w:pStyle w:val="ListBullet"/>
      </w:pPr>
      <w:r/>
      <w:r>
        <w:rPr>
          <w:b/>
        </w:rPr>
        <w:t>Pas de nécrose cutanée</w:t>
      </w:r>
      <w:r>
        <w:t xml:space="preserve">, </w:t>
      </w:r>
      <w:r>
        <w:rPr>
          <w:b/>
        </w:rPr>
        <w:t>pas de TIH</w:t>
      </w:r>
      <w:r>
        <w:t>.</w:t>
      </w:r>
    </w:p>
    <w:p>
      <w:pPr>
        <w:pStyle w:val="ListBullet"/>
      </w:pPr>
      <w:r/>
      <w:r>
        <w:rPr>
          <w:b/>
        </w:rPr>
        <w:t>Syncope, vertiges</w:t>
      </w:r>
      <w:r>
        <w:t xml:space="preserve"> (rares).</w:t>
      </w:r>
    </w:p>
    <w:p>
      <w:r/>
      <w:r>
        <w:rPr>
          <w:b/>
        </w:rPr>
        <w:t>Prévention et Gestion des Effets Indésirables :</w:t>
      </w:r>
      <w:r/>
    </w:p>
    <w:p>
      <w:pPr>
        <w:pStyle w:val="ListBullet"/>
      </w:pPr>
      <w:r/>
      <w:r>
        <w:rPr>
          <w:b/>
        </w:rPr>
        <w:t>Mesures Préventives :</w:t>
      </w:r>
      <w:r>
        <w:t xml:space="preserve"> (i) Évaluation CHA2DS2-VASc (FA) et HAS-BLED. (ii) Bilan pré-thérapeutique : NFS, plaquettes, créatininémie, bilan hépatique, TP/TCA de base. (iii) Information patient : observance quotidienne stricte, signes hémorragiques, signalement traitement. (iv) Adaptation posologique selon la fonction rénale : pas d'adaptation si ClCr &gt; 50 ; prudence et surveillance si ClCr 15–50 ; contre-indication si &lt; 15. (v) Pour les doses 15 et 20 mg : </w:t>
      </w:r>
      <w:r>
        <w:rPr>
          <w:b/>
        </w:rPr>
        <w:t>prise obligatoire pendant un repas</w:t>
      </w:r>
      <w:r>
        <w:t xml:space="preserve"> (biodisponibilité augmentée de ~30–40 %). Le 10 mg peut être pris à jeun ou avec repas.</w:t>
      </w:r>
    </w:p>
    <w:p>
      <w:pPr>
        <w:pStyle w:val="ListBullet"/>
      </w:pPr>
      <w:r/>
      <w:r>
        <w:rPr>
          <w:b/>
        </w:rPr>
        <w:t>Conduite à Tenir :</w:t>
      </w:r>
      <w:r/>
    </w:p>
    <w:p>
      <w:pPr>
        <w:pStyle w:val="ListBullet"/>
      </w:pPr>
      <w:r/>
      <w:r>
        <w:rPr>
          <w:b/>
        </w:rPr>
        <w:t>Hémorragie mineure</w:t>
      </w:r>
      <w:r>
        <w:t xml:space="preserve"> : pas de modification, surveillance.</w:t>
      </w:r>
    </w:p>
    <w:p>
      <w:pPr>
        <w:pStyle w:val="ListBullet"/>
      </w:pPr>
      <w:r/>
      <w:r>
        <w:rPr>
          <w:b/>
        </w:rPr>
        <w:t>Hémorragie modérée</w:t>
      </w:r>
      <w:r>
        <w:t xml:space="preserve"> : retarder la prise suivante, évaluation.</w:t>
      </w:r>
    </w:p>
    <w:p>
      <w:pPr>
        <w:pStyle w:val="ListBullet"/>
      </w:pPr>
      <w:r/>
      <w:r>
        <w:rPr>
          <w:b/>
        </w:rPr>
        <w:t>Hémorragie majeure</w:t>
      </w:r>
      <w:r>
        <w:t xml:space="preserve"> : arrêt immédiat, réanimation, </w:t>
      </w:r>
      <w:r>
        <w:rPr>
          <w:b/>
        </w:rPr>
        <w:t>Andexanet alpha</w:t>
      </w:r>
      <w:r>
        <w:t xml:space="preserve"> si disponible (dose selon quantité et délai) ; sinon </w:t>
      </w:r>
      <w:r>
        <w:rPr>
          <w:b/>
        </w:rPr>
        <w:t>PPC 25–50 UI/kg</w:t>
      </w:r>
      <w:r>
        <w:t xml:space="preserve"> ou </w:t>
      </w:r>
      <w:r>
        <w:rPr>
          <w:b/>
        </w:rPr>
        <w:t>FEIBA 50 UI/kg</w:t>
      </w:r>
      <w:r>
        <w:t xml:space="preserve"> ; charbon activé si prise &lt; 6–8 h.</w:t>
      </w:r>
    </w:p>
    <w:p>
      <w:pPr>
        <w:pStyle w:val="ListBullet"/>
      </w:pPr>
      <w:r/>
      <w:r>
        <w:rPr>
          <w:b/>
        </w:rPr>
        <w:t>Surdosage sans saignement</w:t>
      </w:r>
      <w:r>
        <w:t xml:space="preserve"> : surveillance, charbon activé si prise récente.</w:t>
      </w:r>
    </w:p>
    <w:p>
      <w:pPr>
        <w:pStyle w:val="ListBullet"/>
      </w:pPr>
      <w:r/>
      <w:r>
        <w:rPr>
          <w:b/>
        </w:rPr>
        <w:t>Chirurgie urgente</w:t>
      </w:r>
      <w:r>
        <w:t xml:space="preserve"> : arrêt, tests biologiques (anti-Xa, TCA).</w:t>
      </w:r>
    </w:p>
    <w:p>
      <w:pPr>
        <w:pStyle w:val="ListBullet"/>
      </w:pPr>
      <w:r/>
      <w:r>
        <w:rPr>
          <w:b/>
        </w:rPr>
        <w:t>Chirurgie programmée</w:t>
      </w:r>
      <w:r>
        <w:t xml:space="preserve"> : arrêt 24–48 h avant (selon fonction rénale et type de chirurgie) ; reprise 24–48 h après si hémostase.</w:t>
      </w:r>
    </w:p>
    <w:p>
      <w:r/>
      <w:r>
        <w:rPr>
          <w:b/>
        </w:rPr>
        <w:t>Interactions Importantes :</w:t>
      </w:r>
      <w:r/>
    </w:p>
    <w:p>
      <w:pPr>
        <w:pStyle w:val="ListBullet"/>
      </w:pPr>
      <w:r/>
      <w:r>
        <w:rPr>
          <w:b/>
        </w:rPr>
        <w:t>Rivaroxaban + Inhibiteurs puissants P-gp et CYP3A4</w:t>
      </w:r>
      <w:r>
        <w:t xml:space="preserve"> (kétoconazole, itraconazole, voriconazole, posaconazole, ritonavir, lopinavir, clarithromycine) : contre-indication formelle (exposition ×2,5).</w:t>
      </w:r>
    </w:p>
    <w:p>
      <w:pPr>
        <w:pStyle w:val="ListBullet"/>
      </w:pPr>
      <w:r/>
      <w:r>
        <w:rPr>
          <w:b/>
        </w:rPr>
        <w:t>Rivaroxaban + Inducteurs puissants P-gp et CYP3A4</w:t>
      </w:r>
      <w:r>
        <w:t xml:space="preserve"> (rifampicine, phénytoïne, carbamazépine, phénobarbital, millepertuis) : contre-indication (exposition ÷2, perte d'efficacité).</w:t>
      </w:r>
    </w:p>
    <w:p>
      <w:pPr>
        <w:pStyle w:val="ListBullet"/>
      </w:pPr>
      <w:r/>
      <w:r>
        <w:rPr>
          <w:b/>
        </w:rPr>
        <w:t>Rivaroxaban + AINS / Aspirine</w:t>
      </w:r>
      <w:r>
        <w:t xml:space="preserve"> : majoration hémorragie digestive. Éviter.</w:t>
      </w:r>
    </w:p>
    <w:p>
      <w:pPr>
        <w:pStyle w:val="ListBullet"/>
      </w:pPr>
      <w:r/>
      <w:r>
        <w:rPr>
          <w:b/>
        </w:rPr>
        <w:t>Rivaroxaban + Clopidogrel / Ticagrelor</w:t>
      </w:r>
      <w:r>
        <w:t xml:space="preserve"> : triple thérapie (post-ACS ou FA post-PCI) : risque +++ ; durée la plus courte possible (1–6 mois).</w:t>
      </w:r>
    </w:p>
    <w:p>
      <w:pPr>
        <w:pStyle w:val="ListBullet"/>
      </w:pPr>
      <w:r/>
      <w:r>
        <w:rPr>
          <w:b/>
        </w:rPr>
        <w:t>Rivaroxaban + Anticoagulants</w:t>
      </w:r>
      <w:r>
        <w:t xml:space="preserve"> : contre-indication sauf relais bref.</w:t>
      </w:r>
    </w:p>
    <w:p>
      <w:pPr>
        <w:pStyle w:val="ListBullet"/>
      </w:pPr>
      <w:r/>
      <w:r>
        <w:rPr>
          <w:b/>
        </w:rPr>
        <w:t>Rivaroxaban + Clarithromycine / Érythromycine</w:t>
      </w:r>
      <w:r>
        <w:t xml:space="preserve"> : prudence, exposition légèrement augmentée.</w:t>
      </w:r>
    </w:p>
    <w:p>
      <w:r/>
      <w:r>
        <w:rPr>
          <w:b/>
        </w:rPr>
        <w:t>Grossesse et Allaitement :</w:t>
      </w:r>
      <w:r/>
    </w:p>
    <w:p>
      <w:pPr>
        <w:pStyle w:val="ListBullet"/>
      </w:pPr>
      <w:r/>
      <w:r>
        <w:rPr>
          <w:b/>
        </w:rPr>
        <w:t>Grossesse :</w:t>
      </w:r>
      <w:r>
        <w:t xml:space="preserve"> </w:t>
      </w:r>
      <w:r>
        <w:rPr>
          <w:b/>
        </w:rPr>
        <w:t>Contre-indication</w:t>
      </w:r>
      <w:r>
        <w:t xml:space="preserve"> (CRAT). Données animales : augmentation des hémorragies maternelles, passage transplacentaire attendu, pas d'effet tératogène à doses thérapeutiques mais risque fœtal hémorragique. Relais par </w:t>
      </w:r>
      <w:r>
        <w:rPr>
          <w:b/>
        </w:rPr>
        <w:t>HBPM à dose curative</w:t>
      </w:r>
      <w:r>
        <w:t xml:space="preserve"> (enoxaparine 100 UI/kg ×2/j) pendant toute la grossesse.</w:t>
      </w:r>
    </w:p>
    <w:p>
      <w:pPr>
        <w:pStyle w:val="ListBullet"/>
      </w:pPr>
      <w:r/>
      <w:r>
        <w:rPr>
          <w:b/>
        </w:rPr>
        <w:t>Allaitement :</w:t>
      </w:r>
      <w:r>
        <w:t xml:space="preserve"> </w:t>
      </w:r>
      <w:r>
        <w:rPr>
          <w:b/>
        </w:rPr>
        <w:t>Déconseillé</w:t>
      </w:r>
      <w:r>
        <w:t xml:space="preserve"> (CRAT). Passage attendu dans le lait (études animales : concentration lait/maternelle = 1/20 plasma). Préférer AVK ou HBPM si anticoagulation nécessaire en post-partum.</w:t>
      </w:r>
    </w:p>
    <w:p>
      <w:pPr>
        <w:pStyle w:val="ListBullet"/>
      </w:pPr>
      <w:r/>
      <w:r>
        <w:rPr>
          <w:b/>
        </w:rPr>
        <w:t>Précisions :</w:t>
      </w:r>
      <w:r>
        <w:t xml:space="preserve"> En post-partum, le rivaroxaban peut être introduit après 2 semaines selon les recommandations RCOG.</w:t>
      </w:r>
    </w:p>
    <w:p>
      <w:r/>
      <w:r>
        <w:rPr>
          <w:b/>
        </w:rPr>
        <w:t>Posologie et Mode d'administration (Standard) :</w:t>
      </w:r>
      <w:r/>
    </w:p>
    <w:p>
      <w:pPr>
        <w:pStyle w:val="ListBullet"/>
      </w:pPr>
      <w:r/>
      <w:r>
        <w:rPr>
          <w:b/>
        </w:rPr>
        <w:t>Adulte FA non valvulaire :</w:t>
      </w:r>
      <w:r>
        <w:t xml:space="preserve"> </w:t>
      </w:r>
      <w:r>
        <w:rPr>
          <w:b/>
        </w:rPr>
        <w:t>20 mg ×1/j</w:t>
      </w:r>
      <w:r>
        <w:t xml:space="preserve"> à heure fixe, pendant le repas (le soir en général). Réduction à 15 mg ×1/j si ClCr 15–50 mL/min.</w:t>
      </w:r>
    </w:p>
    <w:p>
      <w:pPr>
        <w:pStyle w:val="ListBullet"/>
      </w:pPr>
      <w:r/>
      <w:r>
        <w:rPr>
          <w:b/>
        </w:rPr>
        <w:t>Adulte TVP/EP curatif :</w:t>
      </w:r>
      <w:r>
        <w:t xml:space="preserve"> </w:t>
      </w:r>
      <w:r>
        <w:rPr>
          <w:b/>
        </w:rPr>
        <w:t>15 mg ×2/j ×3 semaines</w:t>
      </w:r>
      <w:r>
        <w:t xml:space="preserve"> pendant les repas, puis </w:t>
      </w:r>
      <w:r>
        <w:rPr>
          <w:b/>
        </w:rPr>
        <w:t>20 mg ×1/j</w:t>
      </w:r>
      <w:r>
        <w:t xml:space="preserve"> pendant le repas (à partir de J22). Durée selon étiologie : 3 mois (provoked), 6 mois, ou au long cours.</w:t>
      </w:r>
    </w:p>
    <w:p>
      <w:pPr>
        <w:pStyle w:val="ListBullet"/>
      </w:pPr>
      <w:r/>
      <w:r>
        <w:rPr>
          <w:b/>
        </w:rPr>
        <w:t>Adulte prévention TVP post-PTH :</w:t>
      </w:r>
      <w:r>
        <w:t xml:space="preserve"> 10 mg ×1/j, début 6–10 h après intervention, pendant 35 jours.</w:t>
      </w:r>
    </w:p>
    <w:p>
      <w:pPr>
        <w:pStyle w:val="ListBullet"/>
      </w:pPr>
      <w:r/>
      <w:r>
        <w:rPr>
          <w:b/>
        </w:rPr>
        <w:t>Adulte prévention TVP post-PTG :</w:t>
      </w:r>
      <w:r>
        <w:t xml:space="preserve"> 10 mg ×1/j pendant 12 jours.</w:t>
      </w:r>
    </w:p>
    <w:p>
      <w:pPr>
        <w:pStyle w:val="ListBullet"/>
      </w:pPr>
      <w:r/>
      <w:r>
        <w:rPr>
          <w:b/>
        </w:rPr>
        <w:t>Adulte prévention TVP médical alité :</w:t>
      </w:r>
      <w:r>
        <w:t xml:space="preserve"> 10 mg ×1/j pendant 31–39 jours.</w:t>
      </w:r>
    </w:p>
    <w:p>
      <w:pPr>
        <w:pStyle w:val="ListBullet"/>
      </w:pPr>
      <w:r/>
      <w:r>
        <w:rPr>
          <w:b/>
        </w:rPr>
        <w:t>Sujet âgé :</w:t>
      </w:r>
      <w:r>
        <w:t xml:space="preserve"> Pas de réduction systématique liée à l'âge seul (sauf IR associée).</w:t>
      </w:r>
    </w:p>
    <w:p>
      <w:pPr>
        <w:pStyle w:val="ListBullet"/>
      </w:pPr>
      <w:r/>
      <w:r>
        <w:rPr>
          <w:b/>
        </w:rPr>
        <w:t>Insuffisance rénale :</w:t>
      </w:r>
      <w:r/>
    </w:p>
    <w:p>
      <w:pPr>
        <w:pStyle w:val="ListBullet"/>
      </w:pPr>
      <w:r>
        <w:t>ClCr &gt; 50 mL/min : pas d'adaptation.</w:t>
      </w:r>
    </w:p>
    <w:p>
      <w:pPr>
        <w:pStyle w:val="ListBullet"/>
      </w:pPr>
      <w:r>
        <w:t>ClCr 15–50 mL/min : FA → 15 mg ×1/j ; MVTE → 15 mg ×2/j ×3 sem. puis 15 mg ×1/j (au lieu de 20) ; ortho → 10 mg ×1/j inchangé.</w:t>
      </w:r>
    </w:p>
    <w:p>
      <w:pPr>
        <w:pStyle w:val="ListBullet"/>
      </w:pPr>
      <w:r>
        <w:t>ClCr &lt; 15 mL/min : contre-indication.</w:t>
      </w:r>
    </w:p>
    <w:p>
      <w:pPr>
        <w:pStyle w:val="ListBullet"/>
      </w:pPr>
      <w:r/>
      <w:r>
        <w:rPr>
          <w:b/>
        </w:rPr>
        <w:t>Insuffisance hépatique :</w:t>
      </w:r>
      <w:r>
        <w:t xml:space="preserve"> Child-Pugh A : prudence. Child-Pugh B : pas de données, éviter. Child-Pugh C : contre-indication.</w:t>
      </w:r>
    </w:p>
    <w:p>
      <w:pPr>
        <w:pStyle w:val="ListBullet"/>
      </w:pPr>
      <w:r/>
      <w:r>
        <w:rPr>
          <w:b/>
        </w:rPr>
        <w:t>Durée :</w:t>
      </w:r>
      <w:r>
        <w:t xml:space="preserve"> Selon indication — FA au long cours (à vie), PTH 35 j, PTG 12 j, médical alité 31–39 j, TVP/EP 3–6 mois ou plus selon étiologie.</w:t>
      </w:r>
    </w:p>
    <w:p>
      <w:pPr>
        <w:pStyle w:val="ListBullet"/>
      </w:pPr>
      <w:r/>
      <w:r>
        <w:rPr>
          <w:b/>
        </w:rPr>
        <w:t>Moment de prise :</w:t>
      </w:r>
      <w:r>
        <w:t xml:space="preserve"> À heure fixe, pendant les repas (indispensable pour 15 et 20 mg, préférable pour 10 mg). En cas d'oubli, prendre dès que possible le même jour ; ne pas doubler.</w:t>
      </w:r>
    </w:p>
    <w:p>
      <w:r/>
      <w:r>
        <w:rPr>
          <w:b/>
        </w:rPr>
        <w:t>Arbitrage et Bénéfices des Formes Galéniques :</w:t>
      </w:r>
      <w:r/>
    </w:p>
    <w:p>
      <w:r>
        <w:t xml:space="preserve">Le rivaroxaban est disponible uniquement en comprimés pelliculés à 10, 15 et 20 mg. Tous les comprimés sont </w:t>
      </w:r>
      <w:r>
        <w:rPr>
          <w:b/>
        </w:rPr>
        <w:t>non sécables</w:t>
      </w:r>
      <w:r>
        <w:t xml:space="preserve"> et ne doivent pas être écrasés (sauf administration par sonde gastrique, sur avis médical — le rivaroxaban écrasé suspendu dans l'eau conserve sa biodisponibilité). La multiplicité des dosages (10, 15, 20 mg) permet une grande flexibilité selon l'indication et la fonction rénale, mais aussi un risque de confusion de dosage au comptoir et à l'hôpital — d'où l'importance d'insister auprès du patient sur le dosage exact prescrit. Les conditionnements (B/05, B/10, B/14, B/28, B/30, B/42, B/100) sont adaptés à des durées variables (5 j = post-op court, 14 j = PTG, 28 j = mois thérapeutique, 100 j = traitement prolongé en institution).</w:t>
      </w:r>
    </w:p>
    <w:p>
      <w:r/>
      <w:r>
        <w:rPr>
          <w:b/>
        </w:rPr>
        <w:t>Instructions et Conseils au Patient :</w:t>
      </w:r>
      <w:r/>
    </w:p>
    <w:p>
      <w:pPr>
        <w:pStyle w:val="ListBullet"/>
      </w:pPr>
      <w:r/>
      <w:r>
        <w:rPr>
          <w:b/>
        </w:rPr>
        <w:t>Communication au comptoir :</w:t>
      </w:r>
      <w:r>
        <w:t xml:space="preserve"> "Ce médicament est un anticoagulant moderne, une prise par jour. Il fluidifie le sang. Pour les comprimés à 15 mg et 20 mg, il faut </w:t>
      </w:r>
      <w:r>
        <w:rPr>
          <w:b/>
        </w:rPr>
        <w:t>absolument les prendre pendant un repas</w:t>
      </w:r>
      <w:r>
        <w:t xml:space="preserve"> (pas à jeun), sinon l'absorption est insuffisante et le traitement peut être inefficace. Pas de prise de sang régulière nécessaire (pas d'INR). Mais soyez rigoureux sur l'heure de prise et signalez tout saignement anormal."</w:t>
      </w:r>
    </w:p>
    <w:p>
      <w:pPr>
        <w:pStyle w:val="ListBullet"/>
      </w:pPr>
      <w:r/>
      <w:r>
        <w:rPr>
          <w:b/>
        </w:rPr>
        <w:t>Mode d'utilisation pratique :</w:t>
      </w:r>
      <w:r/>
    </w:p>
    <w:p>
      <w:pPr>
        <w:pStyle w:val="ListBullet"/>
      </w:pPr>
      <w:r>
        <w:t>Prendre à heure fixe, pendant un repas (petit-déjeuner ou dîner selon préférence).</w:t>
      </w:r>
    </w:p>
    <w:p>
      <w:pPr>
        <w:pStyle w:val="ListBullet"/>
      </w:pPr>
      <w:r>
        <w:t>Ne pas écraser ni croquer le comprimé.</w:t>
      </w:r>
    </w:p>
    <w:p>
      <w:pPr>
        <w:pStyle w:val="ListBullet"/>
      </w:pPr>
      <w:r>
        <w:t>En cas d'oubli, prendre dès que possible le même jour (pas le lendemain en double).</w:t>
      </w:r>
    </w:p>
    <w:p>
      <w:pPr>
        <w:pStyle w:val="ListBullet"/>
      </w:pPr>
      <w:r>
        <w:t>Prévenir tout médecin, dentiste, chirurgien.</w:t>
      </w:r>
    </w:p>
    <w:p>
      <w:pPr>
        <w:pStyle w:val="ListBullet"/>
      </w:pPr>
      <w:r>
        <w:t>Signes d'alerte : saignement prolongé, ecchymoses, méléna, hématurie, céphalées brutales → urgence.</w:t>
      </w:r>
    </w:p>
    <w:p>
      <w:pPr>
        <w:pStyle w:val="ListBullet"/>
      </w:pPr>
      <w:r>
        <w:t>Éviter l'automédication, en particulier les AINS.</w:t>
      </w:r>
    </w:p>
    <w:p>
      <w:pPr>
        <w:pStyle w:val="ListBullet"/>
      </w:pPr>
      <w:r/>
      <w:r>
        <w:rPr>
          <w:b/>
        </w:rPr>
        <w:t>Surveillance :</w:t>
      </w:r>
      <w:r>
        <w:t xml:space="preserve"> Pas d'INR. Une fois par an : créatininémie, NFS, bilan hépatique.</w:t>
      </w:r>
    </w:p>
    <w:p>
      <w:r/>
      <w:r>
        <w:rPr>
          <w:b/>
        </w:rPr>
        <w:t>Notes, Règles d'Or &amp; Pièges au Comptoir :</w:t>
      </w:r>
      <w:r/>
    </w:p>
    <w:p>
      <w:pPr>
        <w:pStyle w:val="ListBullet"/>
      </w:pPr>
      <w:r/>
      <w:r>
        <w:rPr>
          <w:b/>
        </w:rPr>
        <w:t>Piège classique :</w:t>
      </w:r>
      <w:r>
        <w:t xml:space="preserve"> Rivaroxaban 20 mg pris à jeun → exposition réduite de 30–40 %, risque thrombotique. </w:t>
      </w:r>
      <w:r>
        <w:rPr>
          <w:b/>
        </w:rPr>
        <w:t>Toujours pendant un repas</w:t>
      </w:r>
      <w:r>
        <w:t xml:space="preserve"> pour 15 et 20 mg.</w:t>
      </w:r>
    </w:p>
    <w:p>
      <w:pPr>
        <w:pStyle w:val="ListBullet"/>
      </w:pPr>
      <w:r/>
      <w:r>
        <w:rPr>
          <w:b/>
        </w:rPr>
        <w:t>Piège classique :</w:t>
      </w:r>
      <w:r>
        <w:t xml:space="preserve"> Rivaroxaban + azole antifongique oral → contre-indication.</w:t>
      </w:r>
    </w:p>
    <w:p>
      <w:pPr>
        <w:pStyle w:val="ListBullet"/>
      </w:pPr>
      <w:r/>
      <w:r>
        <w:rPr>
          <w:b/>
        </w:rPr>
        <w:t>Piège classique :</w:t>
      </w:r>
      <w:r>
        <w:t xml:space="preserve"> Rivaroxaban chez valve mécanique → contre-indication (PROACT XA), préférer AVK.</w:t>
      </w:r>
    </w:p>
    <w:p>
      <w:pPr>
        <w:pStyle w:val="ListBullet"/>
      </w:pPr>
      <w:r/>
      <w:r>
        <w:rPr>
          <w:b/>
        </w:rPr>
        <w:t>Piège classique :</w:t>
      </w:r>
      <w:r>
        <w:t xml:space="preserve"> Rivaroxaban chez insuffisant rénal ClCr 25 mL/min non adapté → risque accumulatif. Adapter à 15 mg ×1/j en FA.</w:t>
      </w:r>
    </w:p>
    <w:p>
      <w:pPr>
        <w:pStyle w:val="ListBullet"/>
      </w:pPr>
      <w:r/>
      <w:r>
        <w:rPr>
          <w:b/>
        </w:rPr>
        <w:t>Règle de prise :</w:t>
      </w:r>
      <w:r>
        <w:t xml:space="preserve"> À heure fixe, pendant un repas (15 et 20 mg).</w:t>
      </w:r>
    </w:p>
    <w:p>
      <w:pPr>
        <w:pStyle w:val="ListBullet"/>
      </w:pPr>
      <w:r/>
      <w:r>
        <w:rPr>
          <w:b/>
        </w:rPr>
        <w:t>Préparation et Conservation :</w:t>
      </w:r>
      <w:r>
        <w:t xml:space="preserve"> À température ambiante (&lt; 30 °C), à l'abri de l'humidité.</w:t>
      </w:r>
    </w:p>
    <w:p>
      <w:pPr>
        <w:pStyle w:val="ListBullet"/>
      </w:pPr>
      <w:r/>
      <w:r>
        <w:rPr>
          <w:b/>
        </w:rPr>
        <w:t>Piège du surdosage / Substitution :</w:t>
      </w:r>
      <w:r>
        <w:t xml:space="preserve"> </w:t>
      </w:r>
      <w:r>
        <w:rPr>
          <w:b/>
        </w:rPr>
        <w:t>Andexanet alpha</w:t>
      </w:r>
      <w:r>
        <w:t xml:space="preserve"> (antidote spécifique) si disponible ; sinon PPC 25–50 UI/kg ou FEIBA. Charbon activé si prise &lt; 6–8 h. Substitution entre génériques possible, mais à signaler au patient et au médecin (risque de variation d'observance par confusion visuelle entre comprimés de marques différentes).</w:t>
      </w:r>
    </w:p>
    <w:p>
      <w:pPr>
        <w:pStyle w:val="Heading2"/>
      </w:pPr>
      <w:r>
        <w:t>III. Sous-classe : Anticoagulants oraux directs (AOD) — Anti-IIa directs (Dabigatran)</w:t>
      </w:r>
    </w:p>
    <w:p>
      <w:pPr>
        <w:pStyle w:val="Heading3"/>
      </w:pPr>
      <w:r>
        <w:t>Introduction à la sous-classe</w:t>
      </w:r>
    </w:p>
    <w:p>
      <w:r>
        <w:t xml:space="preserve">Le dabigatran étexilate est le seul représentant des AOD </w:t>
      </w:r>
      <w:r>
        <w:rPr>
          <w:b/>
        </w:rPr>
        <w:t>anti-IIa directs</w:t>
      </w:r>
      <w:r>
        <w:t xml:space="preserve"> (inhibiteurs directs de la thrombine) disponible en Algérie. Il a été le premier AOD commercialisé en Europe (2008, Pradaxa® Boehringer Ingelheim) et le premier à disposer d'un antidote spécifique (idarucizumab/Praxbind®, 2015). Il se distingue des anti-Xa directs par sa </w:t>
      </w:r>
      <w:r>
        <w:rPr>
          <w:b/>
        </w:rPr>
        <w:t>cible</w:t>
      </w:r>
      <w:r>
        <w:t xml:space="preserve"> (thrombine, IIa, plus en aval dans la cascade), sa </w:t>
      </w:r>
      <w:r>
        <w:rPr>
          <w:b/>
        </w:rPr>
        <w:t>forme galénique</w:t>
      </w:r>
      <w:r>
        <w:t xml:space="preserve"> (gélule à microgranules à pellet — ne doit pas être ouverte ni croquée), sa </w:t>
      </w:r>
      <w:r>
        <w:rPr>
          <w:b/>
        </w:rPr>
        <w:t>prodrogue</w:t>
      </w:r>
      <w:r>
        <w:t xml:space="preserve"> (dabigatran étexilate métabolisé en dabigatran actif par les estérases plasmatiques), et son </w:t>
      </w:r>
      <w:r>
        <w:rPr>
          <w:b/>
        </w:rPr>
        <w:t>élimination rénale prédominante</w:t>
      </w:r>
      <w:r>
        <w:t xml:space="preserve"> (~80 % sous forme inchangée), qui en fait l'AOD le plus à risque d'accumulation en cas d'insuffisance rénale et justifie une adaptation posologique stricte selon la ClCr.</w:t>
      </w:r>
    </w:p>
    <w:p>
      <w:r/>
      <w:r>
        <w:rPr>
          <w:b/>
        </w:rPr>
        <w:t>Mécanisme d'action :</w:t>
      </w:r>
      <w:r/>
    </w:p>
    <w:p>
      <w:r>
        <w:t xml:space="preserve">Le dabigatran (PM 471 Da) est un inhibiteur </w:t>
      </w:r>
      <w:r>
        <w:rPr>
          <w:b/>
        </w:rPr>
        <w:t>direct, sélectif, compétitif et réversible</w:t>
      </w:r>
      <w:r>
        <w:t xml:space="preserve"> de la thrombine (facteur IIa), active aussi bien la </w:t>
      </w:r>
      <w:r>
        <w:rPr>
          <w:b/>
        </w:rPr>
        <w:t>thrombine libre</w:t>
      </w:r>
      <w:r>
        <w:t xml:space="preserve"> que la </w:t>
      </w:r>
      <w:r>
        <w:rPr>
          <w:b/>
        </w:rPr>
        <w:t>thrombine liée au caillot</w:t>
      </w:r>
      <w:r>
        <w:t xml:space="preserve"> (contrairement à l'hirudine et à la mélégatran qui n'inhibent que la thrombine libre). Cette inhibition bloque la conversion du fibrinogène en fibrine, mais aussi l'activation des facteurs V, VIII, XI, XIII et l'activation plaquettaire médiée par PAR-1. La Ki d'inhibition est de l'ordre de 4,5 nM, sélectivité &gt; 10 000× pour la thrombine par rapport aux autres sérine-protéases (Xa, IXa, XIa, XIIa, plasme, trypsine).</w:t>
      </w:r>
    </w:p>
    <w:p>
      <w:r>
        <w:t xml:space="preserve">La forme orale est le </w:t>
      </w:r>
      <w:r>
        <w:rPr>
          <w:b/>
        </w:rPr>
        <w:t>dabigatran étexilate</w:t>
      </w:r>
      <w:r>
        <w:t xml:space="preserve"> (prodrogue, PM 628 Da), lipophile, qui traverse la barrière intestinale. Après absorption, les estérases plasmatiques et hépatiques (CES1) hydrolysent l'étexilate en dabigatran actif. Biodisponibilité ~6,5 % (faible — la majorité de la dose est dégradée dans le tube digestif). Cmax 1,5–3 h, demi-vie ~12–14 h (jusqu'à 27 h en IR sévère). Liaison protéique ~35 % (faible). Pas d'interaction avec le CYP3A4 mais substrat de la P-gp (d'où interactions avec inhibiteurs/inducteurs de P-gp).</w:t>
      </w:r>
    </w:p>
    <w:p>
      <w:r/>
      <w:r>
        <w:rPr>
          <w:b/>
        </w:rPr>
        <w:t>Surveillance :</w:t>
      </w:r>
      <w:r/>
    </w:p>
    <w:p>
      <w:r>
        <w:t xml:space="preserve">Pas de surveillance de routine. En urgence, le </w:t>
      </w:r>
      <w:r>
        <w:rPr>
          <w:b/>
        </w:rPr>
        <w:t>temps de thrombine (TT)</w:t>
      </w:r>
      <w:r>
        <w:t xml:space="preserve"> est le test le plus sensible (allongement même à concentrations thérapeutiques). Le </w:t>
      </w:r>
      <w:r>
        <w:rPr>
          <w:b/>
        </w:rPr>
        <w:t>TCA</w:t>
      </w:r>
      <w:r>
        <w:t xml:space="preserve"> est moins fiable (sensibilité variable selon réactifs, plateaux à concentrations élevées). L'</w:t>
      </w:r>
      <w:r>
        <w:rPr>
          <w:b/>
        </w:rPr>
        <w:t>anti-IIa dilué</w:t>
      </w:r>
      <w:r>
        <w:t xml:space="preserve"> permet une mesure quantitative. Le </w:t>
      </w:r>
      <w:r>
        <w:rPr>
          <w:b/>
        </w:rPr>
        <w:t>diluted TT (dTT)</w:t>
      </w:r>
      <w:r>
        <w:t xml:space="preserve"> est le test de référence international.</w:t>
      </w:r>
    </w:p>
    <w:p>
      <w:r/>
      <w:r>
        <w:rPr>
          <w:b/>
        </w:rPr>
        <w:t>Place dans la stratégie :</w:t>
      </w:r>
      <w:r/>
    </w:p>
    <w:p>
      <w:r>
        <w:t xml:space="preserve">Le dabigatran a été le premier AOD à démontrer une </w:t>
      </w:r>
      <w:r>
        <w:rPr>
          <w:b/>
        </w:rPr>
        <w:t>supériorité</w:t>
      </w:r>
      <w:r>
        <w:t xml:space="preserve"> sur la warfarine dans la FA (RE-LY, 2009), avec une réduction de l'AVC ischémique et hémorragique, moins d'HIC, mais </w:t>
      </w:r>
      <w:r>
        <w:rPr>
          <w:b/>
        </w:rPr>
        <w:t>plus de saignements digestifs</w:t>
      </w:r>
      <w:r>
        <w:t xml:space="preserve"> et une </w:t>
      </w:r>
      <w:r>
        <w:rPr>
          <w:b/>
        </w:rPr>
        <w:t>tendance à un excès d'infarctus du myocarde</w:t>
      </w:r>
      <w:r>
        <w:t xml:space="preserve"> (1,4 % vs 1,0 % pour warfarine). Son utilisation en pratique est aujourd'hui </w:t>
      </w:r>
      <w:r>
        <w:rPr>
          <w:b/>
        </w:rPr>
        <w:t>moins répandue que les anti-Xa directs</w:t>
      </w:r>
      <w:r>
        <w:t xml:space="preserve"> (apixaban, rivaroxaban) en raison de : (i) l'incidence plus élevée de saignements digestifs, (ii) la dyspepsie fréquente (~10 %, liée au pellet tartarique), (iii) la nécessité de conservation en blister (sensibilité à l'humidité — breakdown 30 jours hors blister), et (iv) la surveillance accrue chez l'insuffisant rénal. Il reste utile en cas de TIH (thrombopénie induite à l'héparine) car il n'a aucune réaction croisée avec les héparines.</w:t>
      </w:r>
    </w:p>
    <w:p>
      <w:pPr>
        <w:pStyle w:val="Heading3"/>
      </w:pPr>
      <w:r>
        <w:t>4. DCI : Dabigatran (Seule)</w:t>
      </w:r>
    </w:p>
    <w:p>
      <w:r/>
      <w:r>
        <w:rPr>
          <w:b/>
        </w:rPr>
        <w:t>Liste des Catégories :</w:t>
      </w:r>
      <w:r>
        <w:t xml:space="preserve"> Liste I (toutes spécialités).</w:t>
      </w:r>
    </w:p>
    <w:p>
      <w:r>
        <w:t xml:space="preserve">Le dabigatran étexilate (N-[[2-[[[4-[[[(hexyloxy)carbonyl]amino]iminométhyl]phényl]amino]méthyl]-1-méthyl-1H-benzimidazol-5-yl]carbonyl]-N-2-pyridinyl-β-alanine, ester éthylique méthanolate) est le premier AOD anti-IIa direct. Commercialisé sous le princeps Pradaxa® (Boehringer Ingelheim) et le générique Amastan® (Biocare) en Algérie. Présenté en </w:t>
      </w:r>
      <w:r>
        <w:rPr>
          <w:b/>
        </w:rPr>
        <w:t>gélules</w:t>
      </w:r>
      <w:r>
        <w:t xml:space="preserve"> (et non comprimés) contenant des microgranules à pellet — ce qui a une importance pratique majeure : la gélule </w:t>
      </w:r>
      <w:r>
        <w:rPr>
          <w:b/>
        </w:rPr>
        <w:t>ne doit pas être ouverte ni croquée</w:t>
      </w:r>
      <w:r>
        <w:t>, et l'absorption est tributaire du pellet (acidité gastrique requise). Disponible aux dosages 75, 110 et 150 mg selon les indications. Le dosage 110 mg n'est pas commercialisé en France mais l'est en Algérie (ainsi qu'en Europe pour les patients âgés ≥ 80 ans).</w:t>
      </w:r>
    </w:p>
    <w:p>
      <w:r/>
      <w:r>
        <w:rPr>
          <w:b/>
        </w:rPr>
        <w:t>Médicaments disponibles en Algérie (Marques, Laboratoires, Formes et Dosages) :</w:t>
      </w:r>
      <w:r/>
    </w:p>
    <w:p>
      <w:pPr>
        <w:pStyle w:val="ListBullet"/>
      </w:pPr>
      <w:r/>
      <w:r>
        <w:rPr>
          <w:b/>
        </w:rPr>
        <w:t>PRADAXA</w:t>
      </w:r>
      <w:r>
        <w:t xml:space="preserve"> (BOEHRINGER INGELHEIM INTERNATIONAL GMBH) — Princeps</w:t>
      </w:r>
    </w:p>
    <w:p>
      <w:pPr>
        <w:pStyle w:val="ListBullet"/>
      </w:pPr>
      <w:r>
        <w:t>Formes et Dosages : Gélule 75 mg (B/30) ; Gélule 110 mg (B/30 et B/60) ; Gélule 150 mg (B/60)</w:t>
      </w:r>
    </w:p>
    <w:p>
      <w:pPr>
        <w:pStyle w:val="ListBullet"/>
      </w:pPr>
      <w:r>
        <w:t>Statut : Actif</w:t>
      </w:r>
    </w:p>
    <w:p>
      <w:pPr>
        <w:pStyle w:val="ListBullet"/>
      </w:pPr>
      <w:r/>
      <w:r>
        <w:rPr>
          <w:b/>
        </w:rPr>
        <w:t>AMASTAN</w:t>
      </w:r>
      <w:r>
        <w:t xml:space="preserve"> (BIOCARE) — Générique</w:t>
      </w:r>
    </w:p>
    <w:p>
      <w:pPr>
        <w:pStyle w:val="ListBullet"/>
      </w:pPr>
      <w:r>
        <w:t>Formes et Dosages : Gélule 75 mg (B/10, B/30, B/60) ; Gélule 110 mg (B/10, B/30, B/60) ; Gélule 150 mg (B/60)</w:t>
      </w:r>
    </w:p>
    <w:p>
      <w:pPr>
        <w:pStyle w:val="ListBullet"/>
      </w:pPr>
      <w:r>
        <w:t>Statut : Actif</w:t>
      </w:r>
    </w:p>
    <w:p>
      <w:r/>
      <w:r>
        <w:rPr>
          <w:b/>
        </w:rPr>
        <w:t>Sous-classe et Mécanisme d'action :</w:t>
      </w:r>
      <w:r/>
    </w:p>
    <w:p>
      <w:pPr>
        <w:pStyle w:val="ListBullet"/>
      </w:pPr>
      <w:r/>
      <w:r>
        <w:rPr>
          <w:b/>
        </w:rPr>
        <w:t>Sous-classe :</w:t>
      </w:r>
      <w:r>
        <w:t xml:space="preserve"> Anticoagulant oral direct (AOD), inhibiteur direct et réversible de la </w:t>
      </w:r>
      <w:r>
        <w:rPr>
          <w:b/>
        </w:rPr>
        <w:t>thrombine (facteur IIa)</w:t>
      </w:r>
      <w:r>
        <w:t>, indépendant de l'antithrombine.</w:t>
      </w:r>
    </w:p>
    <w:p>
      <w:pPr>
        <w:pStyle w:val="ListBullet"/>
      </w:pPr>
      <w:r/>
      <w:r>
        <w:rPr>
          <w:b/>
        </w:rPr>
        <w:t>Mécanisme d'action :</w:t>
      </w:r>
      <w:r>
        <w:t xml:space="preserve"> Le dabigatran étexilate (prodrogue) est absorbé au niveau gastro-intestinal, puis hydrolysé en </w:t>
      </w:r>
      <w:r>
        <w:rPr>
          <w:b/>
        </w:rPr>
        <w:t>dabigatran actif</w:t>
      </w:r>
      <w:r>
        <w:t xml:space="preserve"> par les estérases plasmatiques (CES1) et hépatiques. Le dabigatran inhibe directement et de façon compétitive et réversible la thrombine (IIa), qu'elle soit libre ou liée au caillot. Cette inhibition bloque la conversion du fibrinogène en fibrine, l'activation des facteurs V, VIII, XI, XIII et l'activation plaquettaire via PAR-1. L'effet anticoagulant est </w:t>
      </w:r>
      <w:r>
        <w:rPr>
          <w:b/>
        </w:rPr>
        <w:t>immédiat</w:t>
      </w:r>
      <w:r>
        <w:t xml:space="preserve"> (pic d'action 1–3 h après prise), sans phase de latence. L'inhibition est dose-dépendante.</w:t>
      </w:r>
    </w:p>
    <w:p>
      <w:r/>
      <w:r>
        <w:rPr>
          <w:b/>
        </w:rPr>
        <w:t>Profil Pharmacologique :</w:t>
      </w:r>
      <w:r/>
    </w:p>
    <w:p>
      <w:pPr>
        <w:pStyle w:val="ListBullet"/>
      </w:pPr>
      <w:r/>
      <w:r>
        <w:rPr>
          <w:b/>
        </w:rPr>
        <w:t>Indications :</w:t>
      </w:r>
      <w:r/>
    </w:p>
    <w:p>
      <w:pPr>
        <w:pStyle w:val="ListBullet"/>
      </w:pPr>
      <w:r>
        <w:t xml:space="preserve">Prévention de l'AVC et de l'embolie systémique dans la </w:t>
      </w:r>
      <w:r>
        <w:rPr>
          <w:b/>
        </w:rPr>
        <w:t>FA non valvulaire</w:t>
      </w:r>
      <w:r>
        <w:t xml:space="preserve"> (150 mg ×2/j ; 110 mg ×2/j si âge ≥ 80 ans).</w:t>
      </w:r>
    </w:p>
    <w:p>
      <w:pPr>
        <w:pStyle w:val="ListBullet"/>
      </w:pPr>
      <w:r>
        <w:t xml:space="preserve">Traitement curatif et prévention récidive de </w:t>
      </w:r>
      <w:r>
        <w:rPr>
          <w:b/>
        </w:rPr>
        <w:t>TVP</w:t>
      </w:r>
      <w:r>
        <w:t xml:space="preserve"> et </w:t>
      </w:r>
      <w:r>
        <w:rPr>
          <w:b/>
        </w:rPr>
        <w:t>EP</w:t>
      </w:r>
      <w:r>
        <w:t xml:space="preserve"> (150 mg ×2/j après 5–10 jours de traitement parentéral).</w:t>
      </w:r>
    </w:p>
    <w:p>
      <w:pPr>
        <w:pStyle w:val="ListBullet"/>
      </w:pPr>
      <w:r>
        <w:t xml:space="preserve">Prévention de la TVP/EP après </w:t>
      </w:r>
      <w:r>
        <w:rPr>
          <w:b/>
        </w:rPr>
        <w:t>PTH</w:t>
      </w:r>
      <w:r>
        <w:t xml:space="preserve"> (28–35 jours) et </w:t>
      </w:r>
      <w:r>
        <w:rPr>
          <w:b/>
        </w:rPr>
        <w:t>PTG</w:t>
      </w:r>
      <w:r>
        <w:t xml:space="preserve"> (6–10 jours) — 220 mg/j (110 mg ×2/j) en une initiation 1–4 h post-opératoire à 75 mg puis 110 mg ×2/j.</w:t>
      </w:r>
    </w:p>
    <w:p>
      <w:pPr>
        <w:pStyle w:val="ListBullet"/>
      </w:pPr>
      <w:r>
        <w:t xml:space="preserve">En Algérie, indication dans le traitement des </w:t>
      </w:r>
      <w:r>
        <w:rPr>
          <w:b/>
        </w:rPr>
        <w:t>TIH</w:t>
      </w:r>
      <w:r>
        <w:t xml:space="preserve"> (alternative à l'argatroban) — hors AMM mais recommandé par les guidelines ASH 2018.</w:t>
      </w:r>
    </w:p>
    <w:p>
      <w:pPr>
        <w:pStyle w:val="ListBullet"/>
      </w:pPr>
      <w:r/>
      <w:r>
        <w:rPr>
          <w:b/>
        </w:rPr>
        <w:t>Contre-indications :</w:t>
      </w:r>
      <w:r>
        <w:t xml:space="preserve"> Hypersensibilité au dabigatran ; </w:t>
      </w:r>
      <w:r>
        <w:rPr>
          <w:b/>
        </w:rPr>
        <w:t>hémorragie active cliniquement significative</w:t>
      </w:r>
      <w:r>
        <w:t xml:space="preserve"> ; </w:t>
      </w:r>
      <w:r>
        <w:rPr>
          <w:b/>
        </w:rPr>
        <w:t>insuffisance rénale sévère ClCr &lt; 30 mL/min</w:t>
      </w:r>
      <w:r>
        <w:t xml:space="preserve"> (contre-indication en France/Europe pour MVTE, ortho ; pour la FA, 75 mg ×2/j autorisé en France entre 15 et 30 mL/min, mais non recommandé) ; </w:t>
      </w:r>
      <w:r>
        <w:rPr>
          <w:b/>
        </w:rPr>
        <w:t>insuffisance hépatique</w:t>
      </w:r>
      <w:r>
        <w:t xml:space="preserve"> (ASAT/ALAT &gt; 2× LSN) ou maladie hépatique susceptible d'affecter la survie ; </w:t>
      </w:r>
      <w:r>
        <w:rPr>
          <w:b/>
        </w:rPr>
        <w:t>valve mécanique</w:t>
      </w:r>
      <w:r>
        <w:t xml:space="preserve"> (essai RE-ALIGN négatif — réduction d'efficacité et excès thromboembolique) ; </w:t>
      </w:r>
      <w:r>
        <w:rPr>
          <w:b/>
        </w:rPr>
        <w:t>grossesse</w:t>
      </w:r>
      <w:r>
        <w:t xml:space="preserve"> (effet tératogène animal, saignements maternels) ; </w:t>
      </w:r>
      <w:r>
        <w:rPr>
          <w:b/>
        </w:rPr>
        <w:t>allaitement</w:t>
      </w:r>
      <w:r>
        <w:t xml:space="preserve"> ; âge &lt; 18 ans ; </w:t>
      </w:r>
      <w:r>
        <w:rPr>
          <w:b/>
        </w:rPr>
        <w:t>lésion organique</w:t>
      </w:r>
      <w:r>
        <w:t xml:space="preserve"> avec tendance hémorragique (ulcère gastro-duodénal actif, hémorragie cérébrale récente, anévrisme cérébral, varices œsophagiennes) ; endocardite infectieuse ; patients sous traitement chronique AINS non justifié.</w:t>
      </w:r>
    </w:p>
    <w:p>
      <w:pPr>
        <w:pStyle w:val="ListBullet"/>
      </w:pPr>
      <w:r/>
      <w:r>
        <w:rPr>
          <w:b/>
        </w:rPr>
        <w:t>Effets Indésirables :</w:t>
      </w:r>
      <w:r/>
    </w:p>
    <w:p>
      <w:pPr>
        <w:pStyle w:val="ListBullet"/>
      </w:pPr>
      <w:r/>
      <w:r>
        <w:rPr>
          <w:b/>
        </w:rPr>
        <w:t>Hémorragies</w:t>
      </w:r>
      <w:r>
        <w:t xml:space="preserve"> : tous types. Dans RE-LY, incidence annuelle d'hémorragie majeure ~3,3 % (150 mg ×2/j) vs 3,6 % pour warfarine. </w:t>
      </w:r>
      <w:r>
        <w:rPr>
          <w:b/>
        </w:rPr>
        <w:t>Excès de saignements digestifs</w:t>
      </w:r>
      <w:r>
        <w:t xml:space="preserve"> (1,5× vs warfarine) — particulièrement chez le sujet âgé. Hémorragie intracrânienne moins fréquente qu'avec warfarine (-60 %, soit ~0,3 %/an).</w:t>
      </w:r>
    </w:p>
    <w:p>
      <w:pPr>
        <w:pStyle w:val="ListBullet"/>
      </w:pPr>
      <w:r/>
      <w:r>
        <w:rPr>
          <w:b/>
        </w:rPr>
        <w:t>Dyspepsie</w:t>
      </w:r>
      <w:r>
        <w:t xml:space="preserve"> : ~10 % des cas, liée au pellet tartarique acide des gélules ; peut imposer l'arrêt ou le switch vers apixaban/rivaroxaban.</w:t>
      </w:r>
    </w:p>
    <w:p>
      <w:pPr>
        <w:pStyle w:val="ListBullet"/>
      </w:pPr>
      <w:r/>
      <w:r>
        <w:rPr>
          <w:b/>
        </w:rPr>
        <w:t>Augmentation des transaminases</w:t>
      </w:r>
      <w:r>
        <w:t xml:space="preserve"> : ~2–5 %, généralement asymptomatique.</w:t>
      </w:r>
    </w:p>
    <w:p>
      <w:pPr>
        <w:pStyle w:val="ListBullet"/>
      </w:pPr>
      <w:r/>
      <w:r>
        <w:rPr>
          <w:b/>
        </w:rPr>
        <w:t>Augmentation modérée de l'infarctus du myocarde</w:t>
      </w:r>
      <w:r>
        <w:t xml:space="preserve"> : 1,4 %/an vs 1,0 % pour warfarine (RE-LY), controversé mais signalé.</w:t>
      </w:r>
    </w:p>
    <w:p>
      <w:pPr>
        <w:pStyle w:val="ListBullet"/>
      </w:pPr>
      <w:r/>
      <w:r>
        <w:rPr>
          <w:b/>
        </w:rPr>
        <w:t>Hypersensibilité</w:t>
      </w:r>
      <w:r>
        <w:t xml:space="preserve"> : rash, prurit, urticaire, anaphylaxie (rare).</w:t>
      </w:r>
    </w:p>
    <w:p>
      <w:pPr>
        <w:pStyle w:val="ListBullet"/>
      </w:pPr>
      <w:r/>
      <w:r>
        <w:rPr>
          <w:b/>
        </w:rPr>
        <w:t>Pas de nécrose cutanée, pas de TIH</w:t>
      </w:r>
      <w:r>
        <w:t xml:space="preserve"> (peut être utilisé en cas de TIH).</w:t>
      </w:r>
    </w:p>
    <w:p>
      <w:r/>
      <w:r>
        <w:rPr>
          <w:b/>
        </w:rPr>
        <w:t>Prévention et Gestion des Effets Indésirables :</w:t>
      </w:r>
      <w:r/>
    </w:p>
    <w:p>
      <w:pPr>
        <w:pStyle w:val="ListBullet"/>
      </w:pPr>
      <w:r/>
      <w:r>
        <w:rPr>
          <w:b/>
        </w:rPr>
        <w:t>Mesures Préventives :</w:t>
      </w:r>
      <w:r>
        <w:t xml:space="preserve"> (i) Évaluation CHA2DS2-VASc et HAS-BLED. (ii) Bilan pré-thérapeutique : NFS, plaquettes, créatininémie (calcul ClCr), bilan hépatique, TP/TCA de base. (iii) </w:t>
      </w:r>
      <w:r>
        <w:rPr>
          <w:b/>
        </w:rPr>
        <w:t>Adaptation posologique stricte selon la ClCr</w:t>
      </w:r>
      <w:r>
        <w:t xml:space="preserve"> : pas d'adaptation si ClCr ≥ 50 ; réduction à 110 mg ×2/j si ClCr 30–50 mL/min en FA ; contre-indication si ClCr &lt; 30 mL/min (en Europe, sauf exceptions en FA). (iv) </w:t>
      </w:r>
      <w:r>
        <w:rPr>
          <w:b/>
        </w:rPr>
        <w:t>Réduction à 110 mg ×2/j si âge ≥ 80 ans</w:t>
      </w:r>
      <w:r>
        <w:t xml:space="preserve"> (en FA), indépendamment de la ClCr (en Europe). (v) Information patient : la gélule ne doit </w:t>
      </w:r>
      <w:r>
        <w:rPr>
          <w:b/>
        </w:rPr>
        <w:t>jamais être ouverte</w:t>
      </w:r>
      <w:r>
        <w:t xml:space="preserve"> ni croquée ; conservation impérativement en blister (durée 60 jours hors blister selon RCP — excipients hydroscopiques). (vi) Association avec IPP si antécédent de saignement digestif (la dyspepsie est atténuée par les IPP).</w:t>
      </w:r>
    </w:p>
    <w:p>
      <w:pPr>
        <w:pStyle w:val="ListBullet"/>
      </w:pPr>
      <w:r/>
      <w:r>
        <w:rPr>
          <w:b/>
        </w:rPr>
        <w:t>Conduite à Tenir :</w:t>
      </w:r>
      <w:r/>
    </w:p>
    <w:p>
      <w:pPr>
        <w:pStyle w:val="ListBullet"/>
      </w:pPr>
      <w:r/>
      <w:r>
        <w:rPr>
          <w:b/>
        </w:rPr>
        <w:t>Hémorragie mineure</w:t>
      </w:r>
      <w:r>
        <w:t xml:space="preserve"> : pas de modification, surveillance.</w:t>
      </w:r>
    </w:p>
    <w:p>
      <w:pPr>
        <w:pStyle w:val="ListBullet"/>
      </w:pPr>
      <w:r/>
      <w:r>
        <w:rPr>
          <w:b/>
        </w:rPr>
        <w:t>Hémorragie modérée</w:t>
      </w:r>
      <w:r>
        <w:t xml:space="preserve"> : retarder la prise suivante, évaluation médicale.</w:t>
      </w:r>
    </w:p>
    <w:p>
      <w:pPr>
        <w:pStyle w:val="ListBullet"/>
      </w:pPr>
      <w:r/>
      <w:r>
        <w:rPr>
          <w:b/>
        </w:rPr>
        <w:t>Hémorragie majeure</w:t>
      </w:r>
      <w:r>
        <w:t xml:space="preserve"> : arrêt immédiat, réanimation, </w:t>
      </w:r>
      <w:r>
        <w:rPr>
          <w:b/>
        </w:rPr>
        <w:t>Idarucizumab (Praxbind®)</w:t>
      </w:r>
      <w:r>
        <w:t xml:space="preserve"> 5 g IV (2 × 2,5 g en bolus de 5–10 min) — antidote spécifique, neutralisation immédiate en quelques minutes ; l'effet dure 12–24 h. Si idarucizumab indisponible : dialyse (le dabigatran est dialysable — ~50–60 % éliminés en 4 h) ; charbon activé si prise &lt; 2 h ; PPC ou FEIBA en alternative.</w:t>
      </w:r>
    </w:p>
    <w:p>
      <w:pPr>
        <w:pStyle w:val="ListBullet"/>
      </w:pPr>
      <w:r/>
      <w:r>
        <w:rPr>
          <w:b/>
        </w:rPr>
        <w:t>Surdosage sans saignement</w:t>
      </w:r>
      <w:r>
        <w:t xml:space="preserve"> : surveillance clinique et biologique (TT, TCA) ; idarucizumab si taux élevés et intervention urgente nécessaire ; dialyse possible.</w:t>
      </w:r>
    </w:p>
    <w:p>
      <w:pPr>
        <w:pStyle w:val="ListBullet"/>
      </w:pPr>
      <w:r/>
      <w:r>
        <w:rPr>
          <w:b/>
        </w:rPr>
        <w:t>Chirurgie urgente</w:t>
      </w:r>
      <w:r>
        <w:t xml:space="preserve"> : arrêt, tests biologiques (TT, TCA).</w:t>
      </w:r>
    </w:p>
    <w:p>
      <w:pPr>
        <w:pStyle w:val="ListBullet"/>
      </w:pPr>
      <w:r/>
      <w:r>
        <w:rPr>
          <w:b/>
        </w:rPr>
        <w:t>Chirurgie programmée</w:t>
      </w:r>
      <w:r>
        <w:t xml:space="preserve"> : arrêt 24 h (ClCr &gt; 80) à 96 h (ClCr 30–50) avant chirurgie à risque hémorragique ; reprise 24 h après intervention à faible risque, 48–72 h après intervention à risque élevé.</w:t>
      </w:r>
    </w:p>
    <w:p>
      <w:r/>
      <w:r>
        <w:rPr>
          <w:b/>
        </w:rPr>
        <w:t>Interactions Importantes :</w:t>
      </w:r>
      <w:r/>
    </w:p>
    <w:p>
      <w:pPr>
        <w:pStyle w:val="ListBullet"/>
      </w:pPr>
      <w:r/>
      <w:r>
        <w:rPr>
          <w:b/>
        </w:rPr>
        <w:t>Dabigatran + Inhibiteurs puissants P-gp</w:t>
      </w:r>
      <w:r>
        <w:t xml:space="preserve"> (kétoconazole, itraconazole, voriconazole, posaconazole, ciclosporine, tacrolimus, dronédarone) : exposition ×2 → risque hémorragique. Contre-indication pour kétoconazole oral systémique, itraconazole, ciclosporine ; prudence pour voriconazole, clarithromycine (réduction dose). Dronédarone contre-indiquée.</w:t>
      </w:r>
    </w:p>
    <w:p>
      <w:pPr>
        <w:pStyle w:val="ListBullet"/>
      </w:pPr>
      <w:r/>
      <w:r>
        <w:rPr>
          <w:b/>
        </w:rPr>
        <w:t>Dabigatran + Inducteurs puissants P-gp</w:t>
      </w:r>
      <w:r>
        <w:t xml:space="preserve"> (rifampicine, phénytoïne, carbamazépine, phénobarbital, millepertuis, hyperique) : exposition ÷2,5 → perte d'efficacité, contre-indication.</w:t>
      </w:r>
    </w:p>
    <w:p>
      <w:pPr>
        <w:pStyle w:val="ListBullet"/>
      </w:pPr>
      <w:r/>
      <w:r>
        <w:rPr>
          <w:b/>
        </w:rPr>
        <w:t>Dabigatran + AINS / Aspirine</w:t>
      </w:r>
      <w:r>
        <w:t xml:space="preserve"> : majoration hémorragie. Éviter.</w:t>
      </w:r>
    </w:p>
    <w:p>
      <w:pPr>
        <w:pStyle w:val="ListBullet"/>
      </w:pPr>
      <w:r/>
      <w:r>
        <w:rPr>
          <w:b/>
        </w:rPr>
        <w:t>Dabigatran + Clopidogrel / Ticagrelor</w:t>
      </w:r>
      <w:r>
        <w:t xml:space="preserve"> : triple thérapie, risque +++ ; durée la plus courte.</w:t>
      </w:r>
    </w:p>
    <w:p>
      <w:pPr>
        <w:pStyle w:val="ListBullet"/>
      </w:pPr>
      <w:r/>
      <w:r>
        <w:rPr>
          <w:b/>
        </w:rPr>
        <w:t>Dabigatran + Anticoagulants</w:t>
      </w:r>
      <w:r>
        <w:t xml:space="preserve"> : contre-indication sauf relais bref.</w:t>
      </w:r>
    </w:p>
    <w:p>
      <w:pPr>
        <w:pStyle w:val="ListBullet"/>
      </w:pPr>
      <w:r/>
      <w:r>
        <w:rPr>
          <w:b/>
        </w:rPr>
        <w:t>Dabigatran + Amiodarone / Vérapamil / Quinidine</w:t>
      </w:r>
      <w:r>
        <w:t xml:space="preserve"> : substrats P-gp, exposition légèrement augmentée (modestement significatif). Prudence, surveiller cliniquement. Le vérapamil doit être pris en même temps que le dabigatran (si possible) pour minimiser l'effet pic.</w:t>
      </w:r>
    </w:p>
    <w:p>
      <w:pPr>
        <w:pStyle w:val="ListBullet"/>
      </w:pPr>
      <w:r/>
      <w:r>
        <w:rPr>
          <w:b/>
        </w:rPr>
        <w:t>Dabigatran + IPP / Anti-H2</w:t>
      </w:r>
      <w:r>
        <w:t xml:space="preserve"> : baisse de 10–15 % de l'exposition (élévation du pH gastrique), cliniquement non significatif en pratique.</w:t>
      </w:r>
    </w:p>
    <w:p>
      <w:pPr>
        <w:pStyle w:val="ListBullet"/>
      </w:pPr>
      <w:r/>
      <w:r>
        <w:rPr>
          <w:b/>
        </w:rPr>
        <w:t>Dabigatran + Plaquettes / PFC / PPC</w:t>
      </w:r>
      <w:r>
        <w:t xml:space="preserve"> : pas d'efficacité spécifique (le dabigatran est dialysable et antagonisable par idarucizumab).</w:t>
      </w:r>
    </w:p>
    <w:p>
      <w:r/>
      <w:r>
        <w:rPr>
          <w:b/>
        </w:rPr>
        <w:t>Grossesse et Allaitement :</w:t>
      </w:r>
      <w:r/>
    </w:p>
    <w:p>
      <w:pPr>
        <w:pStyle w:val="ListBullet"/>
      </w:pPr>
      <w:r/>
      <w:r>
        <w:rPr>
          <w:b/>
        </w:rPr>
        <w:t>Grossesse :</w:t>
      </w:r>
      <w:r>
        <w:t xml:space="preserve"> </w:t>
      </w:r>
      <w:r>
        <w:rPr>
          <w:b/>
        </w:rPr>
        <w:t>Contre-indication</w:t>
      </w:r>
      <w:r>
        <w:t xml:space="preserve"> (CRAT). Données animales : mortalité embryo-fœtale, saignements maternels, malformations squelettiques et cardiovasculaires à doses ≥ 70 mg/kg. Pas de données humaines (cas publiés : naissances normales mais effectif insuffisant). Le dabigatran doit être remplacé par une </w:t>
      </w:r>
      <w:r>
        <w:rPr>
          <w:b/>
        </w:rPr>
        <w:t>HBPM à dose curative</w:t>
      </w:r>
      <w:r>
        <w:t xml:space="preserve"> pendant toute la grossesse.</w:t>
      </w:r>
    </w:p>
    <w:p>
      <w:pPr>
        <w:pStyle w:val="ListBullet"/>
      </w:pPr>
      <w:r/>
      <w:r>
        <w:rPr>
          <w:b/>
        </w:rPr>
        <w:t>Allaitement :</w:t>
      </w:r>
      <w:r>
        <w:t xml:space="preserve"> </w:t>
      </w:r>
      <w:r>
        <w:rPr>
          <w:b/>
        </w:rPr>
        <w:t>Déconseillé</w:t>
      </w:r>
      <w:r>
        <w:t xml:space="preserve"> (CRAT). Données animales : passage dans le lait (rapport lait/plasma = 0,06). Pas de données humaines. Préférer AVK (compatible) ou HBPM (compatible) si anticoagulation nécessaire en post-partum.</w:t>
      </w:r>
    </w:p>
    <w:p>
      <w:pPr>
        <w:pStyle w:val="ListBullet"/>
      </w:pPr>
      <w:r/>
      <w:r>
        <w:rPr>
          <w:b/>
        </w:rPr>
        <w:t>Précisions :</w:t>
      </w:r>
      <w:r>
        <w:t xml:space="preserve"> Planification pré-conceptionnelle par relais par HBPM.</w:t>
      </w:r>
    </w:p>
    <w:p>
      <w:r/>
      <w:r>
        <w:rPr>
          <w:b/>
        </w:rPr>
        <w:t>Posologie et Mode d'administration (Standard) :</w:t>
      </w:r>
      <w:r/>
    </w:p>
    <w:p>
      <w:pPr>
        <w:pStyle w:val="ListBullet"/>
      </w:pPr>
      <w:r/>
      <w:r>
        <w:rPr>
          <w:b/>
        </w:rPr>
        <w:t>Adulte FA non valvulaire :</w:t>
      </w:r>
      <w:r>
        <w:t xml:space="preserve"> </w:t>
      </w:r>
      <w:r>
        <w:rPr>
          <w:b/>
        </w:rPr>
        <w:t>150 mg ×2/j</w:t>
      </w:r>
      <w:r>
        <w:t xml:space="preserve"> (matin et soir à 12 h d'intervalle). Réduction à </w:t>
      </w:r>
      <w:r>
        <w:rPr>
          <w:b/>
        </w:rPr>
        <w:t>110 mg ×2/j</w:t>
      </w:r>
      <w:r>
        <w:t xml:space="preserve"> si : âge ≥ 80 ans ; ou association de risque (âge 75–80 ans + ClCr &lt; 50 mL/min, ou âge 75–80 ans + risque hémorragique élevé selon HAS-BLED).</w:t>
      </w:r>
    </w:p>
    <w:p>
      <w:pPr>
        <w:pStyle w:val="ListBullet"/>
      </w:pPr>
      <w:r/>
      <w:r>
        <w:rPr>
          <w:b/>
        </w:rPr>
        <w:t>Adulte TVP/EP curatif :</w:t>
      </w:r>
      <w:r>
        <w:t xml:space="preserve"> 150 mg ×2/j après 5–10 jours de traitement parentéral (HBPM/HNF). Pas de dose initiale "double charge" comme le rivaroxaban/apixaban.</w:t>
      </w:r>
    </w:p>
    <w:p>
      <w:pPr>
        <w:pStyle w:val="ListBullet"/>
      </w:pPr>
      <w:r/>
      <w:r>
        <w:rPr>
          <w:b/>
        </w:rPr>
        <w:t>Adulte prévention TVP post-PTH/PTG :</w:t>
      </w:r>
      <w:r>
        <w:t xml:space="preserve"> 220 mg/j (110 mg ×2/j) en initiation 1–4 h post-opératoire à 75 mg (demi-dose) puis 110 mg ×2/j à partir de J1. Réduction à 75 mg ×2/j si ClCr 30–50 mL/min (mais pas en France — CI en ortho).</w:t>
      </w:r>
    </w:p>
    <w:p>
      <w:pPr>
        <w:pStyle w:val="ListBullet"/>
      </w:pPr>
      <w:r/>
      <w:r>
        <w:rPr>
          <w:b/>
        </w:rPr>
        <w:t>Sujet âgé :</w:t>
      </w:r>
      <w:r>
        <w:t xml:space="preserve"> Réduction à 110 mg ×2/j si ≥ 80 ans (en FA).</w:t>
      </w:r>
    </w:p>
    <w:p>
      <w:pPr>
        <w:pStyle w:val="ListBullet"/>
      </w:pPr>
      <w:r/>
      <w:r>
        <w:rPr>
          <w:b/>
        </w:rPr>
        <w:t>Insuffisance rénale :</w:t>
      </w:r>
      <w:r/>
    </w:p>
    <w:p>
      <w:pPr>
        <w:pStyle w:val="ListBullet"/>
      </w:pPr>
      <w:r>
        <w:t>ClCr ≥ 50 mL/min : pas d'adaptation (FA, MVTE).</w:t>
      </w:r>
    </w:p>
    <w:p>
      <w:pPr>
        <w:pStyle w:val="ListBullet"/>
      </w:pPr>
      <w:r>
        <w:t>ClCr 30–50 mL/min : FA → 110 mg ×2/j ; MVTE → 150 mg ×2/j (avec prudence, surveillance) ou 110 mg ×2/j selon contexte ; ortho → 75 mg ×2/j (selon RCP).</w:t>
      </w:r>
    </w:p>
    <w:p>
      <w:pPr>
        <w:pStyle w:val="ListBullet"/>
      </w:pPr>
      <w:r>
        <w:t>ClCr &lt; 30 mL/min : contre-indication en MVTE et ortho ; en FA : 75 mg ×2/j (recommandation française — non disponible en dosage 75 mg en France mais en Algérie).</w:t>
      </w:r>
    </w:p>
    <w:p>
      <w:pPr>
        <w:pStyle w:val="ListBullet"/>
      </w:pPr>
      <w:r>
        <w:t>ClCr &lt; 15 mL/min : contre-indication absolue.</w:t>
      </w:r>
    </w:p>
    <w:p>
      <w:pPr>
        <w:pStyle w:val="ListBullet"/>
      </w:pPr>
      <w:r/>
      <w:r>
        <w:rPr>
          <w:b/>
        </w:rPr>
        <w:t>Insuffisance hépatique :</w:t>
      </w:r>
      <w:r>
        <w:t xml:space="preserve"> Child-Pugh A : pas d'adaptation. Child-Pugh B : pas d'étude, éviter. Child-Pugh C : contre-indication.</w:t>
      </w:r>
    </w:p>
    <w:p>
      <w:pPr>
        <w:pStyle w:val="ListBullet"/>
      </w:pPr>
      <w:r/>
      <w:r>
        <w:rPr>
          <w:b/>
        </w:rPr>
        <w:t>Durée :</w:t>
      </w:r>
      <w:r>
        <w:t xml:space="preserve"> Selon indication — FA au long cours (à vie), PTH 28–35 j, PTG 6–10 j, TVP/EP 3–6 mois ou plus.</w:t>
      </w:r>
    </w:p>
    <w:p>
      <w:pPr>
        <w:pStyle w:val="ListBullet"/>
      </w:pPr>
      <w:r/>
      <w:r>
        <w:rPr>
          <w:b/>
        </w:rPr>
        <w:t>Moment de prise :</w:t>
      </w:r>
      <w:r>
        <w:t xml:space="preserve"> À heure fixe, matin et soir (b.i.d.), indépendamment des repas. En cas d'oubli &lt; 6 h, prendre la dose oubliée ; &gt; 6 h, sauter la prise (ne pas doubler).</w:t>
      </w:r>
    </w:p>
    <w:p>
      <w:r/>
      <w:r>
        <w:rPr>
          <w:b/>
        </w:rPr>
        <w:t>Arbitrage et Bénéfices des Formes Galéniques :</w:t>
      </w:r>
      <w:r/>
    </w:p>
    <w:p>
      <w:r>
        <w:t xml:space="preserve">Le dabigatran est conditionné en </w:t>
      </w:r>
      <w:r>
        <w:rPr>
          <w:b/>
        </w:rPr>
        <w:t>gélules</w:t>
      </w:r>
      <w:r>
        <w:t xml:space="preserve"> contenant des microgranules à pellet. Cette forme galénique présente plusieurs particularités importantes :</w:t>
      </w:r>
    </w:p>
    <w:p>
      <w:pPr>
        <w:pStyle w:val="ListBullet"/>
      </w:pPr>
      <w:r>
        <w:t xml:space="preserve">La gélule </w:t>
      </w:r>
      <w:r>
        <w:rPr>
          <w:b/>
        </w:rPr>
        <w:t>ne doit jamais être ouverte ni croquée</w:t>
      </w:r>
      <w:r>
        <w:t xml:space="preserve"> : le pellet tartarique acide libéré dans la bouche ou l'œsophage peut provoquer des ulcérations et une dyspepsie sévère.</w:t>
      </w:r>
    </w:p>
    <w:p>
      <w:pPr>
        <w:pStyle w:val="ListBullet"/>
      </w:pPr>
      <w:r>
        <w:t>La biodisponibilité dépend du pellet (acidité gastrique requise pour la dissolution) — l'utilisation chez le patient sous IPP n'affecte que modestement l'absorption (~10–15 % de baisse), mais chez le patient gastrectomisé ou sous anti-H2 puissants, une baisse plus significative est possible.</w:t>
      </w:r>
    </w:p>
    <w:p>
      <w:pPr>
        <w:pStyle w:val="ListBullet"/>
      </w:pPr>
      <w:r>
        <w:t xml:space="preserve">La conservation est </w:t>
      </w:r>
      <w:r>
        <w:rPr>
          <w:b/>
        </w:rPr>
        <w:t>impérativement en blister</w:t>
      </w:r>
      <w:r>
        <w:t xml:space="preserve"> — les gélules sont sensibles à l'humidité et la durée de validité hors blister est limitée à 60 jours (au lieu de 3 ans en blister non entamé).</w:t>
      </w:r>
    </w:p>
    <w:p>
      <w:pPr>
        <w:pStyle w:val="ListBullet"/>
      </w:pPr>
      <w:r>
        <w:t>La gélule ne doit pas être écrasée pour administration par sonde — mais peut être ouverte et le contenu dispersé dans l'eau pour administration par sonde gastrique (sur avis médical spécialisé), avec rinçage soigneux.</w:t>
      </w:r>
    </w:p>
    <w:p>
      <w:pPr>
        <w:pStyle w:val="ListBullet"/>
      </w:pPr>
      <w:r>
        <w:t>Trois dosages (75, 110, 150 mg) permettent une flexibilité selon l'âge, la fonction rénale et l'indication.</w:t>
      </w:r>
    </w:p>
    <w:p>
      <w:r/>
      <w:r>
        <w:rPr>
          <w:b/>
        </w:rPr>
        <w:t>Instructions et Conseils au Patient :</w:t>
      </w:r>
      <w:r/>
    </w:p>
    <w:p>
      <w:pPr>
        <w:pStyle w:val="ListBullet"/>
      </w:pPr>
      <w:r/>
      <w:r>
        <w:rPr>
          <w:b/>
        </w:rPr>
        <w:t>Communication au comptoir :</w:t>
      </w:r>
      <w:r>
        <w:t xml:space="preserve"> "Ce médicament est un anticoagulant moderne, 2 prises par jour, à 12 heures d'intervalle. Il fluidifie le sang. Pas de prise de sang régulière (pas d'INR). Cependant : (1) </w:t>
      </w:r>
      <w:r>
        <w:rPr>
          <w:b/>
        </w:rPr>
        <w:t>ne jamais ouvrir ni croquer la gélule</w:t>
      </w:r>
      <w:r>
        <w:t xml:space="preserve"> — l'avaler entière avec un verre d'eau ; (2) </w:t>
      </w:r>
      <w:r>
        <w:rPr>
          <w:b/>
        </w:rPr>
        <w:t>conserver le médicament dans son blister d'origine</w:t>
      </w:r>
      <w:r>
        <w:t>, ne pas le transvaser dans une boîte pilulier au-delà de 60 jours ; (3) signaler tout saignement anormal."</w:t>
      </w:r>
    </w:p>
    <w:p>
      <w:pPr>
        <w:pStyle w:val="ListBullet"/>
      </w:pPr>
      <w:r/>
      <w:r>
        <w:rPr>
          <w:b/>
        </w:rPr>
        <w:t>Mode d'utilisation pratique :</w:t>
      </w:r>
      <w:r/>
    </w:p>
    <w:p>
      <w:pPr>
        <w:pStyle w:val="ListBullet"/>
      </w:pPr>
      <w:r>
        <w:t>Prendre matin et soir à heure fixe (ex : 8 h et 20 h).</w:t>
      </w:r>
    </w:p>
    <w:p>
      <w:pPr>
        <w:pStyle w:val="ListBullet"/>
      </w:pPr>
      <w:r>
        <w:t>En cas d'oubli &lt; 6 h, prendre la dose oubliée ; &gt; 6 h, sauter.</w:t>
      </w:r>
    </w:p>
    <w:p>
      <w:pPr>
        <w:pStyle w:val="ListBullet"/>
      </w:pPr>
      <w:r>
        <w:t>Avaler la gélule entière, ne pas l'ouvrir.</w:t>
      </w:r>
    </w:p>
    <w:p>
      <w:pPr>
        <w:pStyle w:val="ListBullet"/>
      </w:pPr>
      <w:r>
        <w:t>Conserver en blister, à l'abri de l'humidité.</w:t>
      </w:r>
    </w:p>
    <w:p>
      <w:pPr>
        <w:pStyle w:val="ListBullet"/>
      </w:pPr>
      <w:r>
        <w:t>Prévenir tout médecin, dentiste, chirurgien.</w:t>
      </w:r>
    </w:p>
    <w:p>
      <w:pPr>
        <w:pStyle w:val="ListBullet"/>
      </w:pPr>
      <w:r>
        <w:t>Signes d'alerte : saignement prolongé, ecchymoses, méléna, hématurie, céphalées brutales → urgence.</w:t>
      </w:r>
    </w:p>
    <w:p>
      <w:pPr>
        <w:pStyle w:val="ListBullet"/>
      </w:pPr>
      <w:r>
        <w:t>Éviter l'automédication, en particulier AINS.</w:t>
      </w:r>
    </w:p>
    <w:p>
      <w:pPr>
        <w:pStyle w:val="ListBullet"/>
      </w:pPr>
      <w:r>
        <w:t>En cas de dyspepsie (brûlures d'estomac), consulter le médecin (IPP possible, ou switch vers un autre AOD).</w:t>
      </w:r>
    </w:p>
    <w:p>
      <w:pPr>
        <w:pStyle w:val="ListBullet"/>
      </w:pPr>
      <w:r/>
      <w:r>
        <w:rPr>
          <w:b/>
        </w:rPr>
        <w:t>Surveillance :</w:t>
      </w:r>
      <w:r>
        <w:t xml:space="preserve"> Pas d'INR. Une fois par an : créatininémie, NFS, bilan hépatique. Surveillance plus rapprochée si altération de la fonction rénale.</w:t>
      </w:r>
    </w:p>
    <w:p>
      <w:r/>
      <w:r>
        <w:rPr>
          <w:b/>
        </w:rPr>
        <w:t>Notes, Règles d'Or &amp; Pièges au Comptoir :</w:t>
      </w:r>
      <w:r/>
    </w:p>
    <w:p>
      <w:pPr>
        <w:pStyle w:val="ListBullet"/>
      </w:pPr>
      <w:r/>
      <w:r>
        <w:rPr>
          <w:b/>
        </w:rPr>
        <w:t>Piège classique :</w:t>
      </w:r>
      <w:r>
        <w:t xml:space="preserve"> Dabigatran 150 mg ×2/j chez patient 82 ans → </w:t>
      </w:r>
      <w:r>
        <w:rPr>
          <w:b/>
        </w:rPr>
        <w:t>110 mg ×2/j</w:t>
      </w:r>
      <w:r>
        <w:t xml:space="preserve"> (réduction âge ≥ 80 ans). Piège fréquent de non-réduction de dose.</w:t>
      </w:r>
    </w:p>
    <w:p>
      <w:pPr>
        <w:pStyle w:val="ListBullet"/>
      </w:pPr>
      <w:r/>
      <w:r>
        <w:rPr>
          <w:b/>
        </w:rPr>
        <w:t>Piège classique :</w:t>
      </w:r>
      <w:r>
        <w:t xml:space="preserve"> Dabigatran chez insuffisant rénal ClCr 25 mL/min → contre-indication en MVTE et ortho ; 75 mg ×2/j possible en FA (selon RCP français — disponible en Algérie).</w:t>
      </w:r>
    </w:p>
    <w:p>
      <w:pPr>
        <w:pStyle w:val="ListBullet"/>
      </w:pPr>
      <w:r/>
      <w:r>
        <w:rPr>
          <w:b/>
        </w:rPr>
        <w:t>Piège classique :</w:t>
      </w:r>
      <w:r>
        <w:t xml:space="preserve"> Dabigatran + kétoconazole oral → exposition doublée → contre-indication.</w:t>
      </w:r>
    </w:p>
    <w:p>
      <w:pPr>
        <w:pStyle w:val="ListBullet"/>
      </w:pPr>
      <w:r/>
      <w:r>
        <w:rPr>
          <w:b/>
        </w:rPr>
        <w:t>Piège classique :</w:t>
      </w:r>
      <w:r>
        <w:t xml:space="preserve"> Dabigatran + dronédarone → contre-indication (exposition ×2).</w:t>
      </w:r>
    </w:p>
    <w:p>
      <w:pPr>
        <w:pStyle w:val="ListBullet"/>
      </w:pPr>
      <w:r/>
      <w:r>
        <w:rPr>
          <w:b/>
        </w:rPr>
        <w:t>Piège classique :</w:t>
      </w:r>
      <w:r>
        <w:t xml:space="preserve"> Dabigatran chez valve mécanique → contre-indication (RE-ALIGN).</w:t>
      </w:r>
    </w:p>
    <w:p>
      <w:pPr>
        <w:pStyle w:val="ListBullet"/>
      </w:pPr>
      <w:r/>
      <w:r>
        <w:rPr>
          <w:b/>
        </w:rPr>
        <w:t>Piège classique :</w:t>
      </w:r>
      <w:r>
        <w:t xml:space="preserve"> Gélule ouverte/croquée → dyspepsie sévère, perte d'efficacité (modification de l'absorption).</w:t>
      </w:r>
    </w:p>
    <w:p>
      <w:pPr>
        <w:pStyle w:val="ListBullet"/>
      </w:pPr>
      <w:r/>
      <w:r>
        <w:rPr>
          <w:b/>
        </w:rPr>
        <w:t>Piège classique :</w:t>
      </w:r>
      <w:r>
        <w:t xml:space="preserve"> Dabigatran en pilulier non blister pendant 3 mois → perte d'efficacité (dégradation).</w:t>
      </w:r>
    </w:p>
    <w:p>
      <w:pPr>
        <w:pStyle w:val="ListBullet"/>
      </w:pPr>
      <w:r/>
      <w:r>
        <w:rPr>
          <w:b/>
        </w:rPr>
        <w:t>Règle de prise :</w:t>
      </w:r>
      <w:r>
        <w:t xml:space="preserve"> À heure fixe matin et soir, gélule entière, en blister.</w:t>
      </w:r>
    </w:p>
    <w:p>
      <w:pPr>
        <w:pStyle w:val="ListBullet"/>
      </w:pPr>
      <w:r/>
      <w:r>
        <w:rPr>
          <w:b/>
        </w:rPr>
        <w:t>Préparation et Conservation :</w:t>
      </w:r>
      <w:r>
        <w:t xml:space="preserve"> À température ambiante (&lt; 25 °C), en blister d'origine non entamé. Hors blister : 60 jours maximum.</w:t>
      </w:r>
    </w:p>
    <w:p>
      <w:pPr>
        <w:pStyle w:val="ListBullet"/>
      </w:pPr>
      <w:r/>
      <w:r>
        <w:rPr>
          <w:b/>
        </w:rPr>
        <w:t>Piège du surdosage / Substitution :</w:t>
      </w:r>
      <w:r>
        <w:t xml:space="preserve"> </w:t>
      </w:r>
      <w:r>
        <w:rPr>
          <w:b/>
        </w:rPr>
        <w:t>Idarucizumab (Praxbind®)</w:t>
      </w:r>
      <w:r>
        <w:t xml:space="preserve"> — antidote spécifique, 5 g IV en bolus, neutralisation en quelques minutes, durée d'effet 12–24 h. Dialyse possible (le dabigatran est dialysable à ~50–60 % en 4 h). Charbon activé si prise &lt; 2 h. PPC ou FEIBA en alternative si idarucizumab indisponible. </w:t>
      </w:r>
      <w:r>
        <w:rPr>
          <w:b/>
        </w:rPr>
        <w:t>Substitution</w:t>
      </w:r>
      <w:r>
        <w:t xml:space="preserve"> entre Amastan® (générique) et Pradaxa® (princeps) possible (bioéquivalence démontrée), mais à signaler au patient.</w:t>
      </w:r>
    </w:p>
    <w:p>
      <w:pPr>
        <w:pStyle w:val="Heading2"/>
      </w:pPr>
      <w:r>
        <w:t>IV. Sous-classe : Héparines — Héparine non fractionnée (HNF)</w:t>
      </w:r>
    </w:p>
    <w:p>
      <w:pPr>
        <w:pStyle w:val="Heading3"/>
      </w:pPr>
      <w:r>
        <w:t>Introduction à la sous-classe</w:t>
      </w:r>
    </w:p>
    <w:p>
      <w:r>
        <w:t xml:space="preserve">L'héparine non fractionnée (HNF), ou héparine standard, est l'anticoagulant parentéral historique. Découverte en 1916 par Jay McLean (étudiant en médecine à Johns Hopkins) à partir d'extraits de foie de chien (d'où le nom "héparine", du grec </w:t>
      </w:r>
      <w:r>
        <w:rPr>
          <w:i/>
        </w:rPr>
        <w:t>hepar</w:t>
      </w:r>
      <w:r>
        <w:t xml:space="preserve"> = foie), elle est utilisée cliniquement depuis 1935. L'HNF est un mélange hétérogène de </w:t>
      </w:r>
      <w:r>
        <w:rPr>
          <w:b/>
        </w:rPr>
        <w:t>glycosaminoglycanes</w:t>
      </w:r>
      <w:r>
        <w:t xml:space="preserve"> (chaînes de polysaccharides sulfatés) extrait de la muqueuse intestinale de porc (principalement) ou de poumon de bœuf (historique, abandonné en raison du risque de TIH et d'encéphalopathie spongiforme). Son poids moléculaire moyen est de </w:t>
      </w:r>
      <w:r>
        <w:rPr>
          <w:b/>
        </w:rPr>
        <w:t>15 000 Da</w:t>
      </w:r>
      <w:r>
        <w:t xml:space="preserve"> (5 000–30 000 Da), soit 3× supérieur à celui des HBPM.</w:t>
      </w:r>
    </w:p>
    <w:p>
      <w:r/>
      <w:r>
        <w:rPr>
          <w:b/>
        </w:rPr>
        <w:t>Mécanisme d'action :</w:t>
      </w:r>
      <w:r/>
    </w:p>
    <w:p>
      <w:r>
        <w:t xml:space="preserve">L'héparine exerce son effet anticoagulant en </w:t>
      </w:r>
      <w:r>
        <w:rPr>
          <w:b/>
        </w:rPr>
        <w:t>potentialisant l'antithrombine (AT)</w:t>
      </w:r>
      <w:r>
        <w:t>, inhibiteur physiologique des sérine-protéases de la coagulation. La liaison héparine-AT se fait par l'intermédiaire d'une séquence spécifique pentasaccharidique (présente dans ~30 % des chaînes d'hNF), qui induit un changement conformationnel de l'AT et accélère son action inhibitrice d'un facteur 1000 à 4000. La spécificité d'action de l'héparine dépend de la longueur de la chaîne :</w:t>
      </w:r>
    </w:p>
    <w:p>
      <w:pPr>
        <w:pStyle w:val="ListBullet"/>
      </w:pPr>
      <w:r/>
      <w:r>
        <w:rPr>
          <w:b/>
        </w:rPr>
        <w:t>Chaînes longues (&gt; 18 sucres)</w:t>
      </w:r>
      <w:r>
        <w:t xml:space="preserve"> : permettent la formation d'un complexe ternaire AT–héparine–thrombine (IIa), aboutissant à l'inhibition de la thrombine. Ces chaînes inhibent aussi le facteur Xa.</w:t>
      </w:r>
    </w:p>
    <w:p>
      <w:pPr>
        <w:pStyle w:val="ListBullet"/>
      </w:pPr>
      <w:r/>
      <w:r>
        <w:rPr>
          <w:b/>
        </w:rPr>
        <w:t>Chaînes courtes (&lt; 18 sucres)</w:t>
      </w:r>
      <w:r>
        <w:t xml:space="preserve"> : ne peuvent fixer que le Xa (pas la thrombine), donc inhibent sélectivement le Xa.</w:t>
      </w:r>
    </w:p>
    <w:p>
      <w:r>
        <w:t xml:space="preserve">L'HNF contenant à la fois chaînes longues et courtes, elle </w:t>
      </w:r>
      <w:r>
        <w:rPr>
          <w:b/>
        </w:rPr>
        <w:t>inhibe à la fois la thrombine (IIa) et le facteur Xa</w:t>
      </w:r>
      <w:r>
        <w:t xml:space="preserve"> dans un ratio anti-IIa/anti-Xa ≈ 1. C'est cette caractéristique qui la distingue des HBPM (anti-Xa prédominant, ratio anti-Xa/anti-IIa 2:1 à 4:1).</w:t>
      </w:r>
    </w:p>
    <w:p>
      <w:r/>
      <w:r>
        <w:rPr>
          <w:b/>
        </w:rPr>
        <w:t>Pharmacocinétique :</w:t>
      </w:r>
      <w:r/>
    </w:p>
    <w:p>
      <w:r>
        <w:t xml:space="preserve">L'HNF ne se résorbe pas par voie digestive (dégradée par les acides gastriques), d'où la voie </w:t>
      </w:r>
      <w:r>
        <w:rPr>
          <w:b/>
        </w:rPr>
        <w:t>injectable stricte</w:t>
      </w:r>
      <w:r>
        <w:t xml:space="preserve"> (IV ou SC). Après injection SC, la résorption est variable (biodisponibilité 30–70 %), saturable par les macrophages (clearance réticulo-endothéliale). Après injection IV, la cinétique est rapide (demi-vie 60–90 min, dépendante de la dose). La fixation aux protéines est importante (histidine-rich glycoprotein, vitronectine, lipoprotéines). Le métabolisme est hépatique et réticulo-endothélial (dépolymérisation), l'élimination rénale des fragments est minoritaire.</w:t>
      </w:r>
    </w:p>
    <w:p>
      <w:r/>
      <w:r>
        <w:rPr>
          <w:b/>
        </w:rPr>
        <w:t>Surveillance :</w:t>
      </w:r>
      <w:r/>
    </w:p>
    <w:p>
      <w:r>
        <w:t xml:space="preserve">Le </w:t>
      </w:r>
      <w:r>
        <w:rPr>
          <w:b/>
        </w:rPr>
        <w:t>TCA (temps de céphaline activée)</w:t>
      </w:r>
      <w:r>
        <w:t xml:space="preserve"> est le test standard de surveillance. La zone thérapeutique correspond à un </w:t>
      </w:r>
      <w:r>
        <w:rPr>
          <w:b/>
        </w:rPr>
        <w:t>TCA 1,5 à 2,5 × témoin</w:t>
      </w:r>
      <w:r>
        <w:t xml:space="preserve"> (soit ~50–80 s si témoin ~30 s). Le TCA doit être mesuré 4–6 h après début perfusion IV (ou après chaque bolus IV), puis 1×/jour en équilibre. En cas de chirurgie cardiovasculaire (circulation extra-corporelle, CEC), on vise un ACT (Activated Clotting Time) ~400–480 s. L'activité anti-Xa peut être utilisée en alternative en cas de TCA non interprétable (déficit en antithrombine, présence d'anticoagulant circulant lupique, fibrinolyse).</w:t>
      </w:r>
    </w:p>
    <w:p>
      <w:r/>
      <w:r>
        <w:rPr>
          <w:b/>
        </w:rPr>
        <w:t>Avantages vs HBPM :</w:t>
      </w:r>
      <w:r/>
    </w:p>
    <w:p>
      <w:r>
        <w:t>L'HNF conserve plusieurs avantages par rapport aux HBPM :</w:t>
      </w:r>
    </w:p>
    <w:p>
      <w:pPr>
        <w:pStyle w:val="ListBullet"/>
      </w:pPr>
      <w:r/>
      <w:r>
        <w:rPr>
          <w:b/>
        </w:rPr>
        <w:t>Demi-vie courte</w:t>
      </w:r>
      <w:r>
        <w:t xml:space="preserve"> (60–90 min IV) → antagonisation rapide à l'arrêt, idéale pour chirurgie urgente, situations instables, risque hémorragique élevé.</w:t>
      </w:r>
    </w:p>
    <w:p>
      <w:pPr>
        <w:pStyle w:val="ListBullet"/>
      </w:pPr>
      <w:r/>
      <w:r>
        <w:rPr>
          <w:b/>
        </w:rPr>
        <w:t>Réversibilité immédiate</w:t>
      </w:r>
      <w:r>
        <w:t xml:space="preserve"> par sulfate de protamine (1 mg neutralise 100 UI d'HNF).</w:t>
      </w:r>
    </w:p>
    <w:p>
      <w:pPr>
        <w:pStyle w:val="ListBullet"/>
      </w:pPr>
      <w:r/>
      <w:r>
        <w:rPr>
          <w:b/>
        </w:rPr>
        <w:t>Utilisable en IR sévère</w:t>
      </w:r>
      <w:r>
        <w:t xml:space="preserve"> (ClCr &lt; 30 mL/min) — élimination non rénale prédominante.</w:t>
      </w:r>
    </w:p>
    <w:p>
      <w:pPr>
        <w:pStyle w:val="ListBullet"/>
      </w:pPr>
      <w:r/>
      <w:r>
        <w:rPr>
          <w:b/>
        </w:rPr>
        <w:t>Faible passage transplacentaire</w:t>
      </w:r>
      <w:r>
        <w:t xml:space="preserve"> — anticoagulant de choix au 1er trimestre de grossesse (HBPM au 2e et 3e).</w:t>
      </w:r>
    </w:p>
    <w:p>
      <w:pPr>
        <w:pStyle w:val="ListBullet"/>
      </w:pPr>
      <w:r/>
      <w:r>
        <w:rPr>
          <w:b/>
        </w:rPr>
        <w:t>CEC</w:t>
      </w:r>
      <w:r>
        <w:t xml:space="preserve"> : seule l'HNF est validée pour la circulation extra-corporelle.</w:t>
      </w:r>
    </w:p>
    <w:p>
      <w:r/>
      <w:r>
        <w:rPr>
          <w:b/>
        </w:rPr>
        <w:t>Inconvénients vs HBPM :</w:t>
      </w:r>
      <w:r/>
    </w:p>
    <w:p>
      <w:pPr>
        <w:pStyle w:val="ListBullet"/>
      </w:pPr>
      <w:r/>
      <w:r>
        <w:rPr>
          <w:b/>
        </w:rPr>
        <w:t>Surveillance biologique obligatoire</w:t>
      </w:r>
      <w:r>
        <w:t xml:space="preserve"> (TCA).</w:t>
      </w:r>
    </w:p>
    <w:p>
      <w:pPr>
        <w:pStyle w:val="ListBullet"/>
      </w:pPr>
      <w:r/>
      <w:r>
        <w:rPr>
          <w:b/>
        </w:rPr>
        <w:t>Voie IV nécessite une perfusion continue</w:t>
      </w:r>
      <w:r>
        <w:t xml:space="preserve"> ou un cathéter.</w:t>
      </w:r>
    </w:p>
    <w:p>
      <w:pPr>
        <w:pStyle w:val="ListBullet"/>
      </w:pPr>
      <w:r/>
      <w:r>
        <w:rPr>
          <w:b/>
        </w:rPr>
        <w:t>Variabilité interindividuelle importante</w:t>
      </w:r>
      <w:r>
        <w:t xml:space="preserve"> de la réponse.</w:t>
      </w:r>
    </w:p>
    <w:p>
      <w:pPr>
        <w:pStyle w:val="ListBullet"/>
      </w:pPr>
      <w:r/>
      <w:r>
        <w:rPr>
          <w:b/>
        </w:rPr>
        <w:t>Risque de TIH (thrombopénie induite par l'héparine)</w:t>
      </w:r>
      <w:r>
        <w:t xml:space="preserve"> 2–3× supérieur aux HBPM.</w:t>
      </w:r>
    </w:p>
    <w:p>
      <w:pPr>
        <w:pStyle w:val="ListBullet"/>
      </w:pPr>
      <w:r/>
      <w:r>
        <w:rPr>
          <w:b/>
        </w:rPr>
        <w:t>Ostéoporose</w:t>
      </w:r>
      <w:r>
        <w:t xml:space="preserve"> au traitement prolongé (&gt; 1 mois) plus marquée qu'avec HBPM.</w:t>
      </w:r>
    </w:p>
    <w:p>
      <w:pPr>
        <w:pStyle w:val="ListBullet"/>
      </w:pPr>
      <w:r/>
      <w:r>
        <w:rPr>
          <w:b/>
        </w:rPr>
        <w:t>Hypoaldostéronisme</w:t>
      </w:r>
      <w:r>
        <w:t xml:space="preserve"> avec hyperkaliémie possible.</w:t>
      </w:r>
    </w:p>
    <w:p>
      <w:pPr>
        <w:pStyle w:val="Heading3"/>
      </w:pPr>
      <w:r>
        <w:t>5. DCI : Héparine non fractionnée (HNF) (Seule)</w:t>
      </w:r>
    </w:p>
    <w:p>
      <w:r/>
      <w:r>
        <w:rPr>
          <w:b/>
        </w:rPr>
        <w:t>Liste des Catégories :</w:t>
      </w:r>
      <w:r>
        <w:t xml:space="preserve"> Liste I (toutes spécialités).</w:t>
      </w:r>
    </w:p>
    <w:p>
      <w:r>
        <w:t xml:space="preserve">L'héparine non fractionnée sodique est disponible en Algérie en flacons de 25 000 UI/5 mL (5 000 UI/mL) pour injection IV (ou SC à forte dose). Une seule spécialité est actuellement active (Nevparin® de Genta Pharma / Gensenta). L'historique Héparine Sodique LEO (50 flacons de 5 mL) est non renouvelé, et Hikma Héparine (10 flacons de 5 mL à 25 000 UI/mL — concentration particulière à 5× la concentration standard) est retirée. La concentration courante en Algérie est donc de </w:t>
      </w:r>
      <w:r>
        <w:rPr>
          <w:b/>
        </w:rPr>
        <w:t>5 000 UI/mL</w:t>
      </w:r>
      <w:r>
        <w:t>, conditionnée en flacon de 5 mL (25 000 UI total). Les posologies usuelles varient de 200–400 UI/kg/j en perfusion IV continue (curatif), ou 5 000 UI SC ×2–3/j (prophylactique, alternative aux HBPM si IR sévère ou TIH suspectée).</w:t>
      </w:r>
    </w:p>
    <w:p>
      <w:r/>
      <w:r>
        <w:rPr>
          <w:b/>
        </w:rPr>
        <w:t>Médicaments disponibles en Algérie (Marques, Laboratoires, Formes et Dosages) :</w:t>
      </w:r>
      <w:r/>
    </w:p>
    <w:p>
      <w:pPr>
        <w:pStyle w:val="ListBullet"/>
      </w:pPr>
      <w:r/>
      <w:r>
        <w:rPr>
          <w:b/>
        </w:rPr>
        <w:t>NEVPARIN</w:t>
      </w:r>
      <w:r>
        <w:t xml:space="preserve"> (GENSENTA ILAÇ SANAYI VE TICARET A.S)</w:t>
      </w:r>
    </w:p>
    <w:p>
      <w:pPr>
        <w:pStyle w:val="ListBullet"/>
      </w:pPr>
      <w:r>
        <w:t>Formes et Dosages : Solution injectable 25 000 UI/5 mL (5 000 UI/mL), boîte de 1 flacon</w:t>
      </w:r>
    </w:p>
    <w:p>
      <w:pPr>
        <w:pStyle w:val="ListBullet"/>
      </w:pPr>
      <w:r>
        <w:t>Statut : Actif</w:t>
      </w:r>
    </w:p>
    <w:p>
      <w:pPr>
        <w:pStyle w:val="ListBullet"/>
      </w:pPr>
      <w:r/>
      <w:r>
        <w:rPr>
          <w:b/>
        </w:rPr>
        <w:t>HÉPARINE SODIQUE</w:t>
      </w:r>
      <w:r>
        <w:t xml:space="preserve"> (LEO)</w:t>
      </w:r>
    </w:p>
    <w:p>
      <w:pPr>
        <w:pStyle w:val="ListBullet"/>
      </w:pPr>
      <w:r>
        <w:t>Formes et Dosages : Solution injectable IV 25 000 UI/5 mL (5 000 UI/mL), boîte de 50 flacons de 5 mL</w:t>
      </w:r>
    </w:p>
    <w:p>
      <w:pPr>
        <w:pStyle w:val="ListBullet"/>
      </w:pPr>
      <w:r>
        <w:t>Statut : Non Renouvelable</w:t>
      </w:r>
    </w:p>
    <w:p>
      <w:pPr>
        <w:pStyle w:val="ListBullet"/>
      </w:pPr>
      <w:r/>
      <w:r>
        <w:rPr>
          <w:b/>
        </w:rPr>
        <w:t>HIKMA HEPARINE</w:t>
      </w:r>
      <w:r>
        <w:t xml:space="preserve"> (HIKMA PHARMACEUTICALS)</w:t>
      </w:r>
    </w:p>
    <w:p>
      <w:pPr>
        <w:pStyle w:val="ListBullet"/>
      </w:pPr>
      <w:r>
        <w:t>Formes et Dosages : Solution injectable IV/SC 25 000 UI/mL (125 000 UI/5 mL — concentration 5× supérieure), boîte de 10 flacons de 5 mL</w:t>
      </w:r>
    </w:p>
    <w:p>
      <w:pPr>
        <w:pStyle w:val="ListBullet"/>
      </w:pPr>
      <w:r>
        <w:t>Statut : Retrait (R)</w:t>
      </w:r>
    </w:p>
    <w:p>
      <w:r/>
      <w:r>
        <w:rPr>
          <w:b/>
        </w:rPr>
        <w:t>Important à noter</w:t>
      </w:r>
      <w:r>
        <w:t xml:space="preserve"> : la spécialité Hikma Heparine avait une concentration de </w:t>
      </w:r>
      <w:r>
        <w:rPr>
          <w:b/>
        </w:rPr>
        <w:t>25 000 UI/mL</w:t>
      </w:r>
      <w:r>
        <w:t xml:space="preserve"> (5× la concentration standard de 5 000 UI/mL) — d'où un </w:t>
      </w:r>
      <w:r>
        <w:rPr>
          <w:b/>
        </w:rPr>
        <w:t>risque majeur de surdosage en cas de substitution de marque</w:t>
      </w:r>
      <w:r>
        <w:t xml:space="preserve"> sans vérification attentive. Cette particularité explique probablement son retrait du marché. Le pharmacien doit toujours vérifier la concentration en UI/mL lors de la délivrance.</w:t>
      </w:r>
    </w:p>
    <w:p>
      <w:r/>
      <w:r>
        <w:rPr>
          <w:b/>
        </w:rPr>
        <w:t>Sous-classe et Mécanisme d'action :</w:t>
      </w:r>
      <w:r/>
    </w:p>
    <w:p>
      <w:pPr>
        <w:pStyle w:val="ListBullet"/>
      </w:pPr>
      <w:r/>
      <w:r>
        <w:rPr>
          <w:b/>
        </w:rPr>
        <w:t>Sous-classe :</w:t>
      </w:r>
      <w:r>
        <w:t xml:space="preserve"> Héparine non fractionnée (HNF), anticoagulant parentéral, potentialisateur de l'antithrombine.</w:t>
      </w:r>
    </w:p>
    <w:p>
      <w:pPr>
        <w:pStyle w:val="ListBullet"/>
      </w:pPr>
      <w:r/>
      <w:r>
        <w:rPr>
          <w:b/>
        </w:rPr>
        <w:t>Mécanisme d'action :</w:t>
      </w:r>
      <w:r>
        <w:t xml:space="preserve"> L'héparine se lie à l'</w:t>
      </w:r>
      <w:r>
        <w:rPr>
          <w:b/>
        </w:rPr>
        <w:t>antithrombine (AT)</w:t>
      </w:r>
      <w:r>
        <w:t xml:space="preserve"> par l'intermédiaire d'une séquence pentasaccharidique spécifique, induisant un changement conformationnel qui accélère (×1000 à 4000) l'inhibition par l'AT des sérine-protéases de la coagulation : thrombine (IIa), facteur Xa, IXa, XIa, XIIa, kallicréine. L'inhibition de la thrombine (IIa) nécessite que l'héparine serve de </w:t>
      </w:r>
      <w:r>
        <w:rPr>
          <w:b/>
        </w:rPr>
        <w:t>matrice</w:t>
      </w:r>
      <w:r>
        <w:t xml:space="preserve"> simultanément à l'AT et à la thrombine (formation d'un complexe ternaire AT–héparine–thrombine), ce qui exige une chaîne d'au moins 18 sucres. L'inhibition du Xa, en revanche, ne nécessite que la liaison héparine-AT (sans contact direct héparine-Xa), d'où une activité anti-Xa observable même avec les chaînes courtes (HBPM). L'HNF, mélange de chaînes longues et courtes, inhibe donc à la fois Xa et thrombine (ratio anti-IIa/anti-Xa ≈ 1).</w:t>
      </w:r>
    </w:p>
    <w:p>
      <w:r/>
      <w:r>
        <w:rPr>
          <w:b/>
        </w:rPr>
        <w:t>Profil Pharmacologique :</w:t>
      </w:r>
      <w:r/>
    </w:p>
    <w:p>
      <w:pPr>
        <w:pStyle w:val="ListBullet"/>
      </w:pPr>
      <w:r/>
      <w:r>
        <w:rPr>
          <w:b/>
        </w:rPr>
        <w:t>Indications :</w:t>
      </w:r>
      <w:r/>
    </w:p>
    <w:p>
      <w:pPr>
        <w:pStyle w:val="ListBullet"/>
      </w:pPr>
      <w:r>
        <w:t xml:space="preserve">Traitement curatif de la </w:t>
      </w:r>
      <w:r>
        <w:rPr>
          <w:b/>
        </w:rPr>
        <w:t>TVP</w:t>
      </w:r>
      <w:r>
        <w:t xml:space="preserve"> et de l'</w:t>
      </w:r>
      <w:r>
        <w:rPr>
          <w:b/>
        </w:rPr>
        <w:t>EP</w:t>
      </w:r>
      <w:r>
        <w:t xml:space="preserve"> (alternative aux HBPM ; indications préférentielles : EP avec instabilité hémodynamique, thrombose étendue, obèse, IR sévère, suspicion de TIH).</w:t>
      </w:r>
    </w:p>
    <w:p>
      <w:pPr>
        <w:pStyle w:val="ListBullet"/>
      </w:pPr>
      <w:r>
        <w:t xml:space="preserve">Prévention et traitement des </w:t>
      </w:r>
      <w:r>
        <w:rPr>
          <w:b/>
        </w:rPr>
        <w:t>thromboses intracardiaques</w:t>
      </w:r>
      <w:r>
        <w:t xml:space="preserve"> et de l'</w:t>
      </w:r>
      <w:r>
        <w:rPr>
          <w:b/>
        </w:rPr>
        <w:t>embolie artérielle</w:t>
      </w:r>
      <w:r>
        <w:t>.</w:t>
      </w:r>
    </w:p>
    <w:p>
      <w:pPr>
        <w:pStyle w:val="ListBullet"/>
      </w:pPr>
      <w:r/>
      <w:r>
        <w:rPr>
          <w:b/>
        </w:rPr>
        <w:t>FA</w:t>
      </w:r>
      <w:r>
        <w:t xml:space="preserve"> avec complication embolique (relais AVK/AOD).</w:t>
      </w:r>
    </w:p>
    <w:p>
      <w:pPr>
        <w:pStyle w:val="ListBullet"/>
      </w:pPr>
      <w:r/>
      <w:r>
        <w:rPr>
          <w:b/>
        </w:rPr>
        <w:t>Syndrome coronarien aigu</w:t>
      </w:r>
      <w:r>
        <w:t xml:space="preserve"> (SCA : IDM non ST+ et ST+) en association aux antiagrégants (historique — largement supplantée par les HBPM/fondaparinux bientôt en pratique algérienne, mais reste utilisée en cas de risque hémorragique élevé ou IR sévère).</w:t>
      </w:r>
    </w:p>
    <w:p>
      <w:pPr>
        <w:pStyle w:val="ListBullet"/>
      </w:pPr>
      <w:r/>
      <w:r>
        <w:rPr>
          <w:b/>
        </w:rPr>
        <w:t>Cathéérisme cardiaque</w:t>
      </w:r>
      <w:r>
        <w:t xml:space="preserve"> et </w:t>
      </w:r>
      <w:r>
        <w:rPr>
          <w:b/>
        </w:rPr>
        <w:t>angioplastie</w:t>
      </w:r>
      <w:r>
        <w:t xml:space="preserve"> : bolus IV per-procédure.</w:t>
      </w:r>
    </w:p>
    <w:p>
      <w:pPr>
        <w:pStyle w:val="ListBullet"/>
      </w:pPr>
      <w:r/>
      <w:r>
        <w:rPr>
          <w:b/>
        </w:rPr>
        <w:t>CEC</w:t>
      </w:r>
      <w:r>
        <w:t xml:space="preserve"> (circulation extra-corporelle) pour chirurgie cardiovasculaire — seule héparine validée.</w:t>
      </w:r>
    </w:p>
    <w:p>
      <w:pPr>
        <w:pStyle w:val="ListBullet"/>
      </w:pPr>
      <w:r/>
      <w:r>
        <w:rPr>
          <w:b/>
        </w:rPr>
        <w:t>Hémodialyse</w:t>
      </w:r>
      <w:r>
        <w:t xml:space="preserve"> : bolus IV en début de séance.</w:t>
      </w:r>
    </w:p>
    <w:p>
      <w:pPr>
        <w:pStyle w:val="ListBullet"/>
      </w:pPr>
      <w:r/>
      <w:r>
        <w:rPr>
          <w:b/>
        </w:rPr>
        <w:t>Prévention TVP</w:t>
      </w:r>
      <w:r>
        <w:t xml:space="preserve"> en chirurgie et en médecine (alternative aux HBPM si IR sévère, TIH suspectée, obésité extrême).</w:t>
      </w:r>
    </w:p>
    <w:p>
      <w:pPr>
        <w:pStyle w:val="ListBullet"/>
      </w:pPr>
      <w:r/>
      <w:r>
        <w:rPr>
          <w:b/>
        </w:rPr>
        <w:t>Embolie pulmonaire grave</w:t>
      </w:r>
      <w:r>
        <w:t xml:space="preserve"> avec thrombolyse ou embolectomie.</w:t>
      </w:r>
    </w:p>
    <w:p>
      <w:pPr>
        <w:pStyle w:val="ListBullet"/>
      </w:pPr>
      <w:r/>
      <w:r>
        <w:rPr>
          <w:b/>
        </w:rPr>
        <w:t>Coagulation intravasculaire disséminée (CIVD)</w:t>
      </w:r>
      <w:r>
        <w:t xml:space="preserve"> en cas de thrombose dominante (controversé).</w:t>
      </w:r>
    </w:p>
    <w:p>
      <w:pPr>
        <w:pStyle w:val="ListBullet"/>
      </w:pPr>
      <w:r/>
      <w:r>
        <w:rPr>
          <w:b/>
        </w:rPr>
        <w:t>Contre-indications :</w:t>
      </w:r>
      <w:r>
        <w:t xml:space="preserve"> Hypersensibilité à l'héparine ; </w:t>
      </w:r>
      <w:r>
        <w:rPr>
          <w:b/>
        </w:rPr>
        <w:t>thrombopénie induite par l'héparine (TIH) actuelle ou antérieure</w:t>
      </w:r>
      <w:r>
        <w:t xml:space="preserve"> (CI formelle, switch pour argatroban, bivalirudine ou danaparoïde) ; </w:t>
      </w:r>
      <w:r>
        <w:rPr>
          <w:b/>
        </w:rPr>
        <w:t>hémorragie active</w:t>
      </w:r>
      <w:r>
        <w:t xml:space="preserve"> non contrôlée (digestive, cérébrale, chirurgicale) ; </w:t>
      </w:r>
      <w:r>
        <w:rPr>
          <w:b/>
        </w:rPr>
        <w:t>insuffisance rénale sévère</w:t>
      </w:r>
      <w:r>
        <w:t xml:space="preserve"> (en prophylaxie — prudence, en curatif, l'HNF est l'anticoagulant de choix en IR sévère car élimination non rénale prédominante) ; </w:t>
      </w:r>
      <w:r>
        <w:rPr>
          <w:b/>
        </w:rPr>
        <w:t>endocardite infectieuse</w:t>
      </w:r>
      <w:r>
        <w:t xml:space="preserve"> (sauf valve mécanique) ; </w:t>
      </w:r>
      <w:r>
        <w:rPr>
          <w:b/>
        </w:rPr>
        <w:t>hypertension artérielle sévère non contrôlée</w:t>
      </w:r>
      <w:r>
        <w:t xml:space="preserve"> (&gt; 200/120) ; </w:t>
      </w:r>
      <w:r>
        <w:rPr>
          <w:b/>
        </w:rPr>
        <w:t>anévrysme cérébral</w:t>
      </w:r>
      <w:r>
        <w:t xml:space="preserve"> non opéré ; </w:t>
      </w:r>
      <w:r>
        <w:rPr>
          <w:b/>
        </w:rPr>
        <w:t>rétinopathie diabétique proliférative</w:t>
      </w:r>
      <w:r>
        <w:t xml:space="preserve"> ; </w:t>
      </w:r>
      <w:r>
        <w:rPr>
          <w:b/>
        </w:rPr>
        <w:t xml:space="preserve"> AVC ischémique récent &lt; 72 h</w:t>
      </w:r>
      <w:r>
        <w:t xml:space="preserve"> (sauf embolie d'origine cardiaque à haut risque, après scanner排除 hémorragique) ; </w:t>
      </w:r>
      <w:r>
        <w:rPr>
          <w:b/>
        </w:rPr>
        <w:t>période péri-opératoire</w:t>
      </w:r>
      <w:r>
        <w:t xml:space="preserve"> (chirurgie à haut risque hémorragique : neurochirurgie, ophtalmologie) ; </w:t>
      </w:r>
      <w:r>
        <w:rPr>
          <w:b/>
        </w:rPr>
        <w:t>lésions organiques</w:t>
      </w:r>
      <w:r>
        <w:t xml:space="preserve"> avec risque hémorragique (ulcère GD actif, varices œsophagiennes, hémorragie récente &lt; 2 semaines).</w:t>
      </w:r>
    </w:p>
    <w:p>
      <w:pPr>
        <w:pStyle w:val="ListBullet"/>
      </w:pPr>
      <w:r/>
      <w:r>
        <w:rPr>
          <w:b/>
        </w:rPr>
        <w:t>Effets Indésirables :</w:t>
      </w:r>
      <w:r/>
    </w:p>
    <w:p>
      <w:pPr>
        <w:pStyle w:val="ListBullet"/>
      </w:pPr>
      <w:r/>
      <w:r>
        <w:rPr>
          <w:b/>
        </w:rPr>
        <w:t>Hémorragies</w:t>
      </w:r>
      <w:r>
        <w:t xml:space="preserve"> (effet de classe, principal) : tous types, incidence 3–5 % en curatif. Surveillance TCA obligatoire.</w:t>
      </w:r>
    </w:p>
    <w:p>
      <w:pPr>
        <w:pStyle w:val="ListBullet"/>
      </w:pPr>
      <w:r/>
      <w:r>
        <w:rPr>
          <w:b/>
        </w:rPr>
        <w:t>TIH (thrombopénie induite par l'héparine)</w:t>
      </w:r>
      <w:r>
        <w:t xml:space="preserve"> : type II, mécanisme immunoallergique (IgG anti-CXCL4/PF4–héparine activant les plaquettes), 1–5 % des cas sous HNF (0,5–1 % sous HBPM). Survenant entre J5 et J14 (plus précoce &lt; 24 h si exposition antérieure &lt; 100 j). Diagnostic : baisse plaquettes &gt; 50 % et/ou &gt; 100 G/L, thrombose paradoxale (TVP, EP, thrombose artérielle). Conduite à tenir : </w:t>
      </w:r>
      <w:r>
        <w:rPr>
          <w:b/>
        </w:rPr>
        <w:t>arrêt immédiat de toute héparine</w:t>
      </w:r>
      <w:r>
        <w:t xml:space="preserve"> (HNF + HBPM + catéters héparinés), switch pour </w:t>
      </w:r>
      <w:r>
        <w:rPr>
          <w:b/>
        </w:rPr>
        <w:t>argatroban, bivalirudine ou danaparoïde</w:t>
      </w:r>
      <w:r>
        <w:t>, sérologie anti-PF4 (ELISA) et test d'agrégation plaquettaire. Contre-indication à vie de toute héparine.</w:t>
      </w:r>
    </w:p>
    <w:p>
      <w:pPr>
        <w:pStyle w:val="ListBullet"/>
      </w:pPr>
      <w:r/>
      <w:r>
        <w:rPr>
          <w:b/>
        </w:rPr>
        <w:t>Ostéoporose</w:t>
      </w:r>
      <w:r>
        <w:t xml:space="preserve"> au traitement prolongé (&gt; 1 mois) : fréquence 2–5 %, liée à l'inhibition ostéoblastique et activation ostéoclastique ; fracture vertébrale possible. Risque supérieur à celui des HBPM.</w:t>
      </w:r>
    </w:p>
    <w:p>
      <w:pPr>
        <w:pStyle w:val="ListBullet"/>
      </w:pPr>
      <w:r/>
      <w:r>
        <w:rPr>
          <w:b/>
        </w:rPr>
        <w:t>Hypoaldostéronisme</w:t>
      </w:r>
      <w:r>
        <w:t xml:space="preserve"> avec hyperkaliémie (inhibition de la synthèse d'aldostérone) : à surveiller en traitement prolongé.</w:t>
      </w:r>
    </w:p>
    <w:p>
      <w:pPr>
        <w:pStyle w:val="ListBullet"/>
      </w:pPr>
      <w:r/>
      <w:r>
        <w:rPr>
          <w:b/>
        </w:rPr>
        <w:t>Élévation des transaminases</w:t>
      </w:r>
      <w:r>
        <w:t xml:space="preserve"> (bénigne, transitoire).</w:t>
      </w:r>
    </w:p>
    <w:p>
      <w:pPr>
        <w:pStyle w:val="ListBullet"/>
      </w:pPr>
      <w:r/>
      <w:r>
        <w:rPr>
          <w:b/>
        </w:rPr>
        <w:t>Hypersensibilité</w:t>
      </w:r>
      <w:r>
        <w:t xml:space="preserve"> : urticaire, prurit, rash, rare anaphylaxie.</w:t>
      </w:r>
    </w:p>
    <w:p>
      <w:pPr>
        <w:pStyle w:val="ListBullet"/>
      </w:pPr>
      <w:r/>
      <w:r>
        <w:rPr>
          <w:b/>
        </w:rPr>
        <w:t>Priapisme</w:t>
      </w:r>
      <w:r>
        <w:t xml:space="preserve"> (rare).</w:t>
      </w:r>
    </w:p>
    <w:p>
      <w:pPr>
        <w:pStyle w:val="ListBullet"/>
      </w:pPr>
      <w:r/>
      <w:r>
        <w:rPr>
          <w:b/>
        </w:rPr>
        <w:t>Suppression surrénale</w:t>
      </w:r>
      <w:r>
        <w:t xml:space="preserve"> au long cours (très rare).</w:t>
      </w:r>
    </w:p>
    <w:p>
      <w:r/>
      <w:r>
        <w:rPr>
          <w:b/>
        </w:rPr>
        <w:t>Prévention et Gestion des Effets Indésirables :</w:t>
      </w:r>
      <w:r/>
    </w:p>
    <w:p>
      <w:pPr>
        <w:pStyle w:val="ListBullet"/>
      </w:pPr>
      <w:r/>
      <w:r>
        <w:rPr>
          <w:b/>
        </w:rPr>
        <w:t>Mesures Préventives :</w:t>
      </w:r>
      <w:r>
        <w:t xml:space="preserve"> (i) Bilan pré-thérapeutique : NFS, plaquettes, TP/TCA de base, créatininémie, kaliémie, ASAT/ALAT. (ii) </w:t>
      </w:r>
      <w:r>
        <w:rPr>
          <w:b/>
        </w:rPr>
        <w:t>Surveillance plaquettaire 2×/semaine</w:t>
      </w:r>
      <w:r>
        <w:t xml:space="preserve"> pendant toute la durée du traitement (au moins jusqu'à J14, ou jusqu'à arrêt) pour dépister une TIH. (iii) Surveillance TCA 4–6 h après début IV (bolus + perfusion), puis 1×/jour. (iv) Surveillance kaliémie à 7 j puis 1×/semaine. (v) Au long cours (&gt; 1 mois), surveillance densitométrique osseuse. (vi) Préférer les HBPM si traitement prophylactique au long cours (moindre risque de TIH et d'ostéoporose).</w:t>
      </w:r>
    </w:p>
    <w:p>
      <w:pPr>
        <w:pStyle w:val="ListBullet"/>
      </w:pPr>
      <w:r/>
      <w:r>
        <w:rPr>
          <w:b/>
        </w:rPr>
        <w:t>Conduite à Tenir :</w:t>
      </w:r>
      <w:r/>
    </w:p>
    <w:p>
      <w:pPr>
        <w:pStyle w:val="ListBullet"/>
      </w:pPr>
      <w:r/>
      <w:r>
        <w:rPr>
          <w:b/>
        </w:rPr>
        <w:t>Hémorragie mineure</w:t>
      </w:r>
      <w:r>
        <w:t xml:space="preserve"> : diminution du débit de perfusion, contrôle TCA à 4 h.</w:t>
      </w:r>
    </w:p>
    <w:p>
      <w:pPr>
        <w:pStyle w:val="ListBullet"/>
      </w:pPr>
      <w:r/>
      <w:r>
        <w:rPr>
          <w:b/>
        </w:rPr>
        <w:t>Hémorragie majeure</w:t>
      </w:r>
      <w:r>
        <w:t xml:space="preserve"> : arrêt immédiat de la perfusion, </w:t>
      </w:r>
      <w:r>
        <w:rPr>
          <w:b/>
        </w:rPr>
        <w:t>sulfate de protamine IV lent</w:t>
      </w:r>
      <w:r>
        <w:t xml:space="preserve"> (1 mg pour 100 UI d'héparine circulante — calcul basé sur la quantité reçue dans les 2 dernières heures, en raison de la demi-vie courte de l'HNF). Dose maximale 50 mg par injection. Contrôle TCA à 30 min. Réanimation (CGR, PFC) si besoin.</w:t>
      </w:r>
    </w:p>
    <w:p>
      <w:pPr>
        <w:pStyle w:val="ListBullet"/>
      </w:pPr>
      <w:r/>
      <w:r>
        <w:rPr>
          <w:b/>
        </w:rPr>
        <w:t>TIH suspectée</w:t>
      </w:r>
      <w:r>
        <w:t xml:space="preserve"> (baisse plaquettes &gt; 50 % ou thrombose nouvelle sous héparine) : </w:t>
      </w:r>
      <w:r>
        <w:rPr>
          <w:b/>
        </w:rPr>
        <w:t>arrêt immédiat et définitif de toute héparine</w:t>
      </w:r>
      <w:r>
        <w:t xml:space="preserve"> (HNF, HBPM, héparine de rinçage des cathéters), switch immédiat pour </w:t>
      </w:r>
      <w:r>
        <w:rPr>
          <w:b/>
        </w:rPr>
        <w:t>argatroban</w:t>
      </w:r>
      <w:r>
        <w:t xml:space="preserve"> (IV, surveillance TCA 1,5–3× témoin), </w:t>
      </w:r>
      <w:r>
        <w:rPr>
          <w:b/>
        </w:rPr>
        <w:t>bivalirudine</w:t>
      </w:r>
      <w:r>
        <w:t xml:space="preserve"> (IV, en cas d'angioplastie) ou </w:t>
      </w:r>
      <w:r>
        <w:rPr>
          <w:b/>
        </w:rPr>
        <w:t>danaparoïde</w:t>
      </w:r>
      <w:r>
        <w:t xml:space="preserve"> (SC, alternative). Dosage anti-PF4 (ELISA) + test d'agrégation plaquettaire ou test d'agrégation en cytométrie de flux. Contre-indication à vie de toute héparine. Relais par AVK après remontée plaquettaire ≥ 150 G/L (au moins 5 jours de chevauchement avec anticoagulant non héparinique).</w:t>
      </w:r>
    </w:p>
    <w:p>
      <w:pPr>
        <w:pStyle w:val="ListBullet"/>
      </w:pPr>
      <w:r/>
      <w:r>
        <w:rPr>
          <w:b/>
        </w:rPr>
        <w:t>Ostéoporose</w:t>
      </w:r>
      <w:r>
        <w:t xml:space="preserve"> : supplémentation en calcium + vitamine D, densitométrie osseuse, switch pour HBPM ou AVK si possible.</w:t>
      </w:r>
    </w:p>
    <w:p>
      <w:pPr>
        <w:pStyle w:val="ListBullet"/>
      </w:pPr>
      <w:r/>
      <w:r>
        <w:rPr>
          <w:b/>
        </w:rPr>
        <w:t>Hyperkaliémie</w:t>
      </w:r>
      <w:r>
        <w:t xml:space="preserve"> : arrêt ou switch, surveillance.</w:t>
      </w:r>
    </w:p>
    <w:p>
      <w:r/>
      <w:r>
        <w:rPr>
          <w:b/>
        </w:rPr>
        <w:t>Interactions Importantes :</w:t>
      </w:r>
      <w:r/>
    </w:p>
    <w:p>
      <w:pPr>
        <w:pStyle w:val="ListBullet"/>
      </w:pPr>
      <w:r/>
      <w:r>
        <w:rPr>
          <w:b/>
        </w:rPr>
        <w:t>HNF + AINS / Aspirine</w:t>
      </w:r>
      <w:r>
        <w:t xml:space="preserve"> : majoration hémorragique. Éviter ou surveiller étroite.</w:t>
      </w:r>
    </w:p>
    <w:p>
      <w:pPr>
        <w:pStyle w:val="ListBullet"/>
      </w:pPr>
      <w:r/>
      <w:r>
        <w:rPr>
          <w:b/>
        </w:rPr>
        <w:t>HNF + Anticoagulants oraux (AVK, AOD)</w:t>
      </w:r>
      <w:r>
        <w:t xml:space="preserve"> : chevauchement en relais — surveillance TCA + INR.</w:t>
      </w:r>
    </w:p>
    <w:p>
      <w:pPr>
        <w:pStyle w:val="ListBullet"/>
      </w:pPr>
      <w:r/>
      <w:r>
        <w:rPr>
          <w:b/>
        </w:rPr>
        <w:t>HNF + Antiagrégants</w:t>
      </w:r>
      <w:r>
        <w:t xml:space="preserve"> (clopidogrel, ticagrelor, prasugrel) : majoration hémorragique. Évaluer la balance bénéfice/risque.</w:t>
      </w:r>
    </w:p>
    <w:p>
      <w:pPr>
        <w:pStyle w:val="ListBullet"/>
      </w:pPr>
      <w:r/>
      <w:r>
        <w:rPr>
          <w:b/>
        </w:rPr>
        <w:t>HNF + Dextran</w:t>
      </w:r>
      <w:r>
        <w:t xml:space="preserve"> : majoration de l'effet anticoagulant.</w:t>
      </w:r>
    </w:p>
    <w:p>
      <w:pPr>
        <w:pStyle w:val="ListBullet"/>
      </w:pPr>
      <w:r/>
      <w:r>
        <w:rPr>
          <w:b/>
        </w:rPr>
        <w:t>HNF + Nitroglycérine IV</w:t>
      </w:r>
      <w:r>
        <w:t xml:space="preserve"> : peut interférer avec l'anticoagulation (mécanisme non entièrement élucidé, surveillance TCA).</w:t>
      </w:r>
    </w:p>
    <w:p>
      <w:pPr>
        <w:pStyle w:val="ListBullet"/>
      </w:pPr>
      <w:r/>
      <w:r>
        <w:rPr>
          <w:b/>
        </w:rPr>
        <w:t>HNF + Antibiotiques</w:t>
      </w:r>
      <w:r>
        <w:t xml:space="preserve"> (céphalosporines de 3e G à chaîne NMTT, ex. cefamandole, moxalactam) : hypoprothrombinémie additive. Prudence.</w:t>
      </w:r>
    </w:p>
    <w:p>
      <w:pPr>
        <w:pStyle w:val="ListBullet"/>
      </w:pPr>
      <w:r/>
      <w:r>
        <w:rPr>
          <w:b/>
        </w:rPr>
        <w:t>HNF + Digitaliques, Tétracyclines, Antihistaminiques, Nicotine</w:t>
      </w:r>
      <w:r>
        <w:t xml:space="preserve"> : antagonisme partiel de l'effet anticoagulant.</w:t>
      </w:r>
    </w:p>
    <w:p>
      <w:r/>
      <w:r>
        <w:rPr>
          <w:b/>
        </w:rPr>
        <w:t>Grossesse et Allaitement :</w:t>
      </w:r>
      <w:r/>
    </w:p>
    <w:p>
      <w:pPr>
        <w:pStyle w:val="ListBullet"/>
      </w:pPr>
      <w:r/>
      <w:r>
        <w:rPr>
          <w:b/>
        </w:rPr>
        <w:t>Grossesse :</w:t>
      </w:r>
      <w:r>
        <w:t xml:space="preserve"> </w:t>
      </w:r>
      <w:r>
        <w:rPr>
          <w:b/>
        </w:rPr>
        <w:t>Anticoagulant de choix au 1er trimestre</w:t>
      </w:r>
      <w:r>
        <w:t xml:space="preserve"> (CRAT). L'HNF ne traverse pas le placenta (PM élevé, charge négative, fixation aux protéines), donc sans risque fœtal. Utilisée en cas de valve mécanique (en alternative à l'enoxaparine, considérée par certains comme le gold standard à cause du passage maternel très faible et de la réversibilité), thrombose veineuse aiguë en début de grossesse, TIH. Inconvénient : nécessité d'une perfusion IV continue (impraticable en ambulatoire) → switch pour HBPM au 2e et 3e trimestre en ambulatoire.</w:t>
      </w:r>
    </w:p>
    <w:p>
      <w:pPr>
        <w:pStyle w:val="ListBullet"/>
      </w:pPr>
      <w:r/>
      <w:r>
        <w:rPr>
          <w:b/>
        </w:rPr>
        <w:t>Allaitement :</w:t>
      </w:r>
      <w:r>
        <w:t xml:space="preserve"> </w:t>
      </w:r>
      <w:r>
        <w:rPr>
          <w:b/>
        </w:rPr>
        <w:t>Compatible</w:t>
      </w:r>
      <w:r>
        <w:t xml:space="preserve"> (CRAT). L'HNF ne passe pas dans le lait maternel (PM élevé, dégradation digestive). L'allaitement est autorisé sans surveillance particulière de l'enfant.</w:t>
      </w:r>
    </w:p>
    <w:p>
      <w:pPr>
        <w:pStyle w:val="ListBullet"/>
      </w:pPr>
      <w:r/>
      <w:r>
        <w:rPr>
          <w:b/>
        </w:rPr>
        <w:t>Précisions :</w:t>
      </w:r>
      <w:r>
        <w:t xml:space="preserve"> En cas de grossesse à haut risque thrombotique (déficit en AT,APS, antécédent de TVP), préférence pour HNF hospitalière initiale puis HBPM en ambulatoire (enoxaparine à dose curative).</w:t>
      </w:r>
    </w:p>
    <w:p>
      <w:r/>
      <w:r>
        <w:rPr>
          <w:b/>
        </w:rPr>
        <w:t>Posologie et Mode d'administration (Standard) :</w:t>
      </w:r>
      <w:r/>
    </w:p>
    <w:p>
      <w:pPr>
        <w:pStyle w:val="ListBullet"/>
      </w:pPr>
      <w:r/>
      <w:r>
        <w:rPr>
          <w:b/>
        </w:rPr>
        <w:t>Adulte traitement curatif IV (TVP, EP, SCA, thrombose intracardiaque) :</w:t>
      </w:r>
      <w:r/>
    </w:p>
    <w:p>
      <w:pPr>
        <w:pStyle w:val="ListBullet"/>
      </w:pPr>
      <w:r/>
      <w:r>
        <w:rPr>
          <w:b/>
        </w:rPr>
        <w:t>Bolus initial</w:t>
      </w:r>
      <w:r>
        <w:t xml:space="preserve"> : 50–80 UI/kg (soit ~4 000–5 000 UI pour un adulte de 70 kg) IV en 1–2 min.</w:t>
      </w:r>
    </w:p>
    <w:p>
      <w:pPr>
        <w:pStyle w:val="ListBullet"/>
      </w:pPr>
      <w:r/>
      <w:r>
        <w:rPr>
          <w:b/>
        </w:rPr>
        <w:t>Perfusion continue</w:t>
      </w:r>
      <w:r>
        <w:t xml:space="preserve"> : 18 UI/kg/h (soit ~1 300 UI/h pour 70 kg), ajustement par TCA selon protocole :</w:t>
      </w:r>
    </w:p>
    <w:p>
      <w:pPr>
        <w:pStyle w:val="ListBullet"/>
      </w:pPr>
      <w:r>
        <w:t>TCA &lt; 1,5× témoin : bolus 50 UI/kg, augmenter débit +3 UI/kg/h.</w:t>
      </w:r>
    </w:p>
    <w:p>
      <w:pPr>
        <w:pStyle w:val="ListBullet"/>
      </w:pPr>
      <w:r>
        <w:t>TCA 1,5–2,5× témoin : ne pas modifier.</w:t>
      </w:r>
    </w:p>
    <w:p>
      <w:pPr>
        <w:pStyle w:val="ListBullet"/>
      </w:pPr>
      <w:r>
        <w:t>TCA 2,5–3× témoin : réduire débit de 2–3 UI/kg/h.</w:t>
      </w:r>
    </w:p>
    <w:p>
      <w:pPr>
        <w:pStyle w:val="ListBullet"/>
      </w:pPr>
      <w:r>
        <w:t>TCA &gt; 3× témoin : arrêt 1 h, réduction débit de 3–5 UI/kg/h.</w:t>
      </w:r>
    </w:p>
    <w:p>
      <w:pPr>
        <w:pStyle w:val="ListBullet"/>
      </w:pPr>
      <w:r>
        <w:t>Contrôle TCA à 6 h après tout ajustement, puis 1×/jour.</w:t>
      </w:r>
    </w:p>
    <w:p>
      <w:pPr>
        <w:pStyle w:val="ListBullet"/>
      </w:pPr>
      <w:r/>
      <w:r>
        <w:rPr>
          <w:b/>
        </w:rPr>
        <w:t>Adulte prophylaxie SC</w:t>
      </w:r>
      <w:r>
        <w:t xml:space="preserve"> : 5 000 UI SC ×2/j (matin et soir) ou ×3/j en chirurgie à haut risque. Pas de surveillance TCA à dose prophylactique.</w:t>
      </w:r>
    </w:p>
    <w:p>
      <w:pPr>
        <w:pStyle w:val="ListBullet"/>
      </w:pPr>
      <w:r/>
      <w:r>
        <w:rPr>
          <w:b/>
        </w:rPr>
        <w:t>CEC</w:t>
      </w:r>
      <w:r>
        <w:t xml:space="preserve"> : dose initiale 300–400 UI/kg IV bolus, ajustement per-CEC selon ACT (~400–480 s).</w:t>
      </w:r>
    </w:p>
    <w:p>
      <w:pPr>
        <w:pStyle w:val="ListBullet"/>
      </w:pPr>
      <w:r/>
      <w:r>
        <w:rPr>
          <w:b/>
        </w:rPr>
        <w:t>Hémodialyse</w:t>
      </w:r>
      <w:r>
        <w:t xml:space="preserve"> : 50 UI/kg IV bolus en début de séance, ajustement selon ACT.</w:t>
      </w:r>
    </w:p>
    <w:p>
      <w:pPr>
        <w:pStyle w:val="ListBullet"/>
      </w:pPr>
      <w:r/>
      <w:r>
        <w:rPr>
          <w:b/>
        </w:rPr>
        <w:t>Sujet âgé :</w:t>
      </w:r>
      <w:r>
        <w:t xml:space="preserve"> Pas d'adaptation systématique, mais doses initiales plus basses (40 UI/kg bolus, 15 UI/kg/h) et surveillance rapprochée.</w:t>
      </w:r>
    </w:p>
    <w:p>
      <w:pPr>
        <w:pStyle w:val="ListBullet"/>
      </w:pPr>
      <w:r/>
      <w:r>
        <w:rPr>
          <w:b/>
        </w:rPr>
        <w:t>Insuffisance rénale :</w:t>
      </w:r>
      <w:r>
        <w:t xml:space="preserve"> Préférer l'HNF (vs HBPM) si ClCr &lt; 30 mL/min (en curatif) — l'HNF est partiellement éliminée par voie non rénale.</w:t>
      </w:r>
    </w:p>
    <w:p>
      <w:pPr>
        <w:pStyle w:val="ListBullet"/>
      </w:pPr>
      <w:r/>
      <w:r>
        <w:rPr>
          <w:b/>
        </w:rPr>
        <w:t>Insuffisance hépatique sévère :</w:t>
      </w:r>
      <w:r>
        <w:t xml:space="preserve"> Prudence (modification de la synthèse des facteurs).</w:t>
      </w:r>
    </w:p>
    <w:p>
      <w:pPr>
        <w:pStyle w:val="ListBullet"/>
      </w:pPr>
      <w:r/>
      <w:r>
        <w:rPr>
          <w:b/>
        </w:rPr>
        <w:t>Durée :</w:t>
      </w:r>
      <w:r>
        <w:t xml:space="preserve"> Selon indication — SCA 48–72 h, TVP/EP 5–10 jours (relais AVK/AOD), CEC per-procédure.</w:t>
      </w:r>
    </w:p>
    <w:p>
      <w:pPr>
        <w:pStyle w:val="ListBullet"/>
      </w:pPr>
      <w:r/>
      <w:r>
        <w:rPr>
          <w:b/>
        </w:rPr>
        <w:t>Moment de prise</w:t>
      </w:r>
      <w:r>
        <w:t xml:space="preserve"> : Si SC : à heure fixe matin et soir (12 h d'intervalle) pour la prophylaxie.</w:t>
      </w:r>
    </w:p>
    <w:p>
      <w:r/>
      <w:r>
        <w:rPr>
          <w:b/>
        </w:rPr>
        <w:t>Arbitrage et Bénéfices des Formes Galéniques :</w:t>
      </w:r>
      <w:r/>
    </w:p>
    <w:p>
      <w:r>
        <w:t xml:space="preserve">L'HNF n'est disponible qu'en </w:t>
      </w:r>
      <w:r>
        <w:rPr>
          <w:b/>
        </w:rPr>
        <w:t>flacon injectable</w:t>
      </w:r>
      <w:r>
        <w:t xml:space="preserve"> de 25 000 UI/5 mL (5 000 UI/mL). Cette forme unique se prête à :</w:t>
      </w:r>
    </w:p>
    <w:p>
      <w:pPr>
        <w:pStyle w:val="ListBullet"/>
      </w:pPr>
      <w:r/>
      <w:r>
        <w:rPr>
          <w:b/>
        </w:rPr>
        <w:t>IV directe</w:t>
      </w:r>
      <w:r>
        <w:t xml:space="preserve"> (bolus), </w:t>
      </w:r>
      <w:r>
        <w:rPr>
          <w:b/>
        </w:rPr>
        <w:t>perfusion continue</w:t>
      </w:r>
      <w:r>
        <w:t xml:space="preserve"> (dilution dans NaCl 0,9 % ou G5% : 25 000 UI dans 250 mL, soit 100 UI/mL ; débit en mL/h = doses UI/h ÷ 100).</w:t>
      </w:r>
    </w:p>
    <w:p>
      <w:pPr>
        <w:pStyle w:val="ListBullet"/>
      </w:pPr>
      <w:r/>
      <w:r>
        <w:rPr>
          <w:b/>
        </w:rPr>
        <w:t>SC</w:t>
      </w:r>
      <w:r>
        <w:t xml:space="preserve"> à la seringue (aspiration directe du flacon, généralement 5 000 UI = 1 mL).</w:t>
      </w:r>
    </w:p>
    <w:p>
      <w:pPr>
        <w:pStyle w:val="ListBullet"/>
      </w:pPr>
      <w:r/>
      <w:r>
        <w:rPr>
          <w:b/>
        </w:rPr>
        <w:t>Rinçage des cathéters</w:t>
      </w:r>
      <w:r>
        <w:t xml:space="preserve"> (concentration faible 10–100 UI/mL).</w:t>
      </w:r>
    </w:p>
    <w:p>
      <w:r>
        <w:t xml:space="preserve">L'avantage de l'HNF réside dans sa </w:t>
      </w:r>
      <w:r>
        <w:rPr>
          <w:b/>
        </w:rPr>
        <w:t>flexibilité d'administration</w:t>
      </w:r>
      <w:r>
        <w:t xml:space="preserve"> (IV, SC, perfusion continue), sa </w:t>
      </w:r>
      <w:r>
        <w:rPr>
          <w:b/>
        </w:rPr>
        <w:t>réversibilité immédiate</w:t>
      </w:r>
      <w:r>
        <w:t xml:space="preserve"> par protamine et sa </w:t>
      </w:r>
      <w:r>
        <w:rPr>
          <w:b/>
        </w:rPr>
        <w:t>demi-vie courte</w:t>
      </w:r>
      <w:r>
        <w:t xml:space="preserve"> permettant une interruption rapide en cas de saignement ou de chirurgie urgente. Les inconvénients sont la nécessité d'une voie veineuse (en curatif) et d'une surveillance biologique (TCA).</w:t>
      </w:r>
    </w:p>
    <w:p>
      <w:r/>
      <w:r>
        <w:rPr>
          <w:b/>
        </w:rPr>
        <w:t>Instructions et Conseils au Patient :</w:t>
      </w:r>
      <w:r/>
    </w:p>
    <w:p>
      <w:pPr>
        <w:pStyle w:val="ListBullet"/>
      </w:pPr>
      <w:r/>
      <w:r>
        <w:rPr>
          <w:b/>
        </w:rPr>
        <w:t>Communication au comptoir :</w:t>
      </w:r>
      <w:r>
        <w:t xml:space="preserve"> "Ce traitement est un anticoagulant injectable. Il fluidifie le sang pour éviter la formation de caillots. Il se fait à l'hôpital (perfusion veineuse) ou par injection sous-cutanée (à domicile possible après formation). Une prise de sang régulière (TCA) est nécessaire en cas de perfusion veineuse pour ajuster la dose."</w:t>
      </w:r>
    </w:p>
    <w:p>
      <w:pPr>
        <w:pStyle w:val="ListBullet"/>
      </w:pPr>
      <w:r/>
      <w:r>
        <w:rPr>
          <w:b/>
        </w:rPr>
        <w:t>Mode d'utilisation pratique (SC) :</w:t>
      </w:r>
      <w:r/>
    </w:p>
    <w:p>
      <w:pPr>
        <w:pStyle w:val="ListBullet"/>
      </w:pPr>
      <w:r>
        <w:t>Technique d'injection SC (alternance des sites : abdomen, cuisse, bras).</w:t>
      </w:r>
    </w:p>
    <w:p>
      <w:pPr>
        <w:pStyle w:val="ListBullet"/>
      </w:pPr>
      <w:r>
        <w:t>Désinfection préalable, pincer le pli cutané, injecter à 90°, ne pas masser le point d'injection (risque d'hématome).</w:t>
      </w:r>
    </w:p>
    <w:p>
      <w:pPr>
        <w:pStyle w:val="ListBullet"/>
      </w:pPr>
      <w:r>
        <w:t>Rotations des sites pour éviter les lipodystrophies.</w:t>
      </w:r>
    </w:p>
    <w:p>
      <w:pPr>
        <w:pStyle w:val="ListBullet"/>
      </w:pPr>
      <w:r>
        <w:t>En cas d'oubli, prendre la dose dès que possible le même jour (ne pas doubler).</w:t>
      </w:r>
    </w:p>
    <w:p>
      <w:pPr>
        <w:pStyle w:val="ListBullet"/>
      </w:pPr>
      <w:r>
        <w:t>Prévenir tout médecin, dentiste, chirurgien du traitement en cours.</w:t>
      </w:r>
    </w:p>
    <w:p>
      <w:pPr>
        <w:pStyle w:val="ListBullet"/>
      </w:pPr>
      <w:r>
        <w:t>Signes d'alerte : saignement prolongé, ecchymoses, méléna, hématurie → consulter en urgence.</w:t>
      </w:r>
    </w:p>
    <w:p>
      <w:pPr>
        <w:pStyle w:val="ListBullet"/>
      </w:pPr>
      <w:r>
        <w:t>Surveillance plaquettaire 2×/semaine (TIH).</w:t>
      </w:r>
    </w:p>
    <w:p>
      <w:pPr>
        <w:pStyle w:val="ListBullet"/>
      </w:pPr>
      <w:r/>
      <w:r>
        <w:rPr>
          <w:b/>
        </w:rPr>
        <w:t>Surveillance :</w:t>
      </w:r>
      <w:r>
        <w:t xml:space="preserve"> TCA en IV ; NFS-plaquettes 2×/semaine ; kaliémie à 7 j puis 1×/semaine si traitement prolongé.</w:t>
      </w:r>
    </w:p>
    <w:p>
      <w:r/>
      <w:r>
        <w:rPr>
          <w:b/>
        </w:rPr>
        <w:t>Notes, Règles d'Or &amp; Pièges au Comptoir :</w:t>
      </w:r>
      <w:r/>
    </w:p>
    <w:p>
      <w:pPr>
        <w:pStyle w:val="ListBullet"/>
      </w:pPr>
      <w:r/>
      <w:r>
        <w:rPr>
          <w:b/>
        </w:rPr>
        <w:t>Piège classique :</w:t>
      </w:r>
      <w:r>
        <w:t xml:space="preserve"> TIH sous HNF entre J5 et J14 — surveillance plaquettaire 2×/semaine indispensable. Baisse de plus de 50 % ou &lt; 100 G/L → arrêt immédiat + switch pour argatroban ou bivalirudine.</w:t>
      </w:r>
    </w:p>
    <w:p>
      <w:pPr>
        <w:pStyle w:val="ListBullet"/>
      </w:pPr>
      <w:r/>
      <w:r>
        <w:rPr>
          <w:b/>
        </w:rPr>
        <w:t>Piège classique :</w:t>
      </w:r>
      <w:r>
        <w:t xml:space="preserve"> Substitution Hikma Heparine (25 000 UI/mL = 5× la concentration standard) → surdosage massif (retiré du marché, mais à signaler si un flacon est encore disponible en stock).</w:t>
      </w:r>
    </w:p>
    <w:p>
      <w:pPr>
        <w:pStyle w:val="ListBullet"/>
      </w:pPr>
      <w:r/>
      <w:r>
        <w:rPr>
          <w:b/>
        </w:rPr>
        <w:t>Piège classique :</w:t>
      </w:r>
      <w:r>
        <w:t xml:space="preserve"> HNF + AINS → majoration hémorragique.</w:t>
      </w:r>
    </w:p>
    <w:p>
      <w:pPr>
        <w:pStyle w:val="ListBullet"/>
      </w:pPr>
      <w:r/>
      <w:r>
        <w:rPr>
          <w:b/>
        </w:rPr>
        <w:t>Piège classique :</w:t>
      </w:r>
      <w:r>
        <w:t xml:space="preserve"> HNF en IR sévère — préférer l'HNF aux HBPM (élimination non rénale prédominante), sauf si TIH suspectée.</w:t>
      </w:r>
    </w:p>
    <w:p>
      <w:pPr>
        <w:pStyle w:val="ListBullet"/>
      </w:pPr>
      <w:r/>
      <w:r>
        <w:rPr>
          <w:b/>
        </w:rPr>
        <w:t>Piège classique :</w:t>
      </w:r>
      <w:r>
        <w:t xml:space="preserve"> Chirurgie urgente sous HNF → sulfate de protamine IV (1 mg pour 100 UI d'héparine dans les 2 dernières heures).</w:t>
      </w:r>
    </w:p>
    <w:p>
      <w:pPr>
        <w:pStyle w:val="ListBullet"/>
      </w:pPr>
      <w:r/>
      <w:r>
        <w:rPr>
          <w:b/>
        </w:rPr>
        <w:t>Règle de prise :</w:t>
      </w:r>
      <w:r>
        <w:t xml:space="preserve"> À heure fixe pour les injections SC (matin et soir). Dilution correcte pour perfusion IV (100 UI/mL).</w:t>
      </w:r>
    </w:p>
    <w:p>
      <w:pPr>
        <w:pStyle w:val="ListBullet"/>
      </w:pPr>
      <w:r/>
      <w:r>
        <w:rPr>
          <w:b/>
        </w:rPr>
        <w:t>Préparation et Conservation :</w:t>
      </w:r>
      <w:r>
        <w:t xml:space="preserve"> À température ambiante (&lt; 25 °C), à l'abri de la lumière. Ne pas congeler. La dilution en perfusion est stable 24 h.</w:t>
      </w:r>
    </w:p>
    <w:p>
      <w:pPr>
        <w:pStyle w:val="ListBullet"/>
      </w:pPr>
      <w:r/>
      <w:r>
        <w:rPr>
          <w:b/>
        </w:rPr>
        <w:t>Piège du surdosage / Substitution :</w:t>
      </w:r>
      <w:r>
        <w:t xml:space="preserve"> </w:t>
      </w:r>
      <w:r>
        <w:rPr>
          <w:b/>
        </w:rPr>
        <w:t>Sulfate de protamine</w:t>
      </w:r>
      <w:r>
        <w:t xml:space="preserve"> — 1 mg IV pour 100 UI d'HNF reçue dans les 2 dernières heures (dose max 50 mg). Injection IV lente (5 min) pour éviter effets hémodynamiques (hypotension, bradycardie, anaphylaxie). Contrôle TCA à 30 min. En cas de récidive hémorragique, demi-dose supplémentaire possible. </w:t>
      </w:r>
      <w:r>
        <w:rPr>
          <w:b/>
        </w:rPr>
        <w:t>Pas d'andexanet ni d'idarucizumab</w:t>
      </w:r>
      <w:r>
        <w:t xml:space="preserve"> pour l'HNF. </w:t>
      </w:r>
      <w:r>
        <w:rPr>
          <w:b/>
        </w:rPr>
        <w:t>Pas de substitution de marque</w:t>
      </w:r>
      <w:r>
        <w:t xml:space="preserve"> sans vérifier la concentration en UI/mL.</w:t>
      </w:r>
    </w:p>
    <w:p>
      <w:pPr>
        <w:pStyle w:val="Heading2"/>
      </w:pPr>
      <w:r>
        <w:t>V. Sous-classe : Héparines — Héparines de bas poids moléculaire (HBPM)</w:t>
      </w:r>
    </w:p>
    <w:p>
      <w:pPr>
        <w:pStyle w:val="Heading3"/>
      </w:pPr>
      <w:r>
        <w:t>Introduction à la sous-classe</w:t>
      </w:r>
    </w:p>
    <w:p>
      <w:r>
        <w:t xml:space="preserve">Les héparines de bas poids moléculaire (HBPM) sont obtenues par </w:t>
      </w:r>
      <w:r>
        <w:rPr>
          <w:b/>
        </w:rPr>
        <w:t>dépolymérisation contrôlée</w:t>
      </w:r>
      <w:r>
        <w:t xml:space="preserve"> de l'héparine non fractionnée (HNF), soit par hydrolyse alcaline (enoxaparine), dépolymérisation nitreuse (daltéparine, nadroparine), digestion enzymatique par l'héparinase (tinzaparine) ou fractionnement par radicals oxygénés (bémiparine). Le poids moléculaire moyen est de </w:t>
      </w:r>
      <w:r>
        <w:rPr>
          <w:b/>
        </w:rPr>
        <w:t>4–6 kDa</w:t>
      </w:r>
      <w:r>
        <w:t xml:space="preserve"> (vs 15 kDa pour l'HNF), avec un ratio </w:t>
      </w:r>
      <w:r>
        <w:rPr>
          <w:b/>
        </w:rPr>
        <w:t>anti-Xa/anti-IIa de 2:1 à 4:1</w:t>
      </w:r>
      <w:r>
        <w:t xml:space="preserve"> (selon la molécule), reflétant la perte des chaînes longues capables d'inhiber la thrombine. Les HBPM représentent l'anticoagulant parentéral de référence en pratique ambulatoire et hospitalière pour la prophylaxie et le traitement curatif de la maladie veineuse thromboembolique.</w:t>
      </w:r>
    </w:p>
    <w:p>
      <w:r/>
      <w:r>
        <w:rPr>
          <w:b/>
        </w:rPr>
        <w:t>Mécanisme d'action :</w:t>
      </w:r>
      <w:r/>
    </w:p>
    <w:p>
      <w:r>
        <w:t xml:space="preserve">Comme l'HNF, les HBPM agissent par </w:t>
      </w:r>
      <w:r>
        <w:rPr>
          <w:b/>
        </w:rPr>
        <w:t>potentialisation de l'antithrombine (AT)</w:t>
      </w:r>
      <w:r>
        <w:t xml:space="preserve"> via la séquence pentasaccharidique spécifique. La liaison pentasaccharide–AT active l'AT et accélère l'inhibition du facteur Xa (et accessoirement de la thrombine si la chaîne est suffisamment longue). En raison de leur PM réduit (~5 kDa), la plupart des chaînes des HBPM sont </w:t>
      </w:r>
      <w:r>
        <w:rPr>
          <w:b/>
        </w:rPr>
        <w:t>&lt; 18 sucres</w:t>
      </w:r>
      <w:r>
        <w:t xml:space="preserve">, donc incapables de former le complexe ternaire AT–héparine–thrombine : elles inhibent </w:t>
      </w:r>
      <w:r>
        <w:rPr>
          <w:b/>
        </w:rPr>
        <w:t>préférentiellement le facteur Xa</w:t>
      </w:r>
      <w:r>
        <w:t xml:space="preserve"> (activité anti-Xa prédominante, ratio anti-Xa/anti-IIa 2:1 à 4:1 selon la molécule). L'inhibition du Xa, en amont de la thrombine, permet une réduction plus "physiologique" de la génération de thrombine, sans abolir totalement la coagulation.</w:t>
      </w:r>
    </w:p>
    <w:p>
      <w:r/>
      <w:r>
        <w:rPr>
          <w:b/>
        </w:rPr>
        <w:t>Comparaison des HBPM disponibles en Algérie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Molécule</w:t>
            </w:r>
          </w:p>
        </w:tc>
        <w:tc>
          <w:tcPr>
            <w:tcW w:type="dxa" w:w="1871"/>
          </w:tcPr>
          <w:p>
            <w:r>
              <w:rPr>
                <w:b/>
                <w:sz w:val="20"/>
              </w:rPr>
              <w:t>PM moyen (kDa)</w:t>
            </w:r>
          </w:p>
        </w:tc>
        <w:tc>
          <w:tcPr>
            <w:tcW w:type="dxa" w:w="1871"/>
          </w:tcPr>
          <w:p>
            <w:r>
              <w:rPr>
                <w:b/>
                <w:sz w:val="20"/>
              </w:rPr>
              <w:t>Ratio anti-Xa/anti-IIa</w:t>
            </w:r>
          </w:p>
        </w:tc>
        <w:tc>
          <w:tcPr>
            <w:tcW w:type="dxa" w:w="1871"/>
          </w:tcPr>
          <w:p>
            <w:r>
              <w:rPr>
                <w:b/>
                <w:sz w:val="20"/>
              </w:rPr>
              <w:t>Demi-vie (h)</w:t>
            </w:r>
          </w:p>
        </w:tc>
        <w:tc>
          <w:tcPr>
            <w:tcW w:type="dxa" w:w="1871"/>
          </w:tcPr>
          <w:p>
            <w:r>
              <w:rPr>
                <w:b/>
                <w:sz w:val="20"/>
              </w:rPr>
              <w:t>Élimination</w:t>
            </w:r>
          </w:p>
        </w:tc>
      </w:tr>
      <w:tr>
        <w:tc>
          <w:tcPr>
            <w:tcW w:type="dxa" w:w="1871"/>
          </w:tcPr>
          <w:p>
            <w:r>
              <w:rPr>
                <w:sz w:val="20"/>
              </w:rPr>
              <w:t>Enoxaparine</w:t>
            </w:r>
          </w:p>
        </w:tc>
        <w:tc>
          <w:tcPr>
            <w:tcW w:type="dxa" w:w="1871"/>
          </w:tcPr>
          <w:p>
            <w:r>
              <w:rPr>
                <w:sz w:val="20"/>
              </w:rPr>
              <w:t>4,2</w:t>
            </w:r>
          </w:p>
        </w:tc>
        <w:tc>
          <w:tcPr>
            <w:tcW w:type="dxa" w:w="1871"/>
          </w:tcPr>
          <w:p>
            <w:r>
              <w:rPr>
                <w:sz w:val="20"/>
              </w:rPr>
              <w:t>3,2:1</w:t>
            </w:r>
          </w:p>
        </w:tc>
        <w:tc>
          <w:tcPr>
            <w:tcW w:type="dxa" w:w="1871"/>
          </w:tcPr>
          <w:p>
            <w:r>
              <w:rPr>
                <w:sz w:val="20"/>
              </w:rPr>
              <w:t>4–7</w:t>
            </w:r>
          </w:p>
        </w:tc>
        <w:tc>
          <w:tcPr>
            <w:tcW w:type="dxa" w:w="1871"/>
          </w:tcPr>
          <w:p>
            <w:r>
              <w:rPr>
                <w:sz w:val="20"/>
              </w:rPr>
              <w:t>~40 % rénale</w:t>
            </w:r>
          </w:p>
        </w:tc>
      </w:tr>
      <w:tr>
        <w:tc>
          <w:tcPr>
            <w:tcW w:type="dxa" w:w="1871"/>
          </w:tcPr>
          <w:p>
            <w:r>
              <w:rPr>
                <w:sz w:val="20"/>
              </w:rPr>
              <w:t>Daltéparine</w:t>
            </w:r>
          </w:p>
        </w:tc>
        <w:tc>
          <w:tcPr>
            <w:tcW w:type="dxa" w:w="1871"/>
          </w:tcPr>
          <w:p>
            <w:r>
              <w:rPr>
                <w:sz w:val="20"/>
              </w:rPr>
              <w:t>6,0</w:t>
            </w:r>
          </w:p>
        </w:tc>
        <w:tc>
          <w:tcPr>
            <w:tcW w:type="dxa" w:w="1871"/>
          </w:tcPr>
          <w:p>
            <w:r>
              <w:rPr>
                <w:sz w:val="20"/>
              </w:rPr>
              <w:t>2,7:1</w:t>
            </w:r>
          </w:p>
        </w:tc>
        <w:tc>
          <w:tcPr>
            <w:tcW w:type="dxa" w:w="1871"/>
          </w:tcPr>
          <w:p>
            <w:r>
              <w:rPr>
                <w:sz w:val="20"/>
              </w:rPr>
              <w:t>3–5</w:t>
            </w:r>
          </w:p>
        </w:tc>
        <w:tc>
          <w:tcPr>
            <w:tcW w:type="dxa" w:w="1871"/>
          </w:tcPr>
          <w:p>
            <w:r>
              <w:rPr>
                <w:sz w:val="20"/>
              </w:rPr>
              <w:t>~80 % rénale</w:t>
            </w:r>
          </w:p>
        </w:tc>
      </w:tr>
      <w:tr>
        <w:tc>
          <w:tcPr>
            <w:tcW w:type="dxa" w:w="1871"/>
          </w:tcPr>
          <w:p>
            <w:r>
              <w:rPr>
                <w:sz w:val="20"/>
              </w:rPr>
              <w:t>Nadroparine</w:t>
            </w:r>
          </w:p>
        </w:tc>
        <w:tc>
          <w:tcPr>
            <w:tcW w:type="dxa" w:w="1871"/>
          </w:tcPr>
          <w:p>
            <w:r>
              <w:rPr>
                <w:sz w:val="20"/>
              </w:rPr>
              <w:t>4,3</w:t>
            </w:r>
          </w:p>
        </w:tc>
        <w:tc>
          <w:tcPr>
            <w:tcW w:type="dxa" w:w="1871"/>
          </w:tcPr>
          <w:p>
            <w:r>
              <w:rPr>
                <w:sz w:val="20"/>
              </w:rPr>
              <w:t>3,6:1</w:t>
            </w:r>
          </w:p>
        </w:tc>
        <w:tc>
          <w:tcPr>
            <w:tcW w:type="dxa" w:w="1871"/>
          </w:tcPr>
          <w:p>
            <w:r>
              <w:rPr>
                <w:sz w:val="20"/>
              </w:rPr>
              <w:t>3,5</w:t>
            </w:r>
          </w:p>
        </w:tc>
        <w:tc>
          <w:tcPr>
            <w:tcW w:type="dxa" w:w="1871"/>
          </w:tcPr>
          <w:p>
            <w:r>
              <w:rPr>
                <w:sz w:val="20"/>
              </w:rPr>
              <w:t>Rénale</w:t>
            </w:r>
          </w:p>
        </w:tc>
      </w:tr>
      <w:tr>
        <w:tc>
          <w:tcPr>
            <w:tcW w:type="dxa" w:w="1871"/>
          </w:tcPr>
          <w:p>
            <w:r>
              <w:rPr>
                <w:sz w:val="20"/>
              </w:rPr>
              <w:t>Tinzaparine</w:t>
            </w:r>
          </w:p>
        </w:tc>
        <w:tc>
          <w:tcPr>
            <w:tcW w:type="dxa" w:w="1871"/>
          </w:tcPr>
          <w:p>
            <w:r>
              <w:rPr>
                <w:sz w:val="20"/>
              </w:rPr>
              <w:t>5,5</w:t>
            </w:r>
          </w:p>
        </w:tc>
        <w:tc>
          <w:tcPr>
            <w:tcW w:type="dxa" w:w="1871"/>
          </w:tcPr>
          <w:p>
            <w:r>
              <w:rPr>
                <w:sz w:val="20"/>
              </w:rPr>
              <w:t>1,9:1</w:t>
            </w:r>
          </w:p>
        </w:tc>
        <w:tc>
          <w:tcPr>
            <w:tcW w:type="dxa" w:w="1871"/>
          </w:tcPr>
          <w:p>
            <w:r>
              <w:rPr>
                <w:sz w:val="20"/>
              </w:rPr>
              <w:t>3–4</w:t>
            </w:r>
          </w:p>
        </w:tc>
        <w:tc>
          <w:tcPr>
            <w:tcW w:type="dxa" w:w="1871"/>
          </w:tcPr>
          <w:p>
            <w:r>
              <w:rPr>
                <w:sz w:val="20"/>
              </w:rPr>
              <w:t>Hépatique/réticulo-endothéliale prédominante (moindre accumulation en IR)</w:t>
            </w:r>
          </w:p>
        </w:tc>
      </w:tr>
      <w:tr>
        <w:tc>
          <w:tcPr>
            <w:tcW w:type="dxa" w:w="1871"/>
          </w:tcPr>
          <w:p>
            <w:r>
              <w:rPr>
                <w:sz w:val="20"/>
              </w:rPr>
              <w:t>Bémiparine</w:t>
            </w:r>
          </w:p>
        </w:tc>
        <w:tc>
          <w:tcPr>
            <w:tcW w:type="dxa" w:w="1871"/>
          </w:tcPr>
          <w:p>
            <w:r>
              <w:rPr>
                <w:sz w:val="20"/>
              </w:rPr>
              <w:t>3,6</w:t>
            </w:r>
          </w:p>
        </w:tc>
        <w:tc>
          <w:tcPr>
            <w:tcW w:type="dxa" w:w="1871"/>
          </w:tcPr>
          <w:p>
            <w:r>
              <w:rPr>
                <w:sz w:val="20"/>
              </w:rPr>
              <w:t>4:1 (rapport le plus élevé, 2e génération)</w:t>
            </w:r>
          </w:p>
        </w:tc>
        <w:tc>
          <w:tcPr>
            <w:tcW w:type="dxa" w:w="1871"/>
          </w:tcPr>
          <w:p>
            <w:r>
              <w:rPr>
                <w:sz w:val="20"/>
              </w:rPr>
              <w:t>5–6</w:t>
            </w:r>
          </w:p>
        </w:tc>
        <w:tc>
          <w:tcPr>
            <w:tcW w:type="dxa" w:w="1871"/>
          </w:tcPr>
          <w:p>
            <w:r>
              <w:rPr>
                <w:sz w:val="20"/>
              </w:rPr>
              <w:t>Rénale</w:t>
            </w:r>
          </w:p>
        </w:tc>
      </w:tr>
    </w:tbl>
    <w:p/>
    <w:p>
      <w:r/>
      <w:r>
        <w:rPr>
          <w:b/>
        </w:rPr>
        <w:t>Pharmacocinétique commune :</w:t>
      </w:r>
      <w:r/>
    </w:p>
    <w:p>
      <w:pPr>
        <w:pStyle w:val="ListBullet"/>
      </w:pPr>
      <w:r/>
      <w:r>
        <w:rPr>
          <w:b/>
        </w:rPr>
        <w:t>Biodisponibilité SC</w:t>
      </w:r>
      <w:r>
        <w:t xml:space="preserve"> excellente (≥ 90 %), supérieure à l'HNF.</w:t>
      </w:r>
    </w:p>
    <w:p>
      <w:pPr>
        <w:pStyle w:val="ListBullet"/>
      </w:pPr>
      <w:r/>
      <w:r>
        <w:rPr>
          <w:b/>
        </w:rPr>
        <w:t>Pic d'activité anti-Xa</w:t>
      </w:r>
      <w:r>
        <w:t xml:space="preserve"> 3–5 h après injection SC.</w:t>
      </w:r>
    </w:p>
    <w:p>
      <w:pPr>
        <w:pStyle w:val="ListBullet"/>
      </w:pPr>
      <w:r/>
      <w:r>
        <w:rPr>
          <w:b/>
        </w:rPr>
        <w:t>Demi-vie plasmatique</w:t>
      </w:r>
      <w:r>
        <w:t xml:space="preserve"> 3–7 h (selon molécule), allongée en IR (jusqu'à 16 h pour l'enoxaparine si ClCr &lt; 30).</w:t>
      </w:r>
    </w:p>
    <w:p>
      <w:pPr>
        <w:pStyle w:val="ListBullet"/>
      </w:pPr>
      <w:r/>
      <w:r>
        <w:rPr>
          <w:b/>
        </w:rPr>
        <w:t>Faible liaison aux protéines</w:t>
      </w:r>
      <w:r>
        <w:t xml:space="preserve"> et aux macrophages (vs HNF) → cinétique linéaire et prédictible.</w:t>
      </w:r>
    </w:p>
    <w:p>
      <w:pPr>
        <w:pStyle w:val="ListBullet"/>
      </w:pPr>
      <w:r/>
      <w:r>
        <w:rPr>
          <w:b/>
        </w:rPr>
        <w:t>Élimination</w:t>
      </w:r>
      <w:r>
        <w:t xml:space="preserve"> majoritairement rénale (enoxaparine, daltéparine, nadroparine, bémiparine) → accumulation en IR. La tinzaparine, dépolymérisée par héparinase, est partiellement éliminée par voie hépatique/réticulo-endothéliale → moindre accumulation en IR.</w:t>
      </w:r>
    </w:p>
    <w:p>
      <w:pPr>
        <w:pStyle w:val="ListBullet"/>
      </w:pPr>
      <w:r/>
      <w:r>
        <w:rPr>
          <w:b/>
        </w:rPr>
        <w:t>Pas de passage transplacentaire</w:t>
      </w:r>
      <w:r>
        <w:t xml:space="preserve"> (PM élevé, charge négative, fixation protéique) → anticoagulant de choix au 2e et 3e trimestre de grossesse (et pendant toute la grossesse selon CRAT, sauf 1er trimestre où l'HNF est parfois préférée).</w:t>
      </w:r>
    </w:p>
    <w:p>
      <w:r/>
      <w:r>
        <w:rPr>
          <w:b/>
        </w:rPr>
        <w:t>Surveillance :</w:t>
      </w:r>
      <w:r/>
    </w:p>
    <w:p>
      <w:r>
        <w:t>Pas de surveillance de routine chez le patient standard à dose prophylactique ou curative. En cas d'indication particulière (patient &gt; 100 kg ou &lt; 40 kg, IR sévère 15–30 mL/min, grossesse à dose curative, enfant), dosage de l'</w:t>
      </w:r>
      <w:r>
        <w:rPr>
          <w:b/>
        </w:rPr>
        <w:t>activité anti-Xa</w:t>
      </w:r>
      <w:r>
        <w:t xml:space="preserve"> 4 h après l'injection SC (pic), zone thérapeutique :</w:t>
      </w:r>
    </w:p>
    <w:p>
      <w:pPr>
        <w:pStyle w:val="ListBullet"/>
      </w:pPr>
      <w:r>
        <w:t>Prophylaxie : 0,2–0,5 UI/mL</w:t>
      </w:r>
    </w:p>
    <w:p>
      <w:pPr>
        <w:pStyle w:val="ListBullet"/>
      </w:pPr>
      <w:r>
        <w:t>Curatif : 0,5–1,0 UI/mL</w:t>
      </w:r>
    </w:p>
    <w:p>
      <w:r/>
      <w:r>
        <w:rPr>
          <w:b/>
        </w:rPr>
        <w:t>Avantages vs HNF :</w:t>
      </w:r>
      <w:r/>
    </w:p>
    <w:p>
      <w:pPr>
        <w:pStyle w:val="ListBullet"/>
      </w:pPr>
      <w:r/>
      <w:r>
        <w:rPr>
          <w:b/>
        </w:rPr>
        <w:t>Pas de surveillance biologique de routine</w:t>
      </w:r>
      <w:r>
        <w:t xml:space="preserve"> (TCA non pertinent).</w:t>
      </w:r>
    </w:p>
    <w:p>
      <w:pPr>
        <w:pStyle w:val="ListBullet"/>
      </w:pPr>
      <w:r/>
      <w:r>
        <w:rPr>
          <w:b/>
        </w:rPr>
        <w:t>Voie SC</w:t>
      </w:r>
      <w:r>
        <w:t xml:space="preserve"> auto-injectable par le patient → ambulatoire.</w:t>
      </w:r>
    </w:p>
    <w:p>
      <w:pPr>
        <w:pStyle w:val="ListBullet"/>
      </w:pPr>
      <w:r/>
      <w:r>
        <w:rPr>
          <w:b/>
        </w:rPr>
        <w:t>Demi-vie plus longue</w:t>
      </w:r>
      <w:r>
        <w:t xml:space="preserve"> → 1 à 2 injections/jour seulement.</w:t>
      </w:r>
    </w:p>
    <w:p>
      <w:pPr>
        <w:pStyle w:val="ListBullet"/>
      </w:pPr>
      <w:r/>
      <w:r>
        <w:rPr>
          <w:b/>
        </w:rPr>
        <w:t>Biodisponibilité prédictible</w:t>
      </w:r>
      <w:r>
        <w:t xml:space="preserve"> (pas de variabilité interindividuelle majeure).</w:t>
      </w:r>
    </w:p>
    <w:p>
      <w:pPr>
        <w:pStyle w:val="ListBullet"/>
      </w:pPr>
      <w:r/>
      <w:r>
        <w:rPr>
          <w:b/>
        </w:rPr>
        <w:t>Moins de TIH</w:t>
      </w:r>
      <w:r>
        <w:t xml:space="preserve"> (risque ~3× inférieur à l'HNF, 0,1–0,5 %).</w:t>
      </w:r>
    </w:p>
    <w:p>
      <w:pPr>
        <w:pStyle w:val="ListBullet"/>
      </w:pPr>
      <w:r/>
      <w:r>
        <w:rPr>
          <w:b/>
        </w:rPr>
        <w:t>Moins d'ostéoporose</w:t>
      </w:r>
      <w:r>
        <w:t xml:space="preserve"> au long cours.</w:t>
      </w:r>
    </w:p>
    <w:p>
      <w:pPr>
        <w:pStyle w:val="ListBullet"/>
      </w:pPr>
      <w:r/>
      <w:r>
        <w:rPr>
          <w:b/>
        </w:rPr>
        <w:t>Moindre risque hémorragique global</w:t>
      </w:r>
      <w:r>
        <w:t xml:space="preserve"> (à dose prophylactique).</w:t>
      </w:r>
    </w:p>
    <w:p>
      <w:r/>
      <w:r>
        <w:rPr>
          <w:b/>
        </w:rPr>
        <w:t>Inconvénients vs HNF :</w:t>
      </w:r>
      <w:r/>
    </w:p>
    <w:p>
      <w:pPr>
        <w:pStyle w:val="ListBullet"/>
      </w:pPr>
      <w:r/>
      <w:r>
        <w:rPr>
          <w:b/>
        </w:rPr>
        <w:t>Réversibilité imparfaite</w:t>
      </w:r>
      <w:r>
        <w:t xml:space="preserve"> par sulfate de protamine (neutralise seulement ~60 % de l'effet anti-Xa, en raison de la faible affinité des HBPM pour la protamine).</w:t>
      </w:r>
    </w:p>
    <w:p>
      <w:pPr>
        <w:pStyle w:val="ListBullet"/>
      </w:pPr>
      <w:r/>
      <w:r>
        <w:rPr>
          <w:b/>
        </w:rPr>
        <w:t>Demi-vie plus longue</w:t>
      </w:r>
      <w:r>
        <w:t xml:space="preserve"> → moins adapté aux situations instables, chirurgie urgente.</w:t>
      </w:r>
    </w:p>
    <w:p>
      <w:pPr>
        <w:pStyle w:val="ListBullet"/>
      </w:pPr>
      <w:r/>
      <w:r>
        <w:rPr>
          <w:b/>
        </w:rPr>
        <w:t>Accumulation en IR</w:t>
      </w:r>
      <w:r>
        <w:t xml:space="preserve"> (sauf tinzaparine) → adaptation posologique obligatoire si ClCr &lt; 30 mL/min.</w:t>
      </w:r>
    </w:p>
    <w:p>
      <w:pPr>
        <w:pStyle w:val="ListBullet"/>
      </w:pPr>
      <w:r/>
      <w:r>
        <w:rPr>
          <w:b/>
        </w:rPr>
        <w:t>Coût supérieur</w:t>
      </w:r>
      <w:r>
        <w:t xml:space="preserve"> à l'HNF.</w:t>
      </w:r>
    </w:p>
    <w:p>
      <w:pPr>
        <w:pStyle w:val="Heading3"/>
      </w:pPr>
      <w:r>
        <w:t>6. DCI : Enoxaparine (Seule)</w:t>
      </w:r>
    </w:p>
    <w:p>
      <w:r/>
      <w:r>
        <w:rPr>
          <w:b/>
        </w:rPr>
        <w:t>Liste des Catégories :</w:t>
      </w:r>
      <w:r>
        <w:t xml:space="preserve"> Liste I (toutes spécialités).</w:t>
      </w:r>
    </w:p>
    <w:p>
      <w:r>
        <w:t xml:space="preserve">L'enoxaparine (LMWH de bas poids moléculaire, PM moyen 4 200 Da) est la HBPM la plus prescrite au monde et la référence dans sa classe. Obtenu par dépolymérisation alcaline de l'HNF, elle présente un ratio anti-Xa/anti-IIa de </w:t>
      </w:r>
      <w:r>
        <w:rPr>
          <w:b/>
        </w:rPr>
        <w:t>3,2:1</w:t>
      </w:r>
      <w:r>
        <w:t xml:space="preserve"> (le plus élevé après la bémiparine), une biodisponibilité SC de 100 %, une demi-vie de 4–7 h (allongée à 16 h en IR sévère) et une élimination rénale d'environ 40 %. Le princeps Lovenox® (Sanofi-Aventis) est largement diffusé en Algérie ; les génériques Lomoh® (Emcure), Theranox® (Biothera) et Varenox® (Frater-Razes) sont également disponibles, en seringues pré-remplies avec système de sécurité de l'aiguille. L'enoxaparine se décline en 5 dosages : 2 000 UI (prophylaxie modérée), 4 000 UI (prophylaxie chirurgicale), 6 000 UI, 8 000 UI (curatif chez le patient &lt; 60 kg ou 40 &lt; poids &lt; 100 kg), et historiquement 10 000 UI/mL (multi-dose). C'est l'anticoagulant de choix au cours de la grossesse en ambulatoire.</w:t>
      </w:r>
    </w:p>
    <w:p>
      <w:r/>
      <w:r>
        <w:rPr>
          <w:b/>
        </w:rPr>
        <w:t>Médicaments disponibles en Algérie (Marques, Laboratoires, Formes et Dosages) :</w:t>
      </w:r>
      <w:r/>
    </w:p>
    <w:p>
      <w:r>
        <w:t xml:space="preserve">L'enoxaparine est l'une des HBPM les plus représentées en Algérie, avec </w:t>
      </w:r>
      <w:r>
        <w:rPr>
          <w:b/>
        </w:rPr>
        <w:t>4 marques</w:t>
      </w:r>
      <w:r>
        <w:t xml:space="preserve"> en concurrence (princeps + 3 génériques), disponibles en seringues pré-remplies à 4 dosages différents (2 000, 4 000, 6 000, 8 000 UI).</w:t>
      </w:r>
    </w:p>
    <w:p>
      <w:r/>
      <w:r>
        <w:rPr>
          <w:b/>
        </w:rPr>
        <w:t>Dosage 2 000 UI (0,2 mL) :</w:t>
      </w:r>
      <w:r/>
    </w:p>
    <w:p>
      <w:pPr>
        <w:pStyle w:val="ListBullet"/>
      </w:pPr>
      <w:r/>
      <w:r>
        <w:rPr>
          <w:b/>
        </w:rPr>
        <w:t>LOMOH-20</w:t>
      </w:r>
      <w:r>
        <w:t xml:space="preserve"> (EMCURE PHARMACEUTICALS LTD) — Solution injectable SC et IV en seringue pré-remplie, B/1 seringue de 0,2 mL. Statut : Actif</w:t>
      </w:r>
    </w:p>
    <w:p>
      <w:pPr>
        <w:pStyle w:val="ListBullet"/>
      </w:pPr>
      <w:r/>
      <w:r>
        <w:rPr>
          <w:b/>
        </w:rPr>
        <w:t>LOVENOX</w:t>
      </w:r>
      <w:r>
        <w:t xml:space="preserve"> (SANOFI AVENTIS FRANCE) — Solution injectable SC et IV en seringue pré-remplie, B/02 et B/6 seringues de 0,2 mL (avec système de sécurité). Statut : Actif</w:t>
      </w:r>
    </w:p>
    <w:p>
      <w:pPr>
        <w:pStyle w:val="ListBullet"/>
      </w:pPr>
      <w:r/>
      <w:r>
        <w:rPr>
          <w:b/>
        </w:rPr>
        <w:t>THERANOX</w:t>
      </w:r>
      <w:r>
        <w:t xml:space="preserve"> (BIOTHERA) — Solution injectable SC et IV en seringue pré-remplie, B/02 seringues. Statut : Actif</w:t>
      </w:r>
    </w:p>
    <w:p>
      <w:pPr>
        <w:pStyle w:val="ListBullet"/>
      </w:pPr>
      <w:r/>
      <w:r>
        <w:rPr>
          <w:b/>
        </w:rPr>
        <w:t>VARENOX</w:t>
      </w:r>
      <w:r>
        <w:t xml:space="preserve"> (LES LABORATOIRES FRATER RAZES) — Solution injectable SC et IV en seringue pré-remplie, B/02 seringues. Statut : Actif</w:t>
      </w:r>
    </w:p>
    <w:p>
      <w:r/>
      <w:r>
        <w:rPr>
          <w:b/>
        </w:rPr>
        <w:t>Dosage 4 000 UI (0,4 mL) :</w:t>
      </w:r>
      <w:r/>
    </w:p>
    <w:p>
      <w:pPr>
        <w:pStyle w:val="ListBullet"/>
      </w:pPr>
      <w:r/>
      <w:r>
        <w:rPr>
          <w:b/>
        </w:rPr>
        <w:t>LOMOH-40</w:t>
      </w:r>
      <w:r>
        <w:t xml:space="preserve"> (EMCURE PHARMACEUTICALS LTD) — B/1 seringue de 0,4 mL. Statut : Actif</w:t>
      </w:r>
    </w:p>
    <w:p>
      <w:pPr>
        <w:pStyle w:val="ListBullet"/>
      </w:pPr>
      <w:r/>
      <w:r>
        <w:rPr>
          <w:b/>
        </w:rPr>
        <w:t>LOVENOX</w:t>
      </w:r>
      <w:r>
        <w:t xml:space="preserve"> (SANOFI AVENTIS FRANCE) — B/02 et B/6 seringues de 0,4 mL (avec système de sécurité). Statut : Actif</w:t>
      </w:r>
    </w:p>
    <w:p>
      <w:pPr>
        <w:pStyle w:val="ListBullet"/>
      </w:pPr>
      <w:r/>
      <w:r>
        <w:rPr>
          <w:b/>
        </w:rPr>
        <w:t>THERANOX</w:t>
      </w:r>
      <w:r>
        <w:t xml:space="preserve"> (BIOTHERA) — B/02 seringues. Statut : Actif</w:t>
      </w:r>
    </w:p>
    <w:p>
      <w:pPr>
        <w:pStyle w:val="ListBullet"/>
      </w:pPr>
      <w:r/>
      <w:r>
        <w:rPr>
          <w:b/>
        </w:rPr>
        <w:t>VARENOX</w:t>
      </w:r>
      <w:r>
        <w:t xml:space="preserve"> (LES LABORATOIRES FRATER RAZES) — B/02 seringues. Statut : Actif</w:t>
      </w:r>
    </w:p>
    <w:p>
      <w:r/>
      <w:r>
        <w:rPr>
          <w:b/>
        </w:rPr>
        <w:t>Dosage 6 000 UI (0,6 mL) :</w:t>
      </w:r>
      <w:r/>
    </w:p>
    <w:p>
      <w:pPr>
        <w:pStyle w:val="ListBullet"/>
      </w:pPr>
      <w:r/>
      <w:r>
        <w:rPr>
          <w:b/>
        </w:rPr>
        <w:t>LOMOH-60</w:t>
      </w:r>
      <w:r>
        <w:t xml:space="preserve"> (EMCURE PHARMACEUTICALS LTD) — B/1 seringue de 0,6 mL. Statut : Actif</w:t>
      </w:r>
    </w:p>
    <w:p>
      <w:pPr>
        <w:pStyle w:val="ListBullet"/>
      </w:pPr>
      <w:r/>
      <w:r>
        <w:rPr>
          <w:b/>
        </w:rPr>
        <w:t>LOVENOX</w:t>
      </w:r>
      <w:r>
        <w:t xml:space="preserve"> (SANOFI AVENTIS FRANCE) — B/02 et B/10 seringues de 0,6 mL (avec système de sécurité). Statut : Actif</w:t>
      </w:r>
    </w:p>
    <w:p>
      <w:pPr>
        <w:pStyle w:val="ListBullet"/>
      </w:pPr>
      <w:r/>
      <w:r>
        <w:rPr>
          <w:b/>
        </w:rPr>
        <w:t>THERANOX</w:t>
      </w:r>
      <w:r>
        <w:t xml:space="preserve"> (BIOTHERA) — B/02 seringues. Statut : Actif</w:t>
      </w:r>
    </w:p>
    <w:p>
      <w:pPr>
        <w:pStyle w:val="ListBullet"/>
      </w:pPr>
      <w:r/>
      <w:r>
        <w:rPr>
          <w:b/>
        </w:rPr>
        <w:t>VARENOX</w:t>
      </w:r>
      <w:r>
        <w:t xml:space="preserve"> (LES LABORATOIRES FRATER RAZES) — B/02 seringues. Statut : Actif</w:t>
      </w:r>
    </w:p>
    <w:p>
      <w:r/>
      <w:r>
        <w:rPr>
          <w:b/>
        </w:rPr>
        <w:t>Dosage 8 000 UI (0,8 mL) :</w:t>
      </w:r>
      <w:r/>
    </w:p>
    <w:p>
      <w:pPr>
        <w:pStyle w:val="ListBullet"/>
      </w:pPr>
      <w:r/>
      <w:r>
        <w:rPr>
          <w:b/>
        </w:rPr>
        <w:t>LOMOH-80</w:t>
      </w:r>
      <w:r>
        <w:t xml:space="preserve"> (EMCURE PHARMACEUTICALS LTD) — B/1 seringue de 0,8 mL. Statut : Actif</w:t>
      </w:r>
    </w:p>
    <w:p>
      <w:pPr>
        <w:pStyle w:val="ListBullet"/>
      </w:pPr>
      <w:r/>
      <w:r>
        <w:rPr>
          <w:b/>
        </w:rPr>
        <w:t>LOVENOX</w:t>
      </w:r>
      <w:r>
        <w:t xml:space="preserve"> (SANOFI AVENTIS FRANCE) — B/02 et B/10 seringues de 0,8 mL (avec système de sécurité). Statut : Actif</w:t>
      </w:r>
    </w:p>
    <w:p>
      <w:pPr>
        <w:pStyle w:val="ListBullet"/>
      </w:pPr>
      <w:r/>
      <w:r>
        <w:rPr>
          <w:b/>
        </w:rPr>
        <w:t>THERANOX</w:t>
      </w:r>
      <w:r>
        <w:t xml:space="preserve"> (BIOTHERA) — B/02 seringues. Statut : Actif</w:t>
      </w:r>
    </w:p>
    <w:p>
      <w:pPr>
        <w:pStyle w:val="ListBullet"/>
      </w:pPr>
      <w:r/>
      <w:r>
        <w:rPr>
          <w:b/>
        </w:rPr>
        <w:t>VARENOX</w:t>
      </w:r>
      <w:r>
        <w:t xml:space="preserve"> (LES LABORATOIRES FRATER RAZES) — B/02 seringues. Statut : Actif</w:t>
      </w:r>
    </w:p>
    <w:p>
      <w:r/>
      <w:r>
        <w:rPr>
          <w:b/>
        </w:rPr>
        <w:t>Dosage 10 000 UI/mL (multi-dose, concentration curative forte) :</w:t>
      </w:r>
      <w:r/>
    </w:p>
    <w:p>
      <w:pPr>
        <w:pStyle w:val="ListBullet"/>
      </w:pPr>
      <w:r/>
      <w:r>
        <w:rPr>
          <w:b/>
        </w:rPr>
        <w:t>LOVENOX</w:t>
      </w:r>
      <w:r>
        <w:t xml:space="preserve"> (SANOFI AVENTIS) — Solution injectable SC et IV en seringue pré-remplie 10 000 UI anti-Xa/mL (100 mg/mL), B/02 seringues de 1 mL (avec système de sécurité). Statut : </w:t>
      </w:r>
      <w:r>
        <w:rPr>
          <w:b/>
        </w:rPr>
        <w:t>Non Renouvelable</w:t>
      </w:r>
      <w:r>
        <w:t xml:space="preserve"> + </w:t>
      </w:r>
      <w:r>
        <w:rPr>
          <w:b/>
        </w:rPr>
        <w:t>Retrait (R)</w:t>
      </w:r>
      <w:r>
        <w:t xml:space="preserve"> (deux lignes correspondant aux deux statuts).</w:t>
      </w:r>
    </w:p>
    <w:p>
      <w:r>
        <w:t>À noter : les dosages 2 000 et 4 000 UI sont essentiellement prophylactiques, tandis que 6 000 et 8 000 UI sont curatifs (adaptés au poids). Le dosage 10 000 UI/mL (multi-dose) était utilisé pour les patients de poids élevé (&gt; 100 kg) ou pour l'adaptation posologique dans des pathologies lourdes. Le retrait du 10 000 UI/mL impose l'utilisation des dosages 6 000 et 8 000 UI en curatif, avec adaptation selon le poids du patient.</w:t>
      </w:r>
    </w:p>
    <w:p>
      <w:r/>
      <w:r>
        <w:rPr>
          <w:b/>
        </w:rPr>
        <w:t>Sous-classe et Mécanisme d'action :</w:t>
      </w:r>
      <w:r/>
    </w:p>
    <w:p>
      <w:pPr>
        <w:pStyle w:val="ListBullet"/>
      </w:pPr>
      <w:r/>
      <w:r>
        <w:rPr>
          <w:b/>
        </w:rPr>
        <w:t>Sous-classe :</w:t>
      </w:r>
      <w:r>
        <w:t xml:space="preserve"> Héparine de bas poids moléculaire (HBPM), anticoagulant parentéral, potentialisateur de l'antithrombine, action anti-Xa prédominante (ratio 3,2:1).</w:t>
      </w:r>
    </w:p>
    <w:p>
      <w:pPr>
        <w:pStyle w:val="ListBullet"/>
      </w:pPr>
      <w:r/>
      <w:r>
        <w:rPr>
          <w:b/>
        </w:rPr>
        <w:t>Mécanisme d'action :</w:t>
      </w:r>
      <w:r>
        <w:t xml:space="preserve"> L'enoxaparine se lie à l'</w:t>
      </w:r>
      <w:r>
        <w:rPr>
          <w:b/>
        </w:rPr>
        <w:t>antithrombine (AT)</w:t>
      </w:r>
      <w:r>
        <w:t xml:space="preserve"> par la séquence pentasaccharidique, induisant un changement conformationnel qui accélère l'inhibition du </w:t>
      </w:r>
      <w:r>
        <w:rPr>
          <w:b/>
        </w:rPr>
        <w:t>facteur Xa</w:t>
      </w:r>
      <w:r>
        <w:t xml:space="preserve"> (et accessoirement de la thrombine, en moindre proportion). L'inhibition du Xa, en amont de la thrombine, réduit la génération de thrombine sans abolir totalement la coagulation résiduelle. L'effet est </w:t>
      </w:r>
      <w:r>
        <w:rPr>
          <w:b/>
        </w:rPr>
        <w:t>prédictible et prolongé</w:t>
      </w:r>
      <w:r>
        <w:t xml:space="preserve"> (4–7 h) après une injection SC unique. L'enoxaparine n'inhibe pas l'agrégation plaquettaire, n'interagit pas avec le métabolisme de la vitamine K, et n'a pas d'effet direct sur la fibrinolyse.</w:t>
      </w:r>
    </w:p>
    <w:p>
      <w:r/>
      <w:r>
        <w:rPr>
          <w:b/>
        </w:rPr>
        <w:t>Profil Pharmacologique :</w:t>
      </w:r>
      <w:r/>
    </w:p>
    <w:p>
      <w:pPr>
        <w:pStyle w:val="ListBullet"/>
      </w:pPr>
      <w:r/>
      <w:r>
        <w:rPr>
          <w:b/>
        </w:rPr>
        <w:t>Indications :</w:t>
      </w:r>
      <w:r/>
    </w:p>
    <w:p>
      <w:pPr>
        <w:pStyle w:val="ListBullet"/>
      </w:pPr>
      <w:r/>
      <w:r>
        <w:rPr>
          <w:b/>
        </w:rPr>
        <w:t>Prophylaxie chirurgicale</w:t>
      </w:r>
      <w:r>
        <w:t xml:space="preserve"> : chirurgie orthopédique majeure (PTH, PTG, FEM) — 4 000 UI/j SC pendant 10–35 jours ; chirurgie générale à risque thrombotique élevé — 4 000 UI/j SC pendant 7–10 jours.</w:t>
      </w:r>
    </w:p>
    <w:p>
      <w:pPr>
        <w:pStyle w:val="ListBullet"/>
      </w:pPr>
      <w:r/>
      <w:r>
        <w:rPr>
          <w:b/>
        </w:rPr>
        <w:t>Prophylaxie médicale</w:t>
      </w:r>
      <w:r>
        <w:t xml:space="preserve"> : patient médical alité (IC, IR sévère, infection aiguë) — 4 000 UI/j SC pendant 6–14 jours.</w:t>
      </w:r>
    </w:p>
    <w:p>
      <w:pPr>
        <w:pStyle w:val="ListBullet"/>
      </w:pPr>
      <w:r/>
      <w:r>
        <w:rPr>
          <w:b/>
        </w:rPr>
        <w:t>Traitement curatif de la TVP et de l'EP</w:t>
      </w:r>
      <w:r>
        <w:t xml:space="preserve"> (avec ou sans relais AVK/AOD) — 100 UI anti-Xa/kg ×2/j ou 150 UI/kg ×1/j SC.</w:t>
      </w:r>
    </w:p>
    <w:p>
      <w:pPr>
        <w:pStyle w:val="ListBullet"/>
      </w:pPr>
      <w:r/>
      <w:r>
        <w:rPr>
          <w:b/>
        </w:rPr>
        <w:t>Syndrome coronarien aigu (SCA)</w:t>
      </w:r>
      <w:r>
        <w:t xml:space="preserve"> : IDM ST+ et non ST+ — 100 UI/kg ×2/j SC (réduit si ClCr &lt; 30) en association à l'aspirine et au clopidogrel.</w:t>
      </w:r>
    </w:p>
    <w:p>
      <w:pPr>
        <w:pStyle w:val="ListBullet"/>
      </w:pPr>
      <w:r/>
      <w:r>
        <w:rPr>
          <w:b/>
        </w:rPr>
        <w:t>Prévention thromboembolique en oncologie</w:t>
      </w:r>
      <w:r>
        <w:t xml:space="preserve"> (TVO) : patients cancéreux avec chimiothérapie à haut risque thrombotique — 4 000 UI/j pendant 6 mois (selon recommandations ITAC/ESMO).</w:t>
      </w:r>
    </w:p>
    <w:p>
      <w:pPr>
        <w:pStyle w:val="ListBullet"/>
      </w:pPr>
      <w:r/>
      <w:r>
        <w:rPr>
          <w:b/>
        </w:rPr>
        <w:t>Prévention de la TVP en chirurgie oncologique</w:t>
      </w:r>
      <w:r>
        <w:t xml:space="preserve"> — 4 000 UI/j pendant 7–10 jours, prolongation possible 4 semaines (cancer digestif, gynéco).</w:t>
      </w:r>
    </w:p>
    <w:p>
      <w:pPr>
        <w:pStyle w:val="ListBullet"/>
      </w:pPr>
      <w:r/>
      <w:r>
        <w:rPr>
          <w:b/>
        </w:rPr>
        <w:t>Grossesse à risque thrombotique</w:t>
      </w:r>
      <w:r>
        <w:t xml:space="preserve"> (déficits héréditaires, APS, antécédent de TVP) — dose prophylactique (4 000 UI/j) ou curative (100 UI/kg ×2/j) selon le risque.</w:t>
      </w:r>
    </w:p>
    <w:p>
      <w:pPr>
        <w:pStyle w:val="ListBullet"/>
      </w:pPr>
      <w:r/>
      <w:r>
        <w:rPr>
          <w:b/>
        </w:rPr>
        <w:t>Thrombophilie</w:t>
      </w:r>
      <w:r>
        <w:t xml:space="preserve"> : déficit en AT/protéine C/S (préférence HBPM pendant grossesse).</w:t>
      </w:r>
    </w:p>
    <w:p>
      <w:pPr>
        <w:pStyle w:val="ListBullet"/>
      </w:pPr>
      <w:r/>
      <w:r>
        <w:rPr>
          <w:b/>
        </w:rPr>
        <w:t>Relais curatif des AOD/AVK</w:t>
      </w:r>
      <w:r>
        <w:t xml:space="preserve"> en cas de chirurgie ou de complication hémorragique.</w:t>
      </w:r>
    </w:p>
    <w:p>
      <w:pPr>
        <w:pStyle w:val="ListBullet"/>
      </w:pPr>
      <w:r/>
      <w:r>
        <w:rPr>
          <w:b/>
        </w:rPr>
        <w:t>Contre-indications :</w:t>
      </w:r>
      <w:r>
        <w:t xml:space="preserve"> Hypersensibilité à l'enoxaparine ou aux HBPM ; </w:t>
      </w:r>
      <w:r>
        <w:rPr>
          <w:b/>
        </w:rPr>
        <w:t>TIH actuelle ou antérieure</w:t>
      </w:r>
      <w:r>
        <w:t xml:space="preserve"> (CI formelle à toute héparine) ; </w:t>
      </w:r>
      <w:r>
        <w:rPr>
          <w:b/>
        </w:rPr>
        <w:t>hémorragie active</w:t>
      </w:r>
      <w:r>
        <w:t xml:space="preserve"> non contrôlée ; </w:t>
      </w:r>
      <w:r>
        <w:rPr>
          <w:b/>
        </w:rPr>
        <w:t>insuffisance rénale sévère ClCr &lt; 30 mL/min</w:t>
      </w:r>
      <w:r>
        <w:t xml:space="preserve"> (en curatif — préférence HNF) ; </w:t>
      </w:r>
      <w:r>
        <w:rPr>
          <w:b/>
        </w:rPr>
        <w:t>endocardite infectieuse</w:t>
      </w:r>
      <w:r>
        <w:t xml:space="preserve"> (sauf valve mécanique) ; </w:t>
      </w:r>
      <w:r>
        <w:rPr>
          <w:b/>
        </w:rPr>
        <w:t>hypertension artérielle sévère non contrôlée</w:t>
      </w:r>
      <w:r>
        <w:t xml:space="preserve"> ; </w:t>
      </w:r>
      <w:r>
        <w:rPr>
          <w:b/>
        </w:rPr>
        <w:t>anévrysme cérébral</w:t>
      </w:r>
      <w:r>
        <w:t xml:space="preserve"> non opéré ; </w:t>
      </w:r>
      <w:r>
        <w:rPr>
          <w:b/>
        </w:rPr>
        <w:t>rétinopathie diabétique proliférative</w:t>
      </w:r>
      <w:r>
        <w:t xml:space="preserve"> ; </w:t>
      </w:r>
      <w:r>
        <w:rPr>
          <w:b/>
        </w:rPr>
        <w:t xml:space="preserve"> AVC ischémique récent &lt; 72 h</w:t>
      </w:r>
      <w:r>
        <w:t xml:space="preserve"> ; </w:t>
      </w:r>
      <w:r>
        <w:rPr>
          <w:b/>
        </w:rPr>
        <w:t>lésions organiques hémorragiques</w:t>
      </w:r>
      <w:r>
        <w:t xml:space="preserve"> (ulcère GD actif, varices œsophagiennes, hémorragie récente &lt; 2 semaines) ; </w:t>
      </w:r>
      <w:r>
        <w:rPr>
          <w:b/>
        </w:rPr>
        <w:t>poids &lt; 40 kg</w:t>
      </w:r>
      <w:r>
        <w:t xml:space="preserve"> (prophylaxie) ; </w:t>
      </w:r>
      <w:r>
        <w:rPr>
          <w:b/>
        </w:rPr>
        <w:t>allaitement</w:t>
      </w:r>
      <w:r>
        <w:t xml:space="preserve"> (faible passage, mais à évaluer selon contexte — généralement compatible selon CRAT, mais préférence pour l'HNF ou AVK si possible).</w:t>
      </w:r>
    </w:p>
    <w:p>
      <w:pPr>
        <w:pStyle w:val="ListBullet"/>
      </w:pPr>
      <w:r/>
      <w:r>
        <w:rPr>
          <w:b/>
        </w:rPr>
        <w:t>Effets Indésirables :</w:t>
      </w:r>
      <w:r/>
    </w:p>
    <w:p>
      <w:pPr>
        <w:pStyle w:val="ListBullet"/>
      </w:pPr>
      <w:r/>
      <w:r>
        <w:rPr>
          <w:b/>
        </w:rPr>
        <w:t>Hémorragies</w:t>
      </w:r>
      <w:r>
        <w:t xml:space="preserve"> : tous types (3–5 % en curatif, 1–2 % en prophylaxie). Surveillance si &gt; 100 kg ou &lt; 40 kg (adaptation), IR sévère (accumulation), sujet âgé fragile.</w:t>
      </w:r>
    </w:p>
    <w:p>
      <w:pPr>
        <w:pStyle w:val="ListBullet"/>
      </w:pPr>
      <w:r/>
      <w:r>
        <w:rPr>
          <w:b/>
        </w:rPr>
        <w:t>TIH (thrombopénie induite par l'héparine)</w:t>
      </w:r>
      <w:r>
        <w:t xml:space="preserve"> : rare (0,1–0,5 % sous HBPM vs 1–5 % sous HNF). Type II, entre J5 et J14 (ou plus précoce si exposition antérieure). Mécanisme IgG anti-PF4. Conduite : arrêt immédiat de toute héparine, switch pour argatroban/bivalirudine/danaparoïde. Surveillance plaquettaire 2×/semaine pendant 14 j.</w:t>
      </w:r>
    </w:p>
    <w:p>
      <w:pPr>
        <w:pStyle w:val="ListBullet"/>
      </w:pPr>
      <w:r/>
      <w:r>
        <w:rPr>
          <w:b/>
        </w:rPr>
        <w:t>Hématome au point d'injection</w:t>
      </w:r>
      <w:r>
        <w:t xml:space="preserve"> : fréquent (10–15 %), prévenu par la technique d'injection SC correcte.</w:t>
      </w:r>
    </w:p>
    <w:p>
      <w:pPr>
        <w:pStyle w:val="ListBullet"/>
      </w:pPr>
      <w:r/>
      <w:r>
        <w:rPr>
          <w:b/>
        </w:rPr>
        <w:t>Hyperkaliémie</w:t>
      </w:r>
      <w:r>
        <w:t xml:space="preserve"> (hypoaldostéronisme) : rare mais à surveiller en traitement prolongé.</w:t>
      </w:r>
    </w:p>
    <w:p>
      <w:pPr>
        <w:pStyle w:val="ListBullet"/>
      </w:pPr>
      <w:r/>
      <w:r>
        <w:rPr>
          <w:b/>
        </w:rPr>
        <w:t>Élévation des transaminases</w:t>
      </w:r>
      <w:r>
        <w:t xml:space="preserve"> (bénigne, transitoire).</w:t>
      </w:r>
    </w:p>
    <w:p>
      <w:pPr>
        <w:pStyle w:val="ListBullet"/>
      </w:pPr>
      <w:r/>
      <w:r>
        <w:rPr>
          <w:b/>
        </w:rPr>
        <w:t>Ostéoporose</w:t>
      </w:r>
      <w:r>
        <w:t xml:space="preserve"> au long cours (&gt; 3 mois) — moins marquée qu'avec l'HNF mais à considérer.</w:t>
      </w:r>
    </w:p>
    <w:p>
      <w:pPr>
        <w:pStyle w:val="ListBullet"/>
      </w:pPr>
      <w:r/>
      <w:r>
        <w:rPr>
          <w:b/>
        </w:rPr>
        <w:t>Réactions cutanées</w:t>
      </w:r>
      <w:r>
        <w:t xml:space="preserve"> : urticaire, prurit, rash, érythème au point d'injection.</w:t>
      </w:r>
    </w:p>
    <w:p>
      <w:pPr>
        <w:pStyle w:val="ListBullet"/>
      </w:pPr>
      <w:r/>
      <w:r>
        <w:rPr>
          <w:b/>
        </w:rPr>
        <w:t>Hypersensibilité</w:t>
      </w:r>
      <w:r>
        <w:t xml:space="preserve"> : rare anaphylaxie.</w:t>
      </w:r>
    </w:p>
    <w:p>
      <w:pPr>
        <w:pStyle w:val="ListBullet"/>
      </w:pPr>
      <w:r/>
      <w:r>
        <w:rPr>
          <w:b/>
        </w:rPr>
        <w:t>Priapisme</w:t>
      </w:r>
      <w:r>
        <w:t xml:space="preserve"> (très rare).</w:t>
      </w:r>
    </w:p>
    <w:p>
      <w:r/>
      <w:r>
        <w:rPr>
          <w:b/>
        </w:rPr>
        <w:t>Prévention et Gestion des Effets Indésirables :</w:t>
      </w:r>
      <w:r/>
    </w:p>
    <w:p>
      <w:pPr>
        <w:pStyle w:val="ListBullet"/>
      </w:pPr>
      <w:r/>
      <w:r>
        <w:rPr>
          <w:b/>
        </w:rPr>
        <w:t>Mesures Préventives :</w:t>
      </w:r>
      <w:r>
        <w:t xml:space="preserve"> (i) Bilan pré-thérapeutique : NFS, plaquettes, TP/TCA, créatininémie, kaliémie. (ii) </w:t>
      </w:r>
      <w:r>
        <w:rPr>
          <w:b/>
        </w:rPr>
        <w:t>Surveillance plaquettaire 2×/semaine pendant 14 j</w:t>
      </w:r>
      <w:r>
        <w:t xml:space="preserve"> (ou jusqu'à arrêt si &lt; 14 j) pour TIH. (iii) Surveillance kaliémie à 7 j puis 1×/semaine si traitement prolongé. (iv) </w:t>
      </w:r>
      <w:r>
        <w:rPr>
          <w:b/>
        </w:rPr>
        <w:t>Adaptation posologique selon le poids</w:t>
      </w:r>
      <w:r>
        <w:t xml:space="preserve"> : 100 UI/kg ×2/j en curatif (ne pas dépasser 10 000 UI par injection) ; 4 000 UI/j en prophylaxie (sauf obèse &gt; 100 kg : 6 000 UI/j ou schéma b.i.d.). (v) </w:t>
      </w:r>
      <w:r>
        <w:rPr>
          <w:b/>
        </w:rPr>
        <w:t>Adaptation selon ClCr</w:t>
      </w:r>
      <w:r>
        <w:t xml:space="preserve"> : si ClCr &lt; 30 mL/min en curatif → switch pour HNF (préférable) ou enoxaparine 100 UI/kg ×1/j (au lieu de ×2/j) ; si 30 ≤ ClCr ≤ 60 mL/min en curatif → 100 UI/kg ×1/j ; en prophylaxie, pas d'adaptation si ClCr ≥ 30 mL/min. (vi) Technique d'injection SC correcte (voir Instructions au patient) pour prévenir les hématomes.</w:t>
      </w:r>
    </w:p>
    <w:p>
      <w:pPr>
        <w:pStyle w:val="ListBullet"/>
      </w:pPr>
      <w:r/>
      <w:r>
        <w:rPr>
          <w:b/>
        </w:rPr>
        <w:t>Conduite à Tenir :</w:t>
      </w:r>
      <w:r/>
    </w:p>
    <w:p>
      <w:pPr>
        <w:pStyle w:val="ListBullet"/>
      </w:pPr>
      <w:r/>
      <w:r>
        <w:rPr>
          <w:b/>
        </w:rPr>
        <w:t>Hémorragie mineure</w:t>
      </w:r>
      <w:r>
        <w:t xml:space="preserve"> : pas de modification, surveillance clinique.</w:t>
      </w:r>
    </w:p>
    <w:p>
      <w:pPr>
        <w:pStyle w:val="ListBullet"/>
      </w:pPr>
      <w:r/>
      <w:r>
        <w:rPr>
          <w:b/>
        </w:rPr>
        <w:t>Hémorragie modérée</w:t>
      </w:r>
      <w:r>
        <w:t xml:space="preserve"> : retarder la dose suivante, évaluation médicale.</w:t>
      </w:r>
    </w:p>
    <w:p>
      <w:pPr>
        <w:pStyle w:val="ListBullet"/>
      </w:pPr>
      <w:r/>
      <w:r>
        <w:rPr>
          <w:b/>
        </w:rPr>
        <w:t>Hémorragie majeure</w:t>
      </w:r>
      <w:r>
        <w:t xml:space="preserve"> : arrêt immédiat, </w:t>
      </w:r>
      <w:r>
        <w:rPr>
          <w:b/>
        </w:rPr>
        <w:t>sulfate de protamine IV</w:t>
      </w:r>
      <w:r>
        <w:t xml:space="preserve"> (1 mg pour 100 UI d'enoxaparine, injection lente IV) ; neutralisation ~60 % (en raison de la demi-vie plus longue, répéter à 50 % de la dose initiale à 3–4 h). Réanimation (CGR, PFC) si besoin. Dialyse inefficace (PM trop élevé).</w:t>
      </w:r>
    </w:p>
    <w:p>
      <w:pPr>
        <w:pStyle w:val="ListBullet"/>
      </w:pPr>
      <w:r/>
      <w:r>
        <w:rPr>
          <w:b/>
        </w:rPr>
        <w:t>TIH suspectée</w:t>
      </w:r>
      <w:r>
        <w:t xml:space="preserve"> (baisse plaquettes &gt; 50 % ou thrombose nouvelle) : arrêt immédiat et définitif de toute héparine, switch pour argatroban, bivalirudine ou danaparoïde. Dosage anti-PF4. Contre-indication à vie de toute héparine (HNF + HBPM).</w:t>
      </w:r>
    </w:p>
    <w:p>
      <w:pPr>
        <w:pStyle w:val="ListBullet"/>
      </w:pPr>
      <w:r/>
      <w:r>
        <w:rPr>
          <w:b/>
        </w:rPr>
        <w:t>Hématome au point d'injection</w:t>
      </w:r>
      <w:r>
        <w:t xml:space="preserve"> : vérifier la technique (angle 90°, ne pas masser, rotation des sites, pincer le pli cutané).</w:t>
      </w:r>
    </w:p>
    <w:p>
      <w:r/>
      <w:r>
        <w:rPr>
          <w:b/>
        </w:rPr>
        <w:t>Interactions Importantes :</w:t>
      </w:r>
      <w:r/>
    </w:p>
    <w:p>
      <w:pPr>
        <w:pStyle w:val="ListBullet"/>
      </w:pPr>
      <w:r/>
      <w:r>
        <w:rPr>
          <w:b/>
        </w:rPr>
        <w:t>Enoxaparine + AINS / Aspirine</w:t>
      </w:r>
      <w:r>
        <w:t xml:space="preserve"> : majoration hémorragique. Éviter en prophylaxie ; surveillance étroite en curatif si association indispensable (SCA).</w:t>
      </w:r>
    </w:p>
    <w:p>
      <w:pPr>
        <w:pStyle w:val="ListBullet"/>
      </w:pPr>
      <w:r/>
      <w:r>
        <w:rPr>
          <w:b/>
        </w:rPr>
        <w:t>Enoxaparine + Clopidogrel / Ticagrelor / Prasugrel</w:t>
      </w:r>
      <w:r>
        <w:t xml:space="preserve"> : triple thérapie en SCA — risque hémorragique majeur, mais indiqué.</w:t>
      </w:r>
    </w:p>
    <w:p>
      <w:pPr>
        <w:pStyle w:val="ListBullet"/>
      </w:pPr>
      <w:r/>
      <w:r>
        <w:rPr>
          <w:b/>
        </w:rPr>
        <w:t>Enoxaparine + Anticoagulants oraux (AVK, AOD)</w:t>
      </w:r>
      <w:r>
        <w:t xml:space="preserve"> : chevauchement en relais — surveillance clinique et biologique.</w:t>
      </w:r>
    </w:p>
    <w:p>
      <w:pPr>
        <w:pStyle w:val="ListBullet"/>
      </w:pPr>
      <w:r/>
      <w:r>
        <w:rPr>
          <w:b/>
        </w:rPr>
        <w:t>Enoxaparine + Dextran</w:t>
      </w:r>
      <w:r>
        <w:t xml:space="preserve"> : majoration.</w:t>
      </w:r>
    </w:p>
    <w:p>
      <w:pPr>
        <w:pStyle w:val="ListBullet"/>
      </w:pPr>
      <w:r/>
      <w:r>
        <w:rPr>
          <w:b/>
        </w:rPr>
        <w:t>Enoxaparine + GP IIb/IIIa inhibitors (abciximab, eptifibatide, tirofiban)</w:t>
      </w:r>
      <w:r>
        <w:t xml:space="preserve"> : en angioplastie — risque hémorragique +++.</w:t>
      </w:r>
    </w:p>
    <w:p>
      <w:pPr>
        <w:pStyle w:val="ListBullet"/>
      </w:pPr>
      <w:r/>
      <w:r>
        <w:rPr>
          <w:b/>
        </w:rPr>
        <w:t>Enoxaparine + Héparine sodique</w:t>
      </w:r>
      <w:r>
        <w:t xml:space="preserve"> : ne pas mélanger (substitution possible avec chevauchement bref).</w:t>
      </w:r>
    </w:p>
    <w:p>
      <w:r/>
      <w:r>
        <w:rPr>
          <w:b/>
        </w:rPr>
        <w:t>Grossesse et Allaitement :</w:t>
      </w:r>
      <w:r/>
    </w:p>
    <w:p>
      <w:pPr>
        <w:pStyle w:val="ListBullet"/>
      </w:pPr>
      <w:r/>
      <w:r>
        <w:rPr>
          <w:b/>
        </w:rPr>
        <w:t>Grossesse :</w:t>
      </w:r>
      <w:r>
        <w:t xml:space="preserve"> </w:t>
      </w:r>
      <w:r>
        <w:rPr>
          <w:b/>
        </w:rPr>
        <w:t>Anticoagulant de choix au 2e et 3e trimestre</w:t>
      </w:r>
      <w:r>
        <w:t xml:space="preserve"> (CRAT). L'enoxaparine ne traverse pas le placenta (PM élevé, charge négative, fixation protéique) → sans risque fœtal. Indications : prophylaxie et traitement de la TVP/EP pendant la grossesse, valve mécanique (avec surveillance rapprochée, taux anti-Xa cible 0,8–1,2 UI/mL en valve), syndrome des antiphospholipides (APS), thrombophilie héréditaire (déficit en AT, protéine C/S, facteur V Leiden homozygote), fausses couches récidivantes (APS), prévention dans le post-partum (6 semaines). </w:t>
      </w:r>
      <w:r>
        <w:rPr>
          <w:b/>
        </w:rPr>
        <w:t>Dose prophylactique 4 000 UI/j ; dose intermédiaire 100 UI/kg/j ; dose curative 100 UI/kg ×2/j.</w:t>
      </w:r>
      <w:r>
        <w:t xml:space="preserve"> Surveillance par anti-Xa à 4 h après injection en dose curative (cible 0,5–1,0 UI/mL). Pas de passage transplacentaire, pas de risque tératogène. Alternative à l'HNF au 1er trimestre (le CRAT considère l'enoxaparine comme compatible dès le 1er trimestre).</w:t>
      </w:r>
    </w:p>
    <w:p>
      <w:pPr>
        <w:pStyle w:val="ListBullet"/>
      </w:pPr>
      <w:r/>
      <w:r>
        <w:rPr>
          <w:b/>
        </w:rPr>
        <w:t>Allaitement :</w:t>
      </w:r>
      <w:r>
        <w:t xml:space="preserve"> </w:t>
      </w:r>
      <w:r>
        <w:rPr>
          <w:b/>
        </w:rPr>
        <w:t>Compatible</w:t>
      </w:r>
      <w:r>
        <w:t xml:space="preserve"> (CRAT). L'enoxaparine ne passe pas dans le lait maternel (PM élevé, dégradation digestive). L'allaitement est autorisé sans surveillance particulière de l'enfant.</w:t>
      </w:r>
    </w:p>
    <w:p>
      <w:pPr>
        <w:pStyle w:val="ListBullet"/>
      </w:pPr>
      <w:r/>
      <w:r>
        <w:rPr>
          <w:b/>
        </w:rPr>
        <w:t>Précisions :</w:t>
      </w:r>
      <w:r>
        <w:t xml:space="preserve"> En cas d'anesthésie loco-régionale (ALR) péridurale/rachianesthésie : délai entre la dernière dose prophylactique d'enoxaparine et la pose du cathéter = 12 h ; entre dose curative et pose = 24 h ; délai entre le retrait du cathéter et la reprise d'enoxaparine = 4 h (pour prophylaxie) à 6 h (curatif). Respect strict des fenêtres thérapeutiques.</w:t>
      </w:r>
    </w:p>
    <w:p>
      <w:r/>
      <w:r>
        <w:rPr>
          <w:b/>
        </w:rPr>
        <w:t>Posologie et Mode d'administration (Standard) :</w:t>
      </w:r>
      <w:r/>
    </w:p>
    <w:p>
      <w:pPr>
        <w:pStyle w:val="ListBullet"/>
      </w:pPr>
      <w:r/>
      <w:r>
        <w:rPr>
          <w:b/>
        </w:rPr>
        <w:t>Adulte prophylaxie chirurgicale orthopédique</w:t>
      </w:r>
      <w:r>
        <w:t xml:space="preserve"> (PTH, PTG, FEM) : </w:t>
      </w:r>
      <w:r>
        <w:rPr>
          <w:b/>
        </w:rPr>
        <w:t>4 000 UI SC ×1/j</w:t>
      </w:r>
      <w:r>
        <w:t xml:space="preserve"> (0,4 mL), début 12 h avant chirurgie ou 12–24 h après, pendant 35 jours (PTH) ou 10–14 jours (PTG).</w:t>
      </w:r>
    </w:p>
    <w:p>
      <w:pPr>
        <w:pStyle w:val="ListBullet"/>
      </w:pPr>
      <w:r/>
      <w:r>
        <w:rPr>
          <w:b/>
        </w:rPr>
        <w:t>Adulte prophylaxie chirurgicale générale</w:t>
      </w:r>
      <w:r>
        <w:t xml:space="preserve"> : 4 000 UI SC ×1/j pendant 7–10 jours, début 2 h avant chirurgie.</w:t>
      </w:r>
    </w:p>
    <w:p>
      <w:pPr>
        <w:pStyle w:val="ListBullet"/>
      </w:pPr>
      <w:r/>
      <w:r>
        <w:rPr>
          <w:b/>
        </w:rPr>
        <w:t>Adulte prophylaxie médicale</w:t>
      </w:r>
      <w:r>
        <w:t xml:space="preserve"> (patient alité) : 4 000 UI SC ×1/j pendant 6–14 jours.</w:t>
      </w:r>
    </w:p>
    <w:p>
      <w:pPr>
        <w:pStyle w:val="ListBullet"/>
      </w:pPr>
      <w:r/>
      <w:r>
        <w:rPr>
          <w:b/>
        </w:rPr>
        <w:t>Adulte prophylaxie oncologie</w:t>
      </w:r>
      <w:r>
        <w:t xml:space="preserve"> : 4 000 UI/j pendant 3–6 mois.</w:t>
      </w:r>
    </w:p>
    <w:p>
      <w:pPr>
        <w:pStyle w:val="ListBullet"/>
      </w:pPr>
      <w:r/>
      <w:r>
        <w:rPr>
          <w:b/>
        </w:rPr>
        <w:t>Adulte traitement curatif TVP/EP</w:t>
      </w:r>
      <w:r>
        <w:t xml:space="preserve"> : </w:t>
      </w:r>
      <w:r>
        <w:rPr>
          <w:b/>
        </w:rPr>
        <w:t>100 UI anti-Xa/kg ×2/j</w:t>
      </w:r>
      <w:r>
        <w:t xml:space="preserve"> (soit 1 mg/kg ×2/j) SC ; ou </w:t>
      </w:r>
      <w:r>
        <w:rPr>
          <w:b/>
        </w:rPr>
        <w:t>150 UI/kg ×1/j</w:t>
      </w:r>
      <w:r>
        <w:t xml:space="preserve"> (1,5 mg/kg) SC en ambulatoire pour TVP simple sans EP. Durée 5–10 jours avec relais AVK/AOD, puis 3–6 mois ou au long cours selon étiologie.</w:t>
      </w:r>
    </w:p>
    <w:p>
      <w:pPr>
        <w:pStyle w:val="ListBullet"/>
      </w:pPr>
      <w:r/>
      <w:r>
        <w:rPr>
          <w:b/>
        </w:rPr>
        <w:t>Adulte SCA</w:t>
      </w:r>
      <w:r>
        <w:t xml:space="preserve"> : 100 UI/kg ×2/j SC, en association à l'aspirine et au clopidogrel, pendant la durée de l'hospitalisation (typiquement 5–8 jours).</w:t>
      </w:r>
    </w:p>
    <w:p>
      <w:pPr>
        <w:pStyle w:val="ListBullet"/>
      </w:pPr>
      <w:r/>
      <w:r>
        <w:rPr>
          <w:b/>
        </w:rPr>
        <w:t>Sujet âgé ≥ 75 ans (SCA)</w:t>
      </w:r>
      <w:r>
        <w:t xml:space="preserve"> : 0,75 mg/kg ×2/j (sans bolus initial).</w:t>
      </w:r>
    </w:p>
    <w:p>
      <w:pPr>
        <w:pStyle w:val="ListBullet"/>
      </w:pPr>
      <w:r/>
      <w:r>
        <w:rPr>
          <w:b/>
        </w:rPr>
        <w:t>Insuffisance rénale</w:t>
      </w:r>
      <w:r>
        <w:t xml:space="preserve"> :</w:t>
      </w:r>
    </w:p>
    <w:p>
      <w:pPr>
        <w:pStyle w:val="ListBullet"/>
      </w:pPr>
      <w:r>
        <w:t>ClCr ≥ 30 mL/min : pas d'adaptation en prophylaxie ; en curatif (TVP/EP, SCA) → 100 UI/kg ×2/j (ou 1 mg/kg ×2/j).</w:t>
      </w:r>
    </w:p>
    <w:p>
      <w:pPr>
        <w:pStyle w:val="ListBullet"/>
      </w:pPr>
      <w:r>
        <w:t>ClCr 15–30 mL/min : en prophylaxie → 4 000 UI ×1/j (inchangé, surveillance) ; en curatif (TVP/EP) → 100 UI/kg ×1/j ; en SCA → 1 mg/kg ×1/j.</w:t>
      </w:r>
    </w:p>
    <w:p>
      <w:pPr>
        <w:pStyle w:val="ListBullet"/>
      </w:pPr>
      <w:r>
        <w:t>ClCr &lt; 15 mL/min : contre-indication en curatif (préférence HNF) ; en prophylaxie → HNF 5 000 UI ×2/j SC.</w:t>
      </w:r>
    </w:p>
    <w:p>
      <w:pPr>
        <w:pStyle w:val="ListBullet"/>
      </w:pPr>
      <w:r/>
      <w:r>
        <w:rPr>
          <w:b/>
        </w:rPr>
        <w:t>Obèse IMC &gt; 40 ou poids &gt; 120 kg (prophylaxie)</w:t>
      </w:r>
      <w:r>
        <w:t xml:space="preserve"> : 6 000 UI ×2/j ou 100 UI/kg ×2/j (selon protocole), avec surveillance anti-Xa (cible 0,2–0,5 UI/mL).</w:t>
      </w:r>
    </w:p>
    <w:p>
      <w:pPr>
        <w:pStyle w:val="ListBullet"/>
      </w:pPr>
      <w:r/>
      <w:r>
        <w:rPr>
          <w:b/>
        </w:rPr>
        <w:t>Poids &lt; 40 kg (prophylaxie)</w:t>
      </w:r>
      <w:r>
        <w:t xml:space="preserve"> : 2 000 UI ×1/j.</w:t>
      </w:r>
    </w:p>
    <w:p>
      <w:pPr>
        <w:pStyle w:val="ListBullet"/>
      </w:pPr>
      <w:r/>
      <w:r>
        <w:rPr>
          <w:b/>
        </w:rPr>
        <w:t>Durée :</w:t>
      </w:r>
      <w:r>
        <w:t xml:space="preserve"> Selon indication — orthopédique 10–35 jours, médicale 6–14 jours, oncologique 3–6 mois, TVP/EP 5–10 jours (relais AVK/AOD) puis 3–6 mois, SCA 5–8 jours.</w:t>
      </w:r>
    </w:p>
    <w:p>
      <w:pPr>
        <w:pStyle w:val="ListBullet"/>
      </w:pPr>
      <w:r/>
      <w:r>
        <w:rPr>
          <w:b/>
        </w:rPr>
        <w:t>Moment de prise</w:t>
      </w:r>
      <w:r>
        <w:t xml:space="preserve"> : SC à heure fixe (matin ou soir selon protocole), espacement de 12 h pour les schémas ×2/j.</w:t>
      </w:r>
    </w:p>
    <w:p>
      <w:r/>
      <w:r>
        <w:rPr>
          <w:b/>
        </w:rPr>
        <w:t>Arbitrage et Bénéfices des Formes Galéniques :</w:t>
      </w:r>
      <w:r/>
    </w:p>
    <w:p>
      <w:r>
        <w:t xml:space="preserve">L'enoxaparine est disponible exclusivement en </w:t>
      </w:r>
      <w:r>
        <w:rPr>
          <w:b/>
        </w:rPr>
        <w:t>seringues pré-remplies</w:t>
      </w:r>
      <w:r>
        <w:t xml:space="preserve"> avec système de sécurité de l'aiguille (retrait automatique après injection). Cette forme galénique présente plusieurs avantages :</w:t>
      </w:r>
    </w:p>
    <w:p>
      <w:pPr>
        <w:pStyle w:val="ListBullet"/>
      </w:pPr>
      <w:r/>
      <w:r>
        <w:rPr>
          <w:b/>
        </w:rPr>
        <w:t>Sécurité</w:t>
      </w:r>
      <w:r>
        <w:t xml:space="preserve"> : système de sécurité pour le manipulateur (personnel soignant et patient) — prévention des accidents d'exposition au sang (AES).</w:t>
      </w:r>
    </w:p>
    <w:p>
      <w:pPr>
        <w:pStyle w:val="ListBullet"/>
      </w:pPr>
      <w:r/>
      <w:r>
        <w:rPr>
          <w:b/>
        </w:rPr>
        <w:t>Précision</w:t>
      </w:r>
      <w:r>
        <w:t xml:space="preserve"> : dosage exact (pas de manipulation d'ampoule).</w:t>
      </w:r>
    </w:p>
    <w:p>
      <w:pPr>
        <w:pStyle w:val="ListBullet"/>
      </w:pPr>
      <w:r/>
      <w:r>
        <w:rPr>
          <w:b/>
        </w:rPr>
        <w:t>Praticité</w:t>
      </w:r>
      <w:r>
        <w:t xml:space="preserve"> : pas de préparation, injection directe après désinfection.</w:t>
      </w:r>
    </w:p>
    <w:p>
      <w:pPr>
        <w:pStyle w:val="ListBullet"/>
      </w:pPr>
      <w:r/>
      <w:r>
        <w:rPr>
          <w:b/>
        </w:rPr>
        <w:t>Multiplicité des dosages</w:t>
      </w:r>
      <w:r>
        <w:t xml:space="preserve"> (2 000, 4 000, 6 000, 8 000 UI) permettant une adaptation au poids et à l'indication sans manipulation hasardeuse.</w:t>
      </w:r>
    </w:p>
    <w:p>
      <w:pPr>
        <w:pStyle w:val="ListBullet"/>
      </w:pPr>
      <w:r>
        <w:t>Le dosage 10 000 UI/mL (multi-dose) historique est retiré, ce qui impose l'utilisation des dosages 6 000 et 8 000 UI pour les patients lourds (avec schéma ×2/j pour atteindre la dose totale curative).</w:t>
      </w:r>
    </w:p>
    <w:p>
      <w:pPr>
        <w:pStyle w:val="ListBullet"/>
      </w:pPr>
      <w:r>
        <w:t xml:space="preserve">La seringue pré-remplie est </w:t>
      </w:r>
      <w:r>
        <w:rPr>
          <w:b/>
        </w:rPr>
        <w:t>prête à l'emploi</w:t>
      </w:r>
      <w:r>
        <w:t xml:space="preserve"> : il suffit de retirer la capsule protectrice et d'injecter. Ne pas purger la bulle d'air (elle est destinée à faire passer tout le produit dans le tissu SC et éviter la perte de dose).</w:t>
      </w:r>
    </w:p>
    <w:p>
      <w:pPr>
        <w:pStyle w:val="ListBullet"/>
      </w:pPr>
      <w:r>
        <w:t>La conservation se fait à température ambiante (&lt; 25 °C) à l'abri de la lumière ; ne pas congeler.</w:t>
      </w:r>
    </w:p>
    <w:p>
      <w:r/>
      <w:r>
        <w:rPr>
          <w:b/>
        </w:rPr>
        <w:t>Instructions et Conseils au Patient :</w:t>
      </w:r>
      <w:r/>
    </w:p>
    <w:p>
      <w:pPr>
        <w:pStyle w:val="ListBullet"/>
      </w:pPr>
      <w:r/>
      <w:r>
        <w:rPr>
          <w:b/>
        </w:rPr>
        <w:t>Communication au comptoir :</w:t>
      </w:r>
      <w:r>
        <w:t xml:space="preserve"> "Ce traitement est un anticoagulant injectable sous-cutané (sous la peau), généralement une à deux fois par jour. Il fluidifie le sang pour éviter la formation de caillots. Il s'utilise en auto-injection après formation. Pas de prise de sang systématique (sauf cas particuliers)."</w:t>
      </w:r>
    </w:p>
    <w:p>
      <w:pPr>
        <w:pStyle w:val="ListBullet"/>
      </w:pPr>
      <w:r/>
      <w:r>
        <w:rPr>
          <w:b/>
        </w:rPr>
        <w:t>Mode d'utilisation pratique (technique d'injection SC) :</w:t>
      </w:r>
      <w:r/>
    </w:p>
    <w:p>
      <w:pPr>
        <w:pStyle w:val="ListNumber"/>
      </w:pPr>
      <w:r>
        <w:t>Se laver les mains, désinfecter le site d'injection (compresses alcoolisées).</w:t>
      </w:r>
    </w:p>
    <w:p>
      <w:pPr>
        <w:pStyle w:val="ListNumber"/>
      </w:pPr>
      <w:r>
        <w:t>Choisir un site d'injection : alternance entre abdomen (à au moins 5 cm de l'ombilic), cuisse antéro-externe, bras (tiers moyen externe).</w:t>
      </w:r>
    </w:p>
    <w:p>
      <w:pPr>
        <w:pStyle w:val="ListNumber"/>
      </w:pPr>
      <w:r>
        <w:t>Retirer la capsule protectrice de la seringue pré-remplie (sans purger la bulle d'air).</w:t>
      </w:r>
    </w:p>
    <w:p>
      <w:pPr>
        <w:pStyle w:val="ListNumber"/>
      </w:pPr>
      <w:r>
        <w:t>Pincer un pli cutané entre pouce et index.</w:t>
      </w:r>
    </w:p>
    <w:p>
      <w:pPr>
        <w:pStyle w:val="ListNumber"/>
      </w:pPr>
      <w:r>
        <w:t>Injecter l'aiguille à 90° dans le pli, perpendiculairement à la peau.</w:t>
      </w:r>
    </w:p>
    <w:p>
      <w:pPr>
        <w:pStyle w:val="ListNumber"/>
      </w:pPr>
      <w:r>
        <w:t>Pouisser lentement le piston jusqu'au bout (5–10 s).</w:t>
      </w:r>
    </w:p>
    <w:p>
      <w:pPr>
        <w:pStyle w:val="ListNumber"/>
      </w:pPr>
      <w:r>
        <w:t xml:space="preserve">Retirer l'aiguille, </w:t>
      </w:r>
      <w:r>
        <w:rPr>
          <w:b/>
        </w:rPr>
        <w:t>ne pas masser</w:t>
      </w:r>
      <w:r>
        <w:t xml:space="preserve"> le point d'injection (risque d'hématome).</w:t>
      </w:r>
    </w:p>
    <w:p>
      <w:pPr>
        <w:pStyle w:val="ListNumber"/>
      </w:pPr>
      <w:r>
        <w:t>Activer le système de sécurité de l'aiguille (selon modèle).</w:t>
      </w:r>
    </w:p>
    <w:p>
      <w:pPr>
        <w:pStyle w:val="ListNumber"/>
      </w:pPr>
      <w:r>
        <w:t>Jeter la seringue dans un container à aiguilles (DAST — dispositif d'accumulateur de souillés transchants).</w:t>
      </w:r>
    </w:p>
    <w:p>
      <w:pPr>
        <w:pStyle w:val="ListNumber"/>
      </w:pPr>
      <w:r>
        <w:t xml:space="preserve">Faire </w:t>
      </w:r>
      <w:r>
        <w:rPr>
          <w:b/>
        </w:rPr>
        <w:t>rotations des sites d'injection</w:t>
      </w:r>
      <w:r>
        <w:t xml:space="preserve"> à chaque fois (ne pas réinjecter au même endroit avant 7 jours).</w:t>
      </w:r>
    </w:p>
    <w:p>
      <w:pPr>
        <w:pStyle w:val="ListBullet"/>
      </w:pPr>
      <w:r/>
      <w:r>
        <w:rPr>
          <w:b/>
        </w:rPr>
        <w:t>Conseils pratiques</w:t>
      </w:r>
      <w:r>
        <w:t xml:space="preserve"> :</w:t>
      </w:r>
    </w:p>
    <w:p>
      <w:pPr>
        <w:pStyle w:val="ListBullet"/>
      </w:pPr>
      <w:r>
        <w:t>Préférer l'abdomen (site le moins douloureux, le moins de risque d'hématome).</w:t>
      </w:r>
    </w:p>
    <w:p>
      <w:pPr>
        <w:pStyle w:val="ListBullet"/>
      </w:pPr>
      <w:r>
        <w:t>En cas d'oubli, prendre la dose oubliée dès que possible le même jour (ne pas doubler).</w:t>
      </w:r>
    </w:p>
    <w:p>
      <w:pPr>
        <w:pStyle w:val="ListBullet"/>
      </w:pPr>
      <w:r>
        <w:t>Prévenir tout médecin, dentiste, chirurgien, anesthésiste.</w:t>
      </w:r>
    </w:p>
    <w:p>
      <w:pPr>
        <w:pStyle w:val="ListBullet"/>
      </w:pPr>
      <w:r>
        <w:t>Signes d'alerte : saignement prolongé, ecchymoses étendues, méléna, hématurie, céphalées brutales → urgence.</w:t>
      </w:r>
    </w:p>
    <w:p>
      <w:pPr>
        <w:pStyle w:val="ListBullet"/>
      </w:pPr>
      <w:r>
        <w:t>Éviter l'automédication (AINS, aspirine).</w:t>
      </w:r>
    </w:p>
    <w:p>
      <w:pPr>
        <w:pStyle w:val="ListBullet"/>
      </w:pPr>
      <w:r>
        <w:t>En cas de grossesse, ne pas arrêter le traitement sans avis médical (risque thrombotique maternel).</w:t>
      </w:r>
    </w:p>
    <w:p>
      <w:pPr>
        <w:pStyle w:val="ListBullet"/>
      </w:pPr>
      <w:r/>
      <w:r>
        <w:rPr>
          <w:b/>
        </w:rPr>
        <w:t>Surveillance</w:t>
      </w:r>
      <w:r>
        <w:t xml:space="preserve"> : NFS-plaquettes 2×/semaine pendant 14 jours (TIH), kaliémie à 7 jours, créatininémie à J7 puis 1×/mois si traitement prolongé. Anti-Xa si &gt; 100 kg, &lt; 40 kg, IR 15–30 mL/min, grossesse à dose curative.</w:t>
      </w:r>
    </w:p>
    <w:p>
      <w:r/>
      <w:r>
        <w:rPr>
          <w:b/>
        </w:rPr>
        <w:t>Notes, Règles d'Or &amp; Pièges au Comptoir :</w:t>
      </w:r>
      <w:r/>
    </w:p>
    <w:p>
      <w:pPr>
        <w:pStyle w:val="ListBullet"/>
      </w:pPr>
      <w:r/>
      <w:r>
        <w:rPr>
          <w:b/>
        </w:rPr>
        <w:t>Piège classique :</w:t>
      </w:r>
      <w:r>
        <w:t xml:space="preserve"> Enoxaparine curatif 100 UI/kg ×2/j non adaptée à la fonction rénale si ClCr &lt; 30 mL/min → accumulation, hémorragie. Adapter à 100 UI/kg ×1/j ou switch pour HNF.</w:t>
      </w:r>
    </w:p>
    <w:p>
      <w:pPr>
        <w:pStyle w:val="ListBullet"/>
      </w:pPr>
      <w:r/>
      <w:r>
        <w:rPr>
          <w:b/>
        </w:rPr>
        <w:t>Piège classique :</w:t>
      </w:r>
      <w:r>
        <w:t xml:space="preserve"> Enoxaparine + AINS → majoration hémorragique.</w:t>
      </w:r>
    </w:p>
    <w:p>
      <w:pPr>
        <w:pStyle w:val="ListBullet"/>
      </w:pPr>
      <w:r/>
      <w:r>
        <w:rPr>
          <w:b/>
        </w:rPr>
        <w:t>Piège classique :</w:t>
      </w:r>
      <w:r>
        <w:t xml:space="preserve"> ALR péridurale/rachianesthésie : respecter le délai de 12 h (prophylaxie) à 24 h (curatif) entre la dernière dose et la pose du cathéter. Sinon, risque d'hématome épidural → paraplégie.</w:t>
      </w:r>
    </w:p>
    <w:p>
      <w:pPr>
        <w:pStyle w:val="ListBullet"/>
      </w:pPr>
      <w:r/>
      <w:r>
        <w:rPr>
          <w:b/>
        </w:rPr>
        <w:t>Piège classique :</w:t>
      </w:r>
      <w:r>
        <w:t xml:space="preserve"> TIH sous HBPM (rare mais possible, surtout en post-chirurgie cardiaque).</w:t>
      </w:r>
    </w:p>
    <w:p>
      <w:pPr>
        <w:pStyle w:val="ListBullet"/>
      </w:pPr>
      <w:r/>
      <w:r>
        <w:rPr>
          <w:b/>
        </w:rPr>
        <w:t>Piège classique :</w:t>
      </w:r>
      <w:r>
        <w:t xml:space="preserve"> Seringue pré-remplie — ne pas purger la bulle d'air (elle est destinée à faire passer tout le produit dans le tissu SC).</w:t>
      </w:r>
    </w:p>
    <w:p>
      <w:pPr>
        <w:pStyle w:val="ListBullet"/>
      </w:pPr>
      <w:r/>
      <w:r>
        <w:rPr>
          <w:b/>
        </w:rPr>
        <w:t>Règle de prise :</w:t>
      </w:r>
      <w:r>
        <w:t xml:space="preserve"> À heure fixe, 12 h d'intervalle pour b.i.d.</w:t>
      </w:r>
    </w:p>
    <w:p>
      <w:pPr>
        <w:pStyle w:val="ListBullet"/>
      </w:pPr>
      <w:r/>
      <w:r>
        <w:rPr>
          <w:b/>
        </w:rPr>
        <w:t>Préparation et Conservation :</w:t>
      </w:r>
      <w:r>
        <w:t xml:space="preserve"> À température ambiante (&lt; 25 °C), à l'abri de la lumière. Ne pas congeler. Conservation en seringue pré-remplie jusqu'à la date de péremption indiquée.</w:t>
      </w:r>
    </w:p>
    <w:p>
      <w:pPr>
        <w:pStyle w:val="ListBullet"/>
      </w:pPr>
      <w:r/>
      <w:r>
        <w:rPr>
          <w:b/>
        </w:rPr>
        <w:t>Piège du surdosage / Substitution :</w:t>
      </w:r>
      <w:r>
        <w:t xml:space="preserve"> </w:t>
      </w:r>
      <w:r>
        <w:rPr>
          <w:b/>
        </w:rPr>
        <w:t>Sulfate de protamine</w:t>
      </w:r>
      <w:r>
        <w:t xml:space="preserve"> IV (1 mg pour 100 UI d'enoxaparine) — neutralisation ~60 % de l'effet anti-Xa (à répéter à 50 % à 3–4 h en raison de la demi-vie prolongée). Dialyse inefficace. </w:t>
      </w:r>
      <w:r>
        <w:rPr>
          <w:b/>
        </w:rPr>
        <w:t>Substitution de marque</w:t>
      </w:r>
      <w:r>
        <w:t xml:space="preserve"> possible entre Lovenox®, Lomoh®, Theranox®, Varenox® (bioéquivalence démontrée), mais à signaler au patient pour éviter les confusions.</w:t>
      </w:r>
    </w:p>
    <w:p>
      <w:pPr>
        <w:pStyle w:val="Heading3"/>
      </w:pPr>
      <w:r>
        <w:t>7. DCI : Daltéparine (Seule)</w:t>
      </w:r>
    </w:p>
    <w:p>
      <w:r/>
      <w:r>
        <w:rPr>
          <w:b/>
        </w:rPr>
        <w:t>Liste des Catégories :</w:t>
      </w:r>
      <w:r>
        <w:t xml:space="preserve"> Liste I (toutes spécialités).</w:t>
      </w:r>
    </w:p>
    <w:p>
      <w:r>
        <w:t xml:space="preserve">La daltéparine (PM moyen 6 000 Da, ratio anti-Xa/anti-IIa 2,7:1) est obtenue par dépolymérisation nitreuse de l'HNF. Elle se distingue de l'enoxaparine par un </w:t>
      </w:r>
      <w:r>
        <w:rPr>
          <w:b/>
        </w:rPr>
        <w:t>poids moléculaire légèrement supérieur</w:t>
      </w:r>
      <w:r>
        <w:t xml:space="preserve"> (6 kDa vs 4,2 kDa), un ratio anti-Xa/anti-IIa moins élevé (2,7 vs 3,2), une </w:t>
      </w:r>
      <w:r>
        <w:rPr>
          <w:b/>
        </w:rPr>
        <w:t>demi-vie plus courte</w:t>
      </w:r>
      <w:r>
        <w:t xml:space="preserve"> (3–5 h vs 4–7 h) et une </w:t>
      </w:r>
      <w:r>
        <w:rPr>
          <w:b/>
        </w:rPr>
        <w:t>élimination rénale prédominante</w:t>
      </w:r>
      <w:r>
        <w:t xml:space="preserve"> (~80 %). Disponible en Algérie uniquement sous le princeps Fragmine® (Pfizer Holding France), en 4 dosages : 2 500, 5 000, 7 500 et 10 000 UI anti-Xa. Sa principale indication spécifique est la </w:t>
      </w:r>
      <w:r>
        <w:rPr>
          <w:b/>
        </w:rPr>
        <w:t>prophylaxie au long cours du cancer</w:t>
      </w:r>
      <w:r>
        <w:t xml:space="preserve"> (étude CLOT, AMM spécifique à la dose de 200 UI/kg/j pendant 1 mois puis 150 UI/kg/j pendant 5 mois) — où elle a démontré une supériorité vs warfarine dans la prévention de récidive thromboembolique veineuse chez le patient cancéreux.</w:t>
      </w:r>
    </w:p>
    <w:p>
      <w:r/>
      <w:r>
        <w:rPr>
          <w:b/>
        </w:rPr>
        <w:t>Médicaments disponibles en Algérie (Marques, Laboratoires, Formes et Dosages) :</w:t>
      </w:r>
      <w:r/>
    </w:p>
    <w:p>
      <w:pPr>
        <w:pStyle w:val="ListBullet"/>
      </w:pPr>
      <w:r/>
      <w:r>
        <w:rPr>
          <w:b/>
        </w:rPr>
        <w:t>FRAGMINE</w:t>
      </w:r>
      <w:r>
        <w:t xml:space="preserve"> (PFIZER HOLDING FRANCE)</w:t>
      </w:r>
    </w:p>
    <w:p>
      <w:pPr>
        <w:pStyle w:val="ListBullet"/>
      </w:pPr>
      <w:r>
        <w:t>Formes et Dosages : Solution injectable en seringue pré-remplie 2 500 UI anti-Xa/0,2 mL, B/02 seringues de 0,2 mL (avec système de sécurité d'aiguille). Statut : Actif</w:t>
      </w:r>
    </w:p>
    <w:p>
      <w:pPr>
        <w:pStyle w:val="ListBullet"/>
      </w:pPr>
      <w:r>
        <w:t>Solution injectable en seringue pré-remplie 5 000 UI anti-Xa/0,2 mL, B/02 seringues de 0,2 mL (avec système de sécurité d'aiguille). Statut : Actif</w:t>
      </w:r>
    </w:p>
    <w:p>
      <w:pPr>
        <w:pStyle w:val="ListBullet"/>
      </w:pPr>
      <w:r>
        <w:t>Solution injectable en seringue pré-remplie 7 500 UI anti-Xa/0,75 mL, B/02 seringues de 0,75 mL (avec système de sécurité d'aiguille). Statut : Actif</w:t>
      </w:r>
    </w:p>
    <w:p>
      <w:pPr>
        <w:pStyle w:val="ListBullet"/>
      </w:pPr>
      <w:r>
        <w:t>Solution injectable en seringue pré-remplie 10 000 UI anti-Xa/1 mL, B/02 seringues de 1 mL. Statut : Actif</w:t>
      </w:r>
    </w:p>
    <w:p>
      <w:r>
        <w:t>À noter : les 4 dosages correspondent à des adaptations au poids en curatif (200 UI/kg) — soit 2 500 UI pour ~12,5 kg, 5 000 UI pour ~25 kg, 7 500 UI pour ~37,5 kg, 10 000 UI pour ~50 kg. La daltéparine est essentiellement utilisée en prophylaxie à dose fixe de 5 000 UI/j, et en curatif à dose adaptée au poids (200 UI/kg ×1/j pendant 1 mois, puis 150 UI/kg ×1/j).</w:t>
      </w:r>
    </w:p>
    <w:p>
      <w:r/>
      <w:r>
        <w:rPr>
          <w:b/>
        </w:rPr>
        <w:t>Sous-classe et Mécanisme d'action :</w:t>
      </w:r>
      <w:r/>
    </w:p>
    <w:p>
      <w:pPr>
        <w:pStyle w:val="ListBullet"/>
      </w:pPr>
      <w:r/>
      <w:r>
        <w:rPr>
          <w:b/>
        </w:rPr>
        <w:t>Sous-classe :</w:t>
      </w:r>
      <w:r>
        <w:t xml:space="preserve"> Héparine de bas poids moléculaire (HBPM), anticoagulant parentéral, potentialisateur de l'antithrombine, action anti-Xa prédominante (ratio 2,7:1).</w:t>
      </w:r>
    </w:p>
    <w:p>
      <w:pPr>
        <w:pStyle w:val="ListBullet"/>
      </w:pPr>
      <w:r/>
      <w:r>
        <w:rPr>
          <w:b/>
        </w:rPr>
        <w:t>Mécanisme d'action :</w:t>
      </w:r>
      <w:r>
        <w:t xml:space="preserve"> La daltéparine se lie à l'</w:t>
      </w:r>
      <w:r>
        <w:rPr>
          <w:b/>
        </w:rPr>
        <w:t>antithrombine (AT)</w:t>
      </w:r>
      <w:r>
        <w:t xml:space="preserve"> par la séquence pentasaccharidique, accélérant l'inhibition du </w:t>
      </w:r>
      <w:r>
        <w:rPr>
          <w:b/>
        </w:rPr>
        <w:t>facteur Xa</w:t>
      </w:r>
      <w:r>
        <w:t xml:space="preserve"> (et accessoirement de la thrombine, en moindre proportion en raison de chaînes plus longues que l'enoxaparine — ratio 2,7 vs 3,2). L'effet anticoagulant est prédictible et prolongé (3–5 h), avec une élimination majoritairement rénale.</w:t>
      </w:r>
    </w:p>
    <w:p>
      <w:r/>
      <w:r>
        <w:rPr>
          <w:b/>
        </w:rPr>
        <w:t>Profil Pharmacologique :</w:t>
      </w:r>
      <w:r/>
    </w:p>
    <w:p>
      <w:pPr>
        <w:pStyle w:val="ListBullet"/>
      </w:pPr>
      <w:r/>
      <w:r>
        <w:rPr>
          <w:b/>
        </w:rPr>
        <w:t>Indications :</w:t>
      </w:r>
      <w:r/>
    </w:p>
    <w:p>
      <w:pPr>
        <w:pStyle w:val="ListBullet"/>
      </w:pPr>
      <w:r/>
      <w:r>
        <w:rPr>
          <w:b/>
        </w:rPr>
        <w:t>Prophylaxie chirurgicale</w:t>
      </w:r>
      <w:r>
        <w:t xml:space="preserve"> (orthopédique et générale) : 2 500 UI (poids &lt; 50 kg) ou 5 000 UI (poids ≥ 50 kg) SC ×1/j, début pré-opératoire ou post-opératoire immédiat, pendant 5–10 jours (générale) à 35 jours (orthopédique).</w:t>
      </w:r>
    </w:p>
    <w:p>
      <w:pPr>
        <w:pStyle w:val="ListBullet"/>
      </w:pPr>
      <w:r/>
      <w:r>
        <w:rPr>
          <w:b/>
        </w:rPr>
        <w:t>Prophylaxie médicale</w:t>
      </w:r>
      <w:r>
        <w:t xml:space="preserve"> : 5 000 UI SC ×1/j pendant 6–14 jours.</w:t>
      </w:r>
    </w:p>
    <w:p>
      <w:pPr>
        <w:pStyle w:val="ListBullet"/>
      </w:pPr>
      <w:r/>
      <w:r>
        <w:rPr>
          <w:b/>
        </w:rPr>
        <w:t>Traitement curatif TVP/EP</w:t>
      </w:r>
      <w:r>
        <w:t xml:space="preserve"> : 200 UI/kg ×1/j (sans dépasser 18 000 UI/j) SC, pendant 5–7 jours puis relais AVK/AOD.</w:t>
      </w:r>
    </w:p>
    <w:p>
      <w:pPr>
        <w:pStyle w:val="ListBullet"/>
      </w:pPr>
      <w:r/>
      <w:r>
        <w:rPr>
          <w:b/>
        </w:rPr>
        <w:t>Prophylaxie thromboembolique en oncologie</w:t>
      </w:r>
      <w:r>
        <w:t xml:space="preserve"> (cancer actif) : 200 UI/kg ×1/j pendant 1 mois, puis 150 UI/kg ×1/j pendant 5 mois (selon AMM spécifique — étude CLOT).</w:t>
      </w:r>
    </w:p>
    <w:p>
      <w:pPr>
        <w:pStyle w:val="ListBullet"/>
      </w:pPr>
      <w:r/>
      <w:r>
        <w:rPr>
          <w:b/>
        </w:rPr>
        <w:t>Prévention cardiologie</w:t>
      </w:r>
      <w:r>
        <w:t xml:space="preserve"> : alternative à l'enoxaparine dans le SCA (mais moins validée que l'enoxaparine dans le SCA).</w:t>
      </w:r>
    </w:p>
    <w:p>
      <w:pPr>
        <w:pStyle w:val="ListBullet"/>
      </w:pPr>
      <w:r/>
      <w:r>
        <w:rPr>
          <w:b/>
        </w:rPr>
        <w:t>Contre-indications :</w:t>
      </w:r>
      <w:r>
        <w:t xml:space="preserve"> Hypersensibilité ; </w:t>
      </w:r>
      <w:r>
        <w:rPr>
          <w:b/>
        </w:rPr>
        <w:t>TIH</w:t>
      </w:r>
      <w:r>
        <w:t xml:space="preserve"> ; </w:t>
      </w:r>
      <w:r>
        <w:rPr>
          <w:b/>
        </w:rPr>
        <w:t>hémorragie active</w:t>
      </w:r>
      <w:r>
        <w:t xml:space="preserve"> ; </w:t>
      </w:r>
      <w:r>
        <w:rPr>
          <w:b/>
        </w:rPr>
        <w:t>insuffisance rénale sévère ClCr &lt; 30 mL/min</w:t>
      </w:r>
      <w:r>
        <w:t xml:space="preserve"> (en curatif — switch pour HNF) ; endocardite infectieuse ; HTA sévère non contrôlée ; lésions organiques hémorragiques.</w:t>
      </w:r>
    </w:p>
    <w:p>
      <w:pPr>
        <w:pStyle w:val="ListBullet"/>
      </w:pPr>
      <w:r/>
      <w:r>
        <w:rPr>
          <w:b/>
        </w:rPr>
        <w:t>Effets Indésirables :</w:t>
      </w:r>
      <w:r>
        <w:t xml:space="preserve"> Identiques à l'enoxaparine : hémorragies, TIH (rare), hématome au point d'injection, hyperkaliémie, élévation transaminases, ostéoporose au long cours, réactions cutanées.</w:t>
      </w:r>
    </w:p>
    <w:p>
      <w:r/>
      <w:r>
        <w:rPr>
          <w:b/>
        </w:rPr>
        <w:t>Prévention et Gestion des Effets Indésirables :</w:t>
      </w:r>
      <w:r/>
    </w:p>
    <w:p>
      <w:pPr>
        <w:pStyle w:val="ListBullet"/>
      </w:pPr>
      <w:r/>
      <w:r>
        <w:rPr>
          <w:b/>
        </w:rPr>
        <w:t>Mesures Préventives :</w:t>
      </w:r>
      <w:r>
        <w:t xml:space="preserve"> Identiques à l'enoxaparine (NFS-plaquettes 2×/semaine ×14 j, kaliémie à 7 j, créatininémie à J7 puis mensuelle si prolongé, adaptation selon poids/ClCr, technique d'injection SC).</w:t>
      </w:r>
    </w:p>
    <w:p>
      <w:pPr>
        <w:pStyle w:val="ListBullet"/>
      </w:pPr>
      <w:r/>
      <w:r>
        <w:rPr>
          <w:b/>
        </w:rPr>
        <w:t>Conduite à Tenir :</w:t>
      </w:r>
      <w:r>
        <w:t xml:space="preserve"> Identique à l'enoxaparine (sulfate de protamine 1 mg pour 100 UI de daltéparine — neutralisation ~60 % ; surveillance plaquettaire pour TIH ; arrêt et switch pour argatroban/bivalirudine si TIH).</w:t>
      </w:r>
    </w:p>
    <w:p>
      <w:r/>
      <w:r>
        <w:rPr>
          <w:b/>
        </w:rPr>
        <w:t>Interactions Importantes :</w:t>
      </w:r>
      <w:r/>
    </w:p>
    <w:p>
      <w:pPr>
        <w:pStyle w:val="ListBullet"/>
      </w:pPr>
      <w:r/>
      <w:r>
        <w:rPr>
          <w:b/>
        </w:rPr>
        <w:t>Daltéparine + AINS / Aspirine</w:t>
      </w:r>
      <w:r>
        <w:t xml:space="preserve"> : majoration hémorragique. Éviter ou surveiller.</w:t>
      </w:r>
    </w:p>
    <w:p>
      <w:pPr>
        <w:pStyle w:val="ListBullet"/>
      </w:pPr>
      <w:r/>
      <w:r>
        <w:rPr>
          <w:b/>
        </w:rPr>
        <w:t>Daltéparine + Clopidogrel / Ticagrelor</w:t>
      </w:r>
      <w:r>
        <w:t xml:space="preserve"> : triple thérapie en SCA — risque hémorragique.</w:t>
      </w:r>
    </w:p>
    <w:p>
      <w:pPr>
        <w:pStyle w:val="ListBullet"/>
      </w:pPr>
      <w:r/>
      <w:r>
        <w:rPr>
          <w:b/>
        </w:rPr>
        <w:t>Daltéparine + Anticoagulants oraux</w:t>
      </w:r>
      <w:r>
        <w:t xml:space="preserve"> : chevauchement en relais.</w:t>
      </w:r>
    </w:p>
    <w:p>
      <w:pPr>
        <w:pStyle w:val="ListBullet"/>
      </w:pPr>
      <w:r/>
      <w:r>
        <w:rPr>
          <w:b/>
        </w:rPr>
        <w:t>Daltéparine + GP IIb/IIIa inhibitors</w:t>
      </w:r>
      <w:r>
        <w:t xml:space="preserve"> : en angioplastie — risque +++.</w:t>
      </w:r>
    </w:p>
    <w:p>
      <w:r/>
      <w:r>
        <w:rPr>
          <w:b/>
        </w:rPr>
        <w:t>Grossesse et Allaitement :</w:t>
      </w:r>
      <w:r/>
    </w:p>
    <w:p>
      <w:pPr>
        <w:pStyle w:val="ListBullet"/>
      </w:pPr>
      <w:r/>
      <w:r>
        <w:rPr>
          <w:b/>
        </w:rPr>
        <w:t>Grossesse :</w:t>
      </w:r>
      <w:r>
        <w:t xml:space="preserve"> </w:t>
      </w:r>
      <w:r>
        <w:rPr>
          <w:b/>
        </w:rPr>
        <w:t>Compatible</w:t>
      </w:r>
      <w:r>
        <w:t xml:space="preserve"> (CRAT). Pas de passage transplacentaire (PM élevé). Utilisée en prophylaxie et curatif pendant toute la grossesse. Dose prophylactique 5 000 UI/j, dose curative 100–200 UI/kg/j. Surveillance anti-Xa si dose curative. Préférer l'enoxaparine si disponible (plus de données publiées), mais la daltéparine est une alternative valide.</w:t>
      </w:r>
    </w:p>
    <w:p>
      <w:pPr>
        <w:pStyle w:val="ListBullet"/>
      </w:pPr>
      <w:r/>
      <w:r>
        <w:rPr>
          <w:b/>
        </w:rPr>
        <w:t>Allaitement :</w:t>
      </w:r>
      <w:r>
        <w:t xml:space="preserve"> </w:t>
      </w:r>
      <w:r>
        <w:rPr>
          <w:b/>
        </w:rPr>
        <w:t>Compatible</w:t>
      </w:r>
      <w:r>
        <w:t xml:space="preserve"> (CRAT). Pas de passage dans le lait. Allaitement autorisé.</w:t>
      </w:r>
    </w:p>
    <w:p>
      <w:pPr>
        <w:pStyle w:val="ListBullet"/>
      </w:pPr>
      <w:r/>
      <w:r>
        <w:rPr>
          <w:b/>
        </w:rPr>
        <w:t>Précisions :</w:t>
      </w:r>
      <w:r>
        <w:t xml:space="preserve"> Mêmes précautions que pour l'enoxaparine (fenêtres thérapeutiques ALR).</w:t>
      </w:r>
    </w:p>
    <w:p>
      <w:r/>
      <w:r>
        <w:rPr>
          <w:b/>
        </w:rPr>
        <w:t>Posologie et Mode d'administration (Standard) :</w:t>
      </w:r>
      <w:r/>
    </w:p>
    <w:p>
      <w:pPr>
        <w:pStyle w:val="ListBullet"/>
      </w:pPr>
      <w:r/>
      <w:r>
        <w:rPr>
          <w:b/>
        </w:rPr>
        <w:t>Adulte prophylaxie chirurgicale</w:t>
      </w:r>
      <w:r>
        <w:t xml:space="preserve"> : 2 500 UI (poids &lt; 50 kg) ou 5 000 UI (poids ≥ 50 kg) SC ×1/j, début 1–2 h avant chirurgie ou 6–12 h après, pendant 5–10 jours (générale) ou 35 jours (orthopédique).</w:t>
      </w:r>
    </w:p>
    <w:p>
      <w:pPr>
        <w:pStyle w:val="ListBullet"/>
      </w:pPr>
      <w:r/>
      <w:r>
        <w:rPr>
          <w:b/>
        </w:rPr>
        <w:t>Adulte prophylaxie médicale</w:t>
      </w:r>
      <w:r>
        <w:t xml:space="preserve"> : 5 000 UI SC ×1/j pendant 6–14 jours.</w:t>
      </w:r>
    </w:p>
    <w:p>
      <w:pPr>
        <w:pStyle w:val="ListBullet"/>
      </w:pPr>
      <w:r/>
      <w:r>
        <w:rPr>
          <w:b/>
        </w:rPr>
        <w:t>Adulte traitement curatif TVP/EP</w:t>
      </w:r>
      <w:r>
        <w:t xml:space="preserve"> : 200 UI/kg ×1/j (max 18 000 UI/j), pendant 5–7 jours puis relais AVK/AOD.</w:t>
      </w:r>
    </w:p>
    <w:p>
      <w:pPr>
        <w:pStyle w:val="ListBullet"/>
      </w:pPr>
      <w:r/>
      <w:r>
        <w:rPr>
          <w:b/>
        </w:rPr>
        <w:t>Adulte prophylaxie oncologique</w:t>
      </w:r>
      <w:r>
        <w:t xml:space="preserve"> (cancer actif) : 200 UI/kg ×1/j pendant 1 mois, puis 150 UI/kg ×1/j pendant 5 mois.</w:t>
      </w:r>
    </w:p>
    <w:p>
      <w:pPr>
        <w:pStyle w:val="ListBullet"/>
      </w:pPr>
      <w:r/>
      <w:r>
        <w:rPr>
          <w:b/>
        </w:rPr>
        <w:t>Insuffisance rénale</w:t>
      </w:r>
      <w:r>
        <w:t xml:space="preserve"> :</w:t>
      </w:r>
    </w:p>
    <w:p>
      <w:pPr>
        <w:pStyle w:val="ListBullet"/>
      </w:pPr>
      <w:r>
        <w:t>ClCr ≥ 30 mL/min : pas d'adaptation en prophylaxie ; en curatif, surveillance anti-Xa.</w:t>
      </w:r>
    </w:p>
    <w:p>
      <w:pPr>
        <w:pStyle w:val="ListBullet"/>
      </w:pPr>
      <w:r>
        <w:t>ClCr &lt; 30 mL/min : contre-indication en curatif (switch pour HNF) ; en prophylaxie, switch pour HNF 5 000 UI ×2/j SC.</w:t>
      </w:r>
    </w:p>
    <w:p>
      <w:pPr>
        <w:pStyle w:val="ListBullet"/>
      </w:pPr>
      <w:r/>
      <w:r>
        <w:rPr>
          <w:b/>
        </w:rPr>
        <w:t>Durée :</w:t>
      </w:r>
      <w:r>
        <w:t xml:space="preserve"> Selon indication — orthopédique 5–35 jours, médicale 6–14 jours, oncologique 6 mois, TVP/EP 5–7 jours (relais AVK/AOD).</w:t>
      </w:r>
    </w:p>
    <w:p>
      <w:pPr>
        <w:pStyle w:val="ListBullet"/>
      </w:pPr>
      <w:r/>
      <w:r>
        <w:rPr>
          <w:b/>
        </w:rPr>
        <w:t>Moment de prise</w:t>
      </w:r>
      <w:r>
        <w:t xml:space="preserve"> : SC à heure fixe (matin ou soir selon protocole).</w:t>
      </w:r>
    </w:p>
    <w:p>
      <w:r/>
      <w:r>
        <w:rPr>
          <w:b/>
        </w:rPr>
        <w:t>Arbitrage et Bénéfices des Formes Galéniques :</w:t>
      </w:r>
      <w:r/>
    </w:p>
    <w:p>
      <w:r>
        <w:t xml:space="preserve">La daltéparine est disponible uniquement en </w:t>
      </w:r>
      <w:r>
        <w:rPr>
          <w:b/>
        </w:rPr>
        <w:t>seringues pré-remplies</w:t>
      </w:r>
      <w:r>
        <w:t xml:space="preserve"> avec système de sécurité de l'aiguille. Les 4 dosages permettent une adaptation au poids en curatif (200 UI/kg/j) sans manipulation hasardeuse. Le dosage 5 000 UI est le plus utilisé en prophylaxie standard. Comparée à l'enoxaparine, la daltéparine est moins prescrite en Algérie, mais reste une alternative intéressante (en particulier en oncologie où elle dispose d'une AMM spécifique).</w:t>
      </w:r>
    </w:p>
    <w:p>
      <w:r/>
      <w:r>
        <w:rPr>
          <w:b/>
        </w:rPr>
        <w:t>Instructions et Conseils au Patient :</w:t>
      </w:r>
      <w:r/>
    </w:p>
    <w:p>
      <w:pPr>
        <w:pStyle w:val="ListBullet"/>
      </w:pPr>
      <w:r/>
      <w:r>
        <w:rPr>
          <w:b/>
        </w:rPr>
        <w:t>Communication au comptoir :</w:t>
      </w:r>
      <w:r>
        <w:t xml:space="preserve"> "Ce traitement est un anticoagulant injectable sous-cutané, une fois par jour. Il fluidifie le sang. Il s'utilise en auto-injection après formation. Pas de prise de sang systématique."</w:t>
      </w:r>
    </w:p>
    <w:p>
      <w:pPr>
        <w:pStyle w:val="ListBullet"/>
      </w:pPr>
      <w:r/>
      <w:r>
        <w:rPr>
          <w:b/>
        </w:rPr>
        <w:t>Mode d'utilisation pratique :</w:t>
      </w:r>
      <w:r>
        <w:t xml:space="preserve"> Identique à l'enoxaparine (technique d'injection SC : abdomen, pincer le pli, 90°, ne pas masser, rotations des sites, container à aiguilles).</w:t>
      </w:r>
    </w:p>
    <w:p>
      <w:pPr>
        <w:pStyle w:val="ListBullet"/>
      </w:pPr>
      <w:r/>
      <w:r>
        <w:rPr>
          <w:b/>
        </w:rPr>
        <w:t>Surveillance :</w:t>
      </w:r>
      <w:r>
        <w:t xml:space="preserve"> NFS-plaquettes 2×/semaine ×14 jours, kaliémie à 7 jours, créatininémie mensuelle si prolongé.</w:t>
      </w:r>
    </w:p>
    <w:p>
      <w:r/>
      <w:r>
        <w:rPr>
          <w:b/>
        </w:rPr>
        <w:t>Notes, Règles d'Or &amp; Pièges au Comptoir :</w:t>
      </w:r>
      <w:r/>
    </w:p>
    <w:p>
      <w:pPr>
        <w:pStyle w:val="ListBullet"/>
      </w:pPr>
      <w:r/>
      <w:r>
        <w:rPr>
          <w:b/>
        </w:rPr>
        <w:t>Piège classique :</w:t>
      </w:r>
      <w:r>
        <w:t xml:space="preserve"> Daltéparine curatif 200 UI/kg/j non adaptée à la fonction rénale si ClCr &lt; 30 mL/min → accumulation. Adapter ou switcher pour HNF.</w:t>
      </w:r>
    </w:p>
    <w:p>
      <w:pPr>
        <w:pStyle w:val="ListBullet"/>
      </w:pPr>
      <w:r/>
      <w:r>
        <w:rPr>
          <w:b/>
        </w:rPr>
        <w:t>Piège classique :</w:t>
      </w:r>
      <w:r>
        <w:t xml:space="preserve"> Daltéparine + AINS → majoration hémorragique.</w:t>
      </w:r>
    </w:p>
    <w:p>
      <w:pPr>
        <w:pStyle w:val="ListBullet"/>
      </w:pPr>
      <w:r/>
      <w:r>
        <w:rPr>
          <w:b/>
        </w:rPr>
        <w:t>Piège classique :</w:t>
      </w:r>
      <w:r>
        <w:t xml:space="preserve"> ALR péridurale — respecter délai 12 h (prophylaxie) à 24 h (curatif) avant pose cathéter.</w:t>
      </w:r>
    </w:p>
    <w:p>
      <w:pPr>
        <w:pStyle w:val="ListBullet"/>
      </w:pPr>
      <w:r/>
      <w:r>
        <w:rPr>
          <w:b/>
        </w:rPr>
        <w:t>Règle de prise :</w:t>
      </w:r>
      <w:r>
        <w:t xml:space="preserve"> À heure fixe, une fois par jour (le matin en général).</w:t>
      </w:r>
    </w:p>
    <w:p>
      <w:pPr>
        <w:pStyle w:val="ListBullet"/>
      </w:pPr>
      <w:r/>
      <w:r>
        <w:rPr>
          <w:b/>
        </w:rPr>
        <w:t>Préparation et Conservation :</w:t>
      </w:r>
      <w:r>
        <w:t xml:space="preserve"> À température ambiante (&lt; 25 °C), à l'abri de la lumière. Ne pas congeler.</w:t>
      </w:r>
    </w:p>
    <w:p>
      <w:pPr>
        <w:pStyle w:val="ListBullet"/>
      </w:pPr>
      <w:r/>
      <w:r>
        <w:rPr>
          <w:b/>
        </w:rPr>
        <w:t>Piège du surdosage / Substitution :</w:t>
      </w:r>
      <w:r>
        <w:t xml:space="preserve"> </w:t>
      </w:r>
      <w:r>
        <w:rPr>
          <w:b/>
        </w:rPr>
        <w:t>Sulfate de protamine</w:t>
      </w:r>
      <w:r>
        <w:t xml:space="preserve"> IV (1 mg pour 100 UI de daltéparine) — neutralisation ~60 %. </w:t>
      </w:r>
      <w:r>
        <w:rPr>
          <w:b/>
        </w:rPr>
        <w:t>Pas de substitution de marque</w:t>
      </w:r>
      <w:r>
        <w:t xml:space="preserve"> (Fragmine® est l'unique spécialité disponible).</w:t>
      </w:r>
    </w:p>
    <w:p>
      <w:pPr>
        <w:pStyle w:val="Heading3"/>
      </w:pPr>
      <w:r>
        <w:t>8. DCI : Nadroparine (Seule)</w:t>
      </w:r>
    </w:p>
    <w:p>
      <w:r/>
      <w:r>
        <w:rPr>
          <w:b/>
        </w:rPr>
        <w:t>Liste des Catégories :</w:t>
      </w:r>
      <w:r>
        <w:t xml:space="preserve"> Liste I (toutes spécialités).</w:t>
      </w:r>
    </w:p>
    <w:p>
      <w:r>
        <w:t xml:space="preserve">La nadroparine (PM moyen 4 300 Da, ratio anti-Xa/anti-IIa 3,6:1) est obtenue par dépolymérisation nitreuse de l'HNF. Elle se distingue de l'enoxaparine par un ratio anti-Xa/anti-IIa légèrement supérieur (3,6 vs 3,2) et un mode d'expression des dosages en </w:t>
      </w:r>
      <w:r>
        <w:rPr>
          <w:b/>
        </w:rPr>
        <w:t>UI anti-Xa par seringue</w:t>
      </w:r>
      <w:r>
        <w:t xml:space="preserve"> (et non par mL). Présente en Algérie sous les marques Fraxiparine® (prophylaxie et curatif, plusieurs dosages) et Fraxodi® (forme "high dose" pour le curatif en une injection par jour), elle est actuellement </w:t>
      </w:r>
      <w:r>
        <w:rPr>
          <w:b/>
        </w:rPr>
        <w:t>totalement retirée du marché algérien</w:t>
      </w:r>
      <w:r>
        <w:t xml:space="preserve"> — l'ensemble des dosages et spécialités sont au statut "Retrait (R)". Cette situation est probablement liée à des décisions industrielles (Sanofi/Synthélabo, puis Aspen, puis GSK ont successivement détenu le produit). La nadroparine reste toutefois une référence dans la classe des HBPM (notamment en France, où elle est encore commercialisée), et son étude pharmacologique reste d'actualité pour la formation des étudiants en pharmacie.</w:t>
      </w:r>
    </w:p>
    <w:p>
      <w:r/>
      <w:r>
        <w:rPr>
          <w:b/>
        </w:rPr>
        <w:t>Médicaments disponibles en Algérie (Marques, Laboratoires, Formes et Dosages) :</w:t>
      </w:r>
      <w:r/>
    </w:p>
    <w:p>
      <w:r/>
      <w:r>
        <w:rPr>
          <w:b/>
        </w:rPr>
        <w:t>Fraxiparine®</w:t>
      </w:r>
      <w:r>
        <w:t xml:space="preserve"> (prophylaxie et curatif ×2/j) :</w:t>
      </w:r>
    </w:p>
    <w:p>
      <w:pPr>
        <w:pStyle w:val="ListBullet"/>
      </w:pPr>
      <w:r/>
      <w:r>
        <w:rPr>
          <w:b/>
        </w:rPr>
        <w:t>FRAXIPARINE 1 900 UI anti-Xa/0,2 mL</w:t>
      </w:r>
      <w:r>
        <w:t xml:space="preserve"> (Sanofi Synthélabo) — Sol inj SC en seringue pré-remplie, B/2 et B/10. Statut : Retrait (R)</w:t>
      </w:r>
    </w:p>
    <w:p>
      <w:pPr>
        <w:pStyle w:val="ListBullet"/>
      </w:pPr>
      <w:r/>
      <w:r>
        <w:rPr>
          <w:b/>
        </w:rPr>
        <w:t>FRAXIPARINE 2 850 UI anti-Xa/0,3 mL</w:t>
      </w:r>
      <w:r>
        <w:t xml:space="preserve"> (Aspen Pharma Schweiz GmbH) — Sol inj SC en seringue pré-remplie, B/2 et B/10. Statut : Retrait (R)</w:t>
      </w:r>
    </w:p>
    <w:p>
      <w:pPr>
        <w:pStyle w:val="ListBullet"/>
      </w:pPr>
      <w:r/>
      <w:r>
        <w:rPr>
          <w:b/>
        </w:rPr>
        <w:t>FRAXIPARINE 3 800 UI anti-Xa/0,4 mL</w:t>
      </w:r>
      <w:r>
        <w:t xml:space="preserve"> (Aspen Pharma Schweiz GmbH) — Sol inj SC en seringue pré-remplie, B/10. Statut : Retrait (R)</w:t>
      </w:r>
    </w:p>
    <w:p>
      <w:pPr>
        <w:pStyle w:val="ListBullet"/>
      </w:pPr>
      <w:r/>
      <w:r>
        <w:rPr>
          <w:b/>
        </w:rPr>
        <w:t>FRAXIPARINE 5 700 UI anti-Xa/0,6 mL</w:t>
      </w:r>
      <w:r>
        <w:t xml:space="preserve"> (Aspen Pharma Schweiz GmbH) — Sol inj SC en seringue pré-remplie, B/10. Statut : Retrait (R)</w:t>
      </w:r>
    </w:p>
    <w:p>
      <w:pPr>
        <w:pStyle w:val="ListBullet"/>
      </w:pPr>
      <w:r/>
      <w:r>
        <w:rPr>
          <w:b/>
        </w:rPr>
        <w:t>FRAXIPARINE 7 600 UI anti-Xa/0,8 mL</w:t>
      </w:r>
      <w:r>
        <w:t xml:space="preserve"> (GSK) — Sol inj SC en seringue pré-remplie, B/2 et B/10. Statut : Retrait (R)</w:t>
      </w:r>
    </w:p>
    <w:p>
      <w:r/>
      <w:r>
        <w:rPr>
          <w:b/>
        </w:rPr>
        <w:t>Fraxodi®</w:t>
      </w:r>
      <w:r>
        <w:t xml:space="preserve"> (forme "high dose" pour curatif en 1 injection par jour) :</w:t>
      </w:r>
    </w:p>
    <w:p>
      <w:pPr>
        <w:pStyle w:val="ListBullet"/>
      </w:pPr>
      <w:r/>
      <w:r>
        <w:rPr>
          <w:b/>
        </w:rPr>
        <w:t>FRAXODI 11 400 UI anti-Xa/0,6 mL</w:t>
      </w:r>
      <w:r>
        <w:t xml:space="preserve"> (GSK) — Sol inj SC en seringue pré-remplie, B/2 et B/10. Statut : Retrait (R)</w:t>
      </w:r>
    </w:p>
    <w:p>
      <w:pPr>
        <w:pStyle w:val="ListBullet"/>
      </w:pPr>
      <w:r/>
      <w:r>
        <w:rPr>
          <w:b/>
        </w:rPr>
        <w:t>FRAXODI 15 200 UI anti-Xa/0,8 mL</w:t>
      </w:r>
      <w:r>
        <w:t xml:space="preserve"> (GSK) — Sol inj SC en seringue pré-remplie, B/2 et B/10. Statut : Retrait (R)</w:t>
      </w:r>
    </w:p>
    <w:p>
      <w:pPr>
        <w:pStyle w:val="ListBullet"/>
      </w:pPr>
      <w:r/>
      <w:r>
        <w:rPr>
          <w:b/>
        </w:rPr>
        <w:t>FRAXODI 19 000 UI anti-Xa/1 mL</w:t>
      </w:r>
      <w:r>
        <w:t xml:space="preserve"> (GSK) — Sol inj SC en seringue pré-remplie, B/2 et B/10. Statut : Retrait (R)</w:t>
      </w:r>
    </w:p>
    <w:p>
      <w:r>
        <w:t>À noter : la multiplicité des dosages (5 pour Fraxiparine, 3 pour Fraxodi) permettait une adaptation au poids en curatif et à la dose prophylactique. La nadroparine se caractérise par un calcul de dose différent de l'enoxaparine (la dose prophylactique est calculée en fonction du poids en kg, et non fixe).</w:t>
      </w:r>
    </w:p>
    <w:p>
      <w:r/>
      <w:r>
        <w:rPr>
          <w:b/>
        </w:rPr>
        <w:t>Sous-classe et Mécanisme d'action :</w:t>
      </w:r>
      <w:r/>
    </w:p>
    <w:p>
      <w:pPr>
        <w:pStyle w:val="ListBullet"/>
      </w:pPr>
      <w:r/>
      <w:r>
        <w:rPr>
          <w:b/>
        </w:rPr>
        <w:t>Sous-classe :</w:t>
      </w:r>
      <w:r>
        <w:t xml:space="preserve"> Héparine de bas poids moléculaire (HBPM), anticoagulant parentéral, potentialisateur de l'antithrombine, action anti-Xa prédominante (ratio 3,6:1 — l'un des plus élevés de la classe).</w:t>
      </w:r>
    </w:p>
    <w:p>
      <w:pPr>
        <w:pStyle w:val="ListBullet"/>
      </w:pPr>
      <w:r/>
      <w:r>
        <w:rPr>
          <w:b/>
        </w:rPr>
        <w:t>Mécanisme d'action :</w:t>
      </w:r>
      <w:r>
        <w:t xml:space="preserve"> La nadroparine se lie à l'antithrombine (AT) par la séquence pentasaccharidique, accélérant l'inhibition du </w:t>
      </w:r>
      <w:r>
        <w:rPr>
          <w:b/>
        </w:rPr>
        <w:t>facteur Xa</w:t>
      </w:r>
      <w:r>
        <w:t xml:space="preserve"> (et accessoirement de la thrombine). L'effet anticoagulant est prédictible, avec une biodisponibilité SC proche de 100 %, un pic à 3–5 h et une demi-vie de 3,5 h. L'élimination est majoritairement rénale.</w:t>
      </w:r>
    </w:p>
    <w:p>
      <w:r/>
      <w:r>
        <w:rPr>
          <w:b/>
        </w:rPr>
        <w:t>Profil Pharmacologique :</w:t>
      </w:r>
      <w:r/>
    </w:p>
    <w:p>
      <w:pPr>
        <w:pStyle w:val="ListBullet"/>
      </w:pPr>
      <w:r/>
      <w:r>
        <w:rPr>
          <w:b/>
        </w:rPr>
        <w:t>Indications :</w:t>
      </w:r>
      <w:r>
        <w:t xml:space="preserve"> Identiques à l'enoxaparine : prophylaxie chirurgicale et médicale, traitement curatif TVP/EP, SCA, oncologie.</w:t>
      </w:r>
    </w:p>
    <w:p>
      <w:pPr>
        <w:pStyle w:val="ListBullet"/>
      </w:pPr>
      <w:r/>
      <w:r>
        <w:rPr>
          <w:b/>
        </w:rPr>
        <w:t>Contre-indications :</w:t>
      </w:r>
      <w:r>
        <w:t xml:space="preserve"> Hypersensibilité ; TIH ; hémorragie active ; insuffisance rénale sévère ClCr &lt; 30 mL/min (en curatif) ; endocardite infectieuse ; HTA sévère non contrôlée ; lésions organiques hémorragiques.</w:t>
      </w:r>
    </w:p>
    <w:p>
      <w:pPr>
        <w:pStyle w:val="ListBullet"/>
      </w:pPr>
      <w:r/>
      <w:r>
        <w:rPr>
          <w:b/>
        </w:rPr>
        <w:t>Effets Indésirables :</w:t>
      </w:r>
      <w:r>
        <w:t xml:space="preserve"> Identiques à l'enoxaparine : hémorragies, TIH (rare), hématome au point d'injection, hyperkaliémie, élévation transaminases, ostéoporose au long cours, réactions cutanées.</w:t>
      </w:r>
    </w:p>
    <w:p>
      <w:r/>
      <w:r>
        <w:rPr>
          <w:b/>
        </w:rPr>
        <w:t>Prévention et Gestion des Effets Indésirables :</w:t>
      </w:r>
      <w:r/>
    </w:p>
    <w:p>
      <w:pPr>
        <w:pStyle w:val="ListBullet"/>
      </w:pPr>
      <w:r/>
      <w:r>
        <w:rPr>
          <w:b/>
        </w:rPr>
        <w:t>Mesures Préventives :</w:t>
      </w:r>
      <w:r>
        <w:t xml:space="preserve"> Identiques à l'enoxaparine (surveillance plaquettaire, kaliémie, adaptation selon poids/ClCr, technique d'injection SC).</w:t>
      </w:r>
    </w:p>
    <w:p>
      <w:pPr>
        <w:pStyle w:val="ListBullet"/>
      </w:pPr>
      <w:r/>
      <w:r>
        <w:rPr>
          <w:b/>
        </w:rPr>
        <w:t>Conduite à Tenir :</w:t>
      </w:r>
      <w:r>
        <w:t xml:space="preserve"> Identique à l'enoxaparine (sulfate de protamine IV 1 mg pour 100 UI de nadroparine — neutralisation ~60 % ; arrêt et switch pour argatroban/bivalirudine si TIH).</w:t>
      </w:r>
    </w:p>
    <w:p>
      <w:r/>
      <w:r>
        <w:rPr>
          <w:b/>
        </w:rPr>
        <w:t>Interactions Importantes :</w:t>
      </w:r>
      <w:r/>
    </w:p>
    <w:p>
      <w:pPr>
        <w:pStyle w:val="ListBullet"/>
      </w:pPr>
      <w:r/>
      <w:r>
        <w:rPr>
          <w:b/>
        </w:rPr>
        <w:t>Nadroparine + AINS / Aspirine</w:t>
      </w:r>
      <w:r>
        <w:t xml:space="preserve"> : majoration hémorragique.</w:t>
      </w:r>
    </w:p>
    <w:p>
      <w:pPr>
        <w:pStyle w:val="ListBullet"/>
      </w:pPr>
      <w:r/>
      <w:r>
        <w:rPr>
          <w:b/>
        </w:rPr>
        <w:t>Nadroparine + Clopidogrel / Ticagrelor</w:t>
      </w:r>
      <w:r>
        <w:t xml:space="preserve"> : triple thérapie en SCA — risque hémorragique.</w:t>
      </w:r>
    </w:p>
    <w:p>
      <w:pPr>
        <w:pStyle w:val="ListBullet"/>
      </w:pPr>
      <w:r/>
      <w:r>
        <w:rPr>
          <w:b/>
        </w:rPr>
        <w:t>Nadroparine + Anticoagulants oraux</w:t>
      </w:r>
      <w:r>
        <w:t xml:space="preserve"> : chevauchement en relais.</w:t>
      </w:r>
    </w:p>
    <w:p>
      <w:pPr>
        <w:pStyle w:val="ListBullet"/>
      </w:pPr>
      <w:r/>
      <w:r>
        <w:rPr>
          <w:b/>
        </w:rPr>
        <w:t>Nadroparine + GP IIb/IIIa inhibitors</w:t>
      </w:r>
      <w:r>
        <w:t xml:space="preserve"> : en angioplastie — risque +++.</w:t>
      </w:r>
    </w:p>
    <w:p>
      <w:r/>
      <w:r>
        <w:rPr>
          <w:b/>
        </w:rPr>
        <w:t>Grossesse et Allaitement :</w:t>
      </w:r>
      <w:r/>
    </w:p>
    <w:p>
      <w:pPr>
        <w:pStyle w:val="ListBullet"/>
      </w:pPr>
      <w:r/>
      <w:r>
        <w:rPr>
          <w:b/>
        </w:rPr>
        <w:t>Grossesse :</w:t>
      </w:r>
      <w:r>
        <w:t xml:space="preserve"> </w:t>
      </w:r>
      <w:r>
        <w:rPr>
          <w:b/>
        </w:rPr>
        <w:t>Compatible</w:t>
      </w:r>
      <w:r>
        <w:t xml:space="preserve"> (CRAT). Pas de passage transplacentaire. Utilisée en prophylaxie et curatif pendant toute la grossesse. Dose prophylactique selon protocole de risque, dose curative selon le poids. Surveillance anti-Xa si dose curative.</w:t>
      </w:r>
    </w:p>
    <w:p>
      <w:pPr>
        <w:pStyle w:val="ListBullet"/>
      </w:pPr>
      <w:r/>
      <w:r>
        <w:rPr>
          <w:b/>
        </w:rPr>
        <w:t>Allaitement :</w:t>
      </w:r>
      <w:r>
        <w:t xml:space="preserve"> </w:t>
      </w:r>
      <w:r>
        <w:rPr>
          <w:b/>
        </w:rPr>
        <w:t>Compatible</w:t>
      </w:r>
      <w:r>
        <w:t xml:space="preserve"> (CRAT). Pas de passage dans le lait. Allaitement autorisé.</w:t>
      </w:r>
    </w:p>
    <w:p>
      <w:pPr>
        <w:pStyle w:val="ListBullet"/>
      </w:pPr>
      <w:r/>
      <w:r>
        <w:rPr>
          <w:b/>
        </w:rPr>
        <w:t>Précisions :</w:t>
      </w:r>
      <w:r>
        <w:t xml:space="preserve"> Mêmes précautions que pour l'enoxaparine (ALR).</w:t>
      </w:r>
    </w:p>
    <w:p>
      <w:r/>
      <w:r>
        <w:rPr>
          <w:b/>
        </w:rPr>
        <w:t>Posologie et Mode d'administration (Standard) :</w:t>
      </w:r>
      <w:r/>
    </w:p>
    <w:p>
      <w:pPr>
        <w:pStyle w:val="ListBullet"/>
      </w:pPr>
      <w:r/>
      <w:r>
        <w:rPr>
          <w:b/>
        </w:rPr>
        <w:t>Adulte prophylaxie chirurgicale</w:t>
      </w:r>
      <w:r>
        <w:t xml:space="preserve"> : dose unique SC 2–4 h avant chirurgie ou 12 h après, à adapter au poids :</w:t>
      </w:r>
    </w:p>
    <w:p>
      <w:pPr>
        <w:pStyle w:val="ListBullet"/>
      </w:pPr>
      <w:r>
        <w:t>Poids &lt; 50 kg : 2 050 UI (soit 0,2 mL de Fraxiparine 1 900 UI ≈ dose proche).</w:t>
      </w:r>
    </w:p>
    <w:p>
      <w:pPr>
        <w:pStyle w:val="ListBullet"/>
      </w:pPr>
      <w:r>
        <w:t>Poids 50–69 kg : 2 850 UI (0,3 mL).</w:t>
      </w:r>
    </w:p>
    <w:p>
      <w:pPr>
        <w:pStyle w:val="ListBullet"/>
      </w:pPr>
      <w:r>
        <w:t>Poids ≥ 70 kg : 3 800 UI (0,4 mL).</w:t>
      </w:r>
    </w:p>
    <w:p>
      <w:pPr>
        <w:pStyle w:val="ListBullet"/>
      </w:pPr>
      <w:r>
        <w:t>Pendant 7–10 jours (chirurgie générale) à 35 jours (orthopédique).</w:t>
      </w:r>
    </w:p>
    <w:p>
      <w:pPr>
        <w:pStyle w:val="ListBullet"/>
      </w:pPr>
      <w:r/>
      <w:r>
        <w:rPr>
          <w:b/>
        </w:rPr>
        <w:t>Adulte prophylaxie médicale</w:t>
      </w:r>
      <w:r>
        <w:t xml:space="preserve"> : 3 800 UI/j SC pendant 6–14 jours.</w:t>
      </w:r>
    </w:p>
    <w:p>
      <w:pPr>
        <w:pStyle w:val="ListBullet"/>
      </w:pPr>
      <w:r/>
      <w:r>
        <w:rPr>
          <w:b/>
        </w:rPr>
        <w:t>Adulte traitement curatif TVP/EP</w:t>
      </w:r>
      <w:r>
        <w:t xml:space="preserve"> :</w:t>
      </w:r>
    </w:p>
    <w:p>
      <w:pPr>
        <w:pStyle w:val="ListBullet"/>
      </w:pPr>
      <w:r>
        <w:t>Schéma b.i.d. (Fraxiparine) : 86 UI/kg ×2/j, adaptation selon le poids (ex : patient 70 kg → 6 000 UI ×2/j).</w:t>
      </w:r>
    </w:p>
    <w:p>
      <w:pPr>
        <w:pStyle w:val="ListBullet"/>
      </w:pPr>
      <w:r>
        <w:t>Schéma o.d. (Fraxodi) : 171 UI/kg ×1/j (max 18 000 UI/j), pendant 5–7 jours puis relais AVK/AOD.</w:t>
      </w:r>
    </w:p>
    <w:p>
      <w:pPr>
        <w:pStyle w:val="ListBullet"/>
      </w:pPr>
      <w:r/>
      <w:r>
        <w:rPr>
          <w:b/>
        </w:rPr>
        <w:t>Adulte SCA</w:t>
      </w:r>
      <w:r>
        <w:t xml:space="preserve"> : 86 UI/kg ×2/j SC pendant la durée de l'hospitalisation.</w:t>
      </w:r>
    </w:p>
    <w:p>
      <w:pPr>
        <w:pStyle w:val="ListBullet"/>
      </w:pPr>
      <w:r/>
      <w:r>
        <w:rPr>
          <w:b/>
        </w:rPr>
        <w:t>Insuffisance rénale</w:t>
      </w:r>
      <w:r>
        <w:t xml:space="preserve"> : contre-indication si ClCr &lt; 30 mL/min en curatif (switch pour HNF) ; en prophylaxie, prudence et surveillance anti-Xa.</w:t>
      </w:r>
    </w:p>
    <w:p>
      <w:pPr>
        <w:pStyle w:val="ListBullet"/>
      </w:pPr>
      <w:r/>
      <w:r>
        <w:rPr>
          <w:b/>
        </w:rPr>
        <w:t>Durée :</w:t>
      </w:r>
      <w:r>
        <w:t xml:space="preserve"> Selon indication — orthopédique 5–35 jours, médicale 6–14 jours, TVP/EP 5–7 jours (relais AVK/AOD).</w:t>
      </w:r>
    </w:p>
    <w:p>
      <w:pPr>
        <w:pStyle w:val="ListBullet"/>
      </w:pPr>
      <w:r/>
      <w:r>
        <w:rPr>
          <w:b/>
        </w:rPr>
        <w:t>Moment de prise</w:t>
      </w:r>
      <w:r>
        <w:t xml:space="preserve"> : SC à heure fixe (matin ou soir selon protocole).</w:t>
      </w:r>
    </w:p>
    <w:p>
      <w:r/>
      <w:r>
        <w:rPr>
          <w:b/>
        </w:rPr>
        <w:t>Arbitrage et Bénéfices des Formes Galéniques :</w:t>
      </w:r>
      <w:r/>
    </w:p>
    <w:p>
      <w:r>
        <w:t xml:space="preserve">La nadroparine était disponible en seringues pré-remplies avec système de sécurité, en deux gammes : </w:t>
      </w:r>
      <w:r>
        <w:rPr>
          <w:b/>
        </w:rPr>
        <w:t>Fraxiparine</w:t>
      </w:r>
      <w:r>
        <w:t xml:space="preserve"> (prophylaxie et curatif ×2/j, 5 dosages selon le poids) et </w:t>
      </w:r>
      <w:r>
        <w:rPr>
          <w:b/>
        </w:rPr>
        <w:t>Fraxodi</w:t>
      </w:r>
      <w:r>
        <w:t xml:space="preserve"> (curatif ×1/j, 3 dosages). La multiplicité des dosages permettait une adaptation au poids en curatif (schéma Fraxodi) sans nécessité de calcul complexe. Le système de sécurité d'aiguille permettait une auto-injection sécurisée à domicile. Comparée à l'enoxaparine, la nadroparine avait l'avantage d'une seule injection par jour en curatif (schéma Fraxodi), mais était moins documentée en oncologie que la daltéparine.</w:t>
      </w:r>
    </w:p>
    <w:p>
      <w:r/>
      <w:r>
        <w:rPr>
          <w:b/>
        </w:rPr>
        <w:t>Instructions et Conseils au Patient :</w:t>
      </w:r>
      <w:r/>
    </w:p>
    <w:p>
      <w:pPr>
        <w:pStyle w:val="ListBullet"/>
      </w:pPr>
      <w:r/>
      <w:r>
        <w:rPr>
          <w:b/>
        </w:rPr>
        <w:t>Communication au comptoir :</w:t>
      </w:r>
      <w:r>
        <w:t xml:space="preserve"> "Ce traitement est un anticoagulant injectable sous-cutané, une à deux fois par jour. Il fluidifie le sang. Il s'utilise en auto-injection après formation."</w:t>
      </w:r>
    </w:p>
    <w:p>
      <w:pPr>
        <w:pStyle w:val="ListBullet"/>
      </w:pPr>
      <w:r/>
      <w:r>
        <w:rPr>
          <w:b/>
        </w:rPr>
        <w:t>Mode d'utilisation pratique :</w:t>
      </w:r>
      <w:r>
        <w:t xml:space="preserve"> Identique à l'enoxaparine (technique SC correcte, rotations des sites, container à aiguilles).</w:t>
      </w:r>
    </w:p>
    <w:p>
      <w:pPr>
        <w:pStyle w:val="ListBullet"/>
      </w:pPr>
      <w:r/>
      <w:r>
        <w:rPr>
          <w:b/>
        </w:rPr>
        <w:t>Surveillance :</w:t>
      </w:r>
      <w:r>
        <w:t xml:space="preserve"> NFS-plaquettes 2×/semaine ×14 jours, kaliémie à 7 jours, créatininémie mensuelle si prolongé.</w:t>
      </w:r>
    </w:p>
    <w:p>
      <w:r/>
      <w:r>
        <w:rPr>
          <w:b/>
        </w:rPr>
        <w:t>Notes, Règles d'Or &amp; Pièges au Comptoir :</w:t>
      </w:r>
      <w:r/>
    </w:p>
    <w:p>
      <w:pPr>
        <w:pStyle w:val="ListBullet"/>
      </w:pPr>
      <w:r/>
      <w:r>
        <w:rPr>
          <w:b/>
        </w:rPr>
        <w:t>Piège classique :</w:t>
      </w:r>
      <w:r>
        <w:t xml:space="preserve"> Confusion entre dosages Fraxiparine (1 900, 2 850, 3 800, 5 700, 7 600 UI) et Fraxodi (11 400, 15 200, 19 000 UI) — risque de surdosage en cas de confusion (le Fraxodi est réservé au curatif o.d.).</w:t>
      </w:r>
    </w:p>
    <w:p>
      <w:pPr>
        <w:pStyle w:val="ListBullet"/>
      </w:pPr>
      <w:r/>
      <w:r>
        <w:rPr>
          <w:b/>
        </w:rPr>
        <w:t>Piège classique :</w:t>
      </w:r>
      <w:r>
        <w:t xml:space="preserve"> Nadroparine + AINS → majoration hémorragique.</w:t>
      </w:r>
    </w:p>
    <w:p>
      <w:pPr>
        <w:pStyle w:val="ListBullet"/>
      </w:pPr>
      <w:r/>
      <w:r>
        <w:rPr>
          <w:b/>
        </w:rPr>
        <w:t>Piège classique :</w:t>
      </w:r>
      <w:r>
        <w:t xml:space="preserve"> ALR péridurale — respecter délai 12 h (prophylaxie) à 24 h (curatif).</w:t>
      </w:r>
    </w:p>
    <w:p>
      <w:pPr>
        <w:pStyle w:val="ListBullet"/>
      </w:pPr>
      <w:r/>
      <w:r>
        <w:rPr>
          <w:b/>
        </w:rPr>
        <w:t>Règle de prise :</w:t>
      </w:r>
      <w:r>
        <w:t xml:space="preserve"> À heure fixe, selon protocole b.i.d. ou o.d.</w:t>
      </w:r>
    </w:p>
    <w:p>
      <w:pPr>
        <w:pStyle w:val="ListBullet"/>
      </w:pPr>
      <w:r/>
      <w:r>
        <w:rPr>
          <w:b/>
        </w:rPr>
        <w:t>Préparation et Conservation :</w:t>
      </w:r>
      <w:r>
        <w:t xml:space="preserve"> À température ambiante (&lt; 25 °C), à l'abri de la lumière. Ne pas congeler.</w:t>
      </w:r>
    </w:p>
    <w:p>
      <w:pPr>
        <w:pStyle w:val="ListBullet"/>
      </w:pPr>
      <w:r/>
      <w:r>
        <w:rPr>
          <w:b/>
        </w:rPr>
        <w:t>Piège du surdosage / Substitution :</w:t>
      </w:r>
      <w:r>
        <w:t xml:space="preserve"> </w:t>
      </w:r>
      <w:r>
        <w:rPr>
          <w:b/>
        </w:rPr>
        <w:t>Sulfate de protamine</w:t>
      </w:r>
      <w:r>
        <w:t xml:space="preserve"> IV (1 mg pour 100 UI de nadroparine) — neutralisation ~60 %. </w:t>
      </w:r>
      <w:r>
        <w:rPr>
          <w:b/>
        </w:rPr>
        <w:t>Néant pour substitution</w:t>
      </w:r>
      <w:r>
        <w:t xml:space="preserve"> (toutes les spécialités nadroparine sont retirées du marché algérien — à signaler au patient et au prescripteur pour switch vers enoxaparine ou daltéparine disponibles).</w:t>
      </w:r>
    </w:p>
    <w:p>
      <w:pPr>
        <w:pStyle w:val="Heading3"/>
      </w:pPr>
      <w:r>
        <w:t>9. DCI : Tinzaparine (Seule)</w:t>
      </w:r>
    </w:p>
    <w:p>
      <w:r/>
      <w:r>
        <w:rPr>
          <w:b/>
        </w:rPr>
        <w:t>Liste des Catégories :</w:t>
      </w:r>
      <w:r>
        <w:t xml:space="preserve"> Liste I (toutes spécialités).</w:t>
      </w:r>
    </w:p>
    <w:p>
      <w:r>
        <w:t xml:space="preserve">La tinzaparine (PM moyen 5 500 Da, ratio anti-Xa/anti-IIa 1,9:1 — le plus bas de la classe des HBPM) est obtenue par </w:t>
      </w:r>
      <w:r>
        <w:rPr>
          <w:b/>
        </w:rPr>
        <w:t>dépolymérisation enzymatique par l'héparinase</w:t>
      </w:r>
      <w:r>
        <w:t xml:space="preserve"> (Issue de Flavobacterium heparinum), ce qui lui confère une particularité pharmacocinétique majeure : une </w:t>
      </w:r>
      <w:r>
        <w:rPr>
          <w:b/>
        </w:rPr>
        <w:t>élimination hépatique et réticulo-endothéliale prédominante</w:t>
      </w:r>
      <w:r>
        <w:t xml:space="preserve"> (et non rénale comme les autres HBPM), ce qui en fait </w:t>
      </w:r>
      <w:r>
        <w:rPr>
          <w:b/>
        </w:rPr>
        <w:t>la HBPM de choix chez le patient insuffisant rénal</w:t>
      </w:r>
      <w:r>
        <w:t xml:space="preserve"> (ClCr &lt; 30 mL/min). Disponible en Algérie uniquement sous le princeps Innohep® (Laboratoires LEO), en 6 dosages différents pour adapter à la prophylaxie (2 500, 3 500, 4 500 UI) et au curatif (10 000, 14 000, 18 000 UI) selon le poids. La tinzaparine se distingue également par une </w:t>
      </w:r>
      <w:r>
        <w:rPr>
          <w:b/>
        </w:rPr>
        <w:t>demi-vie plus longue</w:t>
      </w:r>
      <w:r>
        <w:t xml:space="preserve"> que l'enoxaparine en IR (mais similaire chez le sujet sain), justifiant son usage en une injection par jour en curatif.</w:t>
      </w:r>
    </w:p>
    <w:p>
      <w:r/>
      <w:r>
        <w:rPr>
          <w:b/>
        </w:rPr>
        <w:t>Médicaments disponibles en Algérie (Marques, Laboratoires, Formes et Dosages) :</w:t>
      </w:r>
      <w:r/>
    </w:p>
    <w:p>
      <w:pPr>
        <w:pStyle w:val="ListBullet"/>
      </w:pPr>
      <w:r/>
      <w:r>
        <w:rPr>
          <w:b/>
        </w:rPr>
        <w:t>INNOHEP</w:t>
      </w:r>
      <w:r>
        <w:t xml:space="preserve"> (LABORATOIRES LEO) — Princeps, tous dosages avec système de sécurité d'aiguille</w:t>
      </w:r>
    </w:p>
    <w:p>
      <w:pPr>
        <w:pStyle w:val="ListBullet"/>
      </w:pPr>
      <w:r>
        <w:t xml:space="preserve">Solution injectable SC en seringue pré-remplie </w:t>
      </w:r>
      <w:r>
        <w:rPr>
          <w:b/>
        </w:rPr>
        <w:t>2 500 UI anti-Xa/0,25 mL</w:t>
      </w:r>
      <w:r>
        <w:t>, B/02 et B/10 seringues de 0,25 mL. Statut : Actif</w:t>
      </w:r>
    </w:p>
    <w:p>
      <w:pPr>
        <w:pStyle w:val="ListBullet"/>
      </w:pPr>
      <w:r>
        <w:t xml:space="preserve">Solution injectable SC en seringue pré-remplie </w:t>
      </w:r>
      <w:r>
        <w:rPr>
          <w:b/>
        </w:rPr>
        <w:t>3 500 UI anti-Xa/0,35 mL</w:t>
      </w:r>
      <w:r>
        <w:t>, B/02 et B/10 seringues de 0,35 mL. Statut : Actif</w:t>
      </w:r>
    </w:p>
    <w:p>
      <w:pPr>
        <w:pStyle w:val="ListBullet"/>
      </w:pPr>
      <w:r>
        <w:t xml:space="preserve">Solution injectable SC en seringue pré-remplie </w:t>
      </w:r>
      <w:r>
        <w:rPr>
          <w:b/>
        </w:rPr>
        <w:t>4 500 UI anti-Xa/0,45 mL</w:t>
      </w:r>
      <w:r>
        <w:t>, B/02 et B/10 seringues de 0,45 mL. Statut : Actif</w:t>
      </w:r>
    </w:p>
    <w:p>
      <w:pPr>
        <w:pStyle w:val="ListBullet"/>
      </w:pPr>
      <w:r>
        <w:t xml:space="preserve">Solution injectable SC en seringue pré-remplie </w:t>
      </w:r>
      <w:r>
        <w:rPr>
          <w:b/>
        </w:rPr>
        <w:t>10 000 UI anti-Xa/0,5 mL</w:t>
      </w:r>
      <w:r>
        <w:t>, B/02 et B/10 seringues de 0,5 mL. Statut : Actif</w:t>
      </w:r>
    </w:p>
    <w:p>
      <w:pPr>
        <w:pStyle w:val="ListBullet"/>
      </w:pPr>
      <w:r>
        <w:t xml:space="preserve">Solution injectable SC en seringue pré-remplie </w:t>
      </w:r>
      <w:r>
        <w:rPr>
          <w:b/>
        </w:rPr>
        <w:t>14 000 UI anti-Xa/0,7 mL</w:t>
      </w:r>
      <w:r>
        <w:t>, B/02 et B/10 seringues de 0,7 mL. Statut : Actif</w:t>
      </w:r>
    </w:p>
    <w:p>
      <w:pPr>
        <w:pStyle w:val="ListBullet"/>
      </w:pPr>
      <w:r>
        <w:t xml:space="preserve">Solution injectable SC en seringue pré-remplie </w:t>
      </w:r>
      <w:r>
        <w:rPr>
          <w:b/>
        </w:rPr>
        <w:t>18 000 UI anti-Xa/0,9 mL</w:t>
      </w:r>
      <w:r>
        <w:t>, B/02 et B/10 seringues de 0,9 mL. Statut : Actif</w:t>
      </w:r>
    </w:p>
    <w:p>
      <w:r>
        <w:t>À noter : les 3 dosages "faibles" (2 500, 3 500, 4 500 UI) sont prophylactiques, les 3 "forts" (10 000, 14 000, 18 000 UI) sont curatifs. La dose curative est de 175 UI/kg/j en une injection, ce qui correspond à 10 000 UI pour ~57 kg, 14 000 UI pour ~80 kg, 18 000 UI pour ~103 kg.</w:t>
      </w:r>
    </w:p>
    <w:p>
      <w:r/>
      <w:r>
        <w:rPr>
          <w:b/>
        </w:rPr>
        <w:t>Sous-classe et Mécanisme d'action :</w:t>
      </w:r>
      <w:r/>
    </w:p>
    <w:p>
      <w:pPr>
        <w:pStyle w:val="ListBullet"/>
      </w:pPr>
      <w:r/>
      <w:r>
        <w:rPr>
          <w:b/>
        </w:rPr>
        <w:t>Sous-classe :</w:t>
      </w:r>
      <w:r>
        <w:t xml:space="preserve"> Héparine de bas poids moléculaire (HBPM), anticoagulant parentéral, potentialisateur de l'antithrombine, action anti-Xa prédominante (ratio 1,9:1 — le plus bas de la classe, dû au PM plus élevé et aux chaînes longues plus nombreuses).</w:t>
      </w:r>
    </w:p>
    <w:p>
      <w:pPr>
        <w:pStyle w:val="ListBullet"/>
      </w:pPr>
      <w:r/>
      <w:r>
        <w:rPr>
          <w:b/>
        </w:rPr>
        <w:t>Mécanisme d'action :</w:t>
      </w:r>
      <w:r>
        <w:t xml:space="preserve"> La tinzaparine se lie à l'antithrombine (AT) par la séquence pentasaccharidique, accélérant l'inhibition du </w:t>
      </w:r>
      <w:r>
        <w:rPr>
          <w:b/>
        </w:rPr>
        <w:t>facteur Xa</w:t>
      </w:r>
      <w:r>
        <w:t xml:space="preserve"> (et accessoirement de la thrombine, en proportion relativement plus importante que les autres HBPM en raison de son ratio 1,9 — chaînes longues plus nombreuses). L'effet anticoagulant est prédictible, avec une biodisponibilité SC proche de 100 %, un pic à 4–5 h et une demi-vie de 3–4 h chez le sujet sain (jusqu'à 8–10 h en IR, mais sans accumulation significative en raison de l'élimination non rénale prédominante).</w:t>
      </w:r>
    </w:p>
    <w:p>
      <w:r/>
      <w:r>
        <w:rPr>
          <w:b/>
        </w:rPr>
        <w:t>Profil Pharmacologique :</w:t>
      </w:r>
      <w:r/>
    </w:p>
    <w:p>
      <w:pPr>
        <w:pStyle w:val="ListBullet"/>
      </w:pPr>
      <w:r/>
      <w:r>
        <w:rPr>
          <w:b/>
        </w:rPr>
        <w:t>Indications :</w:t>
      </w:r>
      <w:r/>
    </w:p>
    <w:p>
      <w:pPr>
        <w:pStyle w:val="ListBullet"/>
      </w:pPr>
      <w:r/>
      <w:r>
        <w:rPr>
          <w:b/>
        </w:rPr>
        <w:t>Prophylaxie chirurgicale</w:t>
      </w:r>
      <w:r>
        <w:t xml:space="preserve"> : 3 500 UI (poids &lt; 50 kg), 4 500 UI (poids ≥ 50 kg), ou 50 UI/kg SC ×1/j, début 12 h avant chirurgie ou 12 h après, pendant 5–10 jours (générale) ou 35 jours (orthopédique).</w:t>
      </w:r>
    </w:p>
    <w:p>
      <w:pPr>
        <w:pStyle w:val="ListBullet"/>
      </w:pPr>
      <w:r/>
      <w:r>
        <w:rPr>
          <w:b/>
        </w:rPr>
        <w:t>Prophylaxie médicale</w:t>
      </w:r>
      <w:r>
        <w:t xml:space="preserve"> : 4 500 UI SC ×1/j pendant 6–14 jours.</w:t>
      </w:r>
    </w:p>
    <w:p>
      <w:pPr>
        <w:pStyle w:val="ListBullet"/>
      </w:pPr>
      <w:r/>
      <w:r>
        <w:rPr>
          <w:b/>
        </w:rPr>
        <w:t>Traitement curatif TVP/EP</w:t>
      </w:r>
      <w:r>
        <w:t xml:space="preserve"> : 175 UI/kg ×1/j SC, pendant 5–7 jours puis relais AVK/AOD. Particularité : pas de réduction de dose chez le sujet âgé ≥ 75 ans (à la différence de l'enoxaparine où la dose est réduite à 0,75 mg/kg ×2/j en SCA).</w:t>
      </w:r>
    </w:p>
    <w:p>
      <w:pPr>
        <w:pStyle w:val="ListBullet"/>
      </w:pPr>
      <w:r/>
      <w:r>
        <w:rPr>
          <w:b/>
        </w:rPr>
        <w:t>Prévention thromboembolique en oncologie</w:t>
      </w:r>
      <w:r>
        <w:t xml:space="preserve"> : étude CASSIOPEA en cours, données préliminaires favorables.</w:t>
      </w:r>
    </w:p>
    <w:p>
      <w:pPr>
        <w:pStyle w:val="ListBullet"/>
      </w:pPr>
      <w:r/>
      <w:r>
        <w:rPr>
          <w:b/>
        </w:rPr>
        <w:t>Prévention et curatif chez le patient insuffisant rénal</w:t>
      </w:r>
      <w:r>
        <w:t xml:space="preserve"> : indication préférentielle (vs enoxaparine, daltéparine, nadroparine) en raison de l'élimination non rénale prédominante.</w:t>
      </w:r>
    </w:p>
    <w:p>
      <w:pPr>
        <w:pStyle w:val="ListBullet"/>
      </w:pPr>
      <w:r/>
      <w:r>
        <w:rPr>
          <w:b/>
        </w:rPr>
        <w:t>Contre-indications :</w:t>
      </w:r>
      <w:r>
        <w:t xml:space="preserve"> Hypersensibilité ; </w:t>
      </w:r>
      <w:r>
        <w:rPr>
          <w:b/>
        </w:rPr>
        <w:t>TIH</w:t>
      </w:r>
      <w:r>
        <w:t xml:space="preserve"> ; </w:t>
      </w:r>
      <w:r>
        <w:rPr>
          <w:b/>
        </w:rPr>
        <w:t>hémorragie active</w:t>
      </w:r>
      <w:r>
        <w:t xml:space="preserve"> ; endocardite infectieuse ; HTA sévère non contrôlée ; lésions organiques hémorragiques ; </w:t>
      </w:r>
      <w:r>
        <w:rPr>
          <w:b/>
        </w:rPr>
        <w:t>allaitement</w:t>
      </w:r>
      <w:r>
        <w:t xml:space="preserve"> (à évaluer selon contexte — généralement compatible selon CRAT).</w:t>
      </w:r>
    </w:p>
    <w:p>
      <w:pPr>
        <w:pStyle w:val="ListBullet"/>
      </w:pPr>
      <w:r/>
      <w:r>
        <w:rPr>
          <w:b/>
        </w:rPr>
        <w:t>Effets Indésirables :</w:t>
      </w:r>
      <w:r>
        <w:t xml:space="preserve"> Identiques à l'enoxaparine : hémorragies, TIH (rare), hématome au point d'injection, hyperkaliémie, élévation transaminases, ostéoporose au long cours, réactions cutanées.</w:t>
      </w:r>
    </w:p>
    <w:p>
      <w:r/>
      <w:r>
        <w:rPr>
          <w:b/>
        </w:rPr>
        <w:t>Prévention et Gestion des Effets Indésirables :</w:t>
      </w:r>
      <w:r/>
    </w:p>
    <w:p>
      <w:pPr>
        <w:pStyle w:val="ListBullet"/>
      </w:pPr>
      <w:r/>
      <w:r>
        <w:rPr>
          <w:b/>
        </w:rPr>
        <w:t>Mesures Préventives :</w:t>
      </w:r>
      <w:r>
        <w:t xml:space="preserve"> Identiques à l'enoxaparine (surveillance plaquettaire 2×/semaine ×14 j, kaliémie à 7 j, créatininémie mensuelle si prolongé, adaptation selon poids, technique d'injection SC).</w:t>
      </w:r>
    </w:p>
    <w:p>
      <w:pPr>
        <w:pStyle w:val="ListBullet"/>
      </w:pPr>
      <w:r/>
      <w:r>
        <w:rPr>
          <w:b/>
        </w:rPr>
        <w:t>Conduite à Tenir :</w:t>
      </w:r>
      <w:r>
        <w:t xml:space="preserve"> Identique à l'enoxaparine (sulfate de protamine IV 1 mg pour 100 UI de tinzaparine — neutralisation ~60 % ; arrêt et switch pour argatroban/bivalirudine si TIH).</w:t>
      </w:r>
    </w:p>
    <w:p>
      <w:r/>
      <w:r>
        <w:rPr>
          <w:b/>
        </w:rPr>
        <w:t>Interactions Importantes :</w:t>
      </w:r>
      <w:r/>
    </w:p>
    <w:p>
      <w:pPr>
        <w:pStyle w:val="ListBullet"/>
      </w:pPr>
      <w:r/>
      <w:r>
        <w:rPr>
          <w:b/>
        </w:rPr>
        <w:t>Tinzaparine + AINS / Aspirine</w:t>
      </w:r>
      <w:r>
        <w:t xml:space="preserve"> : majoration hémorragique.</w:t>
      </w:r>
    </w:p>
    <w:p>
      <w:pPr>
        <w:pStyle w:val="ListBullet"/>
      </w:pPr>
      <w:r/>
      <w:r>
        <w:rPr>
          <w:b/>
        </w:rPr>
        <w:t>Tinzaparine + Clopidogrel / Ticagrelor</w:t>
      </w:r>
      <w:r>
        <w:t xml:space="preserve"> : triple thérapie — risque hémorragique.</w:t>
      </w:r>
    </w:p>
    <w:p>
      <w:pPr>
        <w:pStyle w:val="ListBullet"/>
      </w:pPr>
      <w:r/>
      <w:r>
        <w:rPr>
          <w:b/>
        </w:rPr>
        <w:t>Tinzaparine + Anticoagulants oraux</w:t>
      </w:r>
      <w:r>
        <w:t xml:space="preserve"> : chevauchement en relais.</w:t>
      </w:r>
    </w:p>
    <w:p>
      <w:pPr>
        <w:pStyle w:val="ListBullet"/>
      </w:pPr>
      <w:r/>
      <w:r>
        <w:rPr>
          <w:b/>
        </w:rPr>
        <w:t>Tinzaparine + GP IIb/IIIa inhibitors</w:t>
      </w:r>
      <w:r>
        <w:t xml:space="preserve"> : en angioplastie — risque +++.</w:t>
      </w:r>
    </w:p>
    <w:p>
      <w:r/>
      <w:r>
        <w:rPr>
          <w:b/>
        </w:rPr>
        <w:t>Grossesse et Allaitement :</w:t>
      </w:r>
      <w:r/>
    </w:p>
    <w:p>
      <w:pPr>
        <w:pStyle w:val="ListBullet"/>
      </w:pPr>
      <w:r/>
      <w:r>
        <w:rPr>
          <w:b/>
        </w:rPr>
        <w:t>Grossesse :</w:t>
      </w:r>
      <w:r>
        <w:t xml:space="preserve"> </w:t>
      </w:r>
      <w:r>
        <w:rPr>
          <w:b/>
        </w:rPr>
        <w:t>Compatible</w:t>
      </w:r>
      <w:r>
        <w:t xml:space="preserve"> (CRAT). Pas de passage transplacentaire. Utilisable en prophylaxie et curatif pendant toute la grossesse. Particulièrement indiquée chez la patiente avec IR associée.</w:t>
      </w:r>
    </w:p>
    <w:p>
      <w:pPr>
        <w:pStyle w:val="ListBullet"/>
      </w:pPr>
      <w:r/>
      <w:r>
        <w:rPr>
          <w:b/>
        </w:rPr>
        <w:t>Allaitement :</w:t>
      </w:r>
      <w:r>
        <w:t xml:space="preserve"> </w:t>
      </w:r>
      <w:r>
        <w:rPr>
          <w:b/>
        </w:rPr>
        <w:t>Compatible</w:t>
      </w:r>
      <w:r>
        <w:t xml:space="preserve"> (CRAT). Pas de passage dans le lait. Allaitement autorisé.</w:t>
      </w:r>
    </w:p>
    <w:p>
      <w:pPr>
        <w:pStyle w:val="ListBullet"/>
      </w:pPr>
      <w:r/>
      <w:r>
        <w:rPr>
          <w:b/>
        </w:rPr>
        <w:t>Précisions :</w:t>
      </w:r>
      <w:r>
        <w:t xml:space="preserve"> Mêmes précautions que pour l'enoxaparine (ALR).</w:t>
      </w:r>
    </w:p>
    <w:p>
      <w:r/>
      <w:r>
        <w:rPr>
          <w:b/>
        </w:rPr>
        <w:t>Posologie et Mode d'administration (Standard) :</w:t>
      </w:r>
      <w:r/>
    </w:p>
    <w:p>
      <w:pPr>
        <w:pStyle w:val="ListBullet"/>
      </w:pPr>
      <w:r/>
      <w:r>
        <w:rPr>
          <w:b/>
        </w:rPr>
        <w:t>Adulte prophylaxie chirurgicale</w:t>
      </w:r>
      <w:r>
        <w:t xml:space="preserve"> : 50 UI/kg SC ×1/j, début 2 h avant chirurgie ou 6–12 h après. Dose usuelle : 3 500 UI (poids &lt; 50 kg) ou 4 500 UI (poids ≥ 50 kg). Pendant 5–10 jours (générale) ou 35 jours (orthopédique).</w:t>
      </w:r>
    </w:p>
    <w:p>
      <w:pPr>
        <w:pStyle w:val="ListBullet"/>
      </w:pPr>
      <w:r/>
      <w:r>
        <w:rPr>
          <w:b/>
        </w:rPr>
        <w:t>Adulte prophylaxie médicale</w:t>
      </w:r>
      <w:r>
        <w:t xml:space="preserve"> : 4 500 UI SC ×1/j pendant 6–14 jours.</w:t>
      </w:r>
    </w:p>
    <w:p>
      <w:pPr>
        <w:pStyle w:val="ListBullet"/>
      </w:pPr>
      <w:r/>
      <w:r>
        <w:rPr>
          <w:b/>
        </w:rPr>
        <w:t>Adulte traitement curatif TVP/EP</w:t>
      </w:r>
      <w:r>
        <w:t xml:space="preserve"> : </w:t>
      </w:r>
      <w:r>
        <w:rPr>
          <w:b/>
        </w:rPr>
        <w:t>175 UI/kg ×1/j</w:t>
      </w:r>
      <w:r>
        <w:t xml:space="preserve"> SC, pendant 5–7 jours puis relais AVK/AOD. Adaptation par dosage de la seringue : 10 000 UI (patient ~57 kg), 14 000 UI (~80 kg), 18 000 UI (~103 kg). Pour un patient &gt; 100 kg, association de deux seringues (ex : 14 000 + 10 000 UI pour 137 kg).</w:t>
      </w:r>
    </w:p>
    <w:p>
      <w:pPr>
        <w:pStyle w:val="ListBullet"/>
      </w:pPr>
      <w:r/>
      <w:r>
        <w:rPr>
          <w:b/>
        </w:rPr>
        <w:t>Adulte SCA</w:t>
      </w:r>
      <w:r>
        <w:t xml:space="preserve"> : moins validée que l'enoxaparine, mais utilisable à la même dose (175 UI/kg/j).</w:t>
      </w:r>
    </w:p>
    <w:p>
      <w:pPr>
        <w:pStyle w:val="ListBullet"/>
      </w:pPr>
      <w:r/>
      <w:r>
        <w:rPr>
          <w:b/>
        </w:rPr>
        <w:t>Sujet âgé ≥ 75 ans (curatif TVP/EP)</w:t>
      </w:r>
      <w:r>
        <w:t xml:space="preserve"> : pas de réduction systématique (à la différence de l'enoxaparine en SCA où la dose est réduite à 0,75 mg/kg ×2/j).</w:t>
      </w:r>
    </w:p>
    <w:p>
      <w:pPr>
        <w:pStyle w:val="ListBullet"/>
      </w:pPr>
      <w:r/>
      <w:r>
        <w:rPr>
          <w:b/>
        </w:rPr>
        <w:t>Insuffisance rénale</w:t>
      </w:r>
      <w:r>
        <w:t xml:space="preserve"> :</w:t>
      </w:r>
    </w:p>
    <w:p>
      <w:pPr>
        <w:pStyle w:val="ListBullet"/>
      </w:pPr>
      <w:r>
        <w:t>ClCr ≥ 30 mL/min : pas d'adaptation (à la différence des autres HBPM, la tinzaparine ne s'accumule pas significativement en IR modérée).</w:t>
      </w:r>
    </w:p>
    <w:p>
      <w:pPr>
        <w:pStyle w:val="ListBullet"/>
      </w:pPr>
      <w:r>
        <w:t>ClCr 20–30 mL/min : prudence, surveillance anti-Xa.</w:t>
      </w:r>
    </w:p>
    <w:p>
      <w:pPr>
        <w:pStyle w:val="ListBullet"/>
      </w:pPr>
      <w:r>
        <w:t>ClCr &lt; 20 mL/min : prudence accrue, surveillance anti-Xa étroite, ou switch pour HNF.</w:t>
      </w:r>
    </w:p>
    <w:p>
      <w:pPr>
        <w:pStyle w:val="ListBullet"/>
      </w:pPr>
      <w:r>
        <w:t>La tinzaparine est la HBPM de choix en IR modérée à sévère en raison de l'élimination hépatique prédominante.</w:t>
      </w:r>
    </w:p>
    <w:p>
      <w:pPr>
        <w:pStyle w:val="ListBullet"/>
      </w:pPr>
      <w:r/>
      <w:r>
        <w:rPr>
          <w:b/>
        </w:rPr>
        <w:t>Durée :</w:t>
      </w:r>
      <w:r>
        <w:t xml:space="preserve"> Selon indication — orthopédique 5–35 jours, médicale 6–14 jours, TVP/EP 5–7 jours (relais AVK/AOD).</w:t>
      </w:r>
    </w:p>
    <w:p>
      <w:pPr>
        <w:pStyle w:val="ListBullet"/>
      </w:pPr>
      <w:r/>
      <w:r>
        <w:rPr>
          <w:b/>
        </w:rPr>
        <w:t>Moment de prise</w:t>
      </w:r>
      <w:r>
        <w:t xml:space="preserve"> : SC à heure fixe (le matin en général).</w:t>
      </w:r>
    </w:p>
    <w:p>
      <w:r/>
      <w:r>
        <w:rPr>
          <w:b/>
        </w:rPr>
        <w:t>Arbitrage et Bénéfices des Formes Galéniques :</w:t>
      </w:r>
      <w:r/>
    </w:p>
    <w:p>
      <w:r>
        <w:t xml:space="preserve">La tinzaparine est disponible en </w:t>
      </w:r>
      <w:r>
        <w:rPr>
          <w:b/>
        </w:rPr>
        <w:t>seringues pré-remplies</w:t>
      </w:r>
      <w:r>
        <w:t xml:space="preserve"> avec système de sécurité d'aiguille. La multiplicité des 6 dosages permet une adaptation au poids en prophylaxie et en curatif sans manipulation hasardeuse. L'avantage majeur de la tinzaparine est son </w:t>
      </w:r>
      <w:r>
        <w:rPr>
          <w:b/>
        </w:rPr>
        <w:t>élimination non rénale prédominante</w:t>
      </w:r>
      <w:r>
        <w:t xml:space="preserve"> qui en fait la HBPM de choix en IR — évitant le switch pour HNF (qui nécessite perfusion IV et surveillance TCA) chez le patient avec ClCr &lt; 30 mL/min. Sa place en oncologie est en cours d'évaluation (études CASSIOPEA). Comparée à l'enoxaparine, la tinzaparine est moins prescrite en Algérie mais reste une alternative intéressante en cardiologie et oncologie gériatrique.</w:t>
      </w:r>
    </w:p>
    <w:p>
      <w:r/>
      <w:r>
        <w:rPr>
          <w:b/>
        </w:rPr>
        <w:t>Instructions et Conseils au Patient :</w:t>
      </w:r>
      <w:r/>
    </w:p>
    <w:p>
      <w:pPr>
        <w:pStyle w:val="ListBullet"/>
      </w:pPr>
      <w:r/>
      <w:r>
        <w:rPr>
          <w:b/>
        </w:rPr>
        <w:t>Communication au comptoir :</w:t>
      </w:r>
      <w:r>
        <w:t xml:space="preserve"> "Ce traitement est un anticoagulant injectable sous-cutané, une fois par jour. Il fluidifie le sang. Il s'utilise en auto-injection après formation."</w:t>
      </w:r>
    </w:p>
    <w:p>
      <w:pPr>
        <w:pStyle w:val="ListBullet"/>
      </w:pPr>
      <w:r/>
      <w:r>
        <w:rPr>
          <w:b/>
        </w:rPr>
        <w:t>Mode d'utilisation pratique :</w:t>
      </w:r>
      <w:r>
        <w:t xml:space="preserve"> Identique à l'enoxaparine (technique SC correcte, rotations des sites, container à aiguilles).</w:t>
      </w:r>
    </w:p>
    <w:p>
      <w:pPr>
        <w:pStyle w:val="ListBullet"/>
      </w:pPr>
      <w:r/>
      <w:r>
        <w:rPr>
          <w:b/>
        </w:rPr>
        <w:t>Surveillance :</w:t>
      </w:r>
      <w:r>
        <w:t xml:space="preserve"> NFS-plaquettes 2×/semaine ×14 jours, kaliémie à 7 jours, créatininémie mensuelle si prolongé. Anti-Xa si &gt; 100 kg, &lt; 40 kg, IR, grossesse à dose curative.</w:t>
      </w:r>
    </w:p>
    <w:p>
      <w:r/>
      <w:r>
        <w:rPr>
          <w:b/>
        </w:rPr>
        <w:t>Notes, Règles d'Or &amp; Pièges au Comptoir :</w:t>
      </w:r>
      <w:r/>
    </w:p>
    <w:p>
      <w:pPr>
        <w:pStyle w:val="ListBullet"/>
      </w:pPr>
      <w:r/>
      <w:r>
        <w:rPr>
          <w:b/>
        </w:rPr>
        <w:t>Piège classique :</w:t>
      </w:r>
      <w:r>
        <w:t xml:space="preserve"> Tinzaparine = HBPM de choix en IR (vs enoxaparine contre-indiquée en curatif si ClCr &lt; 30 mL/min). À retenir pour les examens.</w:t>
      </w:r>
    </w:p>
    <w:p>
      <w:pPr>
        <w:pStyle w:val="ListBullet"/>
      </w:pPr>
      <w:r/>
      <w:r>
        <w:rPr>
          <w:b/>
        </w:rPr>
        <w:t>Piège classique :</w:t>
      </w:r>
      <w:r>
        <w:t xml:space="preserve"> Tinzaparine + AINS → majoration hémorragique.</w:t>
      </w:r>
    </w:p>
    <w:p>
      <w:pPr>
        <w:pStyle w:val="ListBullet"/>
      </w:pPr>
      <w:r/>
      <w:r>
        <w:rPr>
          <w:b/>
        </w:rPr>
        <w:t>Piège classique :</w:t>
      </w:r>
      <w:r>
        <w:t xml:space="preserve"> ALR péridurale — respecter délai 12 h (prophylaxie) à 24 h (curatif).</w:t>
      </w:r>
    </w:p>
    <w:p>
      <w:pPr>
        <w:pStyle w:val="ListBullet"/>
      </w:pPr>
      <w:r/>
      <w:r>
        <w:rPr>
          <w:b/>
        </w:rPr>
        <w:t>Piège classique :</w:t>
      </w:r>
      <w:r>
        <w:t xml:space="preserve"> Dose curative 175 UI/kg/j en o.d. (à ne pas confondre avec le schéma b.i.d. de l'enoxaparine à 100 UI/kg ×2/j).</w:t>
      </w:r>
    </w:p>
    <w:p>
      <w:pPr>
        <w:pStyle w:val="ListBullet"/>
      </w:pPr>
      <w:r/>
      <w:r>
        <w:rPr>
          <w:b/>
        </w:rPr>
        <w:t>Règle de prise :</w:t>
      </w:r>
      <w:r>
        <w:t xml:space="preserve"> À heure fixe, une fois par jour (le matin en général).</w:t>
      </w:r>
    </w:p>
    <w:p>
      <w:pPr>
        <w:pStyle w:val="ListBullet"/>
      </w:pPr>
      <w:r/>
      <w:r>
        <w:rPr>
          <w:b/>
        </w:rPr>
        <w:t>Préparation et Conservation :</w:t>
      </w:r>
      <w:r>
        <w:t xml:space="preserve"> À température ambiante (&lt; 25 °C), à l'abri de la lumière. Ne pas congeler.</w:t>
      </w:r>
    </w:p>
    <w:p>
      <w:pPr>
        <w:pStyle w:val="ListBullet"/>
      </w:pPr>
      <w:r/>
      <w:r>
        <w:rPr>
          <w:b/>
        </w:rPr>
        <w:t>Piège du surdosage / Substitution :</w:t>
      </w:r>
      <w:r>
        <w:t xml:space="preserve"> </w:t>
      </w:r>
      <w:r>
        <w:rPr>
          <w:b/>
        </w:rPr>
        <w:t>Sulfate de protamine</w:t>
      </w:r>
      <w:r>
        <w:t xml:space="preserve"> IV (1 mg pour 100 UI de tinzaparine) — neutralisation ~60 %. </w:t>
      </w:r>
      <w:r>
        <w:rPr>
          <w:b/>
        </w:rPr>
        <w:t>Pas de substitution de marque</w:t>
      </w:r>
      <w:r>
        <w:t xml:space="preserve"> (Innohep® est l'unique spécialité disponible).</w:t>
      </w:r>
    </w:p>
    <w:p>
      <w:pPr>
        <w:pStyle w:val="Heading3"/>
      </w:pPr>
      <w:r>
        <w:t>10. DCI : Bémiparine (Seule)</w:t>
      </w:r>
    </w:p>
    <w:p>
      <w:r/>
      <w:r>
        <w:rPr>
          <w:b/>
        </w:rPr>
        <w:t>Liste des Catégories :</w:t>
      </w:r>
      <w:r>
        <w:t xml:space="preserve"> Liste I (mention "Liste" absente dans le fichier source — généralement Liste I en France, mais à confirmer en Algérie).</w:t>
      </w:r>
    </w:p>
    <w:p>
      <w:r>
        <w:t xml:space="preserve">La bémiparine (PM moyen 3 600 Da — la plus petite des HBPM commercialisées) est obtenue par </w:t>
      </w:r>
      <w:r>
        <w:rPr>
          <w:b/>
        </w:rPr>
        <w:t>fractionnement par radicaux oxygénés</w:t>
      </w:r>
      <w:r>
        <w:t xml:space="preserve"> (oxydoréduction) de l'HNF, ce qui la classe dans la "2e génération" des HBPM. Elle se caractérise par : (i) le </w:t>
      </w:r>
      <w:r>
        <w:rPr>
          <w:b/>
        </w:rPr>
        <w:t>PM le plus bas</w:t>
      </w:r>
      <w:r>
        <w:t xml:space="preserve"> de la classe (3 600 Da vs 4 200 pour l'enoxaparine, 6 000 pour la daltéparine), (ii) le </w:t>
      </w:r>
      <w:r>
        <w:rPr>
          <w:b/>
        </w:rPr>
        <w:t>ratio anti-Xa/anti-IIa le plus élevé</w:t>
      </w:r>
      <w:r>
        <w:t xml:space="preserve"> de la classe (4:1, reflétant la perte quasi complète des chaînes longues capables d'inhiber la thrombine), (iii) une </w:t>
      </w:r>
      <w:r>
        <w:rPr>
          <w:b/>
        </w:rPr>
        <w:t>demi-vie plus longue</w:t>
      </w:r>
      <w:r>
        <w:t xml:space="preserve"> (5–6 h), (iv) une </w:t>
      </w:r>
      <w:r>
        <w:rPr>
          <w:b/>
        </w:rPr>
        <w:t>faible libération d'histamine</w:t>
      </w:r>
      <w:r>
        <w:t xml:space="preserve"> (moins d'effets indésirables immunoallergiques), et (v) une </w:t>
      </w:r>
      <w:r>
        <w:rPr>
          <w:b/>
        </w:rPr>
        <w:t>moindre induction de TIH</w:t>
      </w:r>
      <w:r>
        <w:t xml:space="preserve"> (la plus faible de la classe). Disponible en Algérie uniquement sous le princeps Hibor® (Hikma Pharmaceuticals) en 5 dosages (2 500, 3 500, 5 000, 7 500, 10 000 UI anti-Xa), la bémiparine est actuellement </w:t>
      </w:r>
      <w:r>
        <w:rPr>
          <w:b/>
        </w:rPr>
        <w:t>non renouvelée sur le marché algérien</w:t>
      </w:r>
      <w:r>
        <w:t xml:space="preserve"> — l'ensemble des dosages sont au statut "Non Renouvelable". Le retrait (non-renouvellement) est probablement lié à des raisons industrielles (Hikma a réorienté sa production vers d'autres spécialités).</w:t>
      </w:r>
    </w:p>
    <w:p>
      <w:r/>
      <w:r>
        <w:rPr>
          <w:b/>
        </w:rPr>
        <w:t>Médicaments disponibles en Algérie (Marques, Laboratoires, Formes et Dosages) :</w:t>
      </w:r>
      <w:r/>
    </w:p>
    <w:p>
      <w:r>
        <w:t>Le fichier source présente les données de manière consolidée pour le dosage "HIBOR 5000 / 7500 / 10 000" (concentration unique de 25 000 UI/mL correspondant aux différents volumes 0,2 mL/0,3 mL/0,4 mL), et des lignes séparées pour HIBOR 2500 et HIBOR 3500.</w:t>
      </w:r>
    </w:p>
    <w:p>
      <w:pPr>
        <w:pStyle w:val="ListBullet"/>
      </w:pPr>
      <w:r/>
      <w:r>
        <w:rPr>
          <w:b/>
        </w:rPr>
        <w:t>HIBOR 5000 / 7500 / 10 000</w:t>
      </w:r>
      <w:r>
        <w:t xml:space="preserve"> (HIKMA PHARMACEUTICALS)</w:t>
      </w:r>
    </w:p>
    <w:p>
      <w:pPr>
        <w:pStyle w:val="ListBullet"/>
      </w:pPr>
      <w:r>
        <w:t>Formes et Dosages : Solution injectable SC, concentration 25 000 UI anti-Xa/mL, avec trois dosages : 5 000 UI anti-Xa/0,2 mL, 7 500 UI anti-Xa/0,3 mL, 10 000 UI anti-Xa/0,4 mL.</w:t>
      </w:r>
    </w:p>
    <w:p>
      <w:pPr>
        <w:pStyle w:val="ListBullet"/>
      </w:pPr>
      <w:r>
        <w:t>Conditionnement : B/02 seringues pré-remplies unidoses de 0,2 mL, 0,3 mL, ou 0,4 mL.</w:t>
      </w:r>
    </w:p>
    <w:p>
      <w:pPr>
        <w:pStyle w:val="ListBullet"/>
      </w:pPr>
      <w:r>
        <w:t>Statut : Non Renouvelable</w:t>
      </w:r>
    </w:p>
    <w:p>
      <w:pPr>
        <w:pStyle w:val="ListBullet"/>
      </w:pPr>
      <w:r/>
      <w:r>
        <w:rPr>
          <w:b/>
        </w:rPr>
        <w:t>HIBOR 2500</w:t>
      </w:r>
      <w:r>
        <w:t xml:space="preserve"> (HIKMA PHARMACEUTICALS)</w:t>
      </w:r>
    </w:p>
    <w:p>
      <w:pPr>
        <w:pStyle w:val="ListBullet"/>
      </w:pPr>
      <w:r>
        <w:t>Formes et Dosages : Solution injectable SC, 12 500 UI anti-Xa/mL (soit 2 500 UI anti-Xa/0,2 mL).</w:t>
      </w:r>
    </w:p>
    <w:p>
      <w:pPr>
        <w:pStyle w:val="ListBullet"/>
      </w:pPr>
      <w:r>
        <w:t>Conditionnement : B/02 seringues pré-remplies unidoses de 0,2 mL.</w:t>
      </w:r>
    </w:p>
    <w:p>
      <w:pPr>
        <w:pStyle w:val="ListBullet"/>
      </w:pPr>
      <w:r>
        <w:t>Statut : Non Renouvelable</w:t>
      </w:r>
    </w:p>
    <w:p>
      <w:pPr>
        <w:pStyle w:val="ListBullet"/>
      </w:pPr>
      <w:r/>
      <w:r>
        <w:rPr>
          <w:b/>
        </w:rPr>
        <w:t>HIBOR 3500</w:t>
      </w:r>
      <w:r>
        <w:t xml:space="preserve"> (HIKMA PHARMACEUTICALS)</w:t>
      </w:r>
    </w:p>
    <w:p>
      <w:pPr>
        <w:pStyle w:val="ListBullet"/>
      </w:pPr>
      <w:r>
        <w:t>Formes et Dosages : Solution injectable SC, 17 500 UI anti-Xa/mL (soit 3 500 UI anti-Xa/0,2 mL).</w:t>
      </w:r>
    </w:p>
    <w:p>
      <w:pPr>
        <w:pStyle w:val="ListBullet"/>
      </w:pPr>
      <w:r>
        <w:t>Conditionnement : B/02 seringues pré-remplies unidoses de 0,2 mL.</w:t>
      </w:r>
    </w:p>
    <w:p>
      <w:pPr>
        <w:pStyle w:val="ListBullet"/>
      </w:pPr>
      <w:r>
        <w:t>Statut : Non Renouvelable</w:t>
      </w:r>
    </w:p>
    <w:p>
      <w:r>
        <w:t>À noter : les 5 dosages correspondent à des adaptations prophylactiques (2 500 et 3 500 UI pour les patients à faible poids ou prophylaxie modérée) et curatives (5 000, 7 500 et 10 000 UI). La dose prophylactique standard est de 3 500 UI/j, et la dose curative est de 115 UI/kg/j en une injection. L'absence d'AMM en France pour la bémiparine (non commercialisée en France) explique le manque de données comparatives directes avec l'enoxaparine, mais les essais cliniques (Bemiparin Assessment in Major Knee Surgery — BAMIK, etc.) ont montré une efficacité comparable ou supérieure.</w:t>
      </w:r>
    </w:p>
    <w:p>
      <w:r/>
      <w:r>
        <w:rPr>
          <w:b/>
        </w:rPr>
        <w:t>Sous-classe et Mécanisme d'action :</w:t>
      </w:r>
      <w:r/>
    </w:p>
    <w:p>
      <w:pPr>
        <w:pStyle w:val="ListBullet"/>
      </w:pPr>
      <w:r/>
      <w:r>
        <w:rPr>
          <w:b/>
        </w:rPr>
        <w:t>Sous-classe :</w:t>
      </w:r>
      <w:r>
        <w:t xml:space="preserve"> Héparine de bas poids moléculaire (HBPM) de 2e génération, anticoagulant parentéral, potentialisateur de l'antithrombine, action anti-Xa prédominante (ratio 4:1 — le plus élevé de la classe).</w:t>
      </w:r>
    </w:p>
    <w:p>
      <w:pPr>
        <w:pStyle w:val="ListBullet"/>
      </w:pPr>
      <w:r/>
      <w:r>
        <w:rPr>
          <w:b/>
        </w:rPr>
        <w:t>Mécanisme d'action :</w:t>
      </w:r>
      <w:r>
        <w:t xml:space="preserve"> La bémiparine se lie à l'antithrombine (AT) par la séquence pentasaccharidique, accélérant l'inhibition du </w:t>
      </w:r>
      <w:r>
        <w:rPr>
          <w:b/>
        </w:rPr>
        <w:t>facteur Xa</w:t>
      </w:r>
      <w:r>
        <w:t xml:space="preserve"> (et très accessoirement de la thrombine, en proportion négligeable en raison du PM bas et de la perte quasi complète des chaînes longues). L'effet anticoagulant est prédictible, avec une biodisponibilité SC proche de 100 %, un pic à 3–4 h et une demi-vie de 5–6 h. L'élimination est majoritairement rénale.</w:t>
      </w:r>
    </w:p>
    <w:p>
      <w:r/>
      <w:r>
        <w:rPr>
          <w:b/>
        </w:rPr>
        <w:t>Profil Pharmacologique :</w:t>
      </w:r>
      <w:r/>
    </w:p>
    <w:p>
      <w:pPr>
        <w:pStyle w:val="ListBullet"/>
      </w:pPr>
      <w:r/>
      <w:r>
        <w:rPr>
          <w:b/>
        </w:rPr>
        <w:t>Indications :</w:t>
      </w:r>
      <w:r/>
    </w:p>
    <w:p>
      <w:pPr>
        <w:pStyle w:val="ListBullet"/>
      </w:pPr>
      <w:r/>
      <w:r>
        <w:rPr>
          <w:b/>
        </w:rPr>
        <w:t>Prophylaxie chirurgicale</w:t>
      </w:r>
      <w:r>
        <w:t xml:space="preserve"> (générale et orthopédique) : 3 500 UI SC ×1/j, début 2 h avant chirurgie ou 6 h après, pendant 7–10 jours (générale) ou 35 jours (orthopédique).</w:t>
      </w:r>
    </w:p>
    <w:p>
      <w:pPr>
        <w:pStyle w:val="ListBullet"/>
      </w:pPr>
      <w:r/>
      <w:r>
        <w:rPr>
          <w:b/>
        </w:rPr>
        <w:t>Prophylaxie médicale</w:t>
      </w:r>
      <w:r>
        <w:t xml:space="preserve"> : 3 500 UI SC ×1/j pendant 6–14 jours.</w:t>
      </w:r>
    </w:p>
    <w:p>
      <w:pPr>
        <w:pStyle w:val="ListBullet"/>
      </w:pPr>
      <w:r/>
      <w:r>
        <w:rPr>
          <w:b/>
        </w:rPr>
        <w:t>Traitement curatif TVP</w:t>
      </w:r>
      <w:r>
        <w:t xml:space="preserve"> : 115 UI/kg ×1/j SC, pendant 5–7 jours puis relais AVK/AOD.</w:t>
      </w:r>
    </w:p>
    <w:p>
      <w:pPr>
        <w:pStyle w:val="ListBullet"/>
      </w:pPr>
      <w:r/>
      <w:r>
        <w:rPr>
          <w:b/>
        </w:rPr>
        <w:t>Prévention de l'extension de la TVP</w:t>
      </w:r>
      <w:r>
        <w:t xml:space="preserve"> : même dose.</w:t>
      </w:r>
    </w:p>
    <w:p>
      <w:pPr>
        <w:pStyle w:val="ListBullet"/>
      </w:pPr>
      <w:r/>
      <w:r>
        <w:rPr>
          <w:b/>
        </w:rPr>
        <w:t>Prévention thromboembolique en oncologie</w:t>
      </w:r>
      <w:r>
        <w:t xml:space="preserve"> : données émergentes.</w:t>
      </w:r>
    </w:p>
    <w:p>
      <w:pPr>
        <w:pStyle w:val="ListBullet"/>
      </w:pPr>
      <w:r/>
      <w:r>
        <w:rPr>
          <w:b/>
        </w:rPr>
        <w:t>Contre-indications :</w:t>
      </w:r>
      <w:r>
        <w:t xml:space="preserve"> Hypersensibilité ; </w:t>
      </w:r>
      <w:r>
        <w:rPr>
          <w:b/>
        </w:rPr>
        <w:t>TIH</w:t>
      </w:r>
      <w:r>
        <w:t xml:space="preserve"> ; </w:t>
      </w:r>
      <w:r>
        <w:rPr>
          <w:b/>
        </w:rPr>
        <w:t>hémorragie active</w:t>
      </w:r>
      <w:r>
        <w:t xml:space="preserve"> ; </w:t>
      </w:r>
      <w:r>
        <w:rPr>
          <w:b/>
        </w:rPr>
        <w:t>insuffisance rénale sévère ClCr &lt; 30 mL/min</w:t>
      </w:r>
      <w:r>
        <w:t xml:space="preserve"> (en curatif) ; endocardite infectieuse ; HTA sévère non contrôlée ; lésions organiques hémorragiques.</w:t>
      </w:r>
    </w:p>
    <w:p>
      <w:pPr>
        <w:pStyle w:val="ListBullet"/>
      </w:pPr>
      <w:r/>
      <w:r>
        <w:rPr>
          <w:b/>
        </w:rPr>
        <w:t>Effets Indésirables :</w:t>
      </w:r>
      <w:r>
        <w:t xml:space="preserve"> Identiques à l'enoxaparine : hémorragies, TIH (rare — le risque le plus faible de la classe), hématome au point d'injection, hyperkaliémie, élévation transaminases, ostéoporose au long cours, réactions cutanées. Moins d'effets immunoallergiques (histamine) que les autres HBPM.</w:t>
      </w:r>
    </w:p>
    <w:p>
      <w:r/>
      <w:r>
        <w:rPr>
          <w:b/>
        </w:rPr>
        <w:t>Prévention et Gestion des Effets Indésirables :</w:t>
      </w:r>
      <w:r/>
    </w:p>
    <w:p>
      <w:pPr>
        <w:pStyle w:val="ListBullet"/>
      </w:pPr>
      <w:r/>
      <w:r>
        <w:rPr>
          <w:b/>
        </w:rPr>
        <w:t>Mesures Préventives :</w:t>
      </w:r>
      <w:r>
        <w:t xml:space="preserve"> Identiques à l'enoxaparine (surveillance plaquettaire 2×/semaine ×14 j, kaliémie à 7 j, créatininémie mensuelle si prolongé, adaptation selon poids/ClCr, technique d'injection SC).</w:t>
      </w:r>
    </w:p>
    <w:p>
      <w:pPr>
        <w:pStyle w:val="ListBullet"/>
      </w:pPr>
      <w:r/>
      <w:r>
        <w:rPr>
          <w:b/>
        </w:rPr>
        <w:t>Conduite à Tenir :</w:t>
      </w:r>
      <w:r>
        <w:t xml:space="preserve"> Identique à l'enoxaparine (sulfate de protamine IV 1 mg pour 100 UI de bémiparine — neutralisation ~60 % ; arrêt et switch pour argatroban/bivalirudine si TIH).</w:t>
      </w:r>
    </w:p>
    <w:p>
      <w:r/>
      <w:r>
        <w:rPr>
          <w:b/>
        </w:rPr>
        <w:t>Interactions Importantes :</w:t>
      </w:r>
      <w:r/>
    </w:p>
    <w:p>
      <w:pPr>
        <w:pStyle w:val="ListBullet"/>
      </w:pPr>
      <w:r/>
      <w:r>
        <w:rPr>
          <w:b/>
        </w:rPr>
        <w:t>Bémiparine + AINS / Aspirine</w:t>
      </w:r>
      <w:r>
        <w:t xml:space="preserve"> : majoration hémorragique.</w:t>
      </w:r>
    </w:p>
    <w:p>
      <w:pPr>
        <w:pStyle w:val="ListBullet"/>
      </w:pPr>
      <w:r/>
      <w:r>
        <w:rPr>
          <w:b/>
        </w:rPr>
        <w:t>Bémiparine + Clopidogrel / Ticagrelor</w:t>
      </w:r>
      <w:r>
        <w:t xml:space="preserve"> : triple thérapie — risque hémorragique.</w:t>
      </w:r>
    </w:p>
    <w:p>
      <w:pPr>
        <w:pStyle w:val="ListBullet"/>
      </w:pPr>
      <w:r/>
      <w:r>
        <w:rPr>
          <w:b/>
        </w:rPr>
        <w:t>Bémiparine + Anticoagulants oraux</w:t>
      </w:r>
      <w:r>
        <w:t xml:space="preserve"> : chevauchement en relais.</w:t>
      </w:r>
    </w:p>
    <w:p>
      <w:pPr>
        <w:pStyle w:val="ListBullet"/>
      </w:pPr>
      <w:r/>
      <w:r>
        <w:rPr>
          <w:b/>
        </w:rPr>
        <w:t>Bémiparine + GP IIb/IIIa inhibitors</w:t>
      </w:r>
      <w:r>
        <w:t xml:space="preserve"> : en angioplastie — risque +++.</w:t>
      </w:r>
    </w:p>
    <w:p>
      <w:r/>
      <w:r>
        <w:rPr>
          <w:b/>
        </w:rPr>
        <w:t>Grossesse et Allaitement :</w:t>
      </w:r>
      <w:r/>
    </w:p>
    <w:p>
      <w:pPr>
        <w:pStyle w:val="ListBullet"/>
      </w:pPr>
      <w:r/>
      <w:r>
        <w:rPr>
          <w:b/>
        </w:rPr>
        <w:t>Grossesse :</w:t>
      </w:r>
      <w:r>
        <w:t xml:space="preserve"> </w:t>
      </w:r>
      <w:r>
        <w:rPr>
          <w:b/>
        </w:rPr>
        <w:t>Compatible</w:t>
      </w:r>
      <w:r>
        <w:t xml:space="preserve"> (CRAT). Pas de passage transplacentaire. Utilisable en prophylaxie et curatif pendant toute la grossesse. Dose prophylactique 3 500 UI/j, dose curative 115 UI/kg/j.</w:t>
      </w:r>
    </w:p>
    <w:p>
      <w:pPr>
        <w:pStyle w:val="ListBullet"/>
      </w:pPr>
      <w:r/>
      <w:r>
        <w:rPr>
          <w:b/>
        </w:rPr>
        <w:t>Allaitement :</w:t>
      </w:r>
      <w:r>
        <w:t xml:space="preserve"> </w:t>
      </w:r>
      <w:r>
        <w:rPr>
          <w:b/>
        </w:rPr>
        <w:t>Compatible</w:t>
      </w:r>
      <w:r>
        <w:t xml:space="preserve"> (CRAT). Pas de passage dans le lait. Allaitement autorisé.</w:t>
      </w:r>
    </w:p>
    <w:p>
      <w:pPr>
        <w:pStyle w:val="ListBullet"/>
      </w:pPr>
      <w:r/>
      <w:r>
        <w:rPr>
          <w:b/>
        </w:rPr>
        <w:t>Précisions :</w:t>
      </w:r>
      <w:r>
        <w:t xml:space="preserve"> Mêmes précautions que pour l'enoxaparine (ALR).</w:t>
      </w:r>
    </w:p>
    <w:p>
      <w:r/>
      <w:r>
        <w:rPr>
          <w:b/>
        </w:rPr>
        <w:t>Posologie et Mode d'administration (Standard) :</w:t>
      </w:r>
      <w:r/>
    </w:p>
    <w:p>
      <w:pPr>
        <w:pStyle w:val="ListBullet"/>
      </w:pPr>
      <w:r/>
      <w:r>
        <w:rPr>
          <w:b/>
        </w:rPr>
        <w:t>Adulte prophylaxie chirurgicale</w:t>
      </w:r>
      <w:r>
        <w:t xml:space="preserve"> : 3 500 UI SC ×1/j, début 2 h avant chirurgie ou 6 h après, pendant 5–10 jours (générale) ou 35 jours (orthopédique).</w:t>
      </w:r>
    </w:p>
    <w:p>
      <w:pPr>
        <w:pStyle w:val="ListBullet"/>
      </w:pPr>
      <w:r/>
      <w:r>
        <w:rPr>
          <w:b/>
        </w:rPr>
        <w:t>Adulte prophylaxie médicale</w:t>
      </w:r>
      <w:r>
        <w:t xml:space="preserve"> : 3 500 UI SC ×1/j pendant 6–14 jours.</w:t>
      </w:r>
    </w:p>
    <w:p>
      <w:pPr>
        <w:pStyle w:val="ListBullet"/>
      </w:pPr>
      <w:r/>
      <w:r>
        <w:rPr>
          <w:b/>
        </w:rPr>
        <w:t>Adulte traitement curatif TVP</w:t>
      </w:r>
      <w:r>
        <w:t xml:space="preserve"> : 115 UI/kg ×1/j SC, pendant 5–7 jours puis relais AVK/AOD.</w:t>
      </w:r>
    </w:p>
    <w:p>
      <w:pPr>
        <w:pStyle w:val="ListBullet"/>
      </w:pPr>
      <w:r/>
      <w:r>
        <w:rPr>
          <w:b/>
        </w:rPr>
        <w:t>Insuffisance rénale</w:t>
      </w:r>
      <w:r>
        <w:t xml:space="preserve"> :</w:t>
      </w:r>
    </w:p>
    <w:p>
      <w:pPr>
        <w:pStyle w:val="ListBullet"/>
      </w:pPr>
      <w:r>
        <w:t>ClCr ≥ 30 mL/min : pas d'adaptation en prophylaxie ; en curatif, surveillance anti-Xa.</w:t>
      </w:r>
    </w:p>
    <w:p>
      <w:pPr>
        <w:pStyle w:val="ListBullet"/>
      </w:pPr>
      <w:r>
        <w:t>ClCr &lt; 30 mL/min : contre-indication en curatif (switch pour HNF) ; en prophylaxie, switch pour HNF 5 000 UI ×2/j SC.</w:t>
      </w:r>
    </w:p>
    <w:p>
      <w:pPr>
        <w:pStyle w:val="ListBullet"/>
      </w:pPr>
      <w:r/>
      <w:r>
        <w:rPr>
          <w:b/>
        </w:rPr>
        <w:t>Durée :</w:t>
      </w:r>
      <w:r>
        <w:t xml:space="preserve"> Selon indication — orthopédique 5–35 jours, médicale 6–14 jours, TVP 5–7 jours (relais AVK/AOD).</w:t>
      </w:r>
    </w:p>
    <w:p>
      <w:pPr>
        <w:pStyle w:val="ListBullet"/>
      </w:pPr>
      <w:r/>
      <w:r>
        <w:rPr>
          <w:b/>
        </w:rPr>
        <w:t>Moment de prise</w:t>
      </w:r>
      <w:r>
        <w:t xml:space="preserve"> : SC à heure fixe (le matin en général).</w:t>
      </w:r>
    </w:p>
    <w:p>
      <w:r/>
      <w:r>
        <w:rPr>
          <w:b/>
        </w:rPr>
        <w:t>Arbitrage et Bénéfices des Formes Galéniques :</w:t>
      </w:r>
      <w:r/>
    </w:p>
    <w:p>
      <w:r>
        <w:t xml:space="preserve">La bémiparine est disponible uniquement en </w:t>
      </w:r>
      <w:r>
        <w:rPr>
          <w:b/>
        </w:rPr>
        <w:t>seringues pré-remplies</w:t>
      </w:r>
      <w:r>
        <w:t xml:space="preserve"> unidoses avec système de sécurité d'aiguille. Les 5 dosages permettent une adaptation au poids en prophylaxie et en curatif sans manipulation hasardeuse. L'avantage théorique de la bémiparine est son ratio anti-Xa/anti-IIa élevé (4:1) — inhibant plus sélectivement le Xa et moins la thrombine, ce qui pourrait réduire le risque hémorragique global — et son moindre risque de TIH. Comparée à l'enoxaparine, la bémiparine est moins prescrite en Algérie (statut non renouvelé), mais reste une référence pharmacologique (2e génération).</w:t>
      </w:r>
    </w:p>
    <w:p>
      <w:r/>
      <w:r>
        <w:rPr>
          <w:b/>
        </w:rPr>
        <w:t>Instructions et Conseils au Patient :</w:t>
      </w:r>
      <w:r/>
    </w:p>
    <w:p>
      <w:pPr>
        <w:pStyle w:val="ListBullet"/>
      </w:pPr>
      <w:r/>
      <w:r>
        <w:rPr>
          <w:b/>
        </w:rPr>
        <w:t>Communication au comptoir :</w:t>
      </w:r>
      <w:r>
        <w:t xml:space="preserve"> "Ce traitement est un anticoagulant injectable sous-cutané, une fois par jour. Il fluidifie le sang. Il s'utilise en auto-injection après formation."</w:t>
      </w:r>
    </w:p>
    <w:p>
      <w:pPr>
        <w:pStyle w:val="ListBullet"/>
      </w:pPr>
      <w:r/>
      <w:r>
        <w:rPr>
          <w:b/>
        </w:rPr>
        <w:t>Mode d'utilisation pratique :</w:t>
      </w:r>
      <w:r>
        <w:t xml:space="preserve"> Identique à l'enoxaparine (technique SC correcte, rotations des sites, container à aiguilles).</w:t>
      </w:r>
    </w:p>
    <w:p>
      <w:pPr>
        <w:pStyle w:val="ListBullet"/>
      </w:pPr>
      <w:r/>
      <w:r>
        <w:rPr>
          <w:b/>
        </w:rPr>
        <w:t>Surveillance :</w:t>
      </w:r>
      <w:r>
        <w:t xml:space="preserve"> NFS-plaquettes 2×/semaine ×14 jours, kaliémie à 7 jours, créatininémie mensuelle si prolongé.</w:t>
      </w:r>
    </w:p>
    <w:p>
      <w:r/>
      <w:r>
        <w:rPr>
          <w:b/>
        </w:rPr>
        <w:t>Notes, Règles d'Or &amp; Pièges au Comptoir :</w:t>
      </w:r>
      <w:r/>
    </w:p>
    <w:p>
      <w:pPr>
        <w:pStyle w:val="ListBullet"/>
      </w:pPr>
      <w:r/>
      <w:r>
        <w:rPr>
          <w:b/>
        </w:rPr>
        <w:t>Piège classique :</w:t>
      </w:r>
      <w:r>
        <w:t xml:space="preserve"> Bémiparine = HBPM de 2e génération avec le ratio anti-Xa/anti-IIa le plus élevé (4:1) et le moindre risque de TIH — à retenir pour les examens.</w:t>
      </w:r>
    </w:p>
    <w:p>
      <w:pPr>
        <w:pStyle w:val="ListBullet"/>
      </w:pPr>
      <w:r/>
      <w:r>
        <w:rPr>
          <w:b/>
        </w:rPr>
        <w:t>Piège classique :</w:t>
      </w:r>
      <w:r>
        <w:t xml:space="preserve"> Bémiparine non renouvelée en Algérie — ne pas délivrer ; orienter le patient vers le prescripteur pour switch vers enoxaparine ou daltéparine disponibles.</w:t>
      </w:r>
    </w:p>
    <w:p>
      <w:pPr>
        <w:pStyle w:val="ListBullet"/>
      </w:pPr>
      <w:r/>
      <w:r>
        <w:rPr>
          <w:b/>
        </w:rPr>
        <w:t>Piège classique :</w:t>
      </w:r>
      <w:r>
        <w:t xml:space="preserve"> Bémiparine + AINS → majoration hémorragique.</w:t>
      </w:r>
    </w:p>
    <w:p>
      <w:pPr>
        <w:pStyle w:val="ListBullet"/>
      </w:pPr>
      <w:r/>
      <w:r>
        <w:rPr>
          <w:b/>
        </w:rPr>
        <w:t>Piège classique :</w:t>
      </w:r>
      <w:r>
        <w:t xml:space="preserve"> ALR péridurale — respecter délai 12 h (prophylaxie) à 24 h (curatif).</w:t>
      </w:r>
    </w:p>
    <w:p>
      <w:pPr>
        <w:pStyle w:val="ListBullet"/>
      </w:pPr>
      <w:r/>
      <w:r>
        <w:rPr>
          <w:b/>
        </w:rPr>
        <w:t>Règle de prise :</w:t>
      </w:r>
      <w:r>
        <w:t xml:space="preserve"> À heure fixe, une fois par jour.</w:t>
      </w:r>
    </w:p>
    <w:p>
      <w:pPr>
        <w:pStyle w:val="ListBullet"/>
      </w:pPr>
      <w:r/>
      <w:r>
        <w:rPr>
          <w:b/>
        </w:rPr>
        <w:t>Préparation et Conservation :</w:t>
      </w:r>
      <w:r>
        <w:t xml:space="preserve"> À température ambiante (&lt; 25 °C), à l'abri de la lumière. Ne pas congeler.</w:t>
      </w:r>
    </w:p>
    <w:p>
      <w:pPr>
        <w:pStyle w:val="ListBullet"/>
      </w:pPr>
      <w:r/>
      <w:r>
        <w:rPr>
          <w:b/>
        </w:rPr>
        <w:t>Piège du surdosage / Substitution :</w:t>
      </w:r>
      <w:r>
        <w:t xml:space="preserve"> </w:t>
      </w:r>
      <w:r>
        <w:rPr>
          <w:b/>
        </w:rPr>
        <w:t>Sulfate de protamine</w:t>
      </w:r>
      <w:r>
        <w:t xml:space="preserve"> IV (1 mg pour 100 UI de bémiparine) — neutralisation ~60 %. </w:t>
      </w:r>
      <w:r>
        <w:rPr>
          <w:b/>
        </w:rPr>
        <w:t>Pas de substitution</w:t>
      </w:r>
      <w:r>
        <w:t xml:space="preserve"> (Hibor® est l'unique spécialité, et elle est non renouvelée).</w:t>
      </w:r>
    </w:p>
    <w:p>
      <w:pPr>
        <w:pStyle w:val="Heading2"/>
      </w:pPr>
      <w:r>
        <w:t>Tableau comparatif récapitulatif des 10 anticoagulants disponibles en Algérie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Cible</w:t>
            </w:r>
          </w:p>
        </w:tc>
        <w:tc>
          <w:tcPr>
            <w:tcW w:type="dxa" w:w="1169"/>
          </w:tcPr>
          <w:p>
            <w:r>
              <w:rPr>
                <w:b/>
                <w:sz w:val="20"/>
              </w:rPr>
              <w:t>Demi-vie (h)</w:t>
            </w:r>
          </w:p>
        </w:tc>
        <w:tc>
          <w:tcPr>
            <w:tcW w:type="dxa" w:w="1169"/>
          </w:tcPr>
          <w:p>
            <w:r>
              <w:rPr>
                <w:b/>
                <w:sz w:val="20"/>
              </w:rPr>
              <w:t>Surveillance</w:t>
            </w:r>
          </w:p>
        </w:tc>
        <w:tc>
          <w:tcPr>
            <w:tcW w:type="dxa" w:w="1169"/>
          </w:tcPr>
          <w:p>
            <w:r>
              <w:rPr>
                <w:b/>
                <w:sz w:val="20"/>
              </w:rPr>
              <w:t>Antidote</w:t>
            </w:r>
          </w:p>
        </w:tc>
        <w:tc>
          <w:tcPr>
            <w:tcW w:type="dxa" w:w="1169"/>
          </w:tcPr>
          <w:p>
            <w:r>
              <w:rPr>
                <w:b/>
                <w:sz w:val="20"/>
              </w:rPr>
              <w:t>Posologie standard adulte</w:t>
            </w:r>
          </w:p>
        </w:tc>
        <w:tc>
          <w:tcPr>
            <w:tcW w:type="dxa" w:w="1169"/>
          </w:tcPr>
          <w:p>
            <w:r>
              <w:rPr>
                <w:b/>
                <w:sz w:val="20"/>
              </w:rPr>
              <w:t>Grossesse</w:t>
            </w:r>
          </w:p>
        </w:tc>
      </w:tr>
      <w:tr>
        <w:tc>
          <w:tcPr>
            <w:tcW w:type="dxa" w:w="1169"/>
          </w:tcPr>
          <w:p>
            <w:r>
              <w:rPr>
                <w:sz w:val="20"/>
              </w:rPr>
              <w:t>**Acénocoumarol**</w:t>
            </w:r>
          </w:p>
        </w:tc>
        <w:tc>
          <w:tcPr>
            <w:tcW w:type="dxa" w:w="1169"/>
          </w:tcPr>
          <w:p>
            <w:r>
              <w:rPr>
                <w:sz w:val="20"/>
              </w:rPr>
              <w:t>AVK</w:t>
            </w:r>
          </w:p>
        </w:tc>
        <w:tc>
          <w:tcPr>
            <w:tcW w:type="dxa" w:w="1169"/>
          </w:tcPr>
          <w:p>
            <w:r>
              <w:rPr>
                <w:sz w:val="20"/>
              </w:rPr>
              <w:t>Vit K époxyde réductase (inhibition indirecte)</w:t>
            </w:r>
          </w:p>
        </w:tc>
        <w:tc>
          <w:tcPr>
            <w:tcW w:type="dxa" w:w="1169"/>
          </w:tcPr>
          <w:p>
            <w:r>
              <w:rPr>
                <w:sz w:val="20"/>
              </w:rPr>
              <w:t>8–24</w:t>
            </w:r>
          </w:p>
        </w:tc>
        <w:tc>
          <w:tcPr>
            <w:tcW w:type="dxa" w:w="1169"/>
          </w:tcPr>
          <w:p>
            <w:r>
              <w:rPr>
                <w:sz w:val="20"/>
              </w:rPr>
              <w:t>INR cible 2–3 (2,5–3,5 valve mécanique)</w:t>
            </w:r>
          </w:p>
        </w:tc>
        <w:tc>
          <w:tcPr>
            <w:tcW w:type="dxa" w:w="1169"/>
          </w:tcPr>
          <w:p>
            <w:r>
              <w:rPr>
                <w:sz w:val="20"/>
              </w:rPr>
              <w:t>Vitamine K (phytoménadione) ; PPC en urgence</w:t>
            </w:r>
          </w:p>
        </w:tc>
        <w:tc>
          <w:tcPr>
            <w:tcW w:type="dxa" w:w="1169"/>
          </w:tcPr>
          <w:p>
            <w:r>
              <w:rPr>
                <w:sz w:val="20"/>
              </w:rPr>
              <w:t>2–8 mg/j per os, ajusté INR ; relais héparine-AVK ≥ 5 j</w:t>
            </w:r>
          </w:p>
        </w:tc>
        <w:tc>
          <w:tcPr>
            <w:tcW w:type="dxa" w:w="1169"/>
          </w:tcPr>
          <w:p>
            <w:r>
              <w:rPr>
                <w:sz w:val="20"/>
              </w:rPr>
              <w:t>CI (embryopathie 1er trim., hémorragie fœto-placentaire 3e trim.) ; allaitement compatible</w:t>
            </w:r>
          </w:p>
        </w:tc>
      </w:tr>
      <w:tr>
        <w:tc>
          <w:tcPr>
            <w:tcW w:type="dxa" w:w="1169"/>
          </w:tcPr>
          <w:p>
            <w:r>
              <w:rPr>
                <w:sz w:val="20"/>
              </w:rPr>
              <w:t>**Apixaban**</w:t>
            </w:r>
          </w:p>
        </w:tc>
        <w:tc>
          <w:tcPr>
            <w:tcW w:type="dxa" w:w="1169"/>
          </w:tcPr>
          <w:p>
            <w:r>
              <w:rPr>
                <w:sz w:val="20"/>
              </w:rPr>
              <w:t>AOD anti-Xa</w:t>
            </w:r>
          </w:p>
        </w:tc>
        <w:tc>
          <w:tcPr>
            <w:tcW w:type="dxa" w:w="1169"/>
          </w:tcPr>
          <w:p>
            <w:r>
              <w:rPr>
                <w:sz w:val="20"/>
              </w:rPr>
              <w:t>Facteur Xa (inhibition directe)</w:t>
            </w:r>
          </w:p>
        </w:tc>
        <w:tc>
          <w:tcPr>
            <w:tcW w:type="dxa" w:w="1169"/>
          </w:tcPr>
          <w:p>
            <w:r>
              <w:rPr>
                <w:sz w:val="20"/>
              </w:rPr>
              <w:t>~12</w:t>
            </w:r>
          </w:p>
        </w:tc>
        <w:tc>
          <w:tcPr>
            <w:tcW w:type="dxa" w:w="1169"/>
          </w:tcPr>
          <w:p>
            <w:r>
              <w:rPr>
                <w:sz w:val="20"/>
              </w:rPr>
              <w:t>Aucune de routine (anti-Xa si urgence)</w:t>
            </w:r>
          </w:p>
        </w:tc>
        <w:tc>
          <w:tcPr>
            <w:tcW w:type="dxa" w:w="1169"/>
          </w:tcPr>
          <w:p>
            <w:r>
              <w:rPr>
                <w:sz w:val="20"/>
              </w:rPr>
              <w:t>Andexanet alpha ; à défaut PPC 25–50 UI/kg</w:t>
            </w:r>
          </w:p>
        </w:tc>
        <w:tc>
          <w:tcPr>
            <w:tcW w:type="dxa" w:w="1169"/>
          </w:tcPr>
          <w:p>
            <w:r>
              <w:rPr>
                <w:sz w:val="20"/>
              </w:rPr>
              <w:t>FA : 5 mg ×2/j (2,5 mg ×2 si âge ≥ 80 + poids ≤ 60 kg + créat ≥ 133 µmol/L)</w:t>
            </w:r>
          </w:p>
        </w:tc>
        <w:tc>
          <w:tcPr>
            <w:tcW w:type="dxa" w:w="1169"/>
          </w:tcPr>
          <w:p>
            <w:r>
              <w:rPr>
                <w:sz w:val="20"/>
              </w:rPr>
              <w:t>CI ; allaitement déconseillé</w:t>
            </w:r>
          </w:p>
        </w:tc>
      </w:tr>
      <w:tr>
        <w:tc>
          <w:tcPr>
            <w:tcW w:type="dxa" w:w="1169"/>
          </w:tcPr>
          <w:p>
            <w:r>
              <w:rPr>
                <w:sz w:val="20"/>
              </w:rPr>
              <w:t>**Rivaroxaban**</w:t>
            </w:r>
          </w:p>
        </w:tc>
        <w:tc>
          <w:tcPr>
            <w:tcW w:type="dxa" w:w="1169"/>
          </w:tcPr>
          <w:p>
            <w:r>
              <w:rPr>
                <w:sz w:val="20"/>
              </w:rPr>
              <w:t>AOD anti-Xa</w:t>
            </w:r>
          </w:p>
        </w:tc>
        <w:tc>
          <w:tcPr>
            <w:tcW w:type="dxa" w:w="1169"/>
          </w:tcPr>
          <w:p>
            <w:r>
              <w:rPr>
                <w:sz w:val="20"/>
              </w:rPr>
              <w:t>Facteur Xa (inhibition directe)</w:t>
            </w:r>
          </w:p>
        </w:tc>
        <w:tc>
          <w:tcPr>
            <w:tcW w:type="dxa" w:w="1169"/>
          </w:tcPr>
          <w:p>
            <w:r>
              <w:rPr>
                <w:sz w:val="20"/>
              </w:rPr>
              <w:t>5–13</w:t>
            </w:r>
          </w:p>
        </w:tc>
        <w:tc>
          <w:tcPr>
            <w:tcW w:type="dxa" w:w="1169"/>
          </w:tcPr>
          <w:p>
            <w:r>
              <w:rPr>
                <w:sz w:val="20"/>
              </w:rPr>
              <w:t>Aucune de routine</w:t>
            </w:r>
          </w:p>
        </w:tc>
        <w:tc>
          <w:tcPr>
            <w:tcW w:type="dxa" w:w="1169"/>
          </w:tcPr>
          <w:p>
            <w:r>
              <w:rPr>
                <w:sz w:val="20"/>
              </w:rPr>
              <w:t>Andexanet alpha ; à défaut PPC 25–50 UI/kg</w:t>
            </w:r>
          </w:p>
        </w:tc>
        <w:tc>
          <w:tcPr>
            <w:tcW w:type="dxa" w:w="1169"/>
          </w:tcPr>
          <w:p>
            <w:r>
              <w:rPr>
                <w:sz w:val="20"/>
              </w:rPr>
              <w:t>FA : 20 mg ×1/j pendant repas (15 mg si ClCr 15–50)</w:t>
            </w:r>
          </w:p>
        </w:tc>
        <w:tc>
          <w:tcPr>
            <w:tcW w:type="dxa" w:w="1169"/>
          </w:tcPr>
          <w:p>
            <w:r>
              <w:rPr>
                <w:sz w:val="20"/>
              </w:rPr>
              <w:t>CI ; allaitement déconseillé</w:t>
            </w:r>
          </w:p>
        </w:tc>
      </w:tr>
      <w:tr>
        <w:tc>
          <w:tcPr>
            <w:tcW w:type="dxa" w:w="1169"/>
          </w:tcPr>
          <w:p>
            <w:r>
              <w:rPr>
                <w:sz w:val="20"/>
              </w:rPr>
              <w:t>**Dabigatran**</w:t>
            </w:r>
          </w:p>
        </w:tc>
        <w:tc>
          <w:tcPr>
            <w:tcW w:type="dxa" w:w="1169"/>
          </w:tcPr>
          <w:p>
            <w:r>
              <w:rPr>
                <w:sz w:val="20"/>
              </w:rPr>
              <w:t>AOD anti-IIa</w:t>
            </w:r>
          </w:p>
        </w:tc>
        <w:tc>
          <w:tcPr>
            <w:tcW w:type="dxa" w:w="1169"/>
          </w:tcPr>
          <w:p>
            <w:r>
              <w:rPr>
                <w:sz w:val="20"/>
              </w:rPr>
              <w:t>Thrombine IIa (inhibition directe)</w:t>
            </w:r>
          </w:p>
        </w:tc>
        <w:tc>
          <w:tcPr>
            <w:tcW w:type="dxa" w:w="1169"/>
          </w:tcPr>
          <w:p>
            <w:r>
              <w:rPr>
                <w:sz w:val="20"/>
              </w:rPr>
              <w:t>12–14 (27 en IR)</w:t>
            </w:r>
          </w:p>
        </w:tc>
        <w:tc>
          <w:tcPr>
            <w:tcW w:type="dxa" w:w="1169"/>
          </w:tcPr>
          <w:p>
            <w:r>
              <w:rPr>
                <w:sz w:val="20"/>
              </w:rPr>
              <w:t>Aucune de routine (TT/TCA si urgence)</w:t>
            </w:r>
          </w:p>
        </w:tc>
        <w:tc>
          <w:tcPr>
            <w:tcW w:type="dxa" w:w="1169"/>
          </w:tcPr>
          <w:p>
            <w:r>
              <w:rPr>
                <w:sz w:val="20"/>
              </w:rPr>
              <w:t>Idarucizumab (Praxbind®) ; à défaut dialyse</w:t>
            </w:r>
          </w:p>
        </w:tc>
        <w:tc>
          <w:tcPr>
            <w:tcW w:type="dxa" w:w="1169"/>
          </w:tcPr>
          <w:p>
            <w:r>
              <w:rPr>
                <w:sz w:val="20"/>
              </w:rPr>
              <w:t>FA : 150 mg ×2/j (110 mg ×2 si âge ≥ 80 ans) ; gélule entière, en blister</w:t>
            </w:r>
          </w:p>
        </w:tc>
        <w:tc>
          <w:tcPr>
            <w:tcW w:type="dxa" w:w="1169"/>
          </w:tcPr>
          <w:p>
            <w:r>
              <w:rPr>
                <w:sz w:val="20"/>
              </w:rPr>
              <w:t>CI ; allaitement déconseillé</w:t>
            </w:r>
          </w:p>
        </w:tc>
      </w:tr>
      <w:tr>
        <w:tc>
          <w:tcPr>
            <w:tcW w:type="dxa" w:w="1169"/>
          </w:tcPr>
          <w:p>
            <w:r>
              <w:rPr>
                <w:sz w:val="20"/>
              </w:rPr>
              <w:t>**HNF**</w:t>
            </w:r>
          </w:p>
        </w:tc>
        <w:tc>
          <w:tcPr>
            <w:tcW w:type="dxa" w:w="1169"/>
          </w:tcPr>
          <w:p>
            <w:r>
              <w:rPr>
                <w:sz w:val="20"/>
              </w:rPr>
              <w:t>Héparine standard</w:t>
            </w:r>
          </w:p>
        </w:tc>
        <w:tc>
          <w:tcPr>
            <w:tcW w:type="dxa" w:w="1169"/>
          </w:tcPr>
          <w:p>
            <w:r>
              <w:rPr>
                <w:sz w:val="20"/>
              </w:rPr>
              <w:t>Antithrombine → IIa + Xa (potentialisation)</w:t>
            </w:r>
          </w:p>
        </w:tc>
        <w:tc>
          <w:tcPr>
            <w:tcW w:type="dxa" w:w="1169"/>
          </w:tcPr>
          <w:p>
            <w:r>
              <w:rPr>
                <w:sz w:val="20"/>
              </w:rPr>
              <w:t>0,5–1,5 (IV)</w:t>
            </w:r>
          </w:p>
        </w:tc>
        <w:tc>
          <w:tcPr>
            <w:tcW w:type="dxa" w:w="1169"/>
          </w:tcPr>
          <w:p>
            <w:r>
              <w:rPr>
                <w:sz w:val="20"/>
              </w:rPr>
              <w:t>TCA 1,5–2,5× témoin ; plaquettes 2×/sem.</w:t>
            </w:r>
          </w:p>
        </w:tc>
        <w:tc>
          <w:tcPr>
            <w:tcW w:type="dxa" w:w="1169"/>
          </w:tcPr>
          <w:p>
            <w:r>
              <w:rPr>
                <w:sz w:val="20"/>
              </w:rPr>
              <w:t>Sulfate de protamine (1 mg / 100 UI)</w:t>
            </w:r>
          </w:p>
        </w:tc>
        <w:tc>
          <w:tcPr>
            <w:tcW w:type="dxa" w:w="1169"/>
          </w:tcPr>
          <w:p>
            <w:r>
              <w:rPr>
                <w:sz w:val="20"/>
              </w:rPr>
              <w:t>IV curatif : bolus 50–80 UI/kg + 18 UI/kg/h ; SC prophylaxie : 5 000 UI ×2–3/j</w:t>
            </w:r>
          </w:p>
        </w:tc>
        <w:tc>
          <w:tcPr>
            <w:tcW w:type="dxa" w:w="1169"/>
          </w:tcPr>
          <w:p>
            <w:r>
              <w:rPr>
                <w:sz w:val="20"/>
              </w:rPr>
              <w:t>Anticoagulant de choix 1er trimestre ; allaitement compatible</w:t>
            </w:r>
          </w:p>
        </w:tc>
      </w:tr>
      <w:tr>
        <w:tc>
          <w:tcPr>
            <w:tcW w:type="dxa" w:w="1169"/>
          </w:tcPr>
          <w:p>
            <w:r>
              <w:rPr>
                <w:sz w:val="20"/>
              </w:rPr>
              <w:t>**Enoxaparine**</w:t>
            </w:r>
          </w:p>
        </w:tc>
        <w:tc>
          <w:tcPr>
            <w:tcW w:type="dxa" w:w="1169"/>
          </w:tcPr>
          <w:p>
            <w:r>
              <w:rPr>
                <w:sz w:val="20"/>
              </w:rPr>
              <w:t>HBPM</w:t>
            </w:r>
          </w:p>
        </w:tc>
        <w:tc>
          <w:tcPr>
            <w:tcW w:type="dxa" w:w="1169"/>
          </w:tcPr>
          <w:p>
            <w:r>
              <w:rPr>
                <w:sz w:val="20"/>
              </w:rPr>
              <w:t>Antithrombine → Xa prédominant (ratio 3,2)</w:t>
            </w:r>
          </w:p>
        </w:tc>
        <w:tc>
          <w:tcPr>
            <w:tcW w:type="dxa" w:w="1169"/>
          </w:tcPr>
          <w:p>
            <w:r>
              <w:rPr>
                <w:sz w:val="20"/>
              </w:rPr>
              <w:t>4–7</w:t>
            </w:r>
          </w:p>
        </w:tc>
        <w:tc>
          <w:tcPr>
            <w:tcW w:type="dxa" w:w="1169"/>
          </w:tcPr>
          <w:p>
            <w:r>
              <w:rPr>
                <w:sz w:val="20"/>
              </w:rPr>
              <w:t>Aucune de routine (anti-Xa si besoin)</w:t>
            </w:r>
          </w:p>
        </w:tc>
        <w:tc>
          <w:tcPr>
            <w:tcW w:type="dxa" w:w="1169"/>
          </w:tcPr>
          <w:p>
            <w:r>
              <w:rPr>
                <w:sz w:val="20"/>
              </w:rPr>
              <w:t>Sulfate de protamine (1 mg / 100 UI, ~60 %)</w:t>
            </w:r>
          </w:p>
        </w:tc>
        <w:tc>
          <w:tcPr>
            <w:tcW w:type="dxa" w:w="1169"/>
          </w:tcPr>
          <w:p>
            <w:r>
              <w:rPr>
                <w:sz w:val="20"/>
              </w:rPr>
              <w:t>Prophylaxie : 4 000 UI/j ; curatif : 100 UI/kg ×2/j</w:t>
            </w:r>
          </w:p>
        </w:tc>
        <w:tc>
          <w:tcPr>
            <w:tcW w:type="dxa" w:w="1169"/>
          </w:tcPr>
          <w:p>
            <w:r>
              <w:rPr>
                <w:sz w:val="20"/>
              </w:rPr>
              <w:t>Compatible 2e et 3e trimestre ; allaitement compatible</w:t>
            </w:r>
          </w:p>
        </w:tc>
      </w:tr>
      <w:tr>
        <w:tc>
          <w:tcPr>
            <w:tcW w:type="dxa" w:w="1169"/>
          </w:tcPr>
          <w:p>
            <w:r>
              <w:rPr>
                <w:sz w:val="20"/>
              </w:rPr>
              <w:t>**Daltéparine**</w:t>
            </w:r>
          </w:p>
        </w:tc>
        <w:tc>
          <w:tcPr>
            <w:tcW w:type="dxa" w:w="1169"/>
          </w:tcPr>
          <w:p>
            <w:r>
              <w:rPr>
                <w:sz w:val="20"/>
              </w:rPr>
              <w:t>HBPM</w:t>
            </w:r>
          </w:p>
        </w:tc>
        <w:tc>
          <w:tcPr>
            <w:tcW w:type="dxa" w:w="1169"/>
          </w:tcPr>
          <w:p>
            <w:r>
              <w:rPr>
                <w:sz w:val="20"/>
              </w:rPr>
              <w:t>Antithrombine → Xa prédominant (ratio 2,7)</w:t>
            </w:r>
          </w:p>
        </w:tc>
        <w:tc>
          <w:tcPr>
            <w:tcW w:type="dxa" w:w="1169"/>
          </w:tcPr>
          <w:p>
            <w:r>
              <w:rPr>
                <w:sz w:val="20"/>
              </w:rPr>
              <w:t>3–5</w:t>
            </w:r>
          </w:p>
        </w:tc>
        <w:tc>
          <w:tcPr>
            <w:tcW w:type="dxa" w:w="1169"/>
          </w:tcPr>
          <w:p>
            <w:r>
              <w:rPr>
                <w:sz w:val="20"/>
              </w:rPr>
              <w:t>Aucune de routine (anti-Xa si besoin)</w:t>
            </w:r>
          </w:p>
        </w:tc>
        <w:tc>
          <w:tcPr>
            <w:tcW w:type="dxa" w:w="1169"/>
          </w:tcPr>
          <w:p>
            <w:r>
              <w:rPr>
                <w:sz w:val="20"/>
              </w:rPr>
              <w:t>Sulfate de protamine (~60 %)</w:t>
            </w:r>
          </w:p>
        </w:tc>
        <w:tc>
          <w:tcPr>
            <w:tcW w:type="dxa" w:w="1169"/>
          </w:tcPr>
          <w:p>
            <w:r>
              <w:rPr>
                <w:sz w:val="20"/>
              </w:rPr>
              <w:t>Prophylaxie : 5 000 UI/j ; curatif : 200 UI/kg/j ; oncologie : 200 → 150 UI/kg/j</w:t>
            </w:r>
          </w:p>
        </w:tc>
        <w:tc>
          <w:tcPr>
            <w:tcW w:type="dxa" w:w="1169"/>
          </w:tcPr>
          <w:p>
            <w:r>
              <w:rPr>
                <w:sz w:val="20"/>
              </w:rPr>
              <w:t>Compatible ; allaitement compatible</w:t>
            </w:r>
          </w:p>
        </w:tc>
      </w:tr>
      <w:tr>
        <w:tc>
          <w:tcPr>
            <w:tcW w:type="dxa" w:w="1169"/>
          </w:tcPr>
          <w:p>
            <w:r>
              <w:rPr>
                <w:sz w:val="20"/>
              </w:rPr>
              <w:t>**Nadroparine**</w:t>
            </w:r>
          </w:p>
        </w:tc>
        <w:tc>
          <w:tcPr>
            <w:tcW w:type="dxa" w:w="1169"/>
          </w:tcPr>
          <w:p>
            <w:r>
              <w:rPr>
                <w:sz w:val="20"/>
              </w:rPr>
              <w:t>HBPM</w:t>
            </w:r>
          </w:p>
        </w:tc>
        <w:tc>
          <w:tcPr>
            <w:tcW w:type="dxa" w:w="1169"/>
          </w:tcPr>
          <w:p>
            <w:r>
              <w:rPr>
                <w:sz w:val="20"/>
              </w:rPr>
              <w:t>Antithrombine → Xa prédominant (ratio 3,6)</w:t>
            </w:r>
          </w:p>
        </w:tc>
        <w:tc>
          <w:tcPr>
            <w:tcW w:type="dxa" w:w="1169"/>
          </w:tcPr>
          <w:p>
            <w:r>
              <w:rPr>
                <w:sz w:val="20"/>
              </w:rPr>
              <w:t>3,5</w:t>
            </w:r>
          </w:p>
        </w:tc>
        <w:tc>
          <w:tcPr>
            <w:tcW w:type="dxa" w:w="1169"/>
          </w:tcPr>
          <w:p>
            <w:r>
              <w:rPr>
                <w:sz w:val="20"/>
              </w:rPr>
              <w:t>Aucune de routine (anti-Xa si besoin)</w:t>
            </w:r>
          </w:p>
        </w:tc>
        <w:tc>
          <w:tcPr>
            <w:tcW w:type="dxa" w:w="1169"/>
          </w:tcPr>
          <w:p>
            <w:r>
              <w:rPr>
                <w:sz w:val="20"/>
              </w:rPr>
              <w:t>Sulfate de protamine (~60 %)</w:t>
            </w:r>
          </w:p>
        </w:tc>
        <w:tc>
          <w:tcPr>
            <w:tcW w:type="dxa" w:w="1169"/>
          </w:tcPr>
          <w:p>
            <w:r>
              <w:rPr>
                <w:sz w:val="20"/>
              </w:rPr>
              <w:t>Prophylaxie : 2 850–3 800 UI/j selon poids ; curatif : 86 UI/kg ×2/j ou 171 UI/kg ×1/j (Fraxodi)</w:t>
            </w:r>
          </w:p>
        </w:tc>
        <w:tc>
          <w:tcPr>
            <w:tcW w:type="dxa" w:w="1169"/>
          </w:tcPr>
          <w:p>
            <w:r>
              <w:rPr>
                <w:sz w:val="20"/>
              </w:rPr>
              <w:t>Compatible ; allaitement compatible. **Toutes les spécialités retirées du marché algérien**</w:t>
            </w:r>
          </w:p>
        </w:tc>
      </w:tr>
      <w:tr>
        <w:tc>
          <w:tcPr>
            <w:tcW w:type="dxa" w:w="1169"/>
          </w:tcPr>
          <w:p>
            <w:r>
              <w:rPr>
                <w:sz w:val="20"/>
              </w:rPr>
              <w:t>**Tinzaparine**</w:t>
            </w:r>
          </w:p>
        </w:tc>
        <w:tc>
          <w:tcPr>
            <w:tcW w:type="dxa" w:w="1169"/>
          </w:tcPr>
          <w:p>
            <w:r>
              <w:rPr>
                <w:sz w:val="20"/>
              </w:rPr>
              <w:t>HBPM</w:t>
            </w:r>
          </w:p>
        </w:tc>
        <w:tc>
          <w:tcPr>
            <w:tcW w:type="dxa" w:w="1169"/>
          </w:tcPr>
          <w:p>
            <w:r>
              <w:rPr>
                <w:sz w:val="20"/>
              </w:rPr>
              <w:t>Antithrombine → Xa prédominant (ratio 1,9)</w:t>
            </w:r>
          </w:p>
        </w:tc>
        <w:tc>
          <w:tcPr>
            <w:tcW w:type="dxa" w:w="1169"/>
          </w:tcPr>
          <w:p>
            <w:r>
              <w:rPr>
                <w:sz w:val="20"/>
              </w:rPr>
              <w:t>3–4 (4–6 en IR)</w:t>
            </w:r>
          </w:p>
        </w:tc>
        <w:tc>
          <w:tcPr>
            <w:tcW w:type="dxa" w:w="1169"/>
          </w:tcPr>
          <w:p>
            <w:r>
              <w:rPr>
                <w:sz w:val="20"/>
              </w:rPr>
              <w:t>Aucune de routine (anti-Xa si besoin)</w:t>
            </w:r>
          </w:p>
        </w:tc>
        <w:tc>
          <w:tcPr>
            <w:tcW w:type="dxa" w:w="1169"/>
          </w:tcPr>
          <w:p>
            <w:r>
              <w:rPr>
                <w:sz w:val="20"/>
              </w:rPr>
              <w:t>Sulfate de protamine (~60 %)</w:t>
            </w:r>
          </w:p>
        </w:tc>
        <w:tc>
          <w:tcPr>
            <w:tcW w:type="dxa" w:w="1169"/>
          </w:tcPr>
          <w:p>
            <w:r>
              <w:rPr>
                <w:sz w:val="20"/>
              </w:rPr>
              <w:t>Prophylaxie : 3 500–4 500 UI/j ; curatif : 175 UI/kg/j</w:t>
            </w:r>
          </w:p>
        </w:tc>
        <w:tc>
          <w:tcPr>
            <w:tcW w:type="dxa" w:w="1169"/>
          </w:tcPr>
          <w:p>
            <w:r>
              <w:rPr>
                <w:sz w:val="20"/>
              </w:rPr>
              <w:t>Compatible ; allaitement compatible. **HBPM de choix en IR (élimination non rénale prédominante)**</w:t>
            </w:r>
          </w:p>
        </w:tc>
      </w:tr>
      <w:tr>
        <w:tc>
          <w:tcPr>
            <w:tcW w:type="dxa" w:w="1169"/>
          </w:tcPr>
          <w:p>
            <w:r>
              <w:rPr>
                <w:sz w:val="20"/>
              </w:rPr>
              <w:t>**Bémiparine**</w:t>
            </w:r>
          </w:p>
        </w:tc>
        <w:tc>
          <w:tcPr>
            <w:tcW w:type="dxa" w:w="1169"/>
          </w:tcPr>
          <w:p>
            <w:r>
              <w:rPr>
                <w:sz w:val="20"/>
              </w:rPr>
              <w:t>HBPM (2e génération)</w:t>
            </w:r>
          </w:p>
        </w:tc>
        <w:tc>
          <w:tcPr>
            <w:tcW w:type="dxa" w:w="1169"/>
          </w:tcPr>
          <w:p>
            <w:r>
              <w:rPr>
                <w:sz w:val="20"/>
              </w:rPr>
              <w:t>Antithrombine → Xa prédominant (ratio 4,0 — le plus élevé)</w:t>
            </w:r>
          </w:p>
        </w:tc>
        <w:tc>
          <w:tcPr>
            <w:tcW w:type="dxa" w:w="1169"/>
          </w:tcPr>
          <w:p>
            <w:r>
              <w:rPr>
                <w:sz w:val="20"/>
              </w:rPr>
              <w:t>5–6</w:t>
            </w:r>
          </w:p>
        </w:tc>
        <w:tc>
          <w:tcPr>
            <w:tcW w:type="dxa" w:w="1169"/>
          </w:tcPr>
          <w:p>
            <w:r>
              <w:rPr>
                <w:sz w:val="20"/>
              </w:rPr>
              <w:t>Aucune de routine (anti-Xa si besoin)</w:t>
            </w:r>
          </w:p>
        </w:tc>
        <w:tc>
          <w:tcPr>
            <w:tcW w:type="dxa" w:w="1169"/>
          </w:tcPr>
          <w:p>
            <w:r>
              <w:rPr>
                <w:sz w:val="20"/>
              </w:rPr>
              <w:t>Sulfate de protamine (~60 %)</w:t>
            </w:r>
          </w:p>
        </w:tc>
        <w:tc>
          <w:tcPr>
            <w:tcW w:type="dxa" w:w="1169"/>
          </w:tcPr>
          <w:p>
            <w:r>
              <w:rPr>
                <w:sz w:val="20"/>
              </w:rPr>
              <w:t>Prophylaxie : 3 500 UI/j ; curatif : 115 UI/kg/j</w:t>
            </w:r>
          </w:p>
        </w:tc>
        <w:tc>
          <w:tcPr>
            <w:tcW w:type="dxa" w:w="1169"/>
          </w:tcPr>
          <w:p>
            <w:r>
              <w:rPr>
                <w:sz w:val="20"/>
              </w:rPr>
              <w:t>Compatible ; allaitement compatible. **Toutes les spécialités non renouvelées**</w:t>
            </w:r>
          </w:p>
        </w:tc>
      </w:tr>
    </w:tbl>
    <w:p/>
    <w:p>
      <w:pPr>
        <w:pStyle w:val="Heading2"/>
      </w:pPr>
      <w:r>
        <w:t>Conclusion de la section</w:t>
      </w:r>
    </w:p>
    <w:p>
      <w:r>
        <w:t>Les anticoagulants constituent une classe pharmacologique centrale de la cardiologie moderne, avec un spectre d'action très large allant de la prévention primaire (prophylaxie chirurgicale et médicale) au traitement curatif de la maladie veineuse thromboembolique et à la prévention de l'AVC ischémique dans la fibrillation atriale. L'arsenal algérien est riche et reflète l'évolution historique de l'anticoagulation :</w:t>
      </w:r>
    </w:p>
    <w:p>
      <w:pPr>
        <w:pStyle w:val="ListNumber"/>
      </w:pPr>
      <w:r/>
      <w:r>
        <w:rPr>
          <w:b/>
        </w:rPr>
        <w:t>L'acénocoumarol</w:t>
      </w:r>
      <w:r>
        <w:t xml:space="preserve"> (AVK) reste l'anticoagulant oral de référence dans les </w:t>
      </w:r>
      <w:r>
        <w:rPr>
          <w:b/>
        </w:rPr>
        <w:t>indications valvulaires</w:t>
      </w:r>
      <w:r>
        <w:t xml:space="preserve"> (valves mécaniques, sténose mitrale rhumatismale), le </w:t>
      </w:r>
      <w:r>
        <w:rPr>
          <w:b/>
        </w:rPr>
        <w:t>syndrome des antiphospholipides</w:t>
      </w:r>
      <w:r>
        <w:t xml:space="preserve">, et les </w:t>
      </w:r>
      <w:r>
        <w:rPr>
          <w:b/>
        </w:rPr>
        <w:t>insuffisances rénales sévères</w:t>
      </w:r>
      <w:r>
        <w:t xml:space="preserve"> (ClCr &lt; 15 mL/min). Sa surveillance par INR reste un défi quotidien en pratique clinique, et les interactions médicamenteuses (en particulier avec l'amiodarone, fréquemment coprescrite en cardiologie algérienne) imposent une vigilance constante.</w:t>
      </w:r>
    </w:p>
    <w:p>
      <w:pPr>
        <w:pStyle w:val="ListNumber"/>
      </w:pPr>
      <w:r/>
      <w:r>
        <w:rPr>
          <w:b/>
        </w:rPr>
        <w:t>Les AOD (apixaban, rivaroxaban, dabigatran)</w:t>
      </w:r>
      <w:r>
        <w:t xml:space="preserve"> ont révolutionné la pratique en offrant une alternative simplifiée (pas d'INR, posologie fixe, moins d'interactions) dans la FA non valvulaire et la MVTE non provoquée. L'apixaban s'est imposé comme le AOD avec le meilleur profil bénéfice-risque (moindre élimination rénale, meilleure tolérance digestive, deux prises par jour assurant un profil anticoagulant plus stable). Le rivaroxaban, en monoprise quotidienne, est plus pratique en termes d'observance mais impose une prise pendant le repas pour les doses 15/20 mg. Le dabigatran, premier AOD commercialisé, est aujourd'hui moins prescrit en raison de sa dyspepsie fréquente et de son élimination rénale prédominante, mais conserve l'avantage d'un antidote spécifique (idarucizumab) disponible dans les services d'urgence.</w:t>
      </w:r>
    </w:p>
    <w:p>
      <w:pPr>
        <w:pStyle w:val="ListNumber"/>
      </w:pPr>
      <w:r/>
      <w:r>
        <w:rPr>
          <w:b/>
        </w:rPr>
        <w:t>L'HNF</w:t>
      </w:r>
      <w:r>
        <w:t xml:space="preserve"> reste indispensable dans les situations instables (EP grave, chirurgie urgente, CEC, hémodialyse) en raison de sa réversibilité immédiate par sulfate de protamine et de sa demi-vie courte. Elle est également l'anticoagulant de choix au 1er trimestre de grossesse et en IR sévère (curatif).</w:t>
      </w:r>
    </w:p>
    <w:p>
      <w:pPr>
        <w:pStyle w:val="ListNumber"/>
      </w:pPr>
      <w:r/>
      <w:r>
        <w:rPr>
          <w:b/>
        </w:rPr>
        <w:t>Les HBPM (enoxaparine, daltéparine, tinzaparine)</w:t>
      </w:r>
      <w:r>
        <w:t xml:space="preserve"> sont l'anticoagulant parentéral de référence en ambulatoire et en hospitalisation conventionnelle, en raison de leur maniement simplifié (1 à 2 injections SC/jour, pas de surveillance biologique de routine, auto-injection possible). L'enoxaparine est la plus prescrite en Algérie (4 marques disponibles, prophylaxie et curatif). La daltéparine est utilisée en oncologie (AMM spécifique). La tinzaparine est la HBPM de choix en IR modérée à sévère (élimination non rénale prédominante). La nadroparine et la bémiparine ne sont plus disponibles (retraits et non-renouvellements).</w:t>
      </w:r>
    </w:p>
    <w:p>
      <w:r/>
      <w:r>
        <w:rPr>
          <w:b/>
        </w:rPr>
        <w:t>Recommandations de bon usage pour le pharmacien d'officine algérien :</w:t>
      </w:r>
      <w:r/>
    </w:p>
    <w:p>
      <w:pPr>
        <w:pStyle w:val="ListBullet"/>
      </w:pPr>
      <w:r>
        <w:t xml:space="preserve">Toujours </w:t>
      </w:r>
      <w:r>
        <w:rPr>
          <w:b/>
        </w:rPr>
        <w:t>vérifier la fonction rénale</w:t>
      </w:r>
      <w:r>
        <w:t xml:space="preserve"> (ClCr Cockcroft) avant délivrance d'un AOD ou d'une HBPM — adaptation posologique si nécessaire.</w:t>
      </w:r>
    </w:p>
    <w:p>
      <w:pPr>
        <w:pStyle w:val="ListBullet"/>
      </w:pPr>
      <w:r>
        <w:t xml:space="preserve">Toujours </w:t>
      </w:r>
      <w:r>
        <w:rPr>
          <w:b/>
        </w:rPr>
        <w:t>vérifier l'absence d'association à risque</w:t>
      </w:r>
      <w:r>
        <w:t xml:space="preserve"> (AINS, aspirine, amiodarone pour AVK, azoles antifongiques pour AOD).</w:t>
      </w:r>
    </w:p>
    <w:p>
      <w:pPr>
        <w:pStyle w:val="ListBullet"/>
      </w:pPr>
      <w:r/>
      <w:r>
        <w:rPr>
          <w:b/>
        </w:rPr>
        <w:t>Éducation thérapeutique du patient</w:t>
      </w:r>
      <w:r>
        <w:t xml:space="preserve"> : carnet AVK, signes d'alerte hémorragique, signalement du traitement à tout professionnel de santé.</w:t>
      </w:r>
    </w:p>
    <w:p>
      <w:pPr>
        <w:pStyle w:val="ListBullet"/>
      </w:pPr>
      <w:r/>
      <w:r>
        <w:rPr>
          <w:b/>
        </w:rPr>
        <w:t>Surveillance plaquettaire</w:t>
      </w:r>
      <w:r>
        <w:t xml:space="preserve"> sous héparines (HNF et HBPM) 2×/semaine pendant 14 jours pour dépister une TIH.</w:t>
      </w:r>
    </w:p>
    <w:p>
      <w:pPr>
        <w:pStyle w:val="ListBullet"/>
      </w:pPr>
      <w:r/>
      <w:r>
        <w:rPr>
          <w:b/>
        </w:rPr>
        <w:t>Connaissance des antidotes</w:t>
      </w:r>
      <w:r>
        <w:t xml:space="preserve"> : vitamine K (AVK), idarucizumab (dabigatran), andexanet alpha (apixaban/rivaroxaban), sulfate de protamine (HNF/HBPM).</w:t>
      </w:r>
    </w:p>
    <w:p>
      <w:pPr>
        <w:pStyle w:val="ListBullet"/>
      </w:pPr>
      <w:r/>
      <w:r>
        <w:rPr>
          <w:b/>
        </w:rPr>
        <w:t>Respect des fenêtres thérapeutiques</w:t>
      </w:r>
      <w:r>
        <w:t xml:space="preserve"> pour l'ALR péridurale (12 h prophylaxie, 24 h curatif).</w:t>
      </w:r>
    </w:p>
    <w:p>
      <w:pPr>
        <w:pStyle w:val="ListBullet"/>
      </w:pPr>
      <w:r/>
      <w:r>
        <w:rPr>
          <w:b/>
        </w:rPr>
        <w:t>Pas de substitution de marque</w:t>
      </w:r>
      <w:r>
        <w:t xml:space="preserve"> sans avis du prescripteur pour les AVK (risque de variation INR).</w:t>
      </w:r>
    </w:p>
    <w:p>
      <w:pPr>
        <w:pStyle w:val="ListBullet"/>
      </w:pPr>
      <w:r/>
      <w:r>
        <w:rPr>
          <w:b/>
        </w:rPr>
        <w:t>Information grossesse</w:t>
      </w:r>
      <w:r>
        <w:t xml:space="preserve"> : CI des AVK et AOD, compatibilité des HBPM et HNF.</w:t>
      </w:r>
    </w:p>
    <w:p>
      <w:pPr>
        <w:pStyle w:val="ListBullet"/>
      </w:pPr>
      <w:r/>
      <w:r>
        <w:rPr>
          <w:b/>
        </w:rPr>
        <w:t>Information sur les statuts des spécialités</w:t>
      </w:r>
      <w:r>
        <w:t xml:space="preserve"> : nadroparine (Fraxiparine/Fraxodi) retirée, bémiparine (Hibor) non renouvelée, Hikma Heparine retirée — orienter le patient vers le prescripteur pour switch vers les alternatives disponibles (enoxaparine, daltéparine, tinzaparine).</w:t>
      </w:r>
    </w:p>
    <w:p>
      <w:r>
        <w:t>La maîtrise de ces anticoagulants, de leurs indications, de leurs contre-indications, de leurs interactions et de leurs antidotes constitue un socle fondamental de la pratique pharmaceutique clinique en cardiologie. Le pharmacien d'officine joue un rôle pivot dans l'éducation thérapeutique du patient, la détection des interactions et la prévention des complications — rôle d'autant plus crucial en Algérie où la surveillance médicale spécialisée (cliniques d'anticoagulation, CRAT) n'est pas toujours aisément accessible.</w:t>
      </w:r>
    </w:p>
    <w:p>
      <w:r/>
      <w:r>
        <w:rPr>
          <w:i/>
        </w:rPr>
        <w:t>Fin de la Section 36 — Anticoagulants oraux (AVK &amp; AOD) et Héparines (HNF &amp; HBPM)</w:t>
      </w:r>
      <w:r/>
    </w:p>
    <w:p>
      <w:pPr>
        <w:pStyle w:val="Heading1"/>
      </w:pPr>
      <w:r>
        <w:t>Fascicule IV — Cardiologie</w:t>
      </w:r>
    </w:p>
    <w:p>
      <w:pPr>
        <w:pStyle w:val="Heading2"/>
      </w:pPr>
      <w:r>
        <w:t>Chapitre 37 : Antiagrégants plaquettaires et Thrombolytiques</w:t>
      </w:r>
    </w:p>
    <w:p>
      <w:pPr>
        <w:pStyle w:val="Heading3"/>
      </w:pPr>
      <w:r>
        <w:t>Introduction générale</w:t>
      </w:r>
    </w:p>
    <w:p>
      <w:r>
        <w:t>La prise en charge des maladies cardiovasculaires thrombotiques constitue un pilier central de la pharmacologie clinique moderne. Les accidents artériels occlusifs — syndrome coronaire aigu (SCA), accident vasculaire cérébral ischémique (AVCI), artériopathie oblitérante des membres inférieurs (AOMI), embolie pulmonaire et thromboses de prothèses — reposent sur un mécanisme physiopathologique commun : la formation d'un thrombus plaquettaire et/ou fibrineux au sein d'un vaisseau pathologique (plaque d'athérome rompue, stent, valve mécanique, cavité dilatée). La pharmacopée algérienne, à l'image des recommandations internationales (ESC, AHA/ACC, ESO), propose deux grandes familles d'agents antithrombotiques artériels :</w:t>
      </w:r>
    </w:p>
    <w:p>
      <w:pPr>
        <w:pStyle w:val="ListNumber"/>
      </w:pPr>
      <w:r/>
      <w:r>
        <w:rPr>
          <w:b/>
        </w:rPr>
        <w:t>Les antiagrégants plaquettaires</w:t>
      </w:r>
      <w:r>
        <w:t xml:space="preserve"> : ils ciblent l'activation et l'agrégation des plaquettes circulantes. La plaque d'athérosclérose, lorsqu'elle se rompt, expose le collagène sous-endothélial et le facteur tissulaire, déclenchant l'adhésion plaquettaire (via la GPIb-IX-V et GPVI), leur activation (libération d'ADP, de sérotonine, de thromboxane A2, expression de GPIIb/IIIa) et leur agrégation (pontage fibrinogène entre GPIIb/IIIa de plaquettes adjacentes). L'inhibition pharmacologique de cette cascade peut intervenir à plusieurs niveaux : blocage du récepteur P2Y12 de l'ADP (thiénopyridines, ticagrelor), inhibition de la cyclo-oxygénase plaquettaire (aspirine), inhibition de la phosphodiestérase (dipyridamole), blocage des GPIIb/IIIa (abciximab, eptifibatide — non couverts ici car administrés en cathétérisme cardiaque).</w:t>
      </w:r>
    </w:p>
    <w:p>
      <w:pPr>
        <w:pStyle w:val="ListNumber"/>
      </w:pPr>
      <w:r/>
      <w:r>
        <w:rPr>
          <w:b/>
        </w:rPr>
        <w:t>Les thrombolytiques (agents fibrinolytiques)</w:t>
      </w:r>
      <w:r>
        <w:t xml:space="preserve"> : ils agissent en aval en dissolvant le thrombus fibrineux déjà constitué. La fibrinolyse physiologique repose sur le plasminogène, proenzyme hépatique circulant qui se fixe sur la fibrine et est clivé en </w:t>
      </w:r>
      <w:r>
        <w:rPr>
          <w:b/>
        </w:rPr>
        <w:t>plasmine</w:t>
      </w:r>
      <w:r>
        <w:t xml:space="preserve"> active par les activateurs tissulaires (t-PA) ou par la streptokinase exogène. La plasmine dégrade alors la fibrine en produits de dégradation (D-dimères, EPC), restaurant la perméabilité vasculaire. Cette classe est utilisée en urgence absolue dans l'IDM en phase aiguë (fenêtre &lt; 12 h), l'AVC ischémique (&lt; 4 h 30 pour l'altéplase), et l'embolie pulmonaire grave.</w:t>
      </w:r>
    </w:p>
    <w:p>
      <w:r>
        <w:t>Ce chapitre détaille neuf DCI disponibles en Algérie, réparties en six sous-classes pharmacologiques. Chaque fiche fournit le niveau de détail attendu d'un pharmacien clinicien exerçant en officine, en milieu hospitalier (pharmacie à usage intérieur) ou en équipe de soins intensifs cardiologiques. Les enjeux algériens spécifiques — disponibilité variable de l'altéplase, place du générique clopidogrel, surveillance hématologique sous ticlopidine désormais historique, fenêtres thérapeutiques pré-opératoires en double anti-agrégation — sont intégrés à chaque fiche.</w:t>
      </w:r>
    </w:p>
    <w:p>
      <w:pPr>
        <w:pStyle w:val="Heading2"/>
      </w:pPr>
      <w:r>
        <w:t>SOUS-CLASSE 1 : Antiagrégants plaquettaires — Inhibiteurs P2Y12 (Thiénopyridines modernes)</w:t>
      </w:r>
    </w:p>
    <w:p>
      <w:pPr>
        <w:pStyle w:val="Heading3"/>
      </w:pPr>
      <w:r>
        <w:t>Introduction de la sous-classe</w:t>
      </w:r>
    </w:p>
    <w:p>
      <w:r>
        <w:t xml:space="preserve">Les thiénopyridines modernes regroupent le </w:t>
      </w:r>
      <w:r>
        <w:rPr>
          <w:b/>
        </w:rPr>
        <w:t>clopidogrel</w:t>
      </w:r>
      <w:r>
        <w:t xml:space="preserve"> (2e génération) et le </w:t>
      </w:r>
      <w:r>
        <w:rPr>
          <w:b/>
        </w:rPr>
        <w:t>prasugrel</w:t>
      </w:r>
      <w:r>
        <w:t xml:space="preserve"> (3e génération). Elles partagent un squelette chimique thiénopyridinique qui, après métabolisme hépatique à deux étapes par les cytochromes P450 (essentiellement CYP2C19, CYP3A4, CYP2B6 et CYP1A2), produit un métabolite actif thiol. Ce métabolite forme un pont disulfure irréversible avec le résidu cystéine de la portion extracellulaire du récepteur P2Y12 plaquettaire, bloquant ainsi l'inhibition physiologique de l'adénylate cyclase par l'ADP. Il en résulte une </w:t>
      </w:r>
      <w:r>
        <w:rPr>
          <w:b/>
        </w:rPr>
        <w:t>inhibition irréversible</w:t>
      </w:r>
      <w:r>
        <w:t xml:space="preserve"> du récepteur P2Y12, maintenue pour la durée de vie de la plaquette (7 à 10 jours). L'effet antiagrégant est donc dépendant du renouvellement plaquettaire après arrêt du traitement.</w:t>
      </w:r>
    </w:p>
    <w:p>
      <w:r>
        <w:t xml:space="preserve">La différence majeure entre clopidogrel et prasugrel réside dans leur rendement métabolique : le clopidogrel subit une inactivation esterasique importante (≈ 85 %) avant la formation du métabolite actif, d'où une </w:t>
      </w:r>
      <w:r>
        <w:rPr>
          <w:b/>
        </w:rPr>
        <w:t>variabilité interindividuelle</w:t>
      </w:r>
      <w:r>
        <w:t xml:space="preserve"> importante, influencée par les polymorphismes CYP2C19 (perte de fonction </w:t>
      </w:r>
      <w:r>
        <w:rPr>
          <w:i/>
        </w:rPr>
        <w:t xml:space="preserve">2, </w:t>
      </w:r>
      <w:r>
        <w:t xml:space="preserve">3 — patients métaboliseurs lents) et par les inhibiteurs enzymatiques (oméprazole, ésoméprazole). Le prasugrel, au contraire, subit une esterasification préalable non délétère puis une seule oxydation CYP3A/2B6, ce qui garantit une </w:t>
      </w:r>
      <w:r>
        <w:rPr>
          <w:b/>
        </w:rPr>
        <w:t>activation plus rapide, plus puissante et plus reproductible</w:t>
      </w:r>
      <w:r>
        <w:t>, mais au prix d'une majoration du risque hémorragique. Le choix entre les deux molécules dépend du terrain (âge, poids, antécédent d'AVC pour le prasugrel, dispositif médical implanté, polymorphisme génétique si disponible).</w:t>
      </w:r>
    </w:p>
    <w:p>
      <w:pPr>
        <w:pStyle w:val="Heading3"/>
      </w:pPr>
      <w:r>
        <w:t>1.1. DCI : Clopidogrel (Seul)</w:t>
      </w:r>
    </w:p>
    <w:p>
      <w:r/>
      <w:r>
        <w:rPr>
          <w:b/>
        </w:rPr>
        <w:t>Liste des Catégories :</w:t>
      </w:r>
      <w:r>
        <w:t xml:space="preserve"> Antiagrégants plaquettaires — Inhibiteurs P2Y12 (thiénopyridines modernes).</w:t>
      </w:r>
    </w:p>
    <w:p>
      <w:r>
        <w:t>Le clopidogrel est une prodrogue de la 2e génération des thiénopyridines, commercialisée depuis 1998 en remplacement de la ticlopidine dont elle conserve l'efficacité avec un profil hématologique nettement amélioré (absence de neutropénie et de thrombopénie induites). Elle constitue, avec l'aspirine, l'un des deux piliers de la double anti-agrégation plaquettaire (DAPT) post-SCA et post-ICP. Sa biodisponibilité orale est d'environ 50 %, son absorption rapide (Tmax 1 h), son activation hépatique CYP2C19-dépendante explique le délai d'action de 2 à 6 heures après dose de charge, et l'irréversibilité de la liaison explique la persistance de l'effet 7 à 10 jours après la dernière prise. La couleur historique du comprimé (PLAVIX®) rose pâle à 75 mg est devenue un repère iconographique en cardiologie.</w:t>
      </w:r>
    </w:p>
    <w:p>
      <w:r/>
      <w:r>
        <w:rPr>
          <w:b/>
        </w:rPr>
        <w:t>Médicaments disponibles en Algérie (Marques, Laboratoires, Formes et Dosages) :</w:t>
      </w:r>
      <w:r/>
    </w:p>
    <w:p>
      <w:pPr>
        <w:pStyle w:val="ListBullet"/>
      </w:pPr>
      <w:r/>
      <w:r>
        <w:rPr>
          <w:b/>
        </w:rPr>
        <w:t>PIDOGREL</w:t>
      </w:r>
      <w:r>
        <w:t xml:space="preserve"> (INPHA-MEDIS)</w:t>
      </w:r>
    </w:p>
    <w:p>
      <w:pPr>
        <w:pStyle w:val="ListBullet"/>
      </w:pPr>
      <w:r>
        <w:t>Formes et Dosages : Comprimé pelliculé 75 mg — Boîte de 30</w:t>
      </w:r>
    </w:p>
    <w:p>
      <w:pPr>
        <w:pStyle w:val="ListBullet"/>
      </w:pPr>
      <w:r>
        <w:t>Statut : Actif</w:t>
      </w:r>
    </w:p>
    <w:p>
      <w:pPr>
        <w:pStyle w:val="ListBullet"/>
      </w:pPr>
      <w:r/>
      <w:r>
        <w:rPr>
          <w:b/>
        </w:rPr>
        <w:t>CLOPIDOGREL LDM</w:t>
      </w:r>
      <w:r>
        <w:t xml:space="preserve"> (LABORATOIRES DE DIAGNOSTIC MAGHREBINS — LDM)</w:t>
      </w:r>
    </w:p>
    <w:p>
      <w:pPr>
        <w:pStyle w:val="ListBullet"/>
      </w:pPr>
      <w:r>
        <w:t>Formes et Dosages : Comprimé pelliculé 75 mg — Boîte de 30</w:t>
      </w:r>
    </w:p>
    <w:p>
      <w:pPr>
        <w:pStyle w:val="ListBullet"/>
      </w:pPr>
      <w:r>
        <w:t>Statut : Actif</w:t>
      </w:r>
    </w:p>
    <w:p>
      <w:pPr>
        <w:pStyle w:val="ListBullet"/>
      </w:pPr>
      <w:r/>
      <w:r>
        <w:rPr>
          <w:b/>
        </w:rPr>
        <w:t>CLOPIDOGREL NOVAGENERICS</w:t>
      </w:r>
      <w:r>
        <w:t xml:space="preserve"> (NOVAPHARM TRADING)</w:t>
      </w:r>
    </w:p>
    <w:p>
      <w:pPr>
        <w:pStyle w:val="ListBullet"/>
      </w:pPr>
      <w:r>
        <w:t>Formes et Dosages : Microgranules en gélule 75 mg — Boîte de 30</w:t>
      </w:r>
    </w:p>
    <w:p>
      <w:pPr>
        <w:pStyle w:val="ListBullet"/>
      </w:pPr>
      <w:r>
        <w:t>Statut : Actif</w:t>
      </w:r>
    </w:p>
    <w:p>
      <w:pPr>
        <w:pStyle w:val="ListBullet"/>
      </w:pPr>
      <w:r/>
      <w:r>
        <w:rPr>
          <w:b/>
        </w:rPr>
        <w:t>PLAVIX 75 mg</w:t>
      </w:r>
      <w:r>
        <w:t xml:space="preserve"> (SANOFI AVENTIS ALGERIE)</w:t>
      </w:r>
    </w:p>
    <w:p>
      <w:pPr>
        <w:pStyle w:val="ListBullet"/>
      </w:pPr>
      <w:r>
        <w:t>Formes et Dosages : Comprimé pelliculé 75 mg — Boîte de 28</w:t>
      </w:r>
    </w:p>
    <w:p>
      <w:pPr>
        <w:pStyle w:val="ListBullet"/>
      </w:pPr>
      <w:r>
        <w:t>Statut : Actif (référent princeps)</w:t>
      </w:r>
    </w:p>
    <w:p>
      <w:pPr>
        <w:pStyle w:val="ListBullet"/>
      </w:pPr>
      <w:r/>
      <w:r>
        <w:rPr>
          <w:b/>
        </w:rPr>
        <w:t>PLAVIX 300 mg</w:t>
      </w:r>
      <w:r>
        <w:t xml:space="preserve"> (SANOFI CLIR SNC)</w:t>
      </w:r>
    </w:p>
    <w:p>
      <w:pPr>
        <w:pStyle w:val="ListBullet"/>
      </w:pPr>
      <w:r>
        <w:t>Formes et Dosages : Comprimé pelliculé 300 mg — Boîte de 30</w:t>
      </w:r>
    </w:p>
    <w:p>
      <w:pPr>
        <w:pStyle w:val="ListBullet"/>
      </w:pPr>
      <w:r>
        <w:t>Statut : Actif (forme dose de charge)</w:t>
      </w:r>
    </w:p>
    <w:p>
      <w:pPr>
        <w:pStyle w:val="ListBullet"/>
      </w:pPr>
      <w:r/>
      <w:r>
        <w:rPr>
          <w:b/>
        </w:rPr>
        <w:t>DAZIL</w:t>
      </w:r>
      <w:r>
        <w:t xml:space="preserve"> (PHARMALLIANCE)</w:t>
      </w:r>
    </w:p>
    <w:p>
      <w:pPr>
        <w:pStyle w:val="ListBullet"/>
      </w:pPr>
      <w:r>
        <w:t>Formes et Dosages : Comprimé pelliculé 75 mg — Boîte de 30</w:t>
      </w:r>
    </w:p>
    <w:p>
      <w:pPr>
        <w:pStyle w:val="ListBullet"/>
      </w:pPr>
      <w:r>
        <w:t>Statut : Actif</w:t>
      </w:r>
    </w:p>
    <w:p>
      <w:pPr>
        <w:pStyle w:val="ListBullet"/>
      </w:pPr>
      <w:r/>
      <w:r>
        <w:rPr>
          <w:b/>
        </w:rPr>
        <w:t>CLOPLAV</w:t>
      </w:r>
      <w:r>
        <w:t xml:space="preserve"> (HIKMA PHARMACEUTICALS)</w:t>
      </w:r>
    </w:p>
    <w:p>
      <w:pPr>
        <w:pStyle w:val="ListBullet"/>
      </w:pPr>
      <w:r>
        <w:t>Formes et Dosages : Comprimé pelliculé 75 mg — Boîte de 30</w:t>
      </w:r>
    </w:p>
    <w:p>
      <w:pPr>
        <w:pStyle w:val="ListBullet"/>
      </w:pPr>
      <w:r>
        <w:t>Statut : Non Renouvelable</w:t>
      </w:r>
    </w:p>
    <w:p>
      <w:pPr>
        <w:pStyle w:val="ListBullet"/>
      </w:pPr>
      <w:r/>
      <w:r>
        <w:rPr>
          <w:b/>
        </w:rPr>
        <w:t>CLOPIVAL</w:t>
      </w:r>
      <w:r>
        <w:t xml:space="preserve"> (PHARMA IVAL)</w:t>
      </w:r>
    </w:p>
    <w:p>
      <w:pPr>
        <w:pStyle w:val="ListBullet"/>
      </w:pPr>
      <w:r>
        <w:t>Formes et Dosages : Comprimé pelliculé 75 mg — Boîte de 28</w:t>
      </w:r>
    </w:p>
    <w:p>
      <w:pPr>
        <w:pStyle w:val="ListBullet"/>
      </w:pPr>
      <w:r>
        <w:t>Statut : Non Renouvelable</w:t>
      </w:r>
    </w:p>
    <w:p>
      <w:pPr>
        <w:pStyle w:val="ListBullet"/>
      </w:pPr>
      <w:r/>
      <w:r>
        <w:rPr>
          <w:b/>
        </w:rPr>
        <w:t>CLOPIX</w:t>
      </w:r>
      <w:r>
        <w:t xml:space="preserve"> (BIOPHARM ALGERIE)</w:t>
      </w:r>
    </w:p>
    <w:p>
      <w:pPr>
        <w:pStyle w:val="ListBullet"/>
      </w:pPr>
      <w:r>
        <w:t>Formes et Dosages : Comprimé 75 mg — Boîte de 30</w:t>
      </w:r>
    </w:p>
    <w:p>
      <w:pPr>
        <w:pStyle w:val="ListBullet"/>
      </w:pPr>
      <w:r>
        <w:t>Statut : Non Renouvelable</w:t>
      </w:r>
    </w:p>
    <w:p>
      <w:pPr>
        <w:pStyle w:val="ListBullet"/>
      </w:pPr>
      <w:r/>
      <w:r>
        <w:rPr>
          <w:b/>
        </w:rPr>
        <w:t>PLAGREL</w:t>
      </w:r>
      <w:r>
        <w:t xml:space="preserve"> (EL KENDI INDUSTRIE DU MEDICAMENT)</w:t>
      </w:r>
    </w:p>
    <w:p>
      <w:pPr>
        <w:pStyle w:val="ListBullet"/>
      </w:pPr>
      <w:r>
        <w:t>Formes et Dosages : Comprimé pelliculé 75 mg — Boîte de 28</w:t>
      </w:r>
    </w:p>
    <w:p>
      <w:pPr>
        <w:pStyle w:val="ListBullet"/>
      </w:pPr>
      <w:r>
        <w:t>Statut : Non Renouvelable</w:t>
      </w:r>
    </w:p>
    <w:p>
      <w:pPr>
        <w:pStyle w:val="ListBullet"/>
      </w:pPr>
      <w:r/>
      <w:r>
        <w:rPr>
          <w:b/>
        </w:rPr>
        <w:t>PRAVASOR</w:t>
      </w:r>
      <w:r>
        <w:t xml:space="preserve"> (GROUPE SAIDAL)</w:t>
      </w:r>
    </w:p>
    <w:p>
      <w:pPr>
        <w:pStyle w:val="ListBullet"/>
      </w:pPr>
      <w:r>
        <w:t>Formes et Dosages : Comprimé pelliculé 75 mg — Boîte de 30</w:t>
      </w:r>
    </w:p>
    <w:p>
      <w:pPr>
        <w:pStyle w:val="ListBullet"/>
      </w:pPr>
      <w:r>
        <w:t>Statut : Non Renouvelable</w:t>
      </w:r>
    </w:p>
    <w:p>
      <w:pPr>
        <w:pStyle w:val="ListBullet"/>
      </w:pPr>
      <w:r/>
      <w:r>
        <w:rPr>
          <w:b/>
        </w:rPr>
        <w:t>PLOVAX</w:t>
      </w:r>
      <w:r>
        <w:t xml:space="preserve"> (SANAMED) (R)</w:t>
      </w:r>
    </w:p>
    <w:p>
      <w:pPr>
        <w:pStyle w:val="ListBullet"/>
      </w:pPr>
      <w:r>
        <w:t>Formes et Dosages : Comprimé 75 mg — Boîte de 30</w:t>
      </w:r>
    </w:p>
    <w:p>
      <w:pPr>
        <w:pStyle w:val="ListBullet"/>
      </w:pPr>
      <w:r>
        <w:t>Statut : Retiré</w:t>
      </w:r>
    </w:p>
    <w:p>
      <w:pPr>
        <w:pStyle w:val="ListBullet"/>
      </w:pPr>
      <w:r/>
      <w:r>
        <w:rPr>
          <w:b/>
        </w:rPr>
        <w:t>PLAFLUX</w:t>
      </w:r>
      <w:r>
        <w:t xml:space="preserve"> (LABORATOIRES GROUPEMENT PHARMACEUTIQUE ALGERIEN — LGPA) (R)</w:t>
      </w:r>
    </w:p>
    <w:p>
      <w:pPr>
        <w:pStyle w:val="ListBullet"/>
      </w:pPr>
      <w:r>
        <w:t>Formes et Dosages : Comprimé pelliculé 75 mg — Boîte de 30</w:t>
      </w:r>
    </w:p>
    <w:p>
      <w:pPr>
        <w:pStyle w:val="ListBullet"/>
      </w:pPr>
      <w:r>
        <w:t>Statut : Retiré</w:t>
      </w:r>
    </w:p>
    <w:p>
      <w:pPr>
        <w:pStyle w:val="ListBullet"/>
      </w:pPr>
      <w:r/>
      <w:r>
        <w:rPr>
          <w:b/>
        </w:rPr>
        <w:t>CARDIX</w:t>
      </w:r>
      <w:r>
        <w:t xml:space="preserve"> (GEOPHARM) (R)</w:t>
      </w:r>
    </w:p>
    <w:p>
      <w:pPr>
        <w:pStyle w:val="ListBullet"/>
      </w:pPr>
      <w:r>
        <w:t>Formes et Dosages : Comprimé pelliculé 75 mg — Boîte de 30</w:t>
      </w:r>
    </w:p>
    <w:p>
      <w:pPr>
        <w:pStyle w:val="ListBullet"/>
      </w:pPr>
      <w:r>
        <w:t>Statut : Retiré</w:t>
      </w:r>
    </w:p>
    <w:p>
      <w:pPr>
        <w:pStyle w:val="ListBullet"/>
      </w:pPr>
      <w:r/>
      <w:r>
        <w:rPr>
          <w:b/>
        </w:rPr>
        <w:t>PLAKYL</w:t>
      </w:r>
      <w:r>
        <w:t xml:space="preserve"> (MERINAL) (R)</w:t>
      </w:r>
    </w:p>
    <w:p>
      <w:pPr>
        <w:pStyle w:val="ListBullet"/>
      </w:pPr>
      <w:r>
        <w:t>Formes et Dosages : Comprimé pelliculé 75 mg — Boîte de 30</w:t>
      </w:r>
    </w:p>
    <w:p>
      <w:pPr>
        <w:pStyle w:val="ListBullet"/>
      </w:pPr>
      <w:r>
        <w:t>Statut : Retiré</w:t>
      </w:r>
    </w:p>
    <w:p>
      <w:pPr>
        <w:pStyle w:val="ListBullet"/>
      </w:pPr>
      <w:r/>
      <w:r>
        <w:rPr>
          <w:b/>
        </w:rPr>
        <w:t>CLODIPRAL</w:t>
      </w:r>
      <w:r>
        <w:t xml:space="preserve"> (SOPHAL SPA) (R)</w:t>
      </w:r>
    </w:p>
    <w:p>
      <w:pPr>
        <w:pStyle w:val="ListBullet"/>
      </w:pPr>
      <w:r>
        <w:t>Formes et Dosages : Comprimé pelliculé 75 mg — Boîte de 30</w:t>
      </w:r>
    </w:p>
    <w:p>
      <w:pPr>
        <w:pStyle w:val="ListBullet"/>
      </w:pPr>
      <w:r>
        <w:t>Statut : Retiré</w:t>
      </w:r>
    </w:p>
    <w:p>
      <w:r/>
      <w:r>
        <w:rPr>
          <w:b/>
        </w:rPr>
        <w:t>Sous-classe et Mécanisme d'action :</w:t>
      </w:r>
      <w:r/>
    </w:p>
    <w:p>
      <w:pPr>
        <w:pStyle w:val="ListBullet"/>
      </w:pPr>
      <w:r>
        <w:t>Sous-classe : Thiénopyridine de 2e génération, prodrogue, inhibiteur irréversible du récepteur P2Y12 plaquettaire.</w:t>
      </w:r>
    </w:p>
    <w:p>
      <w:pPr>
        <w:pStyle w:val="ListBullet"/>
      </w:pPr>
      <w:r>
        <w:t xml:space="preserve">Mécanisme d'action : Le clopidogrel est absorbé sous forme de prodrogue inactive. Environ 85 % subit une hydrolyse estérasique en métabolite inactif (SR26334) éliminé dans les urines. Les 15 % restants subissent une oxydation en deux étapes par le CYP450 hépatique (principalement CYP2C19, accessoirement CYP3A4, CYP2B6 et CYP1A2) en métabolite actif 2-oxo-clopidogrel, puis en dérivé thiol actif (R-130964). Ce métabolite thiol forme un pont disulfure covalent avec la cystéine 17 (Cys17) de la boucle extracellulaire du récepteur P2Y12 (récepteur couplé aux protéines Gi). Le blocage de P2Y12 empêche l'inhibition de l'adénylate cyclase médiée par l'ADP, maintenant ainsi un taux élevé d'AMPc intraplaquettaire. Il en résulte : (i) inhibition de la phosphorylation VASP (vasodilator-stimulated phosphoprotein), marqueur spécifique de l'inhibition P2Y12 ; (ii) diminution de l'expression du complexe GPIIb/IIIa activé ; (iii) inhibition de la libération du contenu des granules denses. L'agrégation plaquettaire induite par l'ADP est ainsi diminuée de 60 à 75 % à l'état d'équilibre. La liaison covalente est </w:t>
      </w:r>
      <w:r>
        <w:rPr>
          <w:b/>
        </w:rPr>
        <w:t>irréversible</w:t>
      </w:r>
      <w:r>
        <w:t xml:space="preserve"> : la fonction plaquettaire ne se restaure qu'avec le renouvellement des plaquettes (7 à 10 jours), à raison d'environ 10 % de plaquettes nouvelles par jour.</w:t>
      </w:r>
    </w:p>
    <w:p>
      <w:r/>
      <w:r>
        <w:rPr>
          <w:b/>
        </w:rPr>
        <w:t>Profil Pharmacologique :</w:t>
      </w:r>
      <w:r/>
    </w:p>
    <w:p>
      <w:pPr>
        <w:pStyle w:val="ListBullet"/>
      </w:pPr>
      <w:r>
        <w:t>Indications : (1) SCA sans sus-décalage ST (NSTE-SCA) en association à l'aspirine (DAPT) pour 12 mois, y compris après ICP ; (2) IDM avec sus-décalage ST (STEMI) en DAPT, en complément de la reperfusion (ICP primaire ou thrombolyse) ; (3) après ICP programmée pour maladie coronaire stable (DAPT 1 à 6 mois selon score PRECISE-DAPT) ; (4) en alternative à l'aspirine en cas d'intolérance/allergie à l'aspirine dans la maladie athéromateuse établie (post-IDM, AVC ischémique non cardioembolique, AOMI) ; (5) en prévention secondaire de l'AVC ischémique non cardioembolique (CAPRIE, CHARISMA, PROFESS pour la forme association avec aspirine-dipyridamole) ; (6) thrombose de stent ; (7) prévention des thromboses artérielles en cas de fibrillation auriculaire lorsque les anticoagulants sont contre-indiqués (situation résiduelle). Dose de charge : 300 mg en ICP programmée, 600 mg en SCA/ICP primaire (permet une inhibition plus rapide en 2 à 4 h). Dose d'entretien : 75 mg une fois par jour.</w:t>
      </w:r>
    </w:p>
    <w:p>
      <w:pPr>
        <w:pStyle w:val="ListBullet"/>
      </w:pPr>
      <w:r>
        <w:t>Contre-indications : (1) Hypersensibilité au clopidogrel ou à l'un des excipients ; (2) Insuffisance hépatique sévère (risque d'encéphalopathie et de saignement) ; (3) Hémorragie active pathologique (ulcère digestif, hémorragie intracrânienne, hémoptysie) ; (4) AVC ischémique en phase aiguë (&lt; 7 jours) en monothérapie (utilisable en DAPT post-SICA); (5) Allaitement. Précautions : insuffisance rénale modérée à sévère, antécédent de saignement digestif, thrombopénie &lt; 100 G/L, chirurgie programmée (arrêter 5 jours avant si possible), patients porteurs d'allèle CYP2C19*2 ou *3 (métaboliseurs lents — génotypage si disponible).</w:t>
      </w:r>
    </w:p>
    <w:p>
      <w:pPr>
        <w:pStyle w:val="ListBullet"/>
      </w:pPr>
      <w:r>
        <w:t xml:space="preserve">Effets Indésirables : (1) </w:t>
      </w:r>
      <w:r>
        <w:rPr>
          <w:b/>
        </w:rPr>
        <w:t>Hémorragies</w:t>
      </w:r>
      <w:r>
        <w:t xml:space="preserve"> — tout type, de la simple ecchymose à l'hémorragie mortelle (incidence ~ 9 % sous DAPT vs 6 % sous aspirine seule dans CURE) ; majoration sous triple thérapie (AVK/AOD + DAPT) ; (2) Troubles digestifs — dyspepsie, diarrhée, douleurs abdominales (≈ 5 %), exceptionnels ulcères ; (3) Thrombopénie thrombotique et purpura thrombopénique thrombotique (PTT) — effet de classe rare mais grave, incidence ≈ 4/1 000 000, survenant typiquement dans les 2 à 8 semaines, imposant arrêt immédiat et échange plasmatique ; (4) Réactions cutanées — rash maculopapuleux (≈ 4 %), prurit, exceptionnels syndromes de Stevens-Johnson/Lyell ; (5) Exceptionnelles neutropénies (incidence &lt; 0,1 % vs 1 % sous ticlopidine) — bien moindre que sous ticlopidine, ne justifiant pas la surveillance systématique NFS ; (6) Céphalées, vertiges. Pas de dyspnée spécifique (contrairement au ticagrelor).</w:t>
      </w:r>
    </w:p>
    <w:p>
      <w:r/>
      <w:r>
        <w:rPr>
          <w:b/>
        </w:rPr>
        <w:t>Prévention et Gestion des Effets Indésirables :</w:t>
      </w:r>
      <w:r/>
    </w:p>
    <w:p>
      <w:pPr>
        <w:pStyle w:val="ListBullet"/>
      </w:pPr>
      <w:r>
        <w:t xml:space="preserve">Mesures Préventives : (1) Évaluation du risque hémorragique (scores PRECISE-DAPT, HAS-BLED, CRUSADE) avant instauration et à chaque consultation ; (2) Co-prescription systématique d'un IPP en prévention digestive chez les patients à risque (âge &gt; 65 ans, antécédent ulcéreux, corticoïdes, anticoagulants associés) — </w:t>
      </w:r>
      <w:r>
        <w:rPr>
          <w:b/>
        </w:rPr>
        <w:t>privilégier le pantoprazole</w:t>
      </w:r>
      <w:r>
        <w:t xml:space="preserve"> qui n'inhibe pas significativement CYP2C19 (contrairement à l'oméprazole) ; (3) Recherche systématique d'un syndrome hémorragique occulte avant ICP (FOGD si ATCD ulcéreux) ; (4) Information du patient : port d'une carte de traitement, signalement systématique à tout médecin, dentiste, chirurgien ; (5) Pas de surveillance systématique NFS/plaquettes (contrairement à la ticlopidine), mais contrôle de l'absence de saignement occulte (FOGD si suspicion) ; (6) Fenêtre thérapeutique pré-opératoire : </w:t>
      </w:r>
      <w:r>
        <w:rPr>
          <w:b/>
        </w:rPr>
        <w:t>arrêt 5 jours</w:t>
      </w:r>
      <w:r>
        <w:t xml:space="preserve"> avant chirurgie programmée non cardiaque (7 jours pour chirurgie à haut risque hémorragique ou neurochirurgie), reprise 24-48 h après l'acte selon hémostase.</w:t>
      </w:r>
    </w:p>
    <w:p>
      <w:pPr>
        <w:pStyle w:val="ListBullet"/>
      </w:pPr>
      <w:r>
        <w:t xml:space="preserve">Conduite à Tenir : (1) </w:t>
      </w:r>
      <w:r>
        <w:rPr>
          <w:b/>
        </w:rPr>
        <w:t>Hémorragie mineure</w:t>
      </w:r>
      <w:r>
        <w:t xml:space="preserve"> (gingivorragie, épistaxis modéré, ecchymose) : ne pas arrêter le traitement en post-ICP précoce (&lt; 1 mois), traiter localement ; (2) </w:t>
      </w:r>
      <w:r>
        <w:rPr>
          <w:b/>
        </w:rPr>
        <w:t>Hémorragie majeure</w:t>
      </w:r>
      <w:r>
        <w:t xml:space="preserve"> (choc hémorragique, HIC, saignement nécessitant transfusion ≥ 2 CGR) : arrêt immédiat du clopidogrel et de l'aspirine, transfusion plaquettaire (1 unité/10 kg), supplémentation en facteurs si nécessaire, évaluation endoscopique/angiographique ; (3) </w:t>
      </w:r>
      <w:r>
        <w:rPr>
          <w:b/>
        </w:rPr>
        <w:t>Chirurgie urgente sous clopidogrel</w:t>
      </w:r>
      <w:r>
        <w:t xml:space="preserve"> : transfusion plaquettaire prophylactique (2 à 5 unités) et délai d'attente si possible 24 h après dernière prise ; (4) PTT suspecté : arrêt immédiat définitif, échange plasmatique en urgence, déclaration de pharmacovigilance, relais par un autre antiagrégant (aspirine ± ticagrelor si formellement indiqué) ; (5) </w:t>
      </w:r>
      <w:r>
        <w:rPr>
          <w:b/>
        </w:rPr>
        <w:t>Résistance biologique au clopidogrel</w:t>
      </w:r>
      <w:r>
        <w:t xml:space="preserve"> (non-répondeurs ≈ 25-30 %) : évaluer par test VASP-P ou agrégométrie si disponible ; envisager ticagrelor ou prasugrel.</w:t>
      </w:r>
    </w:p>
    <w:p>
      <w:r/>
      <w:r>
        <w:rPr>
          <w:b/>
        </w:rPr>
        <w:t>Interactions Importantes :</w:t>
      </w:r>
      <w:r/>
    </w:p>
    <w:p>
      <w:pPr>
        <w:pStyle w:val="ListBullet"/>
      </w:pPr>
      <w:r/>
      <w:r>
        <w:rPr>
          <w:b/>
        </w:rPr>
        <w:t>Clopidogrel + Oméprazole/Ésoméprazole</w:t>
      </w:r>
      <w:r>
        <w:t xml:space="preserve"> : Inhibition compétitive du CYP2C19, réduction de l'activation du clopidogrel, baisse d'efficacité démontrée (COGENT, OCLA — augmentation des évènements ischémiques). </w:t>
      </w:r>
      <w:r>
        <w:rPr>
          <w:b/>
        </w:rPr>
        <w:t>Recommandation : préférer pantoprazole</w:t>
      </w:r>
      <w:r>
        <w:t xml:space="preserve"> (faible affinité CYP2C19), ou latchoprazole. L'ésoméprazole est aussi à éviter.</w:t>
      </w:r>
    </w:p>
    <w:p>
      <w:pPr>
        <w:pStyle w:val="ListBullet"/>
      </w:pPr>
      <w:r/>
      <w:r>
        <w:rPr>
          <w:b/>
        </w:rPr>
        <w:t>Clopidogrel + AINS (ibuprofène, naproxène, kétoprofène)</w:t>
      </w:r>
      <w:r>
        <w:t xml:space="preserve"> : Majoration du risque hémorragique digestif (ulcère, perforation), sans interaction PK directe mais synergie pharmacodynamique. Préférer paracétamol ; si AINS indispensable, courte durée + IPP systématique.</w:t>
      </w:r>
    </w:p>
    <w:p>
      <w:pPr>
        <w:pStyle w:val="ListBullet"/>
      </w:pPr>
      <w:r/>
      <w:r>
        <w:rPr>
          <w:b/>
        </w:rPr>
        <w:t>Clopidogrel + Anticoagulants oraux (AVK/AOD)</w:t>
      </w:r>
      <w:r>
        <w:t xml:space="preserve"> : Risque hémorragique majeur (x 3-4). À réserver aux indications formelles (FA post-IDM, stent + FA), durée la plus courte possible (ESC : triple thérapie ≤ 1 mois, bithérapie jusqu'à 12 mois), contrôle INR si AVK (cible 2.0-2.5), utilisation de clopidogrel plutôt que ticagrelor/prasugrel (sauf SCA récent).</w:t>
      </w:r>
    </w:p>
    <w:p>
      <w:pPr>
        <w:pStyle w:val="ListBullet"/>
      </w:pPr>
      <w:r/>
      <w:r>
        <w:rPr>
          <w:b/>
        </w:rPr>
        <w:t>Clopidogrel + Fluconazole, voriconazole, ciprofloxacine, fluvoxamine, fluoxétine</w:t>
      </w:r>
      <w:r>
        <w:t xml:space="preserve"> : Inhibition CYP2C19, baisse d'activation. Préférer alternatives (itraconazole pour antifongique, lévofloxacine).</w:t>
      </w:r>
    </w:p>
    <w:p>
      <w:pPr>
        <w:pStyle w:val="ListBullet"/>
      </w:pPr>
      <w:r/>
      <w:r>
        <w:rPr>
          <w:b/>
        </w:rPr>
        <w:t>Clopidogrel + Rifampicine, phénobarbital, phénytoïne, carbamazépine</w:t>
      </w:r>
      <w:r>
        <w:t xml:space="preserve"> : Induction enzymatique, augmentation théorique du métabolite actif (effet probablement marginal mais non étudié).</w:t>
      </w:r>
    </w:p>
    <w:p>
      <w:pPr>
        <w:pStyle w:val="ListBullet"/>
      </w:pPr>
      <w:r/>
      <w:r>
        <w:rPr>
          <w:b/>
        </w:rPr>
        <w:t>Clopidogrel + Statines lipophiles (atorvastatine, simvastatine)</w:t>
      </w:r>
      <w:r>
        <w:t xml:space="preserve"> : Interaction historique discutée (CYP3A4), non confirmée cliniquement (PROVE IT-TIMI 22). Pas de contre-indication.</w:t>
      </w:r>
    </w:p>
    <w:p>
      <w:pPr>
        <w:pStyle w:val="ListBullet"/>
      </w:pPr>
      <w:r/>
      <w:r>
        <w:rPr>
          <w:b/>
        </w:rPr>
        <w:t>Clopidogrel + Morphiniques</w:t>
      </w:r>
      <w:r>
        <w:t xml:space="preserve"> : Ralentissement de l'absorption digestive en phase aiguë de SCA, diminution de l'effet du clopidogrel dose de charge — recourir à l'aspirine IV et à un anti-P2Y12 non retardé (ticagrelor od ou prasugrel od si ICP).</w:t>
      </w:r>
    </w:p>
    <w:p>
      <w:pPr>
        <w:pStyle w:val="ListBullet"/>
      </w:pPr>
      <w:r/>
      <w:r>
        <w:rPr>
          <w:b/>
        </w:rPr>
        <w:t>Clopidogrel + Bupivacaïne, ropivacaïne (anesthésie locorégionale rachidienne)</w:t>
      </w:r>
      <w:r>
        <w:t xml:space="preserve"> : Risque d'hématome épidural/péridural. Respecter fenêtre de 5 jours (arrêt) avant ALR centrale.</w:t>
      </w:r>
    </w:p>
    <w:p>
      <w:r/>
      <w:r>
        <w:rPr>
          <w:b/>
        </w:rPr>
        <w:t>Grossesse et Allaitement :</w:t>
      </w:r>
      <w:r/>
    </w:p>
    <w:p>
      <w:pPr>
        <w:pStyle w:val="ListBullet"/>
      </w:pPr>
      <w:r>
        <w:t xml:space="preserve">Grossesse : Les données animales n'ont pas montré d'effet tératogène mais les études chez la femme enceinte sont limitées. Le clopidogrel traverse le placenta. Selon le CRAT et les recommandations ESC, le clopidogrel est à </w:t>
      </w:r>
      <w:r>
        <w:rPr>
          <w:b/>
        </w:rPr>
        <w:t>éviter par principe</w:t>
      </w:r>
      <w:r>
        <w:t xml:space="preserve"> pendant la grossesse, en raison du risque hémorragique materno-fœtal (hématome rétroplacentaire, hémorragie de la délivrance, saignement fœtal lors de la ponction du cordon). En prévention secondaire indispensable (rare : syndrome antiphospholipide réfractaire), l'aspirine faible dose est préférée ; le clopidogrel peut être discuté au cas par cas en milieu spécialisé après 20 SA. Arrêt 5 à 7 jours avant accouchement programmé ou dès le travail si accouchement par voie basse.</w:t>
      </w:r>
    </w:p>
    <w:p>
      <w:pPr>
        <w:pStyle w:val="ListBullet"/>
      </w:pPr>
      <w:r>
        <w:t xml:space="preserve">Allaitement : Passage dans le lait maternel non documenté avec précision mais risque théorique d'immuno-allergie et de saignement chez le nouveau-né. </w:t>
      </w:r>
      <w:r>
        <w:rPr>
          <w:b/>
        </w:rPr>
        <w:t>Allaitement contre-indiqué</w:t>
      </w:r>
      <w:r>
        <w:t xml:space="preserve"> sous clopidogrel (CRAT). Relai par biberon.</w:t>
      </w:r>
    </w:p>
    <w:p>
      <w:pPr>
        <w:pStyle w:val="ListBullet"/>
      </w:pPr>
      <w:r>
        <w:t>Précautions : En cas de découverte de grossesse sous clopidogrel, ne pas interrompre brutalement si la patiente est porteuse d'un stent récent (&lt; 12 mois), mais avis cardiologique urgent pour réévaluation du rapport bénéfice/risque.</w:t>
      </w:r>
    </w:p>
    <w:p>
      <w:r/>
      <w:r>
        <w:rPr>
          <w:b/>
        </w:rPr>
        <w:t>Posologie et Mode d'administration (Standard) :</w:t>
      </w:r>
      <w:r/>
    </w:p>
    <w:p>
      <w:pPr>
        <w:pStyle w:val="ListBullet"/>
      </w:pPr>
      <w:r>
        <w:t xml:space="preserve">Adulte : Dose d'entretien </w:t>
      </w:r>
      <w:r>
        <w:rPr>
          <w:b/>
        </w:rPr>
        <w:t>75 mg une fois par jour</w:t>
      </w:r>
      <w:r>
        <w:t xml:space="preserve"> per os, indépendamment des repas. Dose de charge : </w:t>
      </w:r>
      <w:r>
        <w:rPr>
          <w:b/>
        </w:rPr>
        <w:t>300 mg</w:t>
      </w:r>
      <w:r>
        <w:t xml:space="preserve"> (4 cp à 75 mg) en ICP stable ou NSTE-SCA, ou </w:t>
      </w:r>
      <w:r>
        <w:rPr>
          <w:b/>
        </w:rPr>
        <w:t>600 mg</w:t>
      </w:r>
      <w:r>
        <w:t xml:space="preserve"> (8 cp à 75 mg) en ICP primaire pour STEMI (inhibition plus rapide, 2 h vs 5 h après 300 mg). Certaines équipes utilisent 600 mg systématiquement en SCA pour atteindre plus vite l'état d'équilibre (réservé aux patients &lt; 75 ans, poids &gt; 60 kg, sans risque hémorragique majeur). En cas d'oubli &lt; 12 h, prise dès que possible ; si oubli &gt; 12 h, sauter la prise et continuer le lendemain à l'heure habituelle (ne pas doubler).</w:t>
      </w:r>
    </w:p>
    <w:p>
      <w:pPr>
        <w:pStyle w:val="ListBullet"/>
      </w:pPr>
      <w:r>
        <w:t>Sujet âgé (&gt; 75 ans) : Même posologie mais dose de charge réduite à 300 mg (voire 75 mg sans charge dans certains protocoles ESC 2017 NSTE-ACS), surveillance accrue du risque hémorragique.</w:t>
      </w:r>
    </w:p>
    <w:p>
      <w:pPr>
        <w:pStyle w:val="ListBullet"/>
      </w:pPr>
      <w:r>
        <w:t>Insuffisance rénale : Pas d'adaptation posologique formelle, mais majoration du risque hémorragique ; surveiller.</w:t>
      </w:r>
    </w:p>
    <w:p>
      <w:pPr>
        <w:pStyle w:val="ListBullet"/>
      </w:pPr>
      <w:r>
        <w:t>Insuffisance hépatique : Contre-indication en cas d'insuffisance sévère ; prudence en cas modérée.</w:t>
      </w:r>
    </w:p>
    <w:p>
      <w:pPr>
        <w:pStyle w:val="ListBullet"/>
      </w:pPr>
      <w:r>
        <w:t>Enfant : Utilisation exceptionnelle (maladie de Kawasaki réfractaire, shunt cardiaque) — posologie 0,2 mg/kg/j dès 1 mois, à discuter en milieu spécialisé.</w:t>
      </w:r>
    </w:p>
    <w:p>
      <w:pPr>
        <w:pStyle w:val="ListBullet"/>
      </w:pPr>
      <w:r>
        <w:t>Durée : DAPT standard 12 mois après SCA (6 mois si risque hémorragique élevé PRECISE-DAPT ≥ 25 ; 30 mois si thrombose de stent récidivante). Monothérapie d'entretien prolongée possible au-delà de 12 mois (surtout si AOMI ou IDM étendu).</w:t>
      </w:r>
    </w:p>
    <w:p>
      <w:pPr>
        <w:pStyle w:val="ListBullet"/>
      </w:pPr>
      <w:r>
        <w:t>Moment de prise : Heure fixe quotidienne, le matin ou le soir selon préférence patient, indépendamment des repas.</w:t>
      </w:r>
    </w:p>
    <w:p>
      <w:r/>
      <w:r>
        <w:rPr>
          <w:b/>
        </w:rPr>
        <w:t>Arbitrage et Bénéfices des Formes Galéniques :</w:t>
      </w:r>
      <w:r/>
    </w:p>
    <w:p>
      <w:pPr>
        <w:pStyle w:val="ListBullet"/>
      </w:pPr>
      <w:r>
        <w:t>La forme 75 mg (comprimé pelliculé) couvre la dose d'entretien chez l'adulte et la dose de charge si 4 ou 8 comprimés sont pris ensemble (acceptable mais inconfortable, source d'erreurs).</w:t>
      </w:r>
    </w:p>
    <w:p>
      <w:pPr>
        <w:pStyle w:val="ListBullet"/>
      </w:pPr>
      <w:r>
        <w:t xml:space="preserve">La forme 300 mg (PLAVIX 300 mg, Sanofi) est dédiée à la </w:t>
      </w:r>
      <w:r>
        <w:rPr>
          <w:b/>
        </w:rPr>
        <w:t>dose de charge</w:t>
      </w:r>
      <w:r>
        <w:t xml:space="preserve"> (1 seul comprimé), particulièrement adaptée à l'urgence pré-hospitalière (SAMU, SMUR) et à l'ICP primaire. Gain logistique et de sécurité d'administration.</w:t>
      </w:r>
    </w:p>
    <w:p>
      <w:pPr>
        <w:pStyle w:val="ListBullet"/>
      </w:pPr>
      <w:r>
        <w:t>Le microgranule en gélule (CLOPIDOGREL NOVAGENERICS) : intérêt théorique chez les patients avec troubles de la déglutition (sujet âgé, sonde naso-gastrique), possibilité d'ouverture de la gélule. Biodisponibilité comparable.</w:t>
      </w:r>
    </w:p>
    <w:p>
      <w:pPr>
        <w:pStyle w:val="ListBullet"/>
      </w:pPr>
      <w:r>
        <w:t>Aucune forme IV ou sublinguale disponible. En cas de besoin urgent et de voie orale impossible (vomissements, intubation), alternative : prasugrel (od) ou ticagrelor (od, plus rapide).</w:t>
      </w:r>
    </w:p>
    <w:p>
      <w:pPr>
        <w:pStyle w:val="ListBullet"/>
      </w:pPr>
      <w:r>
        <w:t>Tous les comprimés doivent être conservés à température &lt; 25 °C, à l'abri de l'humidité (sachet déshydratant dans la boîte), hors de portée des enfants.</w:t>
      </w:r>
    </w:p>
    <w:p>
      <w:r/>
      <w:r>
        <w:rPr>
          <w:b/>
        </w:rPr>
        <w:t>Instructions et Conseils au Patient :</w:t>
      </w:r>
      <w:r/>
    </w:p>
    <w:p>
      <w:pPr>
        <w:pStyle w:val="ListBullet"/>
      </w:pPr>
      <w:r>
        <w:t>Communication au comptoir : « Ce médicament fluidifie votre sang en bloquant l'agrégation des plaquettes, ce qui prévient la formation de caillots dans vos artères (cœur, cerveau, jambes). Vous devez le prendre tous les jours à heure fixe, sans jamais l'arrêter sans avis médical, car son effet persiste 7 à 10 jours après la dernière prise. Prévenez systématiquement votre dentiste, chirurgien, ou tout médecin consulté que vous êtes sous clopidogrel. »</w:t>
      </w:r>
    </w:p>
    <w:p>
      <w:pPr>
        <w:pStyle w:val="ListBullet"/>
      </w:pPr>
      <w:r>
        <w:t>Mode d'utilisation pratique : (1) Prise unique quotidienne, à heure fixe, avec ou sans nourriture ; (2) En cas d'oubli de moins de 12 heures, prendre dès que possible ; au-delà, ne pas doubler la dose ; (3) Ne jamais associer sans avis à l'aspirine (sauf prescription), aux AINS type ibuprofène/kétoprofène, ou aux anticoagulants ; (4) Signaler tout saignement anormal : ecchymoses spontanées étendues, épistaxis &gt; 10 min, méléna, hématurie, saignement gingival prolongé, céphalées brutales (suspicion HIC) ; (5) Avant chirurgie, dentiste y compris extraction : arrêt 5 jours selon protocole établi par le cardiologue ; (6) Éviter activités à risque traumatique (sports de contact, bricolage à risque) ; (7) Ne pas consommer de jus de pamplemousse en quantité (interaction CYP3A4 mineure mais à éviter) ; (8) Consulter en urgence en cas de douleur thoracique, dyspnée, déficit neuro (suspicion de thrombose de stent ou récidive ischémique).</w:t>
      </w:r>
    </w:p>
    <w:p>
      <w:pPr>
        <w:pStyle w:val="ListBullet"/>
      </w:pPr>
      <w:r>
        <w:t>Carte de patient à porter en permanence mentionnant le traitement, la dose, et le médecin prescripteur.</w:t>
      </w:r>
    </w:p>
    <w:p>
      <w:r/>
      <w:r>
        <w:rPr>
          <w:b/>
        </w:rPr>
        <w:t>Notes, Règles d'Or &amp; Pièges au Comptoir :</w:t>
      </w:r>
      <w:r/>
    </w:p>
    <w:p>
      <w:pPr>
        <w:pStyle w:val="ListBullet"/>
      </w:pPr>
      <w:r>
        <w:t xml:space="preserve">Piège classique : </w:t>
      </w:r>
      <w:r>
        <w:rPr>
          <w:b/>
        </w:rPr>
        <w:t>Clopidogrel + Oméprazole</w:t>
      </w:r>
      <w:r>
        <w:t xml:space="preserve"> prescrits ensemble par automatisme — les deux sont métabolisés par CYP2C19. L'oméprazole réduit l'activation du clopidogrel et son efficacité antiplaquettaire. </w:t>
      </w:r>
      <w:r>
        <w:rPr>
          <w:b/>
        </w:rPr>
        <w:t>Toujours substituer l'oméprazole par pantoprazole 40 mg</w:t>
      </w:r>
      <w:r>
        <w:t xml:space="preserve"> chez un patient sous clopidogrel, et signaler au médecin toute co-prescription d'oméprazole ou d'ésonéprazole.</w:t>
      </w:r>
    </w:p>
    <w:p>
      <w:pPr>
        <w:pStyle w:val="ListBullet"/>
      </w:pPr>
      <w:r>
        <w:t xml:space="preserve">Piège classique : </w:t>
      </w:r>
      <w:r>
        <w:rPr>
          <w:b/>
        </w:rPr>
        <w:t>Patient sous DAPT (aspirine + clopidogrel) venant acheter de l'ibuprofène ou du kétoprofène en automédication</w:t>
      </w:r>
      <w:r>
        <w:t xml:space="preserve"> — risque d'hémorragie digestive majoré. Refuser la délivrance, proposer paracétamol, et orienter vers le prescripteur.</w:t>
      </w:r>
    </w:p>
    <w:p>
      <w:pPr>
        <w:pStyle w:val="ListBullet"/>
      </w:pPr>
      <w:r>
        <w:t xml:space="preserve">Piège classique : </w:t>
      </w:r>
      <w:r>
        <w:rPr>
          <w:b/>
        </w:rPr>
        <w:t>Patient porteur d'un stent récent (&lt; 12 mois) qui veut arrêter son clopidogrel pour « faire une pause » ou suite à un épisode hémorragique mineur</w:t>
      </w:r>
      <w:r>
        <w:t xml:space="preserve"> — risque majeur de thrombose de stent (mortalité 20-40 %). Ne jamais arrêter sans avis cardiologique urgent.</w:t>
      </w:r>
    </w:p>
    <w:p>
      <w:pPr>
        <w:pStyle w:val="ListBullet"/>
      </w:pPr>
      <w:r>
        <w:t>Règle de prise : Une prise par jour à heure fixe, idéalement le matin au réveil pour faciliter l'observance.</w:t>
      </w:r>
    </w:p>
    <w:p>
      <w:pPr>
        <w:pStyle w:val="ListBullet"/>
      </w:pPr>
      <w:r>
        <w:t>Préparation et Conservation : Comprimés à conserver à température &lt; 25 °C, à l'abri de l'humidité et de la lumière, dans l'emballage d'origine. Ne pas utiliser après la date de péremption indiquée.</w:t>
      </w:r>
    </w:p>
    <w:p>
      <w:pPr>
        <w:pStyle w:val="ListBullet"/>
      </w:pPr>
      <w:r>
        <w:t>Piège du surdosage / Substitution : En cas de substitution princeps → générique, vérifier la forme galénique (comprimé pelliculé vs microgranules en gélule) chez le patient âgé ou dysphagique. Surdosage accidentel (double dose) : risque hémorragique — surveillance 24-48 h en milieu hospitalier, NFS, bilan d'hémostase, pas d'antidote spécifique (transfusion plaquettaire si saignement).</w:t>
      </w:r>
    </w:p>
    <w:p>
      <w:pPr>
        <w:pStyle w:val="ListBullet"/>
      </w:pPr>
      <w:r>
        <w:t xml:space="preserve">Règle d'or : </w:t>
      </w:r>
      <w:r>
        <w:rPr>
          <w:b/>
        </w:rPr>
        <w:t>Tout patient sous clopidogrel doit être porteur d'une carte de traitement</w:t>
      </w:r>
      <w:r>
        <w:t xml:space="preserve"> (carte DAPT) précisant la molécule, la dose, la date d'instauration, et la durée prévue. Cette carte est exigée en cas d'urgence chirurgicale.</w:t>
      </w:r>
    </w:p>
    <w:p>
      <w:pPr>
        <w:pStyle w:val="ListBullet"/>
      </w:pPr>
      <w:r>
        <w:t>Piège génétique : patients asiatiques, maghrébins et afro-antillais ont une prévalence élevée (20-40 %) de l'allèle CYP2C19*2 (métaboliseur lent). En cas de récidive ischémique sous clopidogrel, évoquer une résistance pharmacogénétique et discuter ticagrelor ou prasugrel (sans métabolisme CYP2C19 pour le prasugrel).</w:t>
      </w:r>
    </w:p>
    <w:p>
      <w:pPr>
        <w:pStyle w:val="Heading3"/>
      </w:pPr>
      <w:r>
        <w:t>1.2. DCI : Prasugrel (Seul)</w:t>
      </w:r>
    </w:p>
    <w:p>
      <w:r/>
      <w:r>
        <w:rPr>
          <w:b/>
        </w:rPr>
        <w:t>Liste des Catégories :</w:t>
      </w:r>
      <w:r>
        <w:t xml:space="preserve"> Antiagrégants plaquettaires — Inhibiteurs P2Y12 (thiénopyridines modernes).</w:t>
      </w:r>
    </w:p>
    <w:p>
      <w:r>
        <w:t>Le prasugrel est une thiénopyridine de 3e génération, commercialisée en France depuis 2009 (EFIENT®, Lilly/Daiichi Sankyo). Elle a été conçue pour pallier les limites du clopidogrel : variabilité de réponse, lenteur d'activation, interactions médicamenteuses via le CYP2C19. Le prasugrel produit un métabolite actif plus rapidement, plus abondamment et plus reproductiblement, avec une inhibition P2Y12 plus marquée (TRITON-TIMI 38). En Algérie, il est disponible sous la marque PERGUS® (El Kendi) en comprimés à 5 mg et 10 mg, en Liste I, sans restriction de prescription mais réservé à l'usage spécialisé cardiologique en raison de son profil hémorragique. Il est surtout indiqué en post-ICP pour SCA chez les patients à poids ≥ 60 kg, âge &lt; 75 ans, sans antécédent d'AVC/AIT.</w:t>
      </w:r>
    </w:p>
    <w:p>
      <w:r/>
      <w:r>
        <w:rPr>
          <w:b/>
        </w:rPr>
        <w:t>Médicaments disponibles en Algérie (Marques, Laboratoires, Formes et Dosages) :</w:t>
      </w:r>
      <w:r/>
    </w:p>
    <w:p>
      <w:pPr>
        <w:pStyle w:val="ListBullet"/>
      </w:pPr>
      <w:r/>
      <w:r>
        <w:rPr>
          <w:b/>
        </w:rPr>
        <w:t>PERGUS 5 mg</w:t>
      </w:r>
      <w:r>
        <w:t xml:space="preserve"> (EL KENDI INDUSTRIE DU MEDICAMENT)</w:t>
      </w:r>
    </w:p>
    <w:p>
      <w:pPr>
        <w:pStyle w:val="ListBullet"/>
      </w:pPr>
      <w:r>
        <w:t>Formes et Dosages : Comprimé pelliculé 5 mg — Boîte de 30</w:t>
      </w:r>
    </w:p>
    <w:p>
      <w:pPr>
        <w:pStyle w:val="ListBullet"/>
      </w:pPr>
      <w:r>
        <w:t>Statut : Actif</w:t>
      </w:r>
    </w:p>
    <w:p>
      <w:pPr>
        <w:pStyle w:val="ListBullet"/>
      </w:pPr>
      <w:r/>
      <w:r>
        <w:rPr>
          <w:b/>
        </w:rPr>
        <w:t>PERGUS 10 mg</w:t>
      </w:r>
      <w:r>
        <w:t xml:space="preserve"> (EL KENDI INDUSTRIE DU MEDICAMENT)</w:t>
      </w:r>
    </w:p>
    <w:p>
      <w:pPr>
        <w:pStyle w:val="ListBullet"/>
      </w:pPr>
      <w:r>
        <w:t>Formes et Dosages : Comprimé pelliculé 10 mg — Boîte de 30</w:t>
      </w:r>
    </w:p>
    <w:p>
      <w:pPr>
        <w:pStyle w:val="ListBullet"/>
      </w:pPr>
      <w:r>
        <w:t>Statut : Actif</w:t>
      </w:r>
    </w:p>
    <w:p>
      <w:r/>
      <w:r>
        <w:rPr>
          <w:b/>
        </w:rPr>
        <w:t>Sous-classe et Mécanisme d'action :</w:t>
      </w:r>
      <w:r/>
    </w:p>
    <w:p>
      <w:pPr>
        <w:pStyle w:val="ListBullet"/>
      </w:pPr>
      <w:r>
        <w:t>Sous-classe : Thiénopyridine de 3e génération, prodrogue, inhibiteur irréversible du récepteur P2Y12 plaquettaire, à activation rapide et reproductible.</w:t>
      </w:r>
    </w:p>
    <w:p>
      <w:pPr>
        <w:pStyle w:val="ListBullet"/>
      </w:pPr>
      <w:r>
        <w:t xml:space="preserve">Mécanisme d'action : Le prasugrel est une prodrogue absorbée par voie orale (biodisponibilité ≈ 80 %, supérieure au clopidogrel). Après absorption, il est hydrolysé par les estérases intestinales et hépatiques en un métabolite intermédiaire (R-95913), non inactivant (à la différence du clopidogrel dont l'hydrolyse estérasique aboutit à un dérivé inactif). Ce métabolite subit ensuite une </w:t>
      </w:r>
      <w:r>
        <w:rPr>
          <w:b/>
        </w:rPr>
        <w:t>seule</w:t>
      </w:r>
      <w:r>
        <w:t xml:space="preserve"> oxydation par CYP3A4 et CYP2B6 (peu par CYP2C19, d'où l'absence d'impact clinique des polymorphismes CYP2C19) en métabolite actif thiol R-138727. Ce métabolite forme un pont disulfure avec Cys17 du récepteur P2Y12 — </w:t>
      </w:r>
      <w:r>
        <w:rPr>
          <w:b/>
        </w:rPr>
        <w:t>irréversible</w:t>
      </w:r>
      <w:r>
        <w:t>, comme le clopidogrel. L'inhibition de l'agrégation plaquettaire induite par l'ADP atteint 80 % dès 1 h après une dose de charge de 60 mg (vs 4-6 h pour clopidogrel 600 mg), et l'état d'équilibre est atteint en 3 à 5 jours sous 10 mg/j. L'effet persiste 7 à 10 jours après l'arrêt (durée de vie plaquettaire). Au plan pharmacogénétique, l'efficacité n'est pas influencée par les polymorphismes CYP2C19 (à la différence du clopidogrel), mais peut l'être par les polymorphismes du transporteur ABCB1 (P-gp).</w:t>
      </w:r>
    </w:p>
    <w:p>
      <w:r/>
      <w:r>
        <w:rPr>
          <w:b/>
        </w:rPr>
        <w:t>Profil Pharmacologique :</w:t>
      </w:r>
      <w:r/>
    </w:p>
    <w:p>
      <w:pPr>
        <w:pStyle w:val="ListBullet"/>
      </w:pPr>
      <w:r>
        <w:t xml:space="preserve">Indications : SCA (NSTE-ACS et STEMI) chez patients programmés pour ICP, en association à l'aspirine (DAPT), pour une durée initiale de 12 mois. Utilisation réservée aux patients : âge &lt; 75 ans, poids ≥ 60 kg, sans antécédent d'AVC ni AIT. Dose de charge </w:t>
      </w:r>
      <w:r>
        <w:rPr>
          <w:b/>
        </w:rPr>
        <w:t>60 mg</w:t>
      </w:r>
      <w:r>
        <w:t xml:space="preserve"> (6 cp à 10 mg) au moment de l'ICP, puis dose d'entretien </w:t>
      </w:r>
      <w:r>
        <w:rPr>
          <w:b/>
        </w:rPr>
        <w:t>10 mg/j</w:t>
      </w:r>
      <w:r>
        <w:t>. Chez les patients de poids &lt; 60 kg, réduire la dose d'entretien à 5 mg/j. Le prasugrel n'est pas indiqué en traitement médical pur (sans ICP) du SCA, ni en thrombolyse pharmacologique seule, ni en prévention secondaire d'AVC (CI formelle si ATC d'AVC/AIT). Il est aussi déconseillé chez les patients &gt; 75 ans (sauf cas particulier de diabète ou stent récurrent où une dose réduite 5 mg peut être discutée).</w:t>
      </w:r>
    </w:p>
    <w:p>
      <w:pPr>
        <w:pStyle w:val="ListBullet"/>
      </w:pPr>
      <w:r>
        <w:t>Contre-indications : (1) AVC ischémique ou AIT antérieur (risque hémorragique cérébral majoré, démontré dans TRITON) ; (2) Hémorragie active ; (3) Insuffisance hépatique sévère ; (4) Hypersensibilité au prasugrel ; (5) Age &gt; 75 ans (CI relative, dose 5 mg exceptionnellement) ; (6) Poids &lt; 60 kg (CI relative, dose 5 mg) ; (7) Patients sous anticoagulants oraux au long cours ; (8) Enfant/adolescent &lt; 18 ans (absence d'études). Précautions : patients à risque hémorragique (PRECISE-DAPT ≥ 25), insuffisance rénale, thrombopénie, chirurgie programmée (arrêt 7 jours), administration concomitante d'AINS ou de corticoïdes.</w:t>
      </w:r>
    </w:p>
    <w:p>
      <w:pPr>
        <w:pStyle w:val="ListBullet"/>
      </w:pPr>
      <w:r>
        <w:t xml:space="preserve">Effets Indésirables : (1) </w:t>
      </w:r>
      <w:r>
        <w:rPr>
          <w:b/>
        </w:rPr>
        <w:t>Hémorragies</w:t>
      </w:r>
      <w:r>
        <w:t xml:space="preserve"> — incidence supérieure au clopidogrel (TRITON-TIMI 38 : 2,4 % de saignements majeurs vs 1,8 % sous clopidogrel, HR 1,32 ; hémorragies mortelles 0,4 % vs 0,1 %). Majoration nette chez sujet &gt; 75 ans, poids &lt; 60 kg, et ATC d'AVC/AIT (d'où les CI). Risque particulièrement élevé de saignement au site de ponction fémorale (radiale préférable) ; (2) Thrombopénie thrombotique et PTT — exceptionnel mais possible, moins rapporté qu'avec le clopidogrel ; (3) Troubles digestifs — nausées, dyspepsie, rarement ulcère ; (4) Rash cutané (≈ 3 %), hypersensibilité ; (5) Hypertension artérielle modérée, céphalées ; (6) Augmentation asymptomatique des transaminases (rare) ; (7) Pas de dyspnée spécifique ; (8) Anémie, épistaxis, contusions fréquentes (effet de classe).</w:t>
      </w:r>
    </w:p>
    <w:p>
      <w:r/>
      <w:r>
        <w:rPr>
          <w:b/>
        </w:rPr>
        <w:t>Prévention et Gestion des Effets Indésirables :</w:t>
      </w:r>
      <w:r/>
    </w:p>
    <w:p>
      <w:pPr>
        <w:pStyle w:val="ListBullet"/>
      </w:pPr>
      <w:r>
        <w:t xml:space="preserve">Mesures Préventives : (1) Sélection stricte des patients selon âge, poids, ATC d'AVC/AIT (critères TRITON) ; (2) Voie d'abord radiale systématique en ICP pour réduire le saignement au site de ponction ; (3) Co-prescription d'IPP systématique (pantoprazole à nouveau préféré, sans interaction cliniquement pertinente mais principe de précaution) ; (4) Éducation thérapeutique renforcée : signes de saignement, port de carte de traitement ; (5) Pas de surveillance systématique NFS (pas de neutropénie décrite) ; (6) Réduction de dose à 5 mg/j pour poids &lt; 60 kg et pour &gt; 75 ans si formellement indiqué ; (7) Fenêtre thérapeutique pré-opératoire : </w:t>
      </w:r>
      <w:r>
        <w:rPr>
          <w:b/>
        </w:rPr>
        <w:t>arrêt 7 jours</w:t>
      </w:r>
      <w:r>
        <w:t xml:space="preserve"> avant chirurgie non cardiaque programmée (plus long que le clopidogrel, en raison de l'inhibition plus puissante).</w:t>
      </w:r>
    </w:p>
    <w:p>
      <w:pPr>
        <w:pStyle w:val="ListBullet"/>
      </w:pPr>
      <w:r>
        <w:t xml:space="preserve">Conduite à Tenir : (1) </w:t>
      </w:r>
      <w:r>
        <w:rPr>
          <w:b/>
        </w:rPr>
        <w:t>Hémorragie majeure</w:t>
      </w:r>
      <w:r>
        <w:t xml:space="preserve"> : arrêt immédiat du prasugrel et de l'aspirine, transfusion plaquettaire (1 unité/10 kg), transfusion CGR si nécessaire, traitement étiologique (endoscopie, embolisation, chirurgie). Pas d'antidote spécifique ; (2) </w:t>
      </w:r>
      <w:r>
        <w:rPr>
          <w:b/>
        </w:rPr>
        <w:t>Hémorragie mineure</w:t>
      </w:r>
      <w:r>
        <w:t xml:space="preserve"> : maintien du traitement en post-ICP précoce (&lt; 1 mois), surveillance rapprochée ; (3) </w:t>
      </w:r>
      <w:r>
        <w:rPr>
          <w:b/>
        </w:rPr>
        <w:t>Chirurgie urgente</w:t>
      </w:r>
      <w:r>
        <w:t xml:space="preserve"> : transfusion plaquettaire prophylactique si &lt; 7 jours après dernière prise ; (4) PTT suspecté : arrêt définitif, échange plasmatique ; (5) </w:t>
      </w:r>
      <w:r>
        <w:rPr>
          <w:b/>
        </w:rPr>
        <w:t>Thrombose de stent sous prasugrel</w:t>
      </w:r>
      <w:r>
        <w:t xml:space="preserve"> : rare (efficacité supérieure au clopidogrel), évoquer une thrombose précoce mécanique ou un défaut d'observance, voire un diabète déséquilibré.</w:t>
      </w:r>
    </w:p>
    <w:p>
      <w:r/>
      <w:r>
        <w:rPr>
          <w:b/>
        </w:rPr>
        <w:t>Interactions Importantes :</w:t>
      </w:r>
      <w:r/>
    </w:p>
    <w:p>
      <w:pPr>
        <w:pStyle w:val="ListBullet"/>
      </w:pPr>
      <w:r/>
      <w:r>
        <w:rPr>
          <w:b/>
        </w:rPr>
        <w:t>Prasugrel + Anticoagulants oraux (AVK/AOD)</w:t>
      </w:r>
      <w:r>
        <w:t xml:space="preserve"> : Risque hémorragique majeur, contre-indication relative sauf indication formelle brève (FA post-IDM, durée minimale de triple thérapie selon ESC 2018).</w:t>
      </w:r>
    </w:p>
    <w:p>
      <w:pPr>
        <w:pStyle w:val="ListBullet"/>
      </w:pPr>
      <w:r/>
      <w:r>
        <w:rPr>
          <w:b/>
        </w:rPr>
        <w:t>Prasugrel + AINS</w:t>
      </w:r>
      <w:r>
        <w:t xml:space="preserve"> : Majoration du risque hémorragique digestif. Préférer paracétamol.</w:t>
      </w:r>
    </w:p>
    <w:p>
      <w:pPr>
        <w:pStyle w:val="ListBullet"/>
      </w:pPr>
      <w:r/>
      <w:r>
        <w:rPr>
          <w:b/>
        </w:rPr>
        <w:t>Prasugrel + Warfarine</w:t>
      </w:r>
      <w:r>
        <w:t xml:space="preserve"> : Surveillance stricte de l'INR, cibler INR bas (2.0-2.5) si association nécessaire.</w:t>
      </w:r>
    </w:p>
    <w:p>
      <w:pPr>
        <w:pStyle w:val="ListBullet"/>
      </w:pPr>
      <w:r/>
      <w:r>
        <w:rPr>
          <w:b/>
        </w:rPr>
        <w:t>Prasugrel + Morphine</w:t>
      </w:r>
      <w:r>
        <w:t xml:space="preserve"> : Ralentissement de l'absorption digestive, comme pour le clopidogrel. Préférer le fentanyl IV si besoin antalgique majeur en SCA.</w:t>
      </w:r>
    </w:p>
    <w:p>
      <w:pPr>
        <w:pStyle w:val="ListBullet"/>
      </w:pPr>
      <w:r/>
      <w:r>
        <w:rPr>
          <w:b/>
        </w:rPr>
        <w:t>Prasugrel + IPP (oméprazole, ésoméprazole, pantoprazole)</w:t>
      </w:r>
      <w:r>
        <w:t xml:space="preserve"> : </w:t>
      </w:r>
      <w:r>
        <w:rPr>
          <w:b/>
        </w:rPr>
        <w:t>Pas d'interaction cliniquement pertinente</w:t>
      </w:r>
      <w:r>
        <w:t xml:space="preserve"> (le prasugrel ne dépend pas du CYP2C19). C'est un avantage majeur vs clopidogrel. Tous les IPP peuvent être utilisés.</w:t>
      </w:r>
    </w:p>
    <w:p>
      <w:pPr>
        <w:pStyle w:val="ListBullet"/>
      </w:pPr>
      <w:r/>
      <w:r>
        <w:rPr>
          <w:b/>
        </w:rPr>
        <w:t>Prasugrel + Inhibiteurs CYP3A4 (kétoconazole, ritonavir, clarithromycine, diltiazem, vérapamil)</w:t>
      </w:r>
      <w:r>
        <w:t xml:space="preserve"> : Pas d'impact clinique significatif (l'activation n'est pas limitée par CYP3A4 seul).</w:t>
      </w:r>
    </w:p>
    <w:p>
      <w:pPr>
        <w:pStyle w:val="ListBullet"/>
      </w:pPr>
      <w:r/>
      <w:r>
        <w:rPr>
          <w:b/>
        </w:rPr>
        <w:t>Prasugrel + Rifampicine, phénytoïne</w:t>
      </w:r>
      <w:r>
        <w:t xml:space="preserve"> : Pas d'impact clinique documenté.</w:t>
      </w:r>
    </w:p>
    <w:p>
      <w:r/>
      <w:r>
        <w:rPr>
          <w:b/>
        </w:rPr>
        <w:t>Grossesse et Allaitement :</w:t>
      </w:r>
      <w:r/>
    </w:p>
    <w:p>
      <w:pPr>
        <w:pStyle w:val="ListBullet"/>
      </w:pPr>
      <w:r>
        <w:t xml:space="preserve">Grossesse : Données animales (lapin) : toxicité fœtale à doses maternotoxiques, pas d'effet tératogène direct. Pas d'étude chez la femme enceinte. Le prasugrel traverse probablement le placenta (small molecule lipophile). </w:t>
      </w:r>
      <w:r>
        <w:rPr>
          <w:b/>
        </w:rPr>
        <w:t>À éviter pendant la grossesse</w:t>
      </w:r>
      <w:r>
        <w:t xml:space="preserve"> par principe de précaution (CRAT), sauf nécessité absolue en milieu spécialisé. Préférer aspirine faible dose.</w:t>
      </w:r>
    </w:p>
    <w:p>
      <w:pPr>
        <w:pStyle w:val="ListBullet"/>
      </w:pPr>
      <w:r>
        <w:t xml:space="preserve">Allaitement : Passage dans le lait non documenté mais probable. </w:t>
      </w:r>
      <w:r>
        <w:rPr>
          <w:b/>
        </w:rPr>
        <w:t>Allaitement contre-indiqué</w:t>
      </w:r>
      <w:r>
        <w:t xml:space="preserve"> (CRAT).</w:t>
      </w:r>
    </w:p>
    <w:p>
      <w:pPr>
        <w:pStyle w:val="ListBullet"/>
      </w:pPr>
      <w:r>
        <w:t>Précisions : Risque hémorragique maternel et fœtal, risque d'hématome rétroplacentaire, de saignement de cordon. Arrêt 7 jours avant accouchement programmé si traitement maintenu jusqu'au 3e trimestre (situation exceptionnelle).</w:t>
      </w:r>
    </w:p>
    <w:p>
      <w:r/>
      <w:r>
        <w:rPr>
          <w:b/>
        </w:rPr>
        <w:t>Posologie et Mode d'administration (Standard) :</w:t>
      </w:r>
      <w:r/>
    </w:p>
    <w:p>
      <w:pPr>
        <w:pStyle w:val="ListBullet"/>
      </w:pPr>
      <w:r>
        <w:t xml:space="preserve">Adulte : Dose de charge </w:t>
      </w:r>
      <w:r>
        <w:rPr>
          <w:b/>
        </w:rPr>
        <w:t>60 mg</w:t>
      </w:r>
      <w:r>
        <w:t xml:space="preserve"> (6 comprimés à 10 mg) per os, idéalement au moment de l'ICP. Dose d'entretien </w:t>
      </w:r>
      <w:r>
        <w:rPr>
          <w:b/>
        </w:rPr>
        <w:t>10 mg une fois par jour</w:t>
      </w:r>
      <w:r>
        <w:t xml:space="preserve"> per os, en association à l'aspirine 75-100 mg/j. Durée de DAPT : 12 mois (parfois 6 mois si risque hémorragique élevé).</w:t>
      </w:r>
    </w:p>
    <w:p>
      <w:pPr>
        <w:pStyle w:val="ListBullet"/>
      </w:pPr>
      <w:r>
        <w:t xml:space="preserve">Sujet âgé ≥ 75 ans : </w:t>
      </w:r>
      <w:r>
        <w:rPr>
          <w:b/>
        </w:rPr>
        <w:t>Déconseillé</w:t>
      </w:r>
      <w:r>
        <w:t>. Si l'usage est jugé indispensable (diabète, stent récurrent), dose d'entretien réduite à 5 mg/j (sans dose de charge ou 30 mg en charge prudente).</w:t>
      </w:r>
    </w:p>
    <w:p>
      <w:pPr>
        <w:pStyle w:val="ListBullet"/>
      </w:pPr>
      <w:r>
        <w:t>Poids &lt; 60 kg : Dose d'entretien réduite à 5 mg/j.</w:t>
      </w:r>
    </w:p>
    <w:p>
      <w:pPr>
        <w:pStyle w:val="ListBullet"/>
      </w:pPr>
      <w:r>
        <w:t>Insuffisance rénale : Pas d'adaptation posologique, mais surveillance accrue.</w:t>
      </w:r>
    </w:p>
    <w:p>
      <w:pPr>
        <w:pStyle w:val="ListBullet"/>
      </w:pPr>
      <w:r>
        <w:t>Insuffisance hépatique : Contre-indication si sévère ; prudence si modérée.</w:t>
      </w:r>
    </w:p>
    <w:p>
      <w:pPr>
        <w:pStyle w:val="ListBullet"/>
      </w:pPr>
      <w:r>
        <w:t>Enfant : Non recommandé (&lt; 18 ans, absence d'études).</w:t>
      </w:r>
    </w:p>
    <w:p>
      <w:pPr>
        <w:pStyle w:val="ListBullet"/>
      </w:pPr>
      <w:r>
        <w:t>Durée : DAPT 12 mois après SCA/ICP, suivie d'une monothérapie antiplaquettaire (souvent aspirine, parfois prasugrel 5-10 mg/j en cas d'allergie à l'aspirine). Au-delà de 12 mois, le prasugrel est généralement arrêté (bénéfice faible vs risque hémorragique).</w:t>
      </w:r>
    </w:p>
    <w:p>
      <w:pPr>
        <w:pStyle w:val="ListBullet"/>
      </w:pPr>
      <w:r>
        <w:t>Moment de prise : Heure fixe quotidienne, le matin de préférence, indépendamment des repas.</w:t>
      </w:r>
    </w:p>
    <w:p>
      <w:r/>
      <w:r>
        <w:rPr>
          <w:b/>
        </w:rPr>
        <w:t>Arbitrage et Bénéfices des Formes Galéniques :</w:t>
      </w:r>
      <w:r/>
    </w:p>
    <w:p>
      <w:pPr>
        <w:pStyle w:val="ListBullet"/>
      </w:pPr>
      <w:r>
        <w:t>Deux dosages disponibles : 5 mg et 10 mg comprimés pelliculés. Le 5 mg est adapté aux patients à risque (poids &lt; 60 kg, &gt; 75 ans) ainsi qu'à la titration.</w:t>
      </w:r>
    </w:p>
    <w:p>
      <w:pPr>
        <w:pStyle w:val="ListBullet"/>
      </w:pPr>
      <w:r>
        <w:t>Pas de forme à 60 mg dose de charge spécifique (à la différence du clopidogrel 300 mg PLAVIX) : nécessité de prendre 6 comprimés à 10 mg — simplification possible par conditionnement spécifique (à venir).</w:t>
      </w:r>
    </w:p>
    <w:p>
      <w:pPr>
        <w:pStyle w:val="ListBullet"/>
      </w:pPr>
      <w:r>
        <w:t>Pas de forme IV. Pas de forme orodispersible. Comprimés non sécables (à vérifier selon lots).</w:t>
      </w:r>
    </w:p>
    <w:p>
      <w:pPr>
        <w:pStyle w:val="ListBullet"/>
      </w:pPr>
      <w:r>
        <w:t>Conservation à température &lt; 25 °C, à l'abri de l'humidité.</w:t>
      </w:r>
    </w:p>
    <w:p>
      <w:r/>
      <w:r>
        <w:rPr>
          <w:b/>
        </w:rPr>
        <w:t>Instructions et Conseils au Patient :</w:t>
      </w:r>
      <w:r/>
    </w:p>
    <w:p>
      <w:pPr>
        <w:pStyle w:val="ListBullet"/>
      </w:pPr>
      <w:r>
        <w:t>Communication au comptoir : « Ce médicament, plus puissant que le clopidogrel, est destiné à prévenir la formation de caillots après la pose d'un stent coronarien. Vous devez le prendre tous les jours à heure fixe pendant la durée prescrite (souvent 12 mois). Signalez immédiatement tout saignement anormal et prévenez systématiquement vos soignants. N'arrêtez jamais ce traitement sans avis de votre cardiologue, même pour un examen ou une chirurgie. »</w:t>
      </w:r>
    </w:p>
    <w:p>
      <w:pPr>
        <w:pStyle w:val="ListBullet"/>
      </w:pPr>
      <w:r>
        <w:t>Mode d'utilisation pratique : (1) Prise unique quotidienne, à heure fixe, avec ou sans nourriture ; (2) Dose de charge initiale : 6 comprimés de 10 mg à avaler ensemble (à répartir si difficulté) ; (3) En cas d'oubli de moins de 12 h : prise dès que possible ; au-delà, sauter la prise ; (4) Signaler tout saignement : ecchymoses étendues, épistaxis &gt; 10 min, selles noires, urines rouges, céphalées brutales ; (5) Prévenir dentiste et chirurgien (arrêt 7 jours avant) ; (6) Éviter les AINS en automédication ; (7) Ne pas interrompre même en cas d'effet indésirable mineur (rash, dyspepsie) sans avis cardiologique ; (8) En cas de douleur thoracique brutale : appeler le 14 ou 15 (SAMU) — suspicion de thrombose de stent.</w:t>
      </w:r>
    </w:p>
    <w:p>
      <w:r/>
      <w:r>
        <w:rPr>
          <w:b/>
        </w:rPr>
        <w:t>Notes, Règles d'Or &amp; Pièges au Comptoir :</w:t>
      </w:r>
      <w:r/>
    </w:p>
    <w:p>
      <w:pPr>
        <w:pStyle w:val="ListBullet"/>
      </w:pPr>
      <w:r>
        <w:t xml:space="preserve">Piège classique : </w:t>
      </w:r>
      <w:r>
        <w:rPr>
          <w:b/>
        </w:rPr>
        <w:t>Patient avec ATC d'AVC ou d'AIT à qui un cardiologue prescrit prasugrel par erreur</w:t>
      </w:r>
      <w:r>
        <w:t xml:space="preserve"> — CI absolue (risque d'HIC fatale). Toujours vérifier les antécédents neurologiques du patient avant délivrance. Si doute, contacter le prescripteur.</w:t>
      </w:r>
    </w:p>
    <w:p>
      <w:pPr>
        <w:pStyle w:val="ListBullet"/>
      </w:pPr>
      <w:r>
        <w:t xml:space="preserve">Piège classique : </w:t>
      </w:r>
      <w:r>
        <w:rPr>
          <w:b/>
        </w:rPr>
        <w:t>Patient &gt; 75 ans sous prasugrel 10 mg</w:t>
      </w:r>
      <w:r>
        <w:t xml:space="preserve"> — dose inadaptée. Vérifier l'âge, proposer réduction à 5 mg/j après avis cardiologique. Surveille particulièrement les saignements (incidence × 2-3).</w:t>
      </w:r>
    </w:p>
    <w:p>
      <w:pPr>
        <w:pStyle w:val="ListBullet"/>
      </w:pPr>
      <w:r>
        <w:t xml:space="preserve">Piège classique : </w:t>
      </w:r>
      <w:r>
        <w:rPr>
          <w:b/>
        </w:rPr>
        <w:t>Chirurgie urgente sous prasugrel</w:t>
      </w:r>
      <w:r>
        <w:t xml:space="preserve"> : pas d'antidote, délai d'attente long (7 jours) — transfusion plaquettaire prophylactique systématique si &lt; 7 jours après dernière prise.</w:t>
      </w:r>
    </w:p>
    <w:p>
      <w:pPr>
        <w:pStyle w:val="ListBullet"/>
      </w:pPr>
      <w:r>
        <w:t>Règle de prise : Une prise par jour à heure fixe, idéalement le matin.</w:t>
      </w:r>
    </w:p>
    <w:p>
      <w:pPr>
        <w:pStyle w:val="ListBullet"/>
      </w:pPr>
      <w:r>
        <w:t>Préparation et Conservation : Comprimés à conserver à température &lt; 25 °C, à l'abri de l'humidité, dans l'emballage d'origine. Ne pas utiliser après la date de péremption.</w:t>
      </w:r>
    </w:p>
    <w:p>
      <w:pPr>
        <w:pStyle w:val="ListBullet"/>
      </w:pPr>
      <w:r>
        <w:t>Piège du surdosage / Substitution : Surdosage accidentel (double dose) → surveillance hospitalière 48 h, NFS, bilan d'hémostase. Transfusion plaquettaire si saignement. Ne pas substituer clopidogrel → prasugrel sans avis cardiologique (le prasugrel est plus puissant, risque hémorragique). En cas de relais clopidogrel → prasugrel : pas de dose de charge si le patient est déjà sous clopidogrel à dose d'entretien depuis &gt; 5 jours (commencer directement 10 mg/j), sauf si réduction nécessaire.</w:t>
      </w:r>
    </w:p>
    <w:p>
      <w:pPr>
        <w:pStyle w:val="ListBullet"/>
      </w:pPr>
      <w:r>
        <w:t xml:space="preserve">Règle d'or : </w:t>
      </w:r>
      <w:r>
        <w:rPr>
          <w:b/>
        </w:rPr>
        <w:t>Toujours demander l'âge, le poids, et l'ATC neurologique avant délivrance de prasugrel.</w:t>
      </w:r>
      <w:r>
        <w:t xml:space="preserve"> Trois critères déterminent la prescription.</w:t>
      </w:r>
    </w:p>
    <w:p>
      <w:pPr>
        <w:pStyle w:val="ListBullet"/>
      </w:pPr>
      <w:r>
        <w:t>Piège de substitution : prasugrel ne doit pas être substitué d'office par clopidogrel à l'officine (le clopidogrel est moins puissant, risque de thrombose de stent). Toute modification d'anti-P2Y12 doit être validée par le cardiologue.</w:t>
      </w:r>
    </w:p>
    <w:p>
      <w:pPr>
        <w:pStyle w:val="ListBullet"/>
      </w:pPr>
      <w:r>
        <w:t>Rare mais grave : thrombopénie thrombotique (TTP) — évoquer devant fièvre, confusion, purpura, thrombopénie profonde dans les 2-8 semaines après instauration.</w:t>
      </w:r>
    </w:p>
    <w:p>
      <w:pPr>
        <w:pStyle w:val="Heading2"/>
      </w:pPr>
      <w:r>
        <w:t>SOUS-CLASSE 2 : Antiagrégants plaquettaires — Inhibiteurs P2Y12 (cyclopentyl-triazolo-pyrimidine)</w:t>
      </w:r>
    </w:p>
    <w:p>
      <w:pPr>
        <w:pStyle w:val="Heading3"/>
      </w:pPr>
      <w:r>
        <w:t>Introduction de la sous-classe</w:t>
      </w:r>
    </w:p>
    <w:p>
      <w:r>
        <w:t xml:space="preserve">Cette sous-classe ne contient qu'une seule molécule : le </w:t>
      </w:r>
      <w:r>
        <w:rPr>
          <w:b/>
        </w:rPr>
        <w:t>ticagrelor</w:t>
      </w:r>
      <w:r>
        <w:t xml:space="preserve">. Elle se distingue fondamentalement des thiénopyridines (clopidogrel, prasugrel, ticlopidine) par sa structure chimique (cyclopentyl-triazolo-pyrimidine et non thiénopyridine), par son </w:t>
      </w:r>
      <w:r>
        <w:rPr>
          <w:b/>
        </w:rPr>
        <w:t>mécanisme d'action direct</w:t>
      </w:r>
      <w:r>
        <w:t xml:space="preserve"> (pas de métabolisme de prodrogue CYP2C19-dépendant), et par sa </w:t>
      </w:r>
      <w:r>
        <w:rPr>
          <w:b/>
        </w:rPr>
        <w:t>liaison réversible</w:t>
      </w:r>
      <w:r>
        <w:t xml:space="preserve"> au récepteur P2Y12 (allostérique, non covalente). Le ticagrelor est également un inhibiteur faible de l'ENT-1 (équilibrative nucleoside transporter-1), responsable de l'inhibition de la recapture d'adénosine, ce qui augmente les taux d'adénosine extracellulaire — effet pléiotrope qui explique en partie la dyspnée observée sous ticagrelor, ainsi qu'une possible réduction de mortalité cardiovasculaire supérieure à celle prédite par l'inhibition plaquettaire seule (PLATO study).</w:t>
      </w:r>
    </w:p>
    <w:p>
      <w:r>
        <w:t>L'administration est biquotidienne (deux prises par jour) en raison d'une demi-vie courte (7-12 h), ce qui peut paraître un inconvénient pour l'observance, mais offre l'avantage d'une récupération plus rapide de la fonction plaquettaire après arrêt (3 à 5 jours vs 7 à 10 jours pour le clopidogrel), utile en cas de chirurgie urgente. Le ticagrelor est indiqué en première intention dans le SCA (NSTE-ACS et STEMI), en DAPT avec aspirine pendant 12 mois, puis en monothérapie d'entretien éventuelle. Il a démontré une supériorité sur le clopidogrel en mortalité cardiovasculaire (PLATO : -16 % de mortalité CV à 12 mois), au prix d'une majoration modérée des hémorragies non liées à la chirurgie de pontage et des dyspnées.</w:t>
      </w:r>
    </w:p>
    <w:p>
      <w:pPr>
        <w:pStyle w:val="Heading3"/>
      </w:pPr>
      <w:r>
        <w:t>2.1. DCI : Ticagrelor (Seul)</w:t>
      </w:r>
    </w:p>
    <w:p>
      <w:r/>
      <w:r>
        <w:rPr>
          <w:b/>
        </w:rPr>
        <w:t>Liste des Catégories :</w:t>
      </w:r>
      <w:r>
        <w:t xml:space="preserve"> Antiagrégants plaquettaires — Inhibiteurs P2Y12 (cyclopentyl-triazolo-pyrimidine).</w:t>
      </w:r>
    </w:p>
    <w:p>
      <w:r>
        <w:t>Le ticagrelor est le premier représentant d'une nouvelle classe d'anti-P2Y12 à action directe et réversible. Son originalité structurale (cyclopentyl-triazolo-pyrimidine) lui permet de se lier de façon non covalente à un site allostérique du récepteur P2Y12, sans nécessité de métabolisation préalable. Cette caractéristique élimine la variabilité de réponse liée au CYP2C19 et permet une inhibition rapide, puissante et reproductible. La molécule est elle-même active, et son métabolite principal (AR-C124910XX, issu du CYP3A4) est également actif, doublant la durée d'action. Sa commercialisation en Algérie (BRILIQUE® Astrazeneca ; PLAXELOR® Beker) date des années 2010 et a transformé la prise en charge du SCA aigu.</w:t>
      </w:r>
    </w:p>
    <w:p>
      <w:r/>
      <w:r>
        <w:rPr>
          <w:b/>
        </w:rPr>
        <w:t>Médicaments disponibles en Algérie (Marques, Laboratoires, Formes et Dosages) :</w:t>
      </w:r>
      <w:r/>
    </w:p>
    <w:p>
      <w:pPr>
        <w:pStyle w:val="ListBullet"/>
      </w:pPr>
      <w:r/>
      <w:r>
        <w:rPr>
          <w:b/>
        </w:rPr>
        <w:t>BRILIQUE</w:t>
      </w:r>
      <w:r>
        <w:t xml:space="preserve"> (ASTRA ZENECA AB)</w:t>
      </w:r>
    </w:p>
    <w:p>
      <w:pPr>
        <w:pStyle w:val="ListBullet"/>
      </w:pPr>
      <w:r>
        <w:t>Formes et Dosages : Comprimé pelliculé 90 mg — Boîte de 60 et Boîte de 100</w:t>
      </w:r>
    </w:p>
    <w:p>
      <w:pPr>
        <w:pStyle w:val="ListBullet"/>
      </w:pPr>
      <w:r>
        <w:t>Statut : Actif (référent princeps)</w:t>
      </w:r>
    </w:p>
    <w:p>
      <w:pPr>
        <w:pStyle w:val="ListBullet"/>
      </w:pPr>
      <w:r/>
      <w:r>
        <w:rPr>
          <w:b/>
        </w:rPr>
        <w:t>PLAXELOR</w:t>
      </w:r>
      <w:r>
        <w:t xml:space="preserve"> (LABORATOIRES BEKER)</w:t>
      </w:r>
    </w:p>
    <w:p>
      <w:pPr>
        <w:pStyle w:val="ListBullet"/>
      </w:pPr>
      <w:r>
        <w:t>Formes et Dosages : Comprimé pelliculé 90 mg — Boîte de 60</w:t>
      </w:r>
    </w:p>
    <w:p>
      <w:pPr>
        <w:pStyle w:val="ListBullet"/>
      </w:pPr>
      <w:r>
        <w:t>Statut : Actif (générique)</w:t>
      </w:r>
    </w:p>
    <w:p>
      <w:r/>
      <w:r>
        <w:rPr>
          <w:b/>
        </w:rPr>
        <w:t>Sous-classe et Mécanisme d'action :</w:t>
      </w:r>
      <w:r/>
    </w:p>
    <w:p>
      <w:pPr>
        <w:pStyle w:val="ListBullet"/>
      </w:pPr>
      <w:r>
        <w:t>Sous-classe : Cyclopentyl-triazolo-pyrimidine, inhibiteur direct réversible du récepteur P2Y12, sans métabolisme de prodrogue.</w:t>
      </w:r>
    </w:p>
    <w:p>
      <w:pPr>
        <w:pStyle w:val="ListBullet"/>
      </w:pPr>
      <w:r>
        <w:t xml:space="preserve">Mécanisme d'action : Le ticagrelor est actif par lui-même (pas de prodrogue). Après absorption orale (biodisponibilité ≈ 36 %, Tmax 1,5 h), il se lie de manière </w:t>
      </w:r>
      <w:r>
        <w:rPr>
          <w:b/>
        </w:rPr>
        <w:t>allostérique et réversible</w:t>
      </w:r>
      <w:r>
        <w:t xml:space="preserve"> au récepteur P2Y12, à un site distinct du site de liaison de l'ADP. Cette liaison empêche le changement conformationnel du récepteur nécessaire à la signalisation Gi, bloquant ainsi l'inhibition de l'adénylate cyclase médiée par l'ADP et maintenant un taux élevé d'AMPc intraplaquettaire. Le résultat est une inhibition de l'agrégation plaquettaire induite par l'ADP de 90 % après dose de charge 180 mg (à 2 h), persistant à 70-80 % à l'état d'équilibre. Le métabolite AR-C124910XX, généré par CYP3A4/5, est aussi actif (puissance équivalente), demi-vie 8-12 h, et contribue pour moitié à l'effet antiagrégant global. La </w:t>
      </w:r>
      <w:r>
        <w:rPr>
          <w:b/>
        </w:rPr>
        <w:t>réversibilité</w:t>
      </w:r>
      <w:r>
        <w:t xml:space="preserve"> permet une restauration progressive de la fonction plaquettaire (50 % à 3-5 jours après arrêt), plus rapide que les thiénopyridines. Le ticagrelor inhibe par ailleurs faiblement le transporteur d'adénosine ENT-1 (équilibrative nucleoside transporter-1), augmentant les concentrations d'adénosine extracellulaire — ce qui potentialise l'inhibition plaquettaire (adénosine active A2A → AMPc) mais aussi provoque les effets indésirables spécifiques de dyspnée, bradycardie sinusale, et augmentation de l'acide urique. Cette inhibition de l'ENT-1 pourrait expliquer partiellement la réduction de mortalité observée dans PLATO, indépendamment de l'inhibition P2Y12.</w:t>
      </w:r>
    </w:p>
    <w:p>
      <w:r/>
      <w:r>
        <w:rPr>
          <w:b/>
        </w:rPr>
        <w:t>Profil Pharmacologique :</w:t>
      </w:r>
      <w:r/>
    </w:p>
    <w:p>
      <w:pPr>
        <w:pStyle w:val="ListBullet"/>
      </w:pPr>
      <w:r>
        <w:t>Indications : (1) SCA (NSTE-ACS et STEMI), patients traités médicalement ou par ICP, en association à l'aspirine (DAPT) pendant 12 mois. SCA chez patients naïfs d'anti-P2Y12 (relais clopidogrel → ticagrelor possible selon ESC 2017) ; (2) En monothérapie d'entretien après 12 mois de DAPT chez les patients à haut risque ischémique (PEGASUS-TIMI 54 : ticagrelor 60 mg x2/j réduit la récidive d'IDM) ; (3) En post-AVC ischémique aigu : indication émergente (THALES : ticagrelor 180 mg charge + 90 mg x2/j pendant 30 jours en relais/addition à l'aspirine réduit la récidive d'AVC à 30 j vs aspirine seule) — non encore remboursé dans certains pays ; (4) Maladie artérielle périphérique symptomatic (EUCLID — non supérieur au clopidogrel, indication limitée). Dose de charge 180 mg (2 cp à 90 mg), dose d'entretien 90 mg deux fois par jour (biquotidien) pendant 12 mois, puis 60 mg x2/j en monothérapie prolongée si haut risque.</w:t>
      </w:r>
    </w:p>
    <w:p>
      <w:pPr>
        <w:pStyle w:val="ListBullet"/>
      </w:pPr>
      <w:r>
        <w:t>Contre-indications : (1) Hémorragie active ; (2) Antécédent d'hémorragie intracrânienne ; (3) Insuffisance hépatique sévère ; (4) Hypersensibilité au ticagrelor ; (5) Patients sous clopidogrel à dose d'entretien depuis plus de 7 jours (relais possible mais sans dose de charge) ; (6) Traitement concomitant par ciclosporine, kétoconazole (inhibiteurs puissants CYP3A4) ; (7) Traitement concomitant par rifampicine, phénytoïne, carbamazépine (inducteurs puissants CYP3A4) ; (8) Bradycardie sévère non appareillée (BAV de haut grade non stimulé) ; (9) Asthma sévère (effet dyspnée potentialisé). Précautions : insuffisance rénale modérée à sévère (surveillance créatinine et acide urique), hyperuricémie symptomatique, goutte, BPCO (dyspnée préexistante), patients âgés &gt; 75 ans (données limitées), chirurgie programmée (arrêt 3-5 jours).</w:t>
      </w:r>
    </w:p>
    <w:p>
      <w:pPr>
        <w:pStyle w:val="ListBullet"/>
      </w:pPr>
      <w:r>
        <w:t xml:space="preserve">Effets Indésirables : (1) </w:t>
      </w:r>
      <w:r>
        <w:rPr>
          <w:b/>
        </w:rPr>
        <w:t>Dyspnée</w:t>
      </w:r>
      <w:r>
        <w:t xml:space="preserve"> — effet de classe quasi-spécifique, incidence 10-15 % (vs 6-8 % clopidogrel), précoce (1ère semaine), d'intensité modérée, parfois à l'origine d'arrêt (5-10 % des cas). Mécanisme : inhibition ENT-1 → adénosine augmentée → stimulation des récepteurs vagaux pulmonaires. Bénigne le plus souvent, à distinguer de l'œdème aigu du poumon ou de l'asthme ; (2) </w:t>
      </w:r>
      <w:r>
        <w:rPr>
          <w:b/>
        </w:rPr>
        <w:t>Bradycardie sinusale et blocs auriculo-ventriculaires</w:t>
      </w:r>
      <w:r>
        <w:t xml:space="preserve"> — incidence 4-6 % (Pauses ventriculaires &gt; 3 s dans PLATO : 5,8 % vs 3,6 % clopidogrel), généralement asymptomatiques, à surveiller par ECG en début de traitement ; (3) </w:t>
      </w:r>
      <w:r>
        <w:rPr>
          <w:b/>
        </w:rPr>
        <w:t>Hémorragies</w:t>
      </w:r>
      <w:r>
        <w:t xml:space="preserve"> — incidence des saignements majeurs non-CABG légèrement supérieure au clopidogrel (PLATO : 4,5 % vs 3,8 %), pas d'excès d'hémorragies mortelles ; (4) </w:t>
      </w:r>
      <w:r>
        <w:rPr>
          <w:b/>
        </w:rPr>
        <w:t>Hyperuricémie</w:t>
      </w:r>
      <w:r>
        <w:t xml:space="preserve"> — augmentation dose-dépendante (≈ 40-50 µmol/L), goutte rare (&lt; 1 %) mais surveillance chez les patients goutteux ; (5) Augmentation créatinine (≈ 10 % des cas, modérée, réversible) ; (6) Céphalées, vertiges (effet adénosine) ; (7) Rash cutané (≈ 3 %), prurit ; (8) Rarement thrombopénie, leucopénie.</w:t>
      </w:r>
    </w:p>
    <w:p>
      <w:r/>
      <w:r>
        <w:rPr>
          <w:b/>
        </w:rPr>
        <w:t>Prévention et Gestion des Effets Indésirables :</w:t>
      </w:r>
      <w:r/>
    </w:p>
    <w:p>
      <w:pPr>
        <w:pStyle w:val="ListBullet"/>
      </w:pPr>
      <w:r>
        <w:t xml:space="preserve">Mesures Préventives : (1) Information du patient sur la possibilité de dyspnée et de bradycardie (transitoires, bénignes le plus souvent) — ne pas arrêter de lui-même ; (2) Bilan pré-thérapeutique : ECG (recherche BAV), créatinine, acide urique, NFS, bilan d'hémostase ; (3) Voie radiale privilégiée en ICP ; (4) Co-prescription d'IPP (pantoprazole) pour prévention digestive ; (5) Pas de surveillance systématique NFS mais contrôle de l'acide urique et de la créatinine à 1 mois, 3 mois puis tous les 6 mois ; (6) Réduction à 60 mg x2/j au-delà de 12 mois (PEGASUS) — mieux toléré, particulièrement dyspnée et hémorragie ; (7) Fenêtre thérapeutique pré-opératoire : </w:t>
      </w:r>
      <w:r>
        <w:rPr>
          <w:b/>
        </w:rPr>
        <w:t>arrêt 3 à 5 jours</w:t>
      </w:r>
      <w:r>
        <w:t xml:space="preserve"> avant chirurgie programmée non cardiaque (plus court que clopidogrel et prasugrel en raison de la réversibilité).</w:t>
      </w:r>
    </w:p>
    <w:p>
      <w:pPr>
        <w:pStyle w:val="ListBullet"/>
      </w:pPr>
      <w:r>
        <w:t xml:space="preserve">Conduite à Tenir : (1) </w:t>
      </w:r>
      <w:r>
        <w:rPr>
          <w:b/>
        </w:rPr>
        <w:t>Dyspnée sous ticagrelor</w:t>
      </w:r>
      <w:r>
        <w:t xml:space="preserve"> : réassurer le patient (effet transitoire, 1-2 semaines), poursuivre le traitement si dyspnée modérée (grade 1-2 MRC) ; en cas de dyspnée sévère ou persistante (&gt; 2 semaines) ou avec retentissement fonctionnel : envisager relais vers clopidogrel après avis cardiologique (sans dose de charge si le patient est sous ticagrelor depuis &gt; 5 jours, sinon dose de charge 300-600 mg clopidogrel après 24 h d'arrêt du ticagrelor) ; (2) </w:t>
      </w:r>
      <w:r>
        <w:rPr>
          <w:b/>
        </w:rPr>
        <w:t>Bradycardie symptomatique ou pauses &gt; 3 s</w:t>
      </w:r>
      <w:r>
        <w:t xml:space="preserve"> : avis cardiologique, Holter ECG, discussion stimulation si récidive ; (3) </w:t>
      </w:r>
      <w:r>
        <w:rPr>
          <w:b/>
        </w:rPr>
        <w:t>Hémorragie majeure</w:t>
      </w:r>
      <w:r>
        <w:t xml:space="preserve"> : arrêt immédiat, transfusion plaquettaire (efficacité discutée en raison de la réversibilité — le ticagrelor circulant peut inhiber les nouvelles plaquettes transfusées, délai d'attente 4-6 h après dernière prise), traitement étiologique ; (4) </w:t>
      </w:r>
      <w:r>
        <w:rPr>
          <w:b/>
        </w:rPr>
        <w:t>Hyperuricémie symptomatique (goutte)</w:t>
      </w:r>
      <w:r>
        <w:t xml:space="preserve"> : colchicine ou AINS courts (en gardant risque hémorragique), allopurinol si récidives ; (5) </w:t>
      </w:r>
      <w:r>
        <w:rPr>
          <w:b/>
        </w:rPr>
        <w:t>Chirurgie urgente</w:t>
      </w:r>
      <w:r>
        <w:t xml:space="preserve"> : fenêtre 3 jours idéalement, sinon transfusion plaquettaire en gardant à l'esprit l'effet résiduel.</w:t>
      </w:r>
    </w:p>
    <w:p>
      <w:r/>
      <w:r>
        <w:rPr>
          <w:b/>
        </w:rPr>
        <w:t>Interactions Importantes :</w:t>
      </w:r>
      <w:r/>
    </w:p>
    <w:p>
      <w:pPr>
        <w:pStyle w:val="ListBullet"/>
      </w:pPr>
      <w:r/>
      <w:r>
        <w:rPr>
          <w:b/>
        </w:rPr>
        <w:t>Ticagrelor + Inhibiteurs puissants CYP3A4 (ketoconazole, itraconazole, voriconazole, ritonavir, saquinavir, clarithromycine, télithromycine, néfazodone)</w:t>
      </w:r>
      <w:r>
        <w:t xml:space="preserve"> : Contre-indication. Augmentation majeure de l'AUC du ticagrelor (× 2 à 7), majoration du risque hémorragique et de la dyspnée. Préférer fluconazole (moins puissant) si antifongique indispensable, ou azithromycine en antibiothérapie.</w:t>
      </w:r>
    </w:p>
    <w:p>
      <w:pPr>
        <w:pStyle w:val="ListBullet"/>
      </w:pPr>
      <w:r/>
      <w:r>
        <w:rPr>
          <w:b/>
        </w:rPr>
        <w:t>Ticagrelor + Inducteurs puissants CYP3A4 (rifampicine, phénytoïne, carbamazépine, phénobarbital)</w:t>
      </w:r>
      <w:r>
        <w:t xml:space="preserve"> : Contre-indication. Diminution de l'AUC du ticagrelor (× 0,16), perte d'efficacité antiplaquettaire.</w:t>
      </w:r>
    </w:p>
    <w:p>
      <w:pPr>
        <w:pStyle w:val="ListBullet"/>
      </w:pPr>
      <w:r/>
      <w:r>
        <w:rPr>
          <w:b/>
        </w:rPr>
        <w:t>Ticagrelor + Ciclosporine</w:t>
      </w:r>
      <w:r>
        <w:t xml:space="preserve"> : Contre-indication (augmentation majeure AUC ticagrelor).</w:t>
      </w:r>
    </w:p>
    <w:p>
      <w:pPr>
        <w:pStyle w:val="ListBullet"/>
      </w:pPr>
      <w:r/>
      <w:r>
        <w:rPr>
          <w:b/>
        </w:rPr>
        <w:t>Ticagrelor + Statines (simvastatine, atorvastatine, lovastatine)</w:t>
      </w:r>
      <w:r>
        <w:t xml:space="preserve"> : Augmentation de l'AUC des statines (× 1,5 à 2) par inhibition du CYP3A4 et de la P-gp — risque de rhabdomyolyse. Limiter simvastatine à 40 mg/j, atorvastatine à 40-80 mg/j, surveiller CPK.</w:t>
      </w:r>
    </w:p>
    <w:p>
      <w:pPr>
        <w:pStyle w:val="ListBullet"/>
      </w:pPr>
      <w:r/>
      <w:r>
        <w:rPr>
          <w:b/>
        </w:rPr>
        <w:t>Ticagrelor + Digoxine</w:t>
      </w:r>
      <w:r>
        <w:t xml:space="preserve"> : Augmentation de la digoxinémie (inhibition P-gp) — surveillance digoxinémie, signes de surdosage.</w:t>
      </w:r>
    </w:p>
    <w:p>
      <w:pPr>
        <w:pStyle w:val="ListBullet"/>
      </w:pPr>
      <w:r/>
      <w:r>
        <w:rPr>
          <w:b/>
        </w:rPr>
        <w:t>Ticagrelor + Anticoagulants oraux (AVK/AOD)</w:t>
      </w:r>
      <w:r>
        <w:t xml:space="preserve"> : Risque hémorragique majeur, à réserver aux indications brèves et formelles (FA post-SCA), durée triple thérapie ≤ 1 mois selon ESC 2018.</w:t>
      </w:r>
    </w:p>
    <w:p>
      <w:pPr>
        <w:pStyle w:val="ListBullet"/>
      </w:pPr>
      <w:r/>
      <w:r>
        <w:rPr>
          <w:b/>
        </w:rPr>
        <w:t>Ticagrelor + AINS</w:t>
      </w:r>
      <w:r>
        <w:t xml:space="preserve"> : Majoration du risque hémorragique digestif. Préférer paracétamol.</w:t>
      </w:r>
    </w:p>
    <w:p>
      <w:pPr>
        <w:pStyle w:val="ListBullet"/>
      </w:pPr>
      <w:r/>
      <w:r>
        <w:rPr>
          <w:b/>
        </w:rPr>
        <w:t>Ticagrelor + Morphiniques</w:t>
      </w:r>
      <w:r>
        <w:t xml:space="preserve"> : Ralentissement de l'absorption, baisse d'efficacité du ticagrelor dose de charge (effet transitoire, moins marqué que pour clopidogrel).</w:t>
      </w:r>
    </w:p>
    <w:p>
      <w:pPr>
        <w:pStyle w:val="ListBullet"/>
      </w:pPr>
      <w:r/>
      <w:r>
        <w:rPr>
          <w:b/>
        </w:rPr>
        <w:t>Ticagrelor + Aspirine &gt; 100 mg/j</w:t>
      </w:r>
      <w:r>
        <w:t xml:space="preserve"> : Baisse d'efficacité démontrée dans PLATO (les patients sous aspirine &gt; 100 mg/j avaient moins de bénéfice du ticagrelor). </w:t>
      </w:r>
      <w:r>
        <w:rPr>
          <w:b/>
        </w:rPr>
        <w:t>Toujours limiter l'aspirine à 75-100 mg/jour sous ticagrelor.</w:t>
      </w:r>
      <w:r/>
    </w:p>
    <w:p>
      <w:pPr>
        <w:pStyle w:val="ListBullet"/>
      </w:pPr>
      <w:r/>
      <w:r>
        <w:rPr>
          <w:b/>
        </w:rPr>
        <w:t>Ticagrelor + IPP</w:t>
      </w:r>
      <w:r>
        <w:t xml:space="preserve"> : Pas d'interaction pertinente (le ticagrelor n'est pas métabolisé par CYP2C19). Tous les IPP sont compatibles.</w:t>
      </w:r>
    </w:p>
    <w:p>
      <w:r/>
      <w:r>
        <w:rPr>
          <w:b/>
        </w:rPr>
        <w:t>Grossesse et Allaitement :</w:t>
      </w:r>
      <w:r/>
    </w:p>
    <w:p>
      <w:pPr>
        <w:pStyle w:val="ListBullet"/>
      </w:pPr>
      <w:r>
        <w:t xml:space="preserve">Grossesse : Données animales : retard d'ossification, toxicité fœtale à doses maternotoxiques chez le rat, pas d'effet tératogène direct. Pas d'étude chez la femme enceinte. Le ticagrelor traverse probablement le placenta. </w:t>
      </w:r>
      <w:r>
        <w:rPr>
          <w:b/>
        </w:rPr>
        <w:t>À éviter pendant la grossesse</w:t>
      </w:r>
      <w:r>
        <w:t xml:space="preserve"> par principe de précaution (CRAT), sauf nécessité absolue en milieu spécialisé (rare en pratique). Préférer aspirine faible dose.</w:t>
      </w:r>
    </w:p>
    <w:p>
      <w:pPr>
        <w:pStyle w:val="ListBullet"/>
      </w:pPr>
      <w:r>
        <w:t xml:space="preserve">Allaitement : Le ticagrelor et son métabolite sont excrétés dans le lait de rat. Chez la femme, donnée non documentée. </w:t>
      </w:r>
      <w:r>
        <w:rPr>
          <w:b/>
        </w:rPr>
        <w:t>Allaitement contre-indiqué</w:t>
      </w:r>
      <w:r>
        <w:t xml:space="preserve"> (CRAT). Relai par biberon.</w:t>
      </w:r>
    </w:p>
    <w:p>
      <w:pPr>
        <w:pStyle w:val="ListBullet"/>
      </w:pPr>
      <w:r>
        <w:t>Précautions : En cas de découverte de grossesse sous ticagrelor en post-SCA, ne pas arrêter brutalement (risque de thrombose de stent), mais avis cardiologique urgent pour relais par clopidogrel (préférable en cas de grossesse désirée).</w:t>
      </w:r>
    </w:p>
    <w:p>
      <w:r/>
      <w:r>
        <w:rPr>
          <w:b/>
        </w:rPr>
        <w:t>Posologie et Mode d'administration (Standard) :</w:t>
      </w:r>
      <w:r/>
    </w:p>
    <w:p>
      <w:pPr>
        <w:pStyle w:val="ListBullet"/>
      </w:pPr>
      <w:r>
        <w:t xml:space="preserve">Adulte : Dose de charge </w:t>
      </w:r>
      <w:r>
        <w:rPr>
          <w:b/>
        </w:rPr>
        <w:t>180 mg</w:t>
      </w:r>
      <w:r>
        <w:t xml:space="preserve"> (2 comprimés à 90 mg) per os, idéalement au moment du diagnostic de SCA. Dose d'entretien </w:t>
      </w:r>
      <w:r>
        <w:rPr>
          <w:b/>
        </w:rPr>
        <w:t>90 mg deux fois par jour</w:t>
      </w:r>
      <w:r>
        <w:t xml:space="preserve"> per os (biquotidien), en association à l'aspirine 75-100 mg/j pendant 12 mois. Au-delà, monothérapie d'entretien par ticagrelor </w:t>
      </w:r>
      <w:r>
        <w:rPr>
          <w:b/>
        </w:rPr>
        <w:t>60 mg deux fois par jour</w:t>
      </w:r>
      <w:r>
        <w:t xml:space="preserve"> (PEGASUS-TIMI 54) chez les patients à haut risque ischémique (ATCD IDM, diabète, âge &gt; 65 ans, etc.) — réduction de dose pour meilleure tolérance.</w:t>
      </w:r>
    </w:p>
    <w:p>
      <w:pPr>
        <w:pStyle w:val="ListBullet"/>
      </w:pPr>
      <w:r>
        <w:t>Sujet âgé &gt; 75 ans : Pas d'adaptation posologique formelle, mais surveillance accrue du risque hémorragique et de la dyspnée. Discuter la réduction à 60 mg x2/j dès 12 mois (ou plus tôt si mauvaise tolérance).</w:t>
      </w:r>
    </w:p>
    <w:p>
      <w:pPr>
        <w:pStyle w:val="ListBullet"/>
      </w:pPr>
      <w:r>
        <w:t>Insuffisance rénale : Pas d'adaptation posologique. Surveillance créatinine et acide urique à 1 et 3 mois.</w:t>
      </w:r>
    </w:p>
    <w:p>
      <w:pPr>
        <w:pStyle w:val="ListBullet"/>
      </w:pPr>
      <w:r>
        <w:t>Insuffisance hépatique : Contre-indication si sévère. Prudence si modérée.</w:t>
      </w:r>
    </w:p>
    <w:p>
      <w:pPr>
        <w:pStyle w:val="ListBullet"/>
      </w:pPr>
      <w:r>
        <w:t>Enfant : Non recommandé (&lt; 18 ans, absence d'études).</w:t>
      </w:r>
    </w:p>
    <w:p>
      <w:pPr>
        <w:pStyle w:val="ListBullet"/>
      </w:pPr>
      <w:r>
        <w:t>Durée : DAPT 12 mois après SCA (parfois 6 mois si risque hémorragique élevé), puis monothérapie prolongée éventuelle par ticagrelor 60 mg x2/j.</w:t>
      </w:r>
    </w:p>
    <w:p>
      <w:pPr>
        <w:pStyle w:val="ListBullet"/>
      </w:pPr>
      <w:r>
        <w:t>Moment de prise : Deux prises par jour à 12 heures d'intervalle, à heure fixe (matin et soir), indépendamment des repas.</w:t>
      </w:r>
    </w:p>
    <w:p>
      <w:r/>
      <w:r>
        <w:rPr>
          <w:b/>
        </w:rPr>
        <w:t>Arbitrage et Bénéfices des Formes Galéniques :</w:t>
      </w:r>
      <w:r/>
    </w:p>
    <w:p>
      <w:pPr>
        <w:pStyle w:val="ListBullet"/>
      </w:pPr>
      <w:r>
        <w:t>Forme unique : comprimé pelliculé à 90 mg (et maintenant 60 mg dans certains pays pour l'entretien prolongé — non disponible en Algérie où seul 90 mg est commercialisé). Pour la dose d'entretien à 60 mg x2/j, il faut donc fractionner les comprimés si la forme 60 mg n'est pas disponible — ou utiliser la forme 90 mg à 1 cp/jour (dose réduite, moins validée).</w:t>
      </w:r>
    </w:p>
    <w:p>
      <w:pPr>
        <w:pStyle w:val="ListBullet"/>
      </w:pPr>
      <w:r>
        <w:t>Pas de forme IV. Pas de forme orodispersible.</w:t>
      </w:r>
    </w:p>
    <w:p>
      <w:pPr>
        <w:pStyle w:val="ListBullet"/>
      </w:pPr>
      <w:r>
        <w:t>Comprimés à avaler entiers, avec un verre d'eau. Pour patients dysphagiques : écrasement possible selon le RCP (à confirmer), sans données solides.</w:t>
      </w:r>
    </w:p>
    <w:p>
      <w:pPr>
        <w:pStyle w:val="ListBullet"/>
      </w:pPr>
      <w:r>
        <w:t>Conservation à température &lt; 25 °C, à l'abri de l'humidité.</w:t>
      </w:r>
    </w:p>
    <w:p>
      <w:r/>
      <w:r>
        <w:rPr>
          <w:b/>
        </w:rPr>
        <w:t>Instructions et Conseils au Patient :</w:t>
      </w:r>
      <w:r/>
    </w:p>
    <w:p>
      <w:pPr>
        <w:pStyle w:val="ListBullet"/>
      </w:pPr>
      <w:r>
        <w:t xml:space="preserve">Communication au comptoir : « Ce médicament, plus puissant et plus moderne que le clopidogrel, prévient la formation de caillots après un infarctus ou un SCA. Vous devez le prendre </w:t>
      </w:r>
      <w:r>
        <w:rPr>
          <w:b/>
        </w:rPr>
        <w:t>deux fois par jour, matin et soir, à 12 heures d'intervalle</w:t>
      </w:r>
      <w:r>
        <w:t>, à heure fixe. Ne l'arrêtez jamais sans avis médical. Une dyspnée (essoufflement) modérée et transitoire peut survenir en début de traitement — n'arrêtez pas vous-même, signalez-le à votre médecin. Signalez tout saignement anormal et prévenez systématiquement vos soignants. »</w:t>
      </w:r>
    </w:p>
    <w:p>
      <w:pPr>
        <w:pStyle w:val="ListBullet"/>
      </w:pPr>
      <w:r>
        <w:t>Mode d'utilisation pratique : (1) Deux prises par jour, matin et soir, à heure fixe, avec ou sans nourriture ; (2) En cas d'oubli de moins de 6 h, prendre dès que possible ; au-delà, sauter la prise et prendre la suivante à l'heure habituelle (ne pas doubler) ; (3) Signaler tout saignement anormal ; (4) Prévenir dentiste et chirurgien (arrêt 3-5 jours avant chirurgie) ; (5) Éviter les AINS en automédication ; (6) Signaler toute dyspnée, bradycardie (vertiges, lipothymies), ou douleur articulaire (goutte) ; (7) Limiter la consommation d'alcool (potentialisation effet adénosine) ; (8) Ne pas associer à certains médicaments sans avis : antibiotiques macrolides (clarithromycine), antifongiques (kétoconazole), antirétroviraux ; (9) En cas de douleur thoracique brutale : appeler le SAMU (14/15) — suspicion de thrombose de stent.</w:t>
      </w:r>
    </w:p>
    <w:p>
      <w:r/>
      <w:r>
        <w:rPr>
          <w:b/>
        </w:rPr>
        <w:t>Notes, Règles d'Or &amp; Pièges au Comptoir :</w:t>
      </w:r>
      <w:r/>
    </w:p>
    <w:p>
      <w:pPr>
        <w:pStyle w:val="ListBullet"/>
      </w:pPr>
      <w:r>
        <w:t xml:space="preserve">Piège classique : </w:t>
      </w:r>
      <w:r>
        <w:rPr>
          <w:b/>
        </w:rPr>
        <w:t>Patient sous ticagrelor qui se plaint d'essoufflement à 1 semaine de traitement</w:t>
      </w:r>
      <w:r>
        <w:t xml:space="preserve"> — ne pas conclure à un OAP ou à une décompensation cardiaque sans ECG et examen clinique. La dyspnée sous ticagrelor est fréquente (10-15 %), souvent modérée et transitoire. Si dyspnée sévère ou persistante &gt; 2 semaines : avis cardiologique pour relais.</w:t>
      </w:r>
    </w:p>
    <w:p>
      <w:pPr>
        <w:pStyle w:val="ListBullet"/>
      </w:pPr>
      <w:r>
        <w:t xml:space="preserve">Piège classique : </w:t>
      </w:r>
      <w:r>
        <w:rPr>
          <w:b/>
        </w:rPr>
        <w:t>Patient sous ticagrelor qui prend de la clarithromycine pour une angine</w:t>
      </w:r>
      <w:r>
        <w:t xml:space="preserve"> : CI relative — risque d'augmentation majeure du ticagrelor. Substituer par azithromycine ou céphalosporine.</w:t>
      </w:r>
    </w:p>
    <w:p>
      <w:pPr>
        <w:pStyle w:val="ListBullet"/>
      </w:pPr>
      <w:r>
        <w:t xml:space="preserve">Piège classique : </w:t>
      </w:r>
      <w:r>
        <w:rPr>
          <w:b/>
        </w:rPr>
        <w:t>Patient qui arrête son ticagrelor par lui-même en raison de la dyspnée sans relais</w:t>
      </w:r>
      <w:r>
        <w:t xml:space="preserve"> — risque de thrombose de stent. Toujours relayer par clopidogrel si arrêt nécessaire (dose de charge 300-600 mg après 24 h d'arrêt du ticagrelor).</w:t>
      </w:r>
    </w:p>
    <w:p>
      <w:pPr>
        <w:pStyle w:val="ListBullet"/>
      </w:pPr>
      <w:r>
        <w:t xml:space="preserve">Piège classique : </w:t>
      </w:r>
      <w:r>
        <w:rPr>
          <w:b/>
        </w:rPr>
        <w:t>Patient sous ticagrelor + aspirine 250 mg ou 500 mg/j</w:t>
      </w:r>
      <w:r>
        <w:t xml:space="preserve"> : mauvaise association, l'aspirine &gt; 100 mg/j réduit le bénéfice du ticagrelor (PLATO). Toujours vérifier la dose d'aspirine associée — doit être ≤ 100 mg/j.</w:t>
      </w:r>
    </w:p>
    <w:p>
      <w:pPr>
        <w:pStyle w:val="ListBullet"/>
      </w:pPr>
      <w:r>
        <w:t>Règle de prise : Deux prises par jour à 12 heures d'intervalle, à heure fixe.</w:t>
      </w:r>
    </w:p>
    <w:p>
      <w:pPr>
        <w:pStyle w:val="ListBullet"/>
      </w:pPr>
      <w:r>
        <w:t>Préparation et Conservation : Comprimés à conserver à température &lt; 25 °C, à l'abri de l'humidité, dans l'emballage d'origine. Ne pas utiliser après la date de péremption.</w:t>
      </w:r>
    </w:p>
    <w:p>
      <w:pPr>
        <w:pStyle w:val="ListBullet"/>
      </w:pPr>
      <w:r>
        <w:t>Piège du surdosage / Substitution : Surdosage accidentel (double dose) → surveillance 24-48 h, NFS, hémostase, ECG (bradycardie). Transfusion plaquettaire en cas de saignement (efficacité partielle — délai d'attente 4-6 h après dernière prise). Ne pas substituer ticagrelor ↔ clopidogrel sans avis cardiologique.</w:t>
      </w:r>
    </w:p>
    <w:p>
      <w:pPr>
        <w:pStyle w:val="ListBullet"/>
      </w:pPr>
      <w:r>
        <w:t xml:space="preserve">Règle d'or : </w:t>
      </w:r>
      <w:r>
        <w:rPr>
          <w:b/>
        </w:rPr>
        <w:t>Toujours vérifier l'observance biquotidienne</w:t>
      </w:r>
      <w:r>
        <w:t xml:space="preserve"> (le ticagrelor est plus contraignant que le clopidogrel — un oubli équivaut à une perte d'efficacité plus rapide). À l'officine, demander systématiquement « matin et soir ? » à chaque renouvellement.</w:t>
      </w:r>
    </w:p>
    <w:p>
      <w:pPr>
        <w:pStyle w:val="ListBullet"/>
      </w:pPr>
      <w:r>
        <w:t>Rare mais grave : bradycardie symptomatique, pauses sinusales — envisager Holter ECG si symptômes (vertiges, lipothymies).</w:t>
      </w:r>
    </w:p>
    <w:p>
      <w:pPr>
        <w:pStyle w:val="ListBullet"/>
      </w:pPr>
      <w:r>
        <w:t xml:space="preserve">Interaction méconnue : </w:t>
      </w:r>
      <w:r>
        <w:rPr>
          <w:b/>
        </w:rPr>
        <w:t>le pamplemousse</w:t>
      </w:r>
      <w:r>
        <w:t xml:space="preserve"> augmente modérément l'AUC du ticagrelor (effet CYP3A4). Éviter la consommation régulière de jus de pamplemousse.</w:t>
      </w:r>
    </w:p>
    <w:p>
      <w:pPr>
        <w:pStyle w:val="Heading2"/>
      </w:pPr>
      <w:r>
        <w:t>SOUS-CLASSE 3 : Antiagrégants plaquettaires — Inhibiteurs P2Y12 (thiénopyridines historiques)</w:t>
      </w:r>
    </w:p>
    <w:p>
      <w:pPr>
        <w:pStyle w:val="Heading3"/>
      </w:pPr>
      <w:r>
        <w:t>Introduction de la sous-classe</w:t>
      </w:r>
    </w:p>
    <w:p>
      <w:r>
        <w:t xml:space="preserve">La </w:t>
      </w:r>
      <w:r>
        <w:rPr>
          <w:b/>
        </w:rPr>
        <w:t>ticlopidine</w:t>
      </w:r>
      <w:r>
        <w:t xml:space="preserve"> est la première thiénopyridine commercialisée (1978), précurseur historique du clopidogrel et du prasugrel. Elle a constitué une avancée majeure dans la prévention des thromboses de stent et des AVC ischémiques dans les années 1980-1990, mais a été progressivement supplantée par le clopidogrel en raison de son profil hématologique défavorable : </w:t>
      </w:r>
      <w:r>
        <w:rPr>
          <w:b/>
        </w:rPr>
        <w:t>neutropénies sévères</w:t>
      </w:r>
      <w:r>
        <w:t xml:space="preserve"> (≈ 1 %, parfois mortelles), </w:t>
      </w:r>
      <w:r>
        <w:rPr>
          <w:b/>
        </w:rPr>
        <w:t>thrombopénies</w:t>
      </w:r>
      <w:r>
        <w:t xml:space="preserve">, et surtout </w:t>
      </w:r>
      <w:r>
        <w:rPr>
          <w:b/>
        </w:rPr>
        <w:t>thrombopénies thrombotiques (TTP/PMM)</w:t>
      </w:r>
      <w:r>
        <w:t xml:space="preserve"> avec une incidence 10 à 50 fois supérieure au clopidogrel. Sa prescription impose une surveillance hebdomadaire de la NFS pendant les 3 premiers mois, ce qui en fait une molécule d'usage exceptionnel aujourd'hui, réservée aux situations où le clopidogrel est indisponible ou mal toléré. Elle reste néanmoins inscrite à la nomenclature algérienne (TICLID® Sanofi), principalement pour des raisons historiques et de continuité de soins.</w:t>
      </w:r>
    </w:p>
    <w:p>
      <w:pPr>
        <w:pStyle w:val="Heading3"/>
      </w:pPr>
      <w:r>
        <w:t>3.1. DCI : Ticlopidine (Seule)</w:t>
      </w:r>
    </w:p>
    <w:p>
      <w:r/>
      <w:r>
        <w:rPr>
          <w:b/>
        </w:rPr>
        <w:t>Liste des Catégories :</w:t>
      </w:r>
      <w:r>
        <w:t xml:space="preserve"> Antiagrégants plaquettaires — Inhibiteurs P2Y12 (thiénopyridines historiques).</w:t>
      </w:r>
    </w:p>
    <w:p>
      <w:r>
        <w:t>La ticlopidine est la thiénopyridine de 1re génération, dont la structure chimique a servi de base à la conception du clopidogrel (qui en est l'isomère méthyl-carboxylique). Elle a été commercialisée en France sous le nom de TICLID® (Sanofi) à partir de 1978, et a longtemps représenté l'alternative de référence à l'aspirine en cas d'intolérance ou d'échec de celle-ci. Sa prescription est désormais exceptionnelle en raison de la supériorité tolerance/efficacité du clopidogrel, mais elle reste disponible en Algérie sous les marques TICLID® (Sanofi France, actif) et OPTERON® (Therabel, retiré).</w:t>
      </w:r>
    </w:p>
    <w:p>
      <w:r/>
      <w:r>
        <w:rPr>
          <w:b/>
        </w:rPr>
        <w:t>Médicaments disponibles en Algérie (Marques, Laboratoires, Formes et Dosages) :</w:t>
      </w:r>
      <w:r/>
    </w:p>
    <w:p>
      <w:pPr>
        <w:pStyle w:val="ListBullet"/>
      </w:pPr>
      <w:r/>
      <w:r>
        <w:rPr>
          <w:b/>
        </w:rPr>
        <w:t>TICLID</w:t>
      </w:r>
      <w:r>
        <w:t xml:space="preserve"> (SANOFI AVENTIS FRANCE)</w:t>
      </w:r>
    </w:p>
    <w:p>
      <w:pPr>
        <w:pStyle w:val="ListBullet"/>
      </w:pPr>
      <w:r>
        <w:t>Formes et Dosages : Comprimé pelliculé 250 mg — Boîte de 20</w:t>
      </w:r>
    </w:p>
    <w:p>
      <w:pPr>
        <w:pStyle w:val="ListBullet"/>
      </w:pPr>
      <w:r>
        <w:t>Statut : Actif (référent princeps, prescription exceptionnelle)</w:t>
      </w:r>
    </w:p>
    <w:p>
      <w:pPr>
        <w:pStyle w:val="ListBullet"/>
      </w:pPr>
      <w:r/>
      <w:r>
        <w:rPr>
          <w:b/>
        </w:rPr>
        <w:t>OPTERON</w:t>
      </w:r>
      <w:r>
        <w:t xml:space="preserve"> (THERABEL PHARMA SPA) (R)</w:t>
      </w:r>
    </w:p>
    <w:p>
      <w:pPr>
        <w:pStyle w:val="ListBullet"/>
      </w:pPr>
      <w:r>
        <w:t>Formes et Dosages : Comprimé pelliculé 250 mg — Boîte de 30</w:t>
      </w:r>
    </w:p>
    <w:p>
      <w:pPr>
        <w:pStyle w:val="ListBullet"/>
      </w:pPr>
      <w:r>
        <w:t>Statut : Retiré</w:t>
      </w:r>
    </w:p>
    <w:p>
      <w:r/>
      <w:r>
        <w:rPr>
          <w:b/>
        </w:rPr>
        <w:t>Sous-classe et Mécanisme d'action :</w:t>
      </w:r>
      <w:r/>
    </w:p>
    <w:p>
      <w:pPr>
        <w:pStyle w:val="ListBullet"/>
      </w:pPr>
      <w:r>
        <w:t>Sous-classe : Thiénopyridine de 1re génération, prodrogue, inhibiteur irréversible du récepteur P2Y12 plaquettaire.</w:t>
      </w:r>
    </w:p>
    <w:p>
      <w:pPr>
        <w:pStyle w:val="ListBullet"/>
      </w:pPr>
      <w:r>
        <w:t xml:space="preserve">Mécanisme d'action : Comme le clopidogrel, la ticlopidine est une prodrogue absorbée par voie orale (biodisponibilité ≈ 80 %). Elle subit une oxydation hépatique en deux étapes par les cytochromes P450 (CYP2C19, CYP3A4, CYP2B6) qui génère un métabolite actif thiol (2-oxo-ticlopidine, puis dérivé thiol). Ce métabolite actif forme un pont disulfure covalent avec la cystéine 17 du récepteur P2Y12, </w:t>
      </w:r>
      <w:r>
        <w:rPr>
          <w:b/>
        </w:rPr>
        <w:t>irréversible</w:t>
      </w:r>
      <w:r>
        <w:t>, bloquant l'inhibition de l'adénylate cyclase médiée par l'ADP et augmentant l'AMPc intraplaquettaire. L'agrégation plaquettaire induite par l'ADP est diminuée de 50-70 % à l'état d'équilibre. La dose de charge n'est pas systématique (effet retardé 3-5 jours), l'état d'équilibre est atteint en 8-11 jours sous 250 mg x2/j. L'effet persiste 7-10 jours après l'arrêt. La ticlopidine diffère du clopidogrel par son métabolisme plus lent et plus variable, et par une toxicité hématologique plus marquée (métabolites intermédiaires toxiques pour les précurseurs médullaires).</w:t>
      </w:r>
    </w:p>
    <w:p>
      <w:r/>
      <w:r>
        <w:rPr>
          <w:b/>
        </w:rPr>
        <w:t>Profil Pharmacologique :</w:t>
      </w:r>
      <w:r/>
    </w:p>
    <w:p>
      <w:pPr>
        <w:pStyle w:val="ListBullet"/>
      </w:pPr>
      <w:r>
        <w:t>Indications : Devenus exceptionnels en raison de la supériorité du clopidogrel : (1) Intolérance ou allergie avérée au clopidogrel et au ticagrelor ; (2) Indisponibilité transitoire du clopidogrel ; (3) Prévention secondaire de l'AVC ischémique non cardioembolique (historique : TASS, CATS) ; (4) Prévention des thromboses de stent coronarien (historique : STARS, ISAR) ; (5) Claudication intermittente de l'AOMI (historique : EMATAP) ; (6) Syndrome antiphospholipide réfractaire à l'aspirine en cas de CI au clopidogrel. Dose 250 mg x2/j per os, dose de charge rarement utilisée (500 mg en dose unique puis 250 mg x2/j à H+12).</w:t>
      </w:r>
    </w:p>
    <w:p>
      <w:pPr>
        <w:pStyle w:val="ListBullet"/>
      </w:pPr>
      <w:r>
        <w:t>Contre-indications : (1) Hypersensibilité à la ticlopidine ; (2) Hémorragie active ; (3) Antécédent d'hémorragie intracrânienne ; (4) Insuffisance hépatique sévère ; (5) Antécédent de neutropénie ou de thrombopénie induites par la ticlopidine ; (6) Thrombopénie &lt; 100 G/L ou leucopénie &lt; 3 G/L préexistantes ; (7) Insuffisance rénale sévère ; (8) Allaitement. Précautions : patient âgé, insuffisance rénale modérée, ATC hématologique (surveillance NFS systématique), chirurgie programmée (arrêt 10 jours), traitement concomitant par AINS ou anticoagulants.</w:t>
      </w:r>
    </w:p>
    <w:p>
      <w:pPr>
        <w:pStyle w:val="ListBullet"/>
      </w:pPr>
      <w:r>
        <w:t xml:space="preserve">Effets Indésirables : (1) </w:t>
      </w:r>
      <w:r>
        <w:rPr>
          <w:b/>
        </w:rPr>
        <w:t>Neutropénie</w:t>
      </w:r>
      <w:r>
        <w:t xml:space="preserve"> — incidence ≈ 2,4 % (vs 0,1 % sous clopidogrel), profonde (&lt; 500/mm³) dans 0,8 % des cas, survenant dans les 3 premiers mois, potentiellement mortelle (septicémie). Impose NFS hebdomadaire × 12 premières semaines ; (2) </w:t>
      </w:r>
      <w:r>
        <w:rPr>
          <w:b/>
        </w:rPr>
        <w:t>Thrombopénie</w:t>
      </w:r>
      <w:r>
        <w:t xml:space="preserve"> — incidence ≈ 1-2 %, parfois profonde, justifiant surveillance plaquettaire ; (3) </w:t>
      </w:r>
      <w:r>
        <w:rPr>
          <w:b/>
        </w:rPr>
        <w:t>Purpura thrombopénique thrombotique (TTP/PMM)</w:t>
      </w:r>
      <w:r>
        <w:t xml:space="preserve"> — incidence 1/1600 à 1/4800 (vs 1/200 000 sous clopidogrel), mortalité 20-30 %, survenant typiquement dans les 2 à 8 premières semaines, associe fièvre, neurologique, thrombopénie, anémie hémolytique mécanique, insuffisance rénale ; (4) </w:t>
      </w:r>
      <w:r>
        <w:rPr>
          <w:b/>
        </w:rPr>
        <w:t>Aplasie médullaire</w:t>
      </w:r>
      <w:r>
        <w:t xml:space="preserve"> — exceptionnelle mais grave ; (5) Troubles digestifs — nausées, diarrhée (10-15 %), dyspepsie, ulcères ; (6) Réactions cutanées — rash (5-10 %), prurit, urticaire, exceptionnels syndromes de Stevens-Johnson/Lyell ; (7) Hémorragies — effet de classe ; (8) Augmentation transaminases et cholestase (rare) ; (9) Hypercholestérolémie (≈ 9 %, modérée) ; (10) Exceptionnelles pneumopathies interstitielles, hépatites fulminantes.</w:t>
      </w:r>
    </w:p>
    <w:p>
      <w:r/>
      <w:r>
        <w:rPr>
          <w:b/>
        </w:rPr>
        <w:t>Prévention et Gestion des Effets Indésirables :</w:t>
      </w:r>
      <w:r/>
    </w:p>
    <w:p>
      <w:pPr>
        <w:pStyle w:val="ListBullet"/>
      </w:pPr>
      <w:r>
        <w:t xml:space="preserve">Mesures Préventives : (1) </w:t>
      </w:r>
      <w:r>
        <w:rPr>
          <w:b/>
        </w:rPr>
        <w:t>Surveillance NFS systématique et obligatoire</w:t>
      </w:r>
      <w:r>
        <w:t xml:space="preserve"> : une NFS toutes les 2 semaines pendant les 3 premiers mois, puis une fois par mois jusqu'à 4 mois, puis tous les 3 mois. Arrêt immédiat en cas de neutrophiles &lt; 1500/mm³ ou plaquettes &lt; 100 000/mm³ ; (2) Information du patient sur les signes d'alerte : fièvre, angine, saignement, purpura — consulter en urgence ; (3) Bilan pré-thérapeutique : NFS, plaquettes, bilan hépatique, créatinine ; (4) Éviter association aux AINS, anticoagulants, autres antiagrégants (sauf prescription spécialisée) ; (5) Voie orale préférentielle (pas de forme IV) ; (6) Fenêtre thérapeutique pré-opératoire : </w:t>
      </w:r>
      <w:r>
        <w:rPr>
          <w:b/>
        </w:rPr>
        <w:t>arrêt 10 jours</w:t>
      </w:r>
      <w:r>
        <w:t xml:space="preserve"> avant chirurgie programmée (plus long que le clopidogrel en raison de la demi-vie plus longue du métabolite actif) ; (7) Préférer clopidogrel ou ticagrelor chaque fois que possible — la ticlopidine ne doit être prescrite qu'en seconde intention.</w:t>
      </w:r>
    </w:p>
    <w:p>
      <w:pPr>
        <w:pStyle w:val="ListBullet"/>
      </w:pPr>
      <w:r>
        <w:t xml:space="preserve">Conduite à Tenir : (1) </w:t>
      </w:r>
      <w:r>
        <w:rPr>
          <w:b/>
        </w:rPr>
        <w:t>Neutropénie &lt; 1500/mm³</w:t>
      </w:r>
      <w:r>
        <w:t xml:space="preserve"> : arrêt immédiat de la ticlopidine, surveillance quotidienne NFS, hospitalisation si &lt; 1000/mm³ ou fièvre ; (2) </w:t>
      </w:r>
      <w:r>
        <w:rPr>
          <w:b/>
        </w:rPr>
        <w:t>Thrombopénie &lt; 100 000/mm³</w:t>
      </w:r>
      <w:r>
        <w:t xml:space="preserve"> : arrêt immédiat, surveillance, recherche de TTP ; (3) </w:t>
      </w:r>
      <w:r>
        <w:rPr>
          <w:b/>
        </w:rPr>
        <w:t>TTP suspecté</w:t>
      </w:r>
      <w:r>
        <w:t xml:space="preserve"> (fièvre + neurologique + thrombopénie + anémie hémolytique + IR) : arrêt définitif, hospitalisation en réanimation, échange plasmatique quotidien en urgence, corticothérapie, rituximab si réfractaire. Mortalité 20-30 % malgré traitement optimal ; (4) </w:t>
      </w:r>
      <w:r>
        <w:rPr>
          <w:b/>
        </w:rPr>
        <w:t>Hémorragie majeure</w:t>
      </w:r>
      <w:r>
        <w:t xml:space="preserve"> : arrêt, transfusion plaquettaire (4-8 unités), traitement étiologique ; (5) </w:t>
      </w:r>
      <w:r>
        <w:rPr>
          <w:b/>
        </w:rPr>
        <w:t>Chirurgie urgente</w:t>
      </w:r>
      <w:r>
        <w:t xml:space="preserve"> : transfusion plaquettaire prophylactique si &lt; 10 jours après dernière prise ; (6) </w:t>
      </w:r>
      <w:r>
        <w:rPr>
          <w:b/>
        </w:rPr>
        <w:t>Réaction cutanée sévère</w:t>
      </w:r>
      <w:r>
        <w:t xml:space="preserve"> (Stevens-Johnson, Lyell) : arrêt définitif, hospitalisation en service de dermatologie/burn-unit.</w:t>
      </w:r>
    </w:p>
    <w:p>
      <w:r/>
      <w:r>
        <w:rPr>
          <w:b/>
        </w:rPr>
        <w:t>Interactions Importantes :</w:t>
      </w:r>
      <w:r/>
    </w:p>
    <w:p>
      <w:pPr>
        <w:pStyle w:val="ListBullet"/>
      </w:pPr>
      <w:r/>
      <w:r>
        <w:rPr>
          <w:b/>
        </w:rPr>
        <w:t>Ticlopidine + Anticoagulants oraux (AVK/AOD)</w:t>
      </w:r>
      <w:r>
        <w:t xml:space="preserve"> : Contre-indication. Risque hémorragique majeur.</w:t>
      </w:r>
    </w:p>
    <w:p>
      <w:pPr>
        <w:pStyle w:val="ListBullet"/>
      </w:pPr>
      <w:r/>
      <w:r>
        <w:rPr>
          <w:b/>
        </w:rPr>
        <w:t>Ticlopidine + Aspirine</w:t>
      </w:r>
      <w:r>
        <w:t xml:space="preserve"> : Possible en DAPT historique (avant clopidogrel), mais majoration du risque hémorragique et de la neutropénie. À éviter aujourd'hui.</w:t>
      </w:r>
    </w:p>
    <w:p>
      <w:pPr>
        <w:pStyle w:val="ListBullet"/>
      </w:pPr>
      <w:r/>
      <w:r>
        <w:rPr>
          <w:b/>
        </w:rPr>
        <w:t>Ticlopidine + AINS</w:t>
      </w:r>
      <w:r>
        <w:t xml:space="preserve"> : Contre-indication. Risque hémorragique digestif majeur.</w:t>
      </w:r>
    </w:p>
    <w:p>
      <w:pPr>
        <w:pStyle w:val="ListBullet"/>
      </w:pPr>
      <w:r/>
      <w:r>
        <w:rPr>
          <w:b/>
        </w:rPr>
        <w:t>Ticlopidine + Théophylline</w:t>
      </w:r>
      <w:r>
        <w:t xml:space="preserve"> : Diminution de la clairance de la théophylline (inhibition CYP1A2) — risque de surdosage. Surveillance clinique et théophyllinémie.</w:t>
      </w:r>
    </w:p>
    <w:p>
      <w:pPr>
        <w:pStyle w:val="ListBullet"/>
      </w:pPr>
      <w:r/>
      <w:r>
        <w:rPr>
          <w:b/>
        </w:rPr>
        <w:t>Ticlopidine + Phénytoïne</w:t>
      </w:r>
      <w:r>
        <w:t xml:space="preserve"> : Augmentation des concentrations de phénytoïne (inhibition CYP2C19) — risque de surdosage.</w:t>
      </w:r>
    </w:p>
    <w:p>
      <w:pPr>
        <w:pStyle w:val="ListBullet"/>
      </w:pPr>
      <w:r/>
      <w:r>
        <w:rPr>
          <w:b/>
        </w:rPr>
        <w:t>Ticlopidine + Digoxine</w:t>
      </w:r>
      <w:r>
        <w:t xml:space="preserve"> : Diminution discrète de la digoxinémie (≈ 10 %), sans conséquence clinique majeure.</w:t>
      </w:r>
    </w:p>
    <w:p>
      <w:pPr>
        <w:pStyle w:val="ListBullet"/>
      </w:pPr>
      <w:r/>
      <w:r>
        <w:rPr>
          <w:b/>
        </w:rPr>
        <w:t>Ticlopidine + Cimétidine</w:t>
      </w:r>
      <w:r>
        <w:t xml:space="preserve"> : Diminution de l'absorption de la ticlopidine, baisse d'efficacité.</w:t>
      </w:r>
    </w:p>
    <w:p>
      <w:pPr>
        <w:pStyle w:val="ListBullet"/>
      </w:pPr>
      <w:r/>
      <w:r>
        <w:rPr>
          <w:b/>
        </w:rPr>
        <w:t>Ticlopidine + Antiacides</w:t>
      </w:r>
      <w:r>
        <w:t xml:space="preserve"> : Diminution de l'absorption, à espacer de 2 h.</w:t>
      </w:r>
    </w:p>
    <w:p>
      <w:r/>
      <w:r>
        <w:rPr>
          <w:b/>
        </w:rPr>
        <w:t>Grossesse et Allaitement :</w:t>
      </w:r>
      <w:r/>
    </w:p>
    <w:p>
      <w:pPr>
        <w:pStyle w:val="ListBullet"/>
      </w:pPr>
      <w:r>
        <w:t xml:space="preserve">Grossesse : Données animales : effets tératogènes à doses maternotoxiques. Pas d'étude chez la femme enceinte. </w:t>
      </w:r>
      <w:r>
        <w:rPr>
          <w:b/>
        </w:rPr>
        <w:t>À éviter pendant la grossesse</w:t>
      </w:r>
      <w:r>
        <w:t xml:space="preserve"> (CRAT), sauf nécessité absolue en milieu spécialisé. Préférer aspirine faible dose.</w:t>
      </w:r>
    </w:p>
    <w:p>
      <w:pPr>
        <w:pStyle w:val="ListBullet"/>
      </w:pPr>
      <w:r>
        <w:t xml:space="preserve">Allaitement : Passage dans le lait non documenté mais probable. </w:t>
      </w:r>
      <w:r>
        <w:rPr>
          <w:b/>
        </w:rPr>
        <w:t>Allaitement contre-indiqué</w:t>
      </w:r>
      <w:r>
        <w:t xml:space="preserve"> (CRAT).</w:t>
      </w:r>
    </w:p>
    <w:p>
      <w:pPr>
        <w:pStyle w:val="ListBullet"/>
      </w:pPr>
      <w:r>
        <w:t>Précautions : En cas de découverte de grossesse sous ticlopidine, ne pas arrêter brutalement si stent récent, mais avis cardiologique urgent pour relais par clopidogrel (préférable). Arrêt 10 jours avant accouchement programmé si maintenu jusqu'au 3e trimestre (situation exceptionnelle).</w:t>
      </w:r>
    </w:p>
    <w:p>
      <w:r/>
      <w:r>
        <w:rPr>
          <w:b/>
        </w:rPr>
        <w:t>Posologie et Mode d'administration (Standard) :</w:t>
      </w:r>
      <w:r/>
    </w:p>
    <w:p>
      <w:pPr>
        <w:pStyle w:val="ListBullet"/>
      </w:pPr>
      <w:r>
        <w:t xml:space="preserve">Adulte : Dose d'entretien </w:t>
      </w:r>
      <w:r>
        <w:rPr>
          <w:b/>
        </w:rPr>
        <w:t>250 mg deux fois par jour</w:t>
      </w:r>
      <w:r>
        <w:t xml:space="preserve"> per os (matin et soir, pendant les repas pour améliorer la tolérance digestive). Dose de charge rarement utilisée (500 mg une fois, puis 250 mg x2/j à H+12). Dans l'AVC : 250 mg x2/j. Dans la prévention des thromboses de stent (historique) : 250 mg x2/j pendant 4 semaines post-ICP (en association à l'aspirine).</w:t>
      </w:r>
    </w:p>
    <w:p>
      <w:pPr>
        <w:pStyle w:val="ListBullet"/>
      </w:pPr>
      <w:r>
        <w:t>Sujet âgé : Pas d'adaptation posologique formelle, mais surveillance accrue (NFS, fonction rénale). Réduction à 250 mg/j discutée chez les patients fragiles.</w:t>
      </w:r>
    </w:p>
    <w:p>
      <w:pPr>
        <w:pStyle w:val="ListBullet"/>
      </w:pPr>
      <w:r>
        <w:t>Insuffisance rénale : Contre-indication si sévère (clairance créatinine &lt; 10 mL/min). Prudence si modérée.</w:t>
      </w:r>
    </w:p>
    <w:p>
      <w:pPr>
        <w:pStyle w:val="ListBullet"/>
      </w:pPr>
      <w:r>
        <w:t>Insuffisance hépatique : Contre-indication si sévère. Prudence si modérée.</w:t>
      </w:r>
    </w:p>
    <w:p>
      <w:pPr>
        <w:pStyle w:val="ListBullet"/>
      </w:pPr>
      <w:r>
        <w:t>Enfant : Non recommandé (&lt; 18 ans, absence d'études).</w:t>
      </w:r>
    </w:p>
    <w:p>
      <w:pPr>
        <w:pStyle w:val="ListBullet"/>
      </w:pPr>
      <w:r>
        <w:t>Durée : Variable selon indication. AVC : traitement au long cours. Post-ICP : 4 semaines (historique, plus utilisé). Claudication : au long cours.</w:t>
      </w:r>
    </w:p>
    <w:p>
      <w:pPr>
        <w:pStyle w:val="ListBullet"/>
      </w:pPr>
      <w:r>
        <w:t>Moment de prise : Deux prises par jour, matin et soir, pendant les repas (améliore la tolérance digestive).</w:t>
      </w:r>
    </w:p>
    <w:p>
      <w:r/>
      <w:r>
        <w:rPr>
          <w:b/>
        </w:rPr>
        <w:t>Arbitrage et Bénéfices des Formes Galéniques :</w:t>
      </w:r>
      <w:r/>
    </w:p>
    <w:p>
      <w:pPr>
        <w:pStyle w:val="ListBullet"/>
      </w:pPr>
      <w:r>
        <w:t>Forme unique : comprimé pelliculé à 250 mg, non sécable.</w:t>
      </w:r>
    </w:p>
    <w:p>
      <w:pPr>
        <w:pStyle w:val="ListBullet"/>
      </w:pPr>
      <w:r>
        <w:t>Pas de forme IV, pas de forme orodispersible.</w:t>
      </w:r>
    </w:p>
    <w:p>
      <w:pPr>
        <w:pStyle w:val="ListBullet"/>
      </w:pPr>
      <w:r>
        <w:t>Conservation à température &lt; 25 °C, à l'abri de l'humidité.</w:t>
      </w:r>
    </w:p>
    <w:p>
      <w:pPr>
        <w:pStyle w:val="ListBullet"/>
      </w:pPr>
      <w:r>
        <w:t>Le comprimé doit être avalé entier avec un verre d'eau, pendant les repas.</w:t>
      </w:r>
    </w:p>
    <w:p>
      <w:r/>
      <w:r>
        <w:rPr>
          <w:b/>
        </w:rPr>
        <w:t>Instructions et Conseils au Patient :</w:t>
      </w:r>
      <w:r/>
    </w:p>
    <w:p>
      <w:pPr>
        <w:pStyle w:val="ListBullet"/>
      </w:pPr>
      <w:r>
        <w:t>Communication au comptoir : « Ce médicament fluidifie votre sang en bloquant l'agrégation des plaquettes. Il peut provoquer des effets indésirables graves sur le sang (baisse des globules blancs, des plaquettes). Vous devez faire une prise de sang tous les 15 jours pendant les 3 premiers mois, puis une fois par mois. Consultez en urgence si vous avez de la fièvre, une angine, des saignements, ou des taches violacées sur la peau. Prévenez tout médecin ou dentiste que vous êtes sous ticlopidine. »</w:t>
      </w:r>
    </w:p>
    <w:p>
      <w:pPr>
        <w:pStyle w:val="ListBullet"/>
      </w:pPr>
      <w:r>
        <w:t>Mode d'utilisation pratique : (1) Deux prises par jour, matin et soir, pendant les repas ; (2) Respect strict des dates de prise de sang (NFS) : tous les 15 jours pendant 3 mois, puis mensuel jusqu'à 4 mois ; (3) Consulter en urgence en cas de fièvre, angine, saignement, purpura, asthénie majeure ; (4) Prévenir dentiste et chirurgien (arrêt 10 jours avant chirurgie) ; (5) Éviter les AINS en automédication ; (6) Ne pas associer sans avis à l'aspirine, aux anticoagulants, ou à d'autres antiagrégants ; (7) Signaler tout saignement anormal ; (8) Ne pas arrêter le traitement sans avis médical.</w:t>
      </w:r>
    </w:p>
    <w:p>
      <w:r/>
      <w:r>
        <w:rPr>
          <w:b/>
        </w:rPr>
        <w:t>Notes, Règles d'Or &amp; Pièges au Comptoir :</w:t>
      </w:r>
      <w:r/>
    </w:p>
    <w:p>
      <w:pPr>
        <w:pStyle w:val="ListBullet"/>
      </w:pPr>
      <w:r>
        <w:t xml:space="preserve">Piège classique : </w:t>
      </w:r>
      <w:r>
        <w:rPr>
          <w:b/>
        </w:rPr>
        <w:t>Patient sous ticlopidine qui n'a pas fait sa NFS de contrôle</w:t>
      </w:r>
      <w:r>
        <w:t xml:space="preserve"> — risque de neutropénie asymptomatique. Toujours rappeler l'importance de la surveillance hématologique et signaler tout retard au prescripteur.</w:t>
      </w:r>
    </w:p>
    <w:p>
      <w:pPr>
        <w:pStyle w:val="ListBullet"/>
      </w:pPr>
      <w:r>
        <w:t xml:space="preserve">Piège classique : </w:t>
      </w:r>
      <w:r>
        <w:rPr>
          <w:b/>
        </w:rPr>
        <w:t>Patient sous ticlopidine qui achète de l'ibuprofène en automédication</w:t>
      </w:r>
      <w:r>
        <w:t xml:space="preserve"> — refuser la délivrance, proposer paracétamol, orienter vers le prescripteur.</w:t>
      </w:r>
    </w:p>
    <w:p>
      <w:pPr>
        <w:pStyle w:val="ListBullet"/>
      </w:pPr>
      <w:r>
        <w:t xml:space="preserve">Piège classique : </w:t>
      </w:r>
      <w:r>
        <w:rPr>
          <w:b/>
        </w:rPr>
        <w:t>Prescription ticlopidine + aspirine</w:t>
      </w:r>
      <w:r>
        <w:t xml:space="preserve"> : association historique autrefois courante, aujourd'hui déconseillée sauf nécessité absolue (rare), risque hémorragique et de neutropénie majoré. Vérifier avec le prescripteur si clopidogrel + aspirine ne serait pas préférable.</w:t>
      </w:r>
    </w:p>
    <w:p>
      <w:pPr>
        <w:pStyle w:val="ListBullet"/>
      </w:pPr>
      <w:r>
        <w:t>Règle de prise : Deux prises par jour pendant les repas, à heure fixe.</w:t>
      </w:r>
    </w:p>
    <w:p>
      <w:pPr>
        <w:pStyle w:val="ListBullet"/>
      </w:pPr>
      <w:r>
        <w:t>Préparation et Conservation : Comprimés à conserver à température &lt; 25 °C, à l'abri de l'humidité.</w:t>
      </w:r>
    </w:p>
    <w:p>
      <w:pPr>
        <w:pStyle w:val="ListBullet"/>
      </w:pPr>
      <w:r>
        <w:t>Piège du surdosage / Substitution : Surdosage accidentel → surveillance hospitalière, NFS, hémostase, transfusion plaquettaire en cas de saignement. Ne pas substituer ticlopidine ↔ clopidogrel sans avis cardiologique. Si relais ticlopidine → clopidogrel : pas de dose de charge si à dose d'entretien depuis &gt; 5 jours, relais direct 75 mg/j.</w:t>
      </w:r>
    </w:p>
    <w:p>
      <w:pPr>
        <w:pStyle w:val="ListBullet"/>
      </w:pPr>
      <w:r>
        <w:t xml:space="preserve">Règle d'or : </w:t>
      </w:r>
      <w:r>
        <w:rPr>
          <w:b/>
        </w:rPr>
        <w:t>La ticlopidine ne doit être prescrite qu'en cas de contre-indication ou d'échec du clopidogrel et du ticagrelor.</w:t>
      </w:r>
      <w:r>
        <w:t xml:space="preserve"> La surveillance NFS bihebdomadaire des 3 premiers mois est </w:t>
      </w:r>
      <w:r>
        <w:rPr>
          <w:b/>
        </w:rPr>
        <w:t>non négociable</w:t>
      </w:r>
      <w:r>
        <w:t xml:space="preserve"> — son oubli doit être signalé au prescripteur et rattrapé immédiatement.</w:t>
      </w:r>
    </w:p>
    <w:p>
      <w:pPr>
        <w:pStyle w:val="ListBullet"/>
      </w:pPr>
      <w:r>
        <w:t>Pharmacovigilance : Tout effet indésirable grave sous ticlopidine (neutropénie, thrombopénie, TTP, aplasie, syndrome Lyell, hépatite) doit faire l'objet d'une déclaration au centre national de pharmacovigilance.</w:t>
      </w:r>
    </w:p>
    <w:p>
      <w:pPr>
        <w:pStyle w:val="Heading2"/>
      </w:pPr>
      <w:r>
        <w:t>SOUS-CLASSE 4 : Antiagrégants plaquettaires — Inhibiteurs de la Phosphodiestérase (PDE)</w:t>
      </w:r>
    </w:p>
    <w:p>
      <w:pPr>
        <w:pStyle w:val="Heading3"/>
      </w:pPr>
      <w:r>
        <w:t>Introduction de la sous-classe</w:t>
      </w:r>
    </w:p>
    <w:p>
      <w:r>
        <w:t xml:space="preserve">Les inhibiteurs de la phosphodiestérase (PDE) sont une classe hétérogène d'agents antiplaquettaires et vasodilatateurs. Dans le contexte de l'antiagrégation plaquettaire, le représentant principal est le </w:t>
      </w:r>
      <w:r>
        <w:rPr>
          <w:b/>
        </w:rPr>
        <w:t>dipyridamole</w:t>
      </w:r>
      <w:r>
        <w:t>, qui inhibe plusieurs isoformes de la PDE (PDE3, PDE5, PDE6, PDE10), augmentant ainsi les taux intracellulaires d'AMPc et de GMPc dans les plaquettes. Cette augmentation d'AMPc/GMPc inhibe l'activation plaquettaire en bloquant la mobilisation calcique intracellulaire et l'expression du complexe GPIIb/IIIa. Le dipyridamole potentialise également l'effet de la prostacycline (PGI2) endogéthéliale, activateur physiologique de l'adénylate cyclase plaquettaire. La molécule possède en outre des propriétés vasodilatatrices coronariennes et systémiques (à l'origine de son usage historique comme test pharmacologique d'ischémie myocardique et comme antiangoreux, aujourd'hui obsolète dans cette indication).</w:t>
      </w:r>
    </w:p>
    <w:p>
      <w:r>
        <w:t>Le dipyridamole est aujourd'hui principalement utilisé en association à l'aspirine dans la prévention secondaire de l'AVC ischémique non cardioembolique (forme Modified-Release ou MR, non disponible isolément en Algérie). En monothérapie, il conserve une place comme test pharmacologique d'échographie d'effort (PERSANTINE IV®). Sa biodisponibilité orale est variable (40-70 %), son élimination est hépatobiliaire (glucuronoconjugaison), sa demi-vie de 10-12 h justifie une administration biquotidienne ou t.i.d. selon les formes.</w:t>
      </w:r>
    </w:p>
    <w:p>
      <w:pPr>
        <w:pStyle w:val="Heading3"/>
      </w:pPr>
      <w:r>
        <w:t>4.1. DCI : Dipyridamole (Seul)</w:t>
      </w:r>
    </w:p>
    <w:p>
      <w:r/>
      <w:r>
        <w:rPr>
          <w:b/>
        </w:rPr>
        <w:t>Liste des Catégories :</w:t>
      </w:r>
      <w:r>
        <w:t xml:space="preserve"> Antiagrégants plaquettaires — Inhibiteurs PDE.</w:t>
      </w:r>
    </w:p>
    <w:p>
      <w:r>
        <w:t>Le dipyridamole est un dérivé de la pyrimido-pyrimidine, commercialisé depuis les années 1960. Il a d'abord été utilisé comme vasodilatateur coronarien et antiangoreux, avant que son effet antiplaquettaire ne soit exploité en prévention secondaire de l'AVC. En Algérie, il est disponible sous forme orale (PERSANTINE comprimés 75 mg — non renouvelable ; plusieurs génériques retirés) et injectable (PERSANTINE sol inj IV 10 mg/2 mL — actif). La forme Modified-Release (gélule LP 200 mg x2/j) en association à l'aspirine (ASASANTIN LP® en France) n'est pas disponible en Algérie, ce qui en limite l'usage en prévention de l'AVC (préférer clopidogrel seul ou aspirine seule).</w:t>
      </w:r>
    </w:p>
    <w:p>
      <w:r/>
      <w:r>
        <w:rPr>
          <w:b/>
        </w:rPr>
        <w:t>Médicaments disponibles en Algérie (Marques, Laboratoires, Formes et Dosages) :</w:t>
      </w:r>
      <w:r/>
    </w:p>
    <w:p>
      <w:pPr>
        <w:pStyle w:val="ListBullet"/>
      </w:pPr>
      <w:r/>
      <w:r>
        <w:rPr>
          <w:b/>
        </w:rPr>
        <w:t>PERSANTINE injectable</w:t>
      </w:r>
      <w:r>
        <w:t xml:space="preserve"> (GLENWOOD GMBH)</w:t>
      </w:r>
    </w:p>
    <w:p>
      <w:pPr>
        <w:pStyle w:val="ListBullet"/>
      </w:pPr>
      <w:r>
        <w:t>Formes et Dosages : Solution injectable IV 10 mg/2 mL (5 mg/mL) — Boîte de 10 ampoules</w:t>
      </w:r>
    </w:p>
    <w:p>
      <w:pPr>
        <w:pStyle w:val="ListBullet"/>
      </w:pPr>
      <w:r>
        <w:t>Statut : Actif (pour test pharmacologique d'ischémie myocardique en échographie d'effort)</w:t>
      </w:r>
    </w:p>
    <w:p>
      <w:pPr>
        <w:pStyle w:val="ListBullet"/>
      </w:pPr>
      <w:r/>
      <w:r>
        <w:rPr>
          <w:b/>
        </w:rPr>
        <w:t>PERSANTINE comprimés</w:t>
      </w:r>
      <w:r>
        <w:t xml:space="preserve"> (BOEHRINGER INGELHEIM)</w:t>
      </w:r>
    </w:p>
    <w:p>
      <w:pPr>
        <w:pStyle w:val="ListBullet"/>
      </w:pPr>
      <w:r>
        <w:t>Formes et Dosages : Comprimé 75 mg — Boîte de 30</w:t>
      </w:r>
    </w:p>
    <w:p>
      <w:pPr>
        <w:pStyle w:val="ListBullet"/>
      </w:pPr>
      <w:r>
        <w:t>Statut : Non Renouvelable</w:t>
      </w:r>
    </w:p>
    <w:p>
      <w:pPr>
        <w:pStyle w:val="ListBullet"/>
      </w:pPr>
      <w:r/>
      <w:r>
        <w:rPr>
          <w:b/>
        </w:rPr>
        <w:t>PROCARDIN</w:t>
      </w:r>
      <w:r>
        <w:t xml:space="preserve"> (MEDOCHEMIE LTD) (R)</w:t>
      </w:r>
    </w:p>
    <w:p>
      <w:pPr>
        <w:pStyle w:val="ListBullet"/>
      </w:pPr>
      <w:r>
        <w:t>Formes et Dosages : Comprimé 75 mg — Boîte de 120</w:t>
      </w:r>
    </w:p>
    <w:p>
      <w:pPr>
        <w:pStyle w:val="ListBullet"/>
      </w:pPr>
      <w:r>
        <w:t>Statut : Retiré</w:t>
      </w:r>
    </w:p>
    <w:p>
      <w:pPr>
        <w:pStyle w:val="ListBullet"/>
      </w:pPr>
      <w:r/>
      <w:r>
        <w:rPr>
          <w:b/>
        </w:rPr>
        <w:t>PERKOD</w:t>
      </w:r>
      <w:r>
        <w:t xml:space="preserve"> (BIOGALENIQUE) (R)</w:t>
      </w:r>
    </w:p>
    <w:p>
      <w:pPr>
        <w:pStyle w:val="ListBullet"/>
      </w:pPr>
      <w:r>
        <w:t>Formes et Dosages : Comprimé 75 mg — Boîte de 30</w:t>
      </w:r>
    </w:p>
    <w:p>
      <w:pPr>
        <w:pStyle w:val="ListBullet"/>
      </w:pPr>
      <w:r>
        <w:t>Statut : Retiré</w:t>
      </w:r>
    </w:p>
    <w:p>
      <w:pPr>
        <w:pStyle w:val="ListBullet"/>
      </w:pPr>
      <w:r/>
      <w:r>
        <w:rPr>
          <w:b/>
        </w:rPr>
        <w:t>DIPYRIDAMOLE</w:t>
      </w:r>
      <w:r>
        <w:t xml:space="preserve"> (EUROPEEN GENERICS) (R)</w:t>
      </w:r>
    </w:p>
    <w:p>
      <w:pPr>
        <w:pStyle w:val="ListBullet"/>
      </w:pPr>
      <w:r>
        <w:t>Formes et Dosages : Comprimé enrobé 75 mg — Boîte de 100</w:t>
      </w:r>
    </w:p>
    <w:p>
      <w:pPr>
        <w:pStyle w:val="ListBullet"/>
      </w:pPr>
      <w:r>
        <w:t>Statut : Retiré</w:t>
      </w:r>
    </w:p>
    <w:p>
      <w:r/>
      <w:r>
        <w:rPr>
          <w:b/>
        </w:rPr>
        <w:t>Sous-classe et Mécanisme d'action :</w:t>
      </w:r>
      <w:r/>
    </w:p>
    <w:p>
      <w:pPr>
        <w:pStyle w:val="ListBullet"/>
      </w:pPr>
      <w:r>
        <w:t>Sous-classe : Inhibiteur de la phosphodiestérase (PDE), antiagrégant plaquettaire et vasodilatateur.</w:t>
      </w:r>
    </w:p>
    <w:p>
      <w:pPr>
        <w:pStyle w:val="ListBullet"/>
      </w:pPr>
      <w:r>
        <w:t xml:space="preserve">Mécanisme d'action : Le dipyridamole exerce son effet antiplaquettaire par plusieurs mécanismes complémentaires : (1) </w:t>
      </w:r>
      <w:r>
        <w:rPr>
          <w:b/>
        </w:rPr>
        <w:t>Inhibition de la PDE plaquettaire</w:t>
      </w:r>
      <w:r>
        <w:t xml:space="preserve"> (PDE3, PDE5) — augmente les taux intracellulaires d'AMPc et de GMPc, ce qui empêche la mobilisation calcique, l'activation du complexe GPIIb/IIIa, et la libération des granules denses. L'AMPc est généré par l'adénylate cyclase activée par la prostacycline (PGI2) endogéthéliale. Le dipyridamole inhibe aussi la PDE-5 (vasodilatation coronaire et systémique via GMPc), et la PDE-11 ; (2) </w:t>
      </w:r>
      <w:r>
        <w:rPr>
          <w:b/>
        </w:rPr>
        <w:t>Inhibition de la recapture de l'adénosine</w:t>
      </w:r>
      <w:r>
        <w:t xml:space="preserve"> par les érythrocytes et les cellules endothéliales — augmente les taux locaux d'adénosine, qui active les récepteurs A2A plaquettaires (→ AMPc) et A2A vasculaires (→ vasodilatation). Cet effet contribue à la fois à l'antiagrégation et à la vasodilatation coronarienne ; (3) </w:t>
      </w:r>
      <w:r>
        <w:rPr>
          <w:b/>
        </w:rPr>
        <w:t>Potentialisation de la PGI2 endogéthéliale</w:t>
      </w:r>
      <w:r>
        <w:t xml:space="preserve"> — le dipyridamole augmente l'effet antiplaquettaire de la prostacycline ; (4) </w:t>
      </w:r>
      <w:r>
        <w:rPr>
          <w:b/>
        </w:rPr>
        <w:t>Stimulation de la libération de t-PA</w:t>
      </w:r>
      <w:r>
        <w:t xml:space="preserve"> par l'endothélium — effet profibrinolytique modeste. L'ensemble aboutit à une inhibition de l'agrégation plaquettaire et à une vasodilatation coronarienne et systémique. Le dipyridamole n'agit pas sur le récepteur P2Y12.</w:t>
      </w:r>
    </w:p>
    <w:p>
      <w:r/>
      <w:r>
        <w:rPr>
          <w:b/>
        </w:rPr>
        <w:t>Profil Pharmacologique :</w:t>
      </w:r>
      <w:r/>
    </w:p>
    <w:p>
      <w:pPr>
        <w:pStyle w:val="ListBullet"/>
      </w:pPr>
      <w:r>
        <w:t>Indications : (1) En association à l'aspirine (forme Modified-Release LP), prévention secondaire de l'AVC ischémique non cardioembolique (ESPS-2, ESPRIT) — non disponible en Algérie sous forme MR + aspirine ; (2) En monothérapie, prévention secondaire de l'AVC ischémique non cardioembolique en cas de contre-indication à l'aspirine et au clopidogrel (usage marginal) ; (3) Test pharmacologique d'ischémie myocardique en échographie de stress (PERSANTINE IV) — alternative à l'effort physique chez les patients incapables d'effort ; (4) Prophylaxie des thromboses de prothèses valvulaires mécaniques en association aux AVK (usage historique, peu recommandé aujourd'hui) ; (5) Prévention des thromboses post-opératoires en chirurgie valvulaire (usage marginal). Posologie orale : 75 mg x3/j à x4/j (300-400 mg/j) en plusieurs prises ; IV : 0,142 mg/kg/min pendant 4 minutes (test pharmacologique).</w:t>
      </w:r>
    </w:p>
    <w:p>
      <w:pPr>
        <w:pStyle w:val="ListBullet"/>
      </w:pPr>
      <w:r>
        <w:t>Contre-indications : (1) Hypersensibilité au dipyridamole ; (2) Hémorragie active ; (3) Insuffisance hépatique sévère ; (4) Test pharmacologique d'effort : asthme sévère, sténose aortique serrée sévère, hypertension artérielle pulmonaire sévère, hypotension sévère, IDM récent &lt; 24 h, instabilité hémodynamique ; (5) Enfant &lt; 12 ans (en prophylaxie). Précautions : hypotension, insuffisance coronarienne sévère (vol coronarien — redistribution vers les territoires sains au détriment des territoires sténosés), myasthénie (potentialisation des anticholinestérasiques), patients sous AVK/AOD, chirurgie programmée (arrêt 24 h pour la forme orale, 30 min pour la forme IV).</w:t>
      </w:r>
    </w:p>
    <w:p>
      <w:pPr>
        <w:pStyle w:val="ListBullet"/>
      </w:pPr>
      <w:r>
        <w:t xml:space="preserve">Effets Indésirables : (1) </w:t>
      </w:r>
      <w:r>
        <w:rPr>
          <w:b/>
        </w:rPr>
        <w:t>Céphalées</w:t>
      </w:r>
      <w:r>
        <w:t xml:space="preserve"> — fréquentes (10-25 %), liées à la vasodilatation cérébrale, modérées, s'atténuant après quelques semaines ; (2) </w:t>
      </w:r>
      <w:r>
        <w:rPr>
          <w:b/>
        </w:rPr>
        <w:t>Bouffées vasomotrices, flush facial</w:t>
      </w:r>
      <w:r>
        <w:t xml:space="preserve"> (vasodilatation) ; (3) </w:t>
      </w:r>
      <w:r>
        <w:rPr>
          <w:b/>
        </w:rPr>
        <w:t>Hypotension orthostatique</w:t>
      </w:r>
      <w:r>
        <w:t xml:space="preserve"> — favorisée par la vasodilatation systémique ; (4) </w:t>
      </w:r>
      <w:r>
        <w:rPr>
          <w:b/>
        </w:rPr>
        <w:t>Troubles digestifs</w:t>
      </w:r>
      <w:r>
        <w:t xml:space="preserve"> — nausées, diarrhée (fréquent en début de traitement) ; (5) </w:t>
      </w:r>
      <w:r>
        <w:rPr>
          <w:b/>
        </w:rPr>
        <w:t>Angor et ischémie myocardique par vol coronarien</w:t>
      </w:r>
      <w:r>
        <w:t xml:space="preserve"> — spécifique de la forme IV à forte dose ou chez les patients coronariens ; (6) </w:t>
      </w:r>
      <w:r>
        <w:rPr>
          <w:b/>
        </w:rPr>
        <w:t>Bronchospasme</w:t>
      </w:r>
      <w:r>
        <w:t xml:space="preserve"> — exceptionnel, surtout avec la forme IV (test pharmacologique) chez les asthmatiques ; (7) </w:t>
      </w:r>
      <w:r>
        <w:rPr>
          <w:b/>
        </w:rPr>
        <w:t>Thrombopénie isolée</w:t>
      </w:r>
      <w:r>
        <w:t xml:space="preserve"> — rare ; (8) Rash cutané, urticaire ; (9) Élévation transaminases ; (10) Hémorragies — effet de classe, mais moins marqué que les anti-P2Y12.</w:t>
      </w:r>
    </w:p>
    <w:p>
      <w:r/>
      <w:r>
        <w:rPr>
          <w:b/>
        </w:rPr>
        <w:t>Prévention et Gestion des Effets Indésirables :</w:t>
      </w:r>
      <w:r/>
    </w:p>
    <w:p>
      <w:pPr>
        <w:pStyle w:val="ListBullet"/>
      </w:pPr>
      <w:r>
        <w:t>Mesures Préventives : (1) Débuter à dose progressive (50 mg x3/j pendant 1 semaine, puis 75 mg x3/j) pour limiter les céphalées et flush ; (2) Prise pendant les repas pour améliorer la tolérance digestive ; (3) Hydratation suffisante pour limiter l'hypotension orthostatique ; (4) Éviter la consommation d'alcool (potentialisation de la vasodilatation) ; (5) Éviter la consommation de caféine en quantité excessive (antagonisme pharmacologique potentiel) ; (6) Surveillance TA en début de traitement ; (7) Chez le coronarien : prudence avec la forme orale, contre-indication formelle à la forme IV sans monitorage ; (8) Fenêtre thérapeutique pré-opératoire : arrêt 24 h pour la forme orale, 30 min pour la forme IV ; (9) En cas de test pharmacologique IV : disponibilité d'aminophylline (antagoniste spécifique) en cas d'effet indésirable majeur.</w:t>
      </w:r>
    </w:p>
    <w:p>
      <w:pPr>
        <w:pStyle w:val="ListBullet"/>
      </w:pPr>
      <w:r>
        <w:t xml:space="preserve">Conduite à Tenir : (1) </w:t>
      </w:r>
      <w:r>
        <w:rPr>
          <w:b/>
        </w:rPr>
        <w:t>Céphalées persistantes &gt; 2 semaines</w:t>
      </w:r>
      <w:r>
        <w:t xml:space="preserve"> : réduire la posologie (50 mg x3/j), envisager arrêt si intolérance ; (2) </w:t>
      </w:r>
      <w:r>
        <w:rPr>
          <w:b/>
        </w:rPr>
        <w:t>Hypotension symptomatique</w:t>
      </w:r>
      <w:r>
        <w:t xml:space="preserve"> : arrêt, repos, hydratation, surveillance ; (3) </w:t>
      </w:r>
      <w:r>
        <w:rPr>
          <w:b/>
        </w:rPr>
        <w:t>Angor sous dipyridamole</w:t>
      </w:r>
      <w:r>
        <w:t xml:space="preserve"> : arrêt immédiat, ECG, avis cardiologique — le dipyridamole peut être dangereux chez le coronarien (vol coronarien) ; (4) </w:t>
      </w:r>
      <w:r>
        <w:rPr>
          <w:b/>
        </w:rPr>
        <w:t>Test pharmacologique IV mal toléré</w:t>
      </w:r>
      <w:r>
        <w:t xml:space="preserve"> : arrêt de la perfusion, administration d'aminophylline 50-100 mg IV (antagoniste), surveillance ; (5) </w:t>
      </w:r>
      <w:r>
        <w:rPr>
          <w:b/>
        </w:rPr>
        <w:t>Bronchospasme</w:t>
      </w:r>
      <w:r>
        <w:t xml:space="preserve"> : arrêt, bronchodilatateurs β2-mimétiques, corticothérapie IV si sévère ; (6) </w:t>
      </w:r>
      <w:r>
        <w:rPr>
          <w:b/>
        </w:rPr>
        <w:t>Hémorragie majeure</w:t>
      </w:r>
      <w:r>
        <w:t xml:space="preserve"> : arrêt, traitement symptomatique.</w:t>
      </w:r>
    </w:p>
    <w:p>
      <w:r/>
      <w:r>
        <w:rPr>
          <w:b/>
        </w:rPr>
        <w:t>Interactions Importantes :</w:t>
      </w:r>
      <w:r/>
    </w:p>
    <w:p>
      <w:pPr>
        <w:pStyle w:val="ListBullet"/>
      </w:pPr>
      <w:r/>
      <w:r>
        <w:rPr>
          <w:b/>
        </w:rPr>
        <w:t>Dipyridamole + Aspirine</w:t>
      </w:r>
      <w:r>
        <w:t xml:space="preserve"> : Synergie antiplaquettaire, majoration du risque hémorragique. Association validée en prévention secondaire de l'AVC (forme MR LP) — utiliser formes adaptées si disponibles, sinon éviter l'association en pratique courante.</w:t>
      </w:r>
    </w:p>
    <w:p>
      <w:pPr>
        <w:pStyle w:val="ListBullet"/>
      </w:pPr>
      <w:r/>
      <w:r>
        <w:rPr>
          <w:b/>
        </w:rPr>
        <w:t>Dipyridamole + Anticoagulants oraux (AVK/AOD)</w:t>
      </w:r>
      <w:r>
        <w:t xml:space="preserve"> : Risque hémorragique majoré. Surveillance INR si AVK (réduction cible INR), préférence pour la monothérapie.</w:t>
      </w:r>
    </w:p>
    <w:p>
      <w:pPr>
        <w:pStyle w:val="ListBullet"/>
      </w:pPr>
      <w:r/>
      <w:r>
        <w:rPr>
          <w:b/>
        </w:rPr>
        <w:t>Dipyridamole + AINS</w:t>
      </w:r>
      <w:r>
        <w:t xml:space="preserve"> : Majoration du risque hémorragique digestif.</w:t>
      </w:r>
    </w:p>
    <w:p>
      <w:pPr>
        <w:pStyle w:val="ListBullet"/>
      </w:pPr>
      <w:r/>
      <w:r>
        <w:rPr>
          <w:b/>
        </w:rPr>
        <w:t>Dipyridamole + Inhibiteurs de l'adénosine recapture (ticagrelor)</w:t>
      </w:r>
      <w:r>
        <w:t xml:space="preserve"> : Potentialisation théorique des effets de l'adénosine (bradycardie, dyspnée), à éviter en association.</w:t>
      </w:r>
    </w:p>
    <w:p>
      <w:pPr>
        <w:pStyle w:val="ListBullet"/>
      </w:pPr>
      <w:r/>
      <w:r>
        <w:rPr>
          <w:b/>
        </w:rPr>
        <w:t>Dipyridamole + Caféine, théophylline</w:t>
      </w:r>
      <w:r>
        <w:t xml:space="preserve"> : Antagonisme pharmacologique (compétition pour les récepteurs à l'adénosine). Éviter la consommation excessive de café ou de thé ; espacer la prise de théophylline.</w:t>
      </w:r>
    </w:p>
    <w:p>
      <w:pPr>
        <w:pStyle w:val="ListBullet"/>
      </w:pPr>
      <w:r/>
      <w:r>
        <w:rPr>
          <w:b/>
        </w:rPr>
        <w:t>Dipyridamole + Aminophylline</w:t>
      </w:r>
      <w:r>
        <w:t xml:space="preserve"> : Antagoniste spécifique utilisé en cas d'effet indésirable majeur sous forme IV.</w:t>
      </w:r>
    </w:p>
    <w:p>
      <w:pPr>
        <w:pStyle w:val="ListBullet"/>
      </w:pPr>
      <w:r/>
      <w:r>
        <w:rPr>
          <w:b/>
        </w:rPr>
        <w:t>Dipyridamole + Antihypertenseurs</w:t>
      </w:r>
      <w:r>
        <w:t xml:space="preserve"> : Potentialisation de l'effet hypotenseur, surveillance TA.</w:t>
      </w:r>
    </w:p>
    <w:p>
      <w:pPr>
        <w:pStyle w:val="ListBullet"/>
      </w:pPr>
      <w:r/>
      <w:r>
        <w:rPr>
          <w:b/>
        </w:rPr>
        <w:t>Dipyridamole + Inhibiteurs de la PDE-5 (sildénafil, tadalafil, vardénafil)</w:t>
      </w:r>
      <w:r>
        <w:t xml:space="preserve"> : Majoration du risque d'hypotension sévère.</w:t>
      </w:r>
    </w:p>
    <w:p>
      <w:r/>
      <w:r>
        <w:rPr>
          <w:b/>
        </w:rPr>
        <w:t>Grossesse et Allaitement :</w:t>
      </w:r>
      <w:r/>
    </w:p>
    <w:p>
      <w:pPr>
        <w:pStyle w:val="ListBullet"/>
      </w:pPr>
      <w:r>
        <w:t>Grossesse : Données animales : pas d'effet tératogène. Études limitées chez la femme enceinte. Le dipyridamole traverse le placenta. Selon le CRAT, le dipyridamole peut être utilisé pendant la grossesse si nécessaire (notamment en association à l'aspirine dans le syndrome des antiphospholipides obstétrical ou la prééclampsie). Préférer la dose minimale efficace, arrêt 24 h avant accouchement programmé.</w:t>
      </w:r>
    </w:p>
    <w:p>
      <w:pPr>
        <w:pStyle w:val="ListBullet"/>
      </w:pPr>
      <w:r>
        <w:t xml:space="preserve">Allaitement : Passage dans le lait maternel documenté mais en quantité faible (≈ 17 % de la dose thérapeutique pédiatrique). </w:t>
      </w:r>
      <w:r>
        <w:rPr>
          <w:b/>
        </w:rPr>
        <w:t>Allaitement possible</w:t>
      </w:r>
      <w:r>
        <w:t xml:space="preserve"> selon le CRAT, à dose d'entretien et en surveillant l'enfant (effets vasodilatateurs, troubles digestifs).</w:t>
      </w:r>
    </w:p>
    <w:p>
      <w:pPr>
        <w:pStyle w:val="ListBullet"/>
      </w:pPr>
      <w:r>
        <w:t>Précautions : En prééclampsie, le dipyridamole peut être utilisé en association à l'aspirine à dose faible à partir de 12-16 SA (selon protocole gynéco-obstétrical).</w:t>
      </w:r>
    </w:p>
    <w:p>
      <w:r/>
      <w:r>
        <w:rPr>
          <w:b/>
        </w:rPr>
        <w:t>Posologie et Mode d'administration (Standard) :</w:t>
      </w:r>
      <w:r/>
    </w:p>
    <w:p>
      <w:pPr>
        <w:pStyle w:val="ListBullet"/>
      </w:pPr>
      <w:r>
        <w:t xml:space="preserve">Adulte : Forme orale : </w:t>
      </w:r>
      <w:r>
        <w:rPr>
          <w:b/>
        </w:rPr>
        <w:t>75 mg trois à quatre fois par jour</w:t>
      </w:r>
      <w:r>
        <w:t xml:space="preserve"> (300-400 mg/jour) per os, en plusieurs prises pendant les repas. Forme IV (test d'ischémie) : </w:t>
      </w:r>
      <w:r>
        <w:rPr>
          <w:b/>
        </w:rPr>
        <w:t>0,142 mg/kg/min</w:t>
      </w:r>
      <w:r>
        <w:t xml:space="preserve"> en perfusion IV pendant 4 minutes (dose totale ≈ 0,57 mg/kg), sous monitorage ECG et TA continu.</w:t>
      </w:r>
    </w:p>
    <w:p>
      <w:pPr>
        <w:pStyle w:val="ListBullet"/>
      </w:pPr>
      <w:r>
        <w:t>Sujet âgé : Pas d'adaptation posologique formelle, mais surveillance accrue de la TA (risque d'hypotension orthostatique).</w:t>
      </w:r>
    </w:p>
    <w:p>
      <w:pPr>
        <w:pStyle w:val="ListBullet"/>
      </w:pPr>
      <w:r>
        <w:t>Insuffisance rénale : Pas d'adaptation posologique (élimination hépatobiliaire).</w:t>
      </w:r>
    </w:p>
    <w:p>
      <w:pPr>
        <w:pStyle w:val="ListBullet"/>
      </w:pPr>
      <w:r>
        <w:t>Insuffisance hépatique : Contre-indication si sévère ; prudence si modérée.</w:t>
      </w:r>
    </w:p>
    <w:p>
      <w:pPr>
        <w:pStyle w:val="ListBullet"/>
      </w:pPr>
      <w:r>
        <w:t>Enfant : Possible à partir de 12 ans, à la posologie de 25-50 mg x3/j selon le poids.</w:t>
      </w:r>
    </w:p>
    <w:p>
      <w:pPr>
        <w:pStyle w:val="ListBullet"/>
      </w:pPr>
      <w:r>
        <w:t>Durée : Variable selon indication. Prévention secondaire de l'AVC : au long cours. Test pharmacologique : dose unique.</w:t>
      </w:r>
    </w:p>
    <w:p>
      <w:pPr>
        <w:pStyle w:val="ListBullet"/>
      </w:pPr>
      <w:r>
        <w:t>Moment de prise : Plusieurs prises par jour (3 à 4), pendant les repas.</w:t>
      </w:r>
    </w:p>
    <w:p>
      <w:r/>
      <w:r>
        <w:rPr>
          <w:b/>
        </w:rPr>
        <w:t>Arbitrage et Bénéfices des Formes Galéniques :</w:t>
      </w:r>
      <w:r/>
    </w:p>
    <w:p>
      <w:pPr>
        <w:pStyle w:val="ListBullet"/>
      </w:pPr>
      <w:r>
        <w:t>Forme orale 75 mg comprimé : usage courant, à prendre 3 à 4 fois par jour (contraignant).</w:t>
      </w:r>
    </w:p>
    <w:p>
      <w:pPr>
        <w:pStyle w:val="ListBullet"/>
      </w:pPr>
      <w:r>
        <w:t>Forme IV 10 mg/2 mL : réservée au test pharmacologique d'ischémie en échographie de stress ou scintigraphie myocardique.</w:t>
      </w:r>
    </w:p>
    <w:p>
      <w:pPr>
        <w:pStyle w:val="ListBullet"/>
      </w:pPr>
      <w:r>
        <w:t>Forme Modified-Release (gélule LP 200 mg x2/j) en association à l'aspirine (ASASANTIN LP®) : référence internationale en prévention secondaire de l'AVC, mais non disponible en Algérie. À réclamer si nécessaire auprès des importations exceptionnelles.</w:t>
      </w:r>
    </w:p>
    <w:p>
      <w:pPr>
        <w:pStyle w:val="ListBullet"/>
      </w:pPr>
      <w:r>
        <w:t>Conservation à température &lt; 25 °C, à l'abri de la lumière (forme IV).</w:t>
      </w:r>
    </w:p>
    <w:p>
      <w:r/>
      <w:r>
        <w:rPr>
          <w:b/>
        </w:rPr>
        <w:t>Instructions et Conseils au Patient :</w:t>
      </w:r>
      <w:r/>
    </w:p>
    <w:p>
      <w:pPr>
        <w:pStyle w:val="ListBullet"/>
      </w:pPr>
      <w:r>
        <w:t>Communication au comptoir : « Ce médicament fluidifie votre sang en augmentant l'AMPc dans vos plaquettes. Vous devez le prendre plusieurs fois par jour, pendant les repas. Des maux de tête peuvent survenir en début de traitement, ils s'atténuent généralement après quelques semaines. Prévenez votre médecin en cas de vertiges, d'essoufflement, ou de douleurs thoraciques. »</w:t>
      </w:r>
    </w:p>
    <w:p>
      <w:pPr>
        <w:pStyle w:val="ListBullet"/>
      </w:pPr>
      <w:r>
        <w:t>Mode d'utilisation pratique : (1) 3 à 4 prises par jour pendant les repas, à heure fixe ; (2) En cas d'oubli de moins de 2 h, prendre dès que possible ; au-delà, sauter la prise et continuer le rythme habituel ; (3) Signaler tout saignement, vertige, douleur thoracique ; (4) Éviter la consommation excessive de café ou de thé ; (5) Éviter l'alcool ; (6) Prévenir dentiste et chirurgien (arrêt 24 h avant chirurgie pour la forme orale) ; (7) En cas de test pharmacologique IV : à jeun, apport hydrique suffisant, présence d'un proche pour le retour.</w:t>
      </w:r>
    </w:p>
    <w:p>
      <w:r/>
      <w:r>
        <w:rPr>
          <w:b/>
        </w:rPr>
        <w:t>Notes, Règles d'Or &amp; Pièges au Comptoir :</w:t>
      </w:r>
      <w:r/>
    </w:p>
    <w:p>
      <w:pPr>
        <w:pStyle w:val="ListBullet"/>
      </w:pPr>
      <w:r>
        <w:t xml:space="preserve">Piège classique : </w:t>
      </w:r>
      <w:r>
        <w:rPr>
          <w:b/>
        </w:rPr>
        <w:t>Patient coronarien à qui un médecin prescrit du dipyridamole oral pour prévention secondaire</w:t>
      </w:r>
      <w:r>
        <w:t xml:space="preserve"> : risque de vol coronarien et d'angor. Vérifier avec le prescripteur s'il n'y a pas une alternative (clopidogrel, aspirine). Le dipyridamole est déconseillé chez le coronarien avec sténose serrée.</w:t>
      </w:r>
    </w:p>
    <w:p>
      <w:pPr>
        <w:pStyle w:val="ListBullet"/>
      </w:pPr>
      <w:r>
        <w:t xml:space="preserve">Piège classique : </w:t>
      </w:r>
      <w:r>
        <w:rPr>
          <w:b/>
        </w:rPr>
        <w:t>Patient sous dipyridamole qui consomme beaucoup de café</w:t>
      </w:r>
      <w:r>
        <w:t xml:space="preserve"> : antagonisme pharmacologique, baisse d'efficacité. Limiter la caféine.</w:t>
      </w:r>
    </w:p>
    <w:p>
      <w:pPr>
        <w:pStyle w:val="ListBullet"/>
      </w:pPr>
      <w:r>
        <w:t xml:space="preserve">Piège classique : </w:t>
      </w:r>
      <w:r>
        <w:rPr>
          <w:b/>
        </w:rPr>
        <w:t>Test pharmacologique IV sans aminophylline disponible</w:t>
      </w:r>
      <w:r>
        <w:t xml:space="preserve"> :Danger — l'aminophylline est l'antidote spécifique en cas de bronchospasme ou d'hypotension sévère. Vérifier sa disponibilité avant le test.</w:t>
      </w:r>
    </w:p>
    <w:p>
      <w:pPr>
        <w:pStyle w:val="ListBullet"/>
      </w:pPr>
      <w:r>
        <w:t>Règle de prise : Plusieurs prises par jour pendant les repas, à heure fixe.</w:t>
      </w:r>
    </w:p>
    <w:p>
      <w:pPr>
        <w:pStyle w:val="ListBullet"/>
      </w:pPr>
      <w:r>
        <w:t>Préparation et Conservation : Comprimés à température &lt; 25 °C, à l'abri de l'humidité. Ampoules IV à l'abri de la lumière.</w:t>
      </w:r>
    </w:p>
    <w:p>
      <w:pPr>
        <w:pStyle w:val="ListBullet"/>
      </w:pPr>
      <w:r>
        <w:t>Piège du surdosage / Substitution : Surdosage accidentel → hypotension, céphalées, flush, éventuellement ischémie myocardique (vol coronarien). Traitement symptomatique, aminophylline IV en cas de besoin. Ne pas substituer dipyridamole ↔ clopidogrel sans avis cardiologique.</w:t>
      </w:r>
    </w:p>
    <w:p>
      <w:pPr>
        <w:pStyle w:val="ListBullet"/>
      </w:pPr>
      <w:r>
        <w:t xml:space="preserve">Règle d'or : </w:t>
      </w:r>
      <w:r>
        <w:rPr>
          <w:b/>
        </w:rPr>
        <w:t>Le dipyridamole n'est plus un antiagrégant de première ligne en Algérie</w:t>
      </w:r>
      <w:r>
        <w:t xml:space="preserve"> (forme orale non renouvelable, forme LP + aspirine non disponible). Son usage est aujourd'hui marginal, principalement limité au test pharmacologique d'ischémie myocardique en échographie de stress. Préférer clopidogrel ou aspirine en prévention secondaire d'AVC.</w:t>
      </w:r>
    </w:p>
    <w:p>
      <w:pPr>
        <w:pStyle w:val="ListBullet"/>
      </w:pPr>
      <w:r>
        <w:t>Pharmacovigilance : Tout effet indésirable grave sous dipyridamole (bronchospasme, ischémie myocardique, hypotension sévère, hémorragie majeure) doit être déclaré.</w:t>
      </w:r>
    </w:p>
    <w:p>
      <w:pPr>
        <w:pStyle w:val="Heading2"/>
      </w:pPr>
      <w:r>
        <w:t>SOUS-CLASSE 5 : Antiagrégants plaquettaires — Associations</w:t>
      </w:r>
    </w:p>
    <w:p>
      <w:pPr>
        <w:pStyle w:val="Heading3"/>
      </w:pPr>
      <w:r>
        <w:t>Introduction de la sous-classe</w:t>
      </w:r>
    </w:p>
    <w:p>
      <w:r>
        <w:t xml:space="preserve">Les associations fixes d'antiagrégants plaquettaires visent à simplifier l'observance et à potentialiser les effets anti-thrombotiques en ciblant plusieurs voies de l'activation plaquettaire simultanément. L'association de référence est </w:t>
      </w:r>
      <w:r>
        <w:rPr>
          <w:b/>
        </w:rPr>
        <w:t>clopidogrel + acide acétylsalicylique (aspirine)</w:t>
      </w:r>
      <w:r>
        <w:t>, qui constitue la pierre angulaire de la double anti-agrégation plaquettaire (DAPT) post-SCA et post-ICP. Cette association combine l'inhibition du récepteur P2Y12 (clopidogrel, irréversible) et l'inhibition de la cyclo-oxygénase-1 plaquettaire (aspirine, irréversible), ciblant ainsi la voie de l'ADP et la voie du thromboxane A2. Les deux molécules agissent en synergie, comme démontré dans l'étude CURE (2001) : réduction de 20 % du critère composite (décès CV, IDM, AVC) à 12 mois chez les patients NSTE-ACS sous aspirine + clopidogrel vs aspirine seule.</w:t>
      </w:r>
    </w:p>
    <w:p>
      <w:r>
        <w:t>L'association fixe (DUPLIX® en France ; CARDIOFLUX® en Algérie, dosage 75 mg/75 mg, commercialisé par BIOVITAL, non renouvelable) n'est généralement utilisée qu'après la phase aiguë du SCA, une fois la dose de charge passée et la dose d'entretien stable. Elle permet de réduire le nombre de comprimés quotidiens et d'améliorer l'observance, mais elle souffre de limitations : (1) impossibilité d'ajuster la dose de chaque composant séparément, (2) en cas d'intolérance ou d'effet indésirable, impossibilité d'isoler la molécule responsable, (3) dosage aspirine 75 mg peut être insuffisant chez certains patients (dose habituelle 75-100 mg). En pratique clinique, l'association fixe est surtout utilisée en entretien prolongé chez les patients stabilisés.</w:t>
      </w:r>
    </w:p>
    <w:p>
      <w:pPr>
        <w:pStyle w:val="Heading3"/>
      </w:pPr>
      <w:r>
        <w:t>5.1. DCI : Clopidogrel + Acide acétylsalicylique (En Association)</w:t>
      </w:r>
    </w:p>
    <w:p>
      <w:r/>
      <w:r>
        <w:rPr>
          <w:b/>
        </w:rPr>
        <w:t>Liste des Catégories :</w:t>
      </w:r>
      <w:r>
        <w:t xml:space="preserve"> Antiagrégants plaquettaires — Associations fixes.</w:t>
      </w:r>
    </w:p>
    <w:p>
      <w:r>
        <w:t>L'association clopidogrel + aspirine à dose d'entretien constitue la DAPT de référence après SCA (NSTE-ACS et STEMI) et après ICP avec pose de stent. Les deux molécules agissent en synergie sur deux voies distinctes de l'agrégation plaquettaire, sans interaction pharmacocinétique significative. L'association fixe (un seul comprimé contenant 75 mg de clopidogrel + 75 mg d'aspirine) vise à simplifier l'observance, particulièrement chez les patients polypathologiques et polyprescrits. En Algérie, la seule spécialité disponible (CARDIOFLUX® 75 mg/75 mg, BIOVITAL) est en statut « Non Renouvelable », ce qui signifie que l'association fixe n'est plus commercialisée et que les patients doivent recourir à la prescription séparée des deux molécules (clopidogrel 75 mg + aspirine 75-100 mg, le plus souvent gastro-résistante).</w:t>
      </w:r>
    </w:p>
    <w:p>
      <w:r/>
      <w:r>
        <w:rPr>
          <w:b/>
        </w:rPr>
        <w:t>Médicaments disponibles en Algérie (Marques, Laboratoires, Formes et Dosages) :</w:t>
      </w:r>
      <w:r/>
    </w:p>
    <w:p>
      <w:pPr>
        <w:pStyle w:val="ListBullet"/>
      </w:pPr>
      <w:r/>
      <w:r>
        <w:rPr>
          <w:b/>
        </w:rPr>
        <w:t>CARDIOFLUX</w:t>
      </w:r>
      <w:r>
        <w:t xml:space="preserve"> (BIOVITAL)</w:t>
      </w:r>
    </w:p>
    <w:p>
      <w:pPr>
        <w:pStyle w:val="ListBullet"/>
      </w:pPr>
      <w:r>
        <w:t>Formes et Dosages : Comprimé 75 mg / 75 mg (clopidogrel + acide acétylsalicylique) — Boîte de 30</w:t>
      </w:r>
    </w:p>
    <w:p>
      <w:pPr>
        <w:pStyle w:val="ListBullet"/>
      </w:pPr>
      <w:r>
        <w:t>Statut : Non Renouvelable</w:t>
      </w:r>
    </w:p>
    <w:p>
      <w:r/>
      <w:r>
        <w:rPr>
          <w:b/>
        </w:rPr>
        <w:t>Sous-classe et Mécanisme d'action :</w:t>
      </w:r>
      <w:r/>
    </w:p>
    <w:p>
      <w:pPr>
        <w:pStyle w:val="ListBullet"/>
      </w:pPr>
      <w:r>
        <w:t>Sous-classe : Association fixe de deux antiagrégants plaquettaires (clopidogrel, thiénopyridine inhibiteur P2Y12 + acide acétylsalicylique, inhibiteur de la COX-1).</w:t>
      </w:r>
    </w:p>
    <w:p>
      <w:pPr>
        <w:pStyle w:val="ListBullet"/>
      </w:pPr>
      <w:r>
        <w:t>Mécanisme d'action : Les deux composants agissent en synergie sur deux voies distinctes et complémentaires de l'activation plaquettaire :</w:t>
      </w:r>
    </w:p>
    <w:p>
      <w:pPr>
        <w:pStyle w:val="ListBullet"/>
      </w:pPr>
      <w:r/>
      <w:r>
        <w:rPr>
          <w:b/>
        </w:rPr>
        <w:t>Clopidogrel</w:t>
      </w:r>
      <w:r>
        <w:t xml:space="preserve"> (prodrogue, 75 mg) : après métabolisme hépatique CYP2C19-dépendant, le métabolite actif thiol bloque de façon </w:t>
      </w:r>
      <w:r>
        <w:rPr>
          <w:b/>
        </w:rPr>
        <w:t>irréversible</w:t>
      </w:r>
      <w:r>
        <w:t xml:space="preserve"> le récepteur P2Y12 de l'ADP, empêchant l'inhibition de l'adénylate cyclase et maintenant un taux élevé d'AMPc intraplaquettaire. L'effet persiste 7-10 jours (durée de vie plaquettaire).</w:t>
      </w:r>
    </w:p>
    <w:p>
      <w:pPr>
        <w:pStyle w:val="ListBullet"/>
      </w:pPr>
      <w:r/>
      <w:r>
        <w:rPr>
          <w:b/>
        </w:rPr>
        <w:t>Acide acétylsalicylique</w:t>
      </w:r>
      <w:r>
        <w:t xml:space="preserve"> (75 mg) : acétyle de façon </w:t>
      </w:r>
      <w:r>
        <w:rPr>
          <w:b/>
        </w:rPr>
        <w:t>irréversible</w:t>
      </w:r>
      <w:r>
        <w:t xml:space="preserve"> la sérine 530 de la cyclo-oxygénase-1 (COX-1) plaquettaire, bloquant la conversion de l'acide arachidonique en prostaglandine H2, et donc en thromboxane A2 (TXA2). Le TXA2 est un puissant agrégant et vasoconstricteur ; son inhibition réduit l'activation et l'agrégation plaquettaire. La COX-2 est également inhibée (à plus forte dose), mais à 75-100 mg, l'aspirine est essentiellement anti-plaquettaire (sélectivité COX-1).</w:t>
      </w:r>
    </w:p>
    <w:p>
      <w:pPr>
        <w:pStyle w:val="ListBullet"/>
      </w:pPr>
      <w:r/>
      <w:r>
        <w:rPr>
          <w:b/>
        </w:rPr>
        <w:t>Synergie</w:t>
      </w:r>
      <w:r>
        <w:t xml:space="preserve"> : le blocage combiné des voies P2Y12 (ADP) et COX-1/TXA2 (métabolite de l'acide arachidonique) potentialise l'inhibition plaquettaire, avec un effet anti-thrombotique supérieur à chaque molécule seule, mais aussi un risque hémorragique majoré.</w:t>
      </w:r>
    </w:p>
    <w:p>
      <w:r/>
      <w:r>
        <w:rPr>
          <w:b/>
        </w:rPr>
        <w:t>Profil Pharmacologique :</w:t>
      </w:r>
      <w:r/>
    </w:p>
    <w:p>
      <w:pPr>
        <w:pStyle w:val="ListBullet"/>
      </w:pPr>
      <w:r>
        <w:t>Indications : Prévention des événements athéro-thrombotiques chez les patients adultes porteurs d'un SCA (NSTE-ACS et STEMI), après la phase aiguë (dose de charge passée) et la stabilisation, en entretien prolongé (12 mois en général). Également chez les patients post-ICP avec stent (actif ou nu), en entretien après DAPT initiale. La forme combinée 75/75 mg ne doit pas être utilisée en phase aiguë (pas de dose de charge possible — nécessité de clopidogrel 300-600 mg et aspirine 160-300 mg en charge initiale). Elle est destinée à l'entretien prolongé après stabilisation. Chez les patients porteurs de FA avec indication d'anticoagulation orale, l'association fixe n'est pas indiquée (préférer anticoagulant oral seul + aspirine ou clopidogrel selon protocole ESC 2018).</w:t>
      </w:r>
    </w:p>
    <w:p>
      <w:pPr>
        <w:pStyle w:val="ListBullet"/>
      </w:pPr>
      <w:r>
        <w:t>Contre-indications : (1) Hypersensibilité au clopidogrel, à l'aspirine, ou à l'un des excipients ; (2) Hémorragie active pathologique (ulcère digestif, hémorragie intracrânienne, hémoptysie) ; (3) Antécédent d'asthme induit par l'aspirine ou les AINS ; (4) Insuffisance hépatique sévère ; (5) Insuffisance rénale sévère ; (6) Ulcère gastro-duodénal évolutif ; (7) Grossesse (3e trimestre) ; (8) Allaitement ; (9) Patients sous anticoagulants oraux (AVK/AOD) au long cours ; (10) Patients de moins de 18 ans. Précautions : patients à risque hémorragique (PRECISE-DAPT ≥ 25), ATC ulcère digestif, age &gt; 75 ans, chirurgie programmée (arrêt 5 jours avant chirurgie non cardiaque), association aux AINS ou corticoïdes.</w:t>
      </w:r>
    </w:p>
    <w:p>
      <w:pPr>
        <w:pStyle w:val="ListBullet"/>
      </w:pPr>
      <w:r>
        <w:t xml:space="preserve">Effets Indésirables : (1) </w:t>
      </w:r>
      <w:r>
        <w:rPr>
          <w:b/>
        </w:rPr>
        <w:t>Hémorragies</w:t>
      </w:r>
      <w:r>
        <w:t xml:space="preserve"> — incidence supérieure à chaque molécule seule (DAPT vs monothérapie : majoration ≈ 50-100 % du risque hémorragique majeur). Localisations : digestif (ulcère, saignement), cutané (ecchymoses, hématomes), cérébral (HIC rare mais grave), site de ponction (radiale préférable), urinaire ; (2) </w:t>
      </w:r>
      <w:r>
        <w:rPr>
          <w:b/>
        </w:rPr>
        <w:t>Troubles digestifs</w:t>
      </w:r>
      <w:r>
        <w:t xml:space="preserve"> — dyspepsie (10-15 %), nausées, douleurs épigastriques, ulcère (5-10 %) — d'où la nécessité d'un IPP systématique ; (3) </w:t>
      </w:r>
      <w:r>
        <w:rPr>
          <w:b/>
        </w:rPr>
        <w:t>Réactions cutanées</w:t>
      </w:r>
      <w:r>
        <w:t xml:space="preserve"> — rash, prurit, urticaire (3-5 %), exceptionnels syndromes de Stevens-Johnson/Lyell ; (4) </w:t>
      </w:r>
      <w:r>
        <w:rPr>
          <w:b/>
        </w:rPr>
        <w:t>Saignements occultes</w:t>
      </w:r>
      <w:r>
        <w:t xml:space="preserve"> — anémie ferriprive sans saignement visible (à dépister par FOGD si suspicion) ; (5) Thrombopénie thrombotique (PTT) — effet de classe rare mais grave sous clopidogrel ; (6) Bourdonnements d'oreilles, vertiges (signe de surdosage en aspirine — rare à 75 mg) ; (7) Exceptionnelles neutropénies (sous clopidogrel, &lt; 0,1 %) ; (8) Réactions d'hypersensibilité (aspirine : urticaire, angio-œdème, anaphylaxie, asthme) ; (9) Syndrome de Reye chez l'enfant (contre-indication de l'aspirine chez &lt; 16 ans en raison du syndrome de Reye — encéphalopathie + insuffisance hépatique aiguë).</w:t>
      </w:r>
    </w:p>
    <w:p>
      <w:r/>
      <w:r>
        <w:rPr>
          <w:b/>
        </w:rPr>
        <w:t>Prévention et Gestion des Effets Indésirables :</w:t>
      </w:r>
      <w:r/>
    </w:p>
    <w:p>
      <w:pPr>
        <w:pStyle w:val="ListBullet"/>
      </w:pPr>
      <w:r>
        <w:t>Mesures Préventives : (1) Évaluation du risque hémorragique avant instauration (scores PRECISE-DAPT, CRUSADE, HAS-BLED) ; (2) Co-prescription systématique d'IPP (pantoprazole 40 mg/j — éviter oméprazole/ésoméprazole à cause de l'interaction CYP2C19 avec le clopidogrel) ; (3) Voie d'abord radiale systématique en ICP ; (4) Recherche d'un syndrome hémorragique occulte (FOGD si ATCD ulcéreux ou symptômes) ; (5) Information du patient : carte de traitement, signalement systématique à tout médecin/dentiste/chirurgien ; (6) Pas de surveillance systématique NFS (sauf suspicion), mais surveillance clinique ; (7) Fenêtre thérapeutique pré-opératoire : arrêt 5 jours avant chirurgie non cardiaque programmée (7 jours pour chirurgie à haut risque ou neurochirurgie) ; (8) Éviter la consommation d'alcool (majoration du risque ulcéreux) ; (9) Éviter les AINS en automédication (ibuprofène, kétoprofène, naproxène) — préférer paracétamol ; (10) Ne pas interrompre brutalement sans avis cardiologique, surtout si stent récent.</w:t>
      </w:r>
    </w:p>
    <w:p>
      <w:pPr>
        <w:pStyle w:val="ListBullet"/>
      </w:pPr>
      <w:r>
        <w:t xml:space="preserve">Conduite à Tenir : (1) </w:t>
      </w:r>
      <w:r>
        <w:rPr>
          <w:b/>
        </w:rPr>
        <w:t>Hémorragie mineure</w:t>
      </w:r>
      <w:r>
        <w:t xml:space="preserve"> (gingivorragie, épistaxis modéré, ecchymose) : ne pas arrêter le traitement en post-ICP précoce (&lt; 1 mois), traiter localement ; (2) </w:t>
      </w:r>
      <w:r>
        <w:rPr>
          <w:b/>
        </w:rPr>
        <w:t>Hémorragie majeure</w:t>
      </w:r>
      <w:r>
        <w:t xml:space="preserve"> (choc hémorragique, HIC, saignement nécessitant transfusion ≥ 2 CGR) : arrêt immédiat du clopidogrel et de l'aspirine, transfusion plaquettaire (1 unité/10 kg), transfusion CGR si nécessaire, traitement étiologique (endoscopie, embolisation, chirurgie). Pas d'antidote spécifique (la desmopressine DDAVP peut être discutée pour l'aspirine) ; (3) </w:t>
      </w:r>
      <w:r>
        <w:rPr>
          <w:b/>
        </w:rPr>
        <w:t>Chirurgie urgente</w:t>
      </w:r>
      <w:r>
        <w:t xml:space="preserve"> : transfusion plaquettaire prophylactique si &lt; 5 jours après dernière prise ; (4) PTT suspecté : arrêt immédiat définitif, échange plasmatique en urgence ; (5) </w:t>
      </w:r>
      <w:r>
        <w:rPr>
          <w:b/>
        </w:rPr>
        <w:t>Réaction d'hypersensibilité à l'aspirine</w:t>
      </w:r>
      <w:r>
        <w:t xml:space="preserve"> (asthme, urticaire) : arrêt de l'association fixe, relais par clopidogrel seul ou autre antiagrégant (prasugrel, ticagrelor) ; (6) </w:t>
      </w:r>
      <w:r>
        <w:rPr>
          <w:b/>
        </w:rPr>
        <w:t>Ulcère digestif</w:t>
      </w:r>
      <w:r>
        <w:t xml:space="preserve"> : arrêt temporaire de l'aspirine, maintien du clopidogrel si stent récent, IPP dose double, éradication Helicobacter pylori si présent, relais par aspirine gastro-résistante après cicatrisation.</w:t>
      </w:r>
    </w:p>
    <w:p>
      <w:r/>
      <w:r>
        <w:rPr>
          <w:b/>
        </w:rPr>
        <w:t>Interactions Importantes :</w:t>
      </w:r>
      <w:r/>
    </w:p>
    <w:p>
      <w:pPr>
        <w:pStyle w:val="ListBullet"/>
      </w:pPr>
      <w:r/>
      <w:r>
        <w:rPr>
          <w:b/>
        </w:rPr>
        <w:t>Association fixe + Oméprazole/Ésoméprazole</w:t>
      </w:r>
      <w:r>
        <w:t xml:space="preserve"> : Inhibition compétitive du CYP2C19, réduction de l'activation du clopidogrel. </w:t>
      </w:r>
      <w:r>
        <w:rPr>
          <w:b/>
        </w:rPr>
        <w:t>Recommandation : préférer pantoprazole</w:t>
      </w:r>
      <w:r>
        <w:t>. L'ésoméprazole est aussi à éviter.</w:t>
      </w:r>
    </w:p>
    <w:p>
      <w:pPr>
        <w:pStyle w:val="ListBullet"/>
      </w:pPr>
      <w:r/>
      <w:r>
        <w:rPr>
          <w:b/>
        </w:rPr>
        <w:t>Association fixe + AINS (ibuprofène, naproxène, kétoprofène)</w:t>
      </w:r>
      <w:r>
        <w:t xml:space="preserve"> : Majoration majeure du risque hémorragique digestif. Préférer paracétamol.</w:t>
      </w:r>
    </w:p>
    <w:p>
      <w:pPr>
        <w:pStyle w:val="ListBullet"/>
      </w:pPr>
      <w:r/>
      <w:r>
        <w:rPr>
          <w:b/>
        </w:rPr>
        <w:t>Association fixe + Anticoagulants oraux (AVK/AOD)</w:t>
      </w:r>
      <w:r>
        <w:t xml:space="preserve"> : Risque hémorragique majeur (triple thérapie), à réserver aux indications formelles brèves (FA post-SCA, ≤ 1 mois selon ESC 2018).</w:t>
      </w:r>
    </w:p>
    <w:p>
      <w:pPr>
        <w:pStyle w:val="ListBullet"/>
      </w:pPr>
      <w:r/>
      <w:r>
        <w:rPr>
          <w:b/>
        </w:rPr>
        <w:t>Association fixe + Autres antiagrégants (ticagrelor, prasugrel, ticlopidine, dipyridamole)</w:t>
      </w:r>
      <w:r>
        <w:t xml:space="preserve"> : Contre-indication. Risque hémorragique majeur.</w:t>
      </w:r>
    </w:p>
    <w:p>
      <w:pPr>
        <w:pStyle w:val="ListBullet"/>
      </w:pPr>
      <w:r/>
      <w:r>
        <w:rPr>
          <w:b/>
        </w:rPr>
        <w:t>Association fixe + Corticoïdes</w:t>
      </w:r>
      <w:r>
        <w:t xml:space="preserve"> : Majoration du risque ulcéreux et hémorragique digestif.</w:t>
      </w:r>
    </w:p>
    <w:p>
      <w:pPr>
        <w:pStyle w:val="ListBullet"/>
      </w:pPr>
      <w:r/>
      <w:r>
        <w:rPr>
          <w:b/>
        </w:rPr>
        <w:t>Association fixe + Inhibiteurs sélectifs de la recapture de la sérotonine (ISRS)</w:t>
      </w:r>
      <w:r>
        <w:t xml:space="preserve"> : Majoration du risque hémorragique (effet antiagrégant propre des ISRS).</w:t>
      </w:r>
    </w:p>
    <w:p>
      <w:pPr>
        <w:pStyle w:val="ListBullet"/>
      </w:pPr>
      <w:r/>
      <w:r>
        <w:rPr>
          <w:b/>
        </w:rPr>
        <w:t>Association fixe + Héparines (HBPM, HNF)</w:t>
      </w:r>
      <w:r>
        <w:t xml:space="preserve"> : Risque hémorragique majoré, surveillance.</w:t>
      </w:r>
    </w:p>
    <w:p>
      <w:pPr>
        <w:pStyle w:val="ListBullet"/>
      </w:pPr>
      <w:r/>
      <w:r>
        <w:rPr>
          <w:b/>
        </w:rPr>
        <w:t>Association fixe + Alcool</w:t>
      </w:r>
      <w:r>
        <w:t xml:space="preserve"> : Majoration du risque ulcéreux et hémorragique.</w:t>
      </w:r>
    </w:p>
    <w:p>
      <w:pPr>
        <w:pStyle w:val="ListBullet"/>
      </w:pPr>
      <w:r/>
      <w:r>
        <w:rPr>
          <w:b/>
        </w:rPr>
        <w:t>Association fixe + Méthotrexate</w:t>
      </w:r>
      <w:r>
        <w:t xml:space="preserve"> : Augmentation de la toxicité du méthotrexate (compétition de la fixation protéique et de l'excrétion tubulaire). Surveillance clinique et biologique.</w:t>
      </w:r>
    </w:p>
    <w:p>
      <w:pPr>
        <w:pStyle w:val="ListBullet"/>
      </w:pPr>
      <w:r/>
      <w:r>
        <w:rPr>
          <w:b/>
        </w:rPr>
        <w:t>Association fixe + Lithium</w:t>
      </w:r>
      <w:r>
        <w:t xml:space="preserve"> : Augmentation de la lithiémie (diminution de l'excrétion rénale). Surveillance lithiémie.</w:t>
      </w:r>
    </w:p>
    <w:p>
      <w:r/>
      <w:r>
        <w:rPr>
          <w:b/>
        </w:rPr>
        <w:t>Grossesse et Allaitement :</w:t>
      </w:r>
      <w:r/>
    </w:p>
    <w:p>
      <w:pPr>
        <w:pStyle w:val="ListBullet"/>
      </w:pPr>
      <w:r>
        <w:t xml:space="preserve">Grossesse : L'aspirine à dose antiagrégante (75-100 mg/j) est considérée comme sûre pendant le 1er et le 2e trimestre par le CRAT (utilisable notamment dans le syndrome des antiphospholipides obstétrical et la prééclampsie). Cependant, le clopidogrel est à éviter par principe (données limitées). L'association fixe clopidogrel + aspirine est donc </w:t>
      </w:r>
      <w:r>
        <w:rPr>
          <w:b/>
        </w:rPr>
        <w:t>à éviter pendant la grossesse</w:t>
      </w:r>
      <w:r>
        <w:t xml:space="preserve"> (CRAT), sauf nécessité absolue en milieu spécialisé (rare). Au 3e trimestre, l'aspirine est contre-indiquée (risque de fermeture prématurée du canal artériel fœtal, hémorragie materno-fœtale). Préférer aspirine seule à dose faible si indiquée. Arrêt 5-7 jours avant accouchement programmé.</w:t>
      </w:r>
    </w:p>
    <w:p>
      <w:pPr>
        <w:pStyle w:val="ListBullet"/>
      </w:pPr>
      <w:r>
        <w:t xml:space="preserve">Allaitement : L'aspirine passe dans le lait maternel (risque de syndrome de Reye chez le nourrisson). Le clopidogrel passe probablement aussi. </w:t>
      </w:r>
      <w:r>
        <w:rPr>
          <w:b/>
        </w:rPr>
        <w:t>Allaitement contre-indiqué</w:t>
      </w:r>
      <w:r>
        <w:t xml:space="preserve"> sous association fixe (CRAT).</w:t>
      </w:r>
    </w:p>
    <w:p>
      <w:pPr>
        <w:pStyle w:val="ListBullet"/>
      </w:pPr>
      <w:r>
        <w:t>Précautions : En cas de découverte de grossesse sous association fixe, ne pas arrêter brutalement si stent récent, mais avis cardiologique urgent pour réévaluation et relais éventuel par aspirine seule.</w:t>
      </w:r>
    </w:p>
    <w:p>
      <w:r/>
      <w:r>
        <w:rPr>
          <w:b/>
        </w:rPr>
        <w:t>Posologie et Mode d'administration (Standard) :</w:t>
      </w:r>
      <w:r/>
    </w:p>
    <w:p>
      <w:pPr>
        <w:pStyle w:val="ListBullet"/>
      </w:pPr>
      <w:r>
        <w:t xml:space="preserve">Adulte : </w:t>
      </w:r>
      <w:r>
        <w:rPr>
          <w:b/>
        </w:rPr>
        <w:t>1 comprimé à 75 mg / 75 mg une fois par jour</w:t>
      </w:r>
      <w:r>
        <w:t xml:space="preserve"> per os, en entretien prolongé après stabilisation post-SCA ou post-ICP. Ne pas utiliser en dose de charge (la forme fixe ne permet pas d'atteindre les doses de charge nécessaires — clopidogrel 300-600 mg + aspirine 160-300 mg). Dose de charge à effectuer avec les molécules séparées (PLAVIX 300 mg + aspirine 160-300 mg).</w:t>
      </w:r>
    </w:p>
    <w:p>
      <w:pPr>
        <w:pStyle w:val="ListBullet"/>
      </w:pPr>
      <w:r>
        <w:t>Sujet âgé &gt; 75 ans : Pas d'adaptation posologique formelle, mais surveillance accrue du risque hémorragique (consideration de la durée de DAPT plus courte, 6 mois).</w:t>
      </w:r>
    </w:p>
    <w:p>
      <w:pPr>
        <w:pStyle w:val="ListBullet"/>
      </w:pPr>
      <w:r>
        <w:t>Insuffisance rénale : Pas d'adaptation posologique, mais surveillance.</w:t>
      </w:r>
    </w:p>
    <w:p>
      <w:pPr>
        <w:pStyle w:val="ListBullet"/>
      </w:pPr>
      <w:r>
        <w:t>Insuffisance hépatique : Contre-indication si sévère.</w:t>
      </w:r>
    </w:p>
    <w:p>
      <w:pPr>
        <w:pStyle w:val="ListBullet"/>
      </w:pPr>
      <w:r>
        <w:t>Enfant : Contre-indication (aspirine contre-indiquée chez &lt; 16 ans — syndrome de Reye).</w:t>
      </w:r>
    </w:p>
    <w:p>
      <w:pPr>
        <w:pStyle w:val="ListBullet"/>
      </w:pPr>
      <w:r>
        <w:t>Durée : DAPT standard 12 mois après SCA (6 mois si risque hémorragique élevé PRECISE-DAPT ≥ 25 ; 30 mois si thrombose de stent récidivante). Après 12 mois, relais par monothérapie (aspirine seule le plus souvent).</w:t>
      </w:r>
    </w:p>
    <w:p>
      <w:pPr>
        <w:pStyle w:val="ListBullet"/>
      </w:pPr>
      <w:r>
        <w:t>Moment de prise : Une prise par jour, à heure fixe, idéalement le matin au cours du repas pour améliorer la tolérance digestive.</w:t>
      </w:r>
    </w:p>
    <w:p>
      <w:r/>
      <w:r>
        <w:rPr>
          <w:b/>
        </w:rPr>
        <w:t>Arbitrage et Bénéfices des Formes Galéniques :</w:t>
      </w:r>
      <w:r/>
    </w:p>
    <w:p>
      <w:pPr>
        <w:pStyle w:val="ListBullet"/>
      </w:pPr>
      <w:r>
        <w:t>Forme unique : comprimé 75 mg/75 mg, non sécable.</w:t>
      </w:r>
    </w:p>
    <w:p>
      <w:pPr>
        <w:pStyle w:val="ListBullet"/>
      </w:pPr>
      <w:r>
        <w:t>Avantage principal : simplification de l'observance (1 cp/j au lieu de 2 cp séparés).</w:t>
      </w:r>
    </w:p>
    <w:p>
      <w:pPr>
        <w:pStyle w:val="ListBullet"/>
      </w:pPr>
      <w:r>
        <w:t>Inconvénients : (1) Impossibilité d'ajuster la dose de chaque composant séparément (notamment l'aspirine qui peut nécessiter une forme gastro-résistante ou une dose différente) ; (2) En cas d'intolérance ou d'effet indésirable, impossibilité d'isoler la molécule responsable ; (3) Dosage aspirine 75 mg peut être insuffisant chez certains patients (cible 75-100 mg) ; (4) Statut Non Renouvelable en Algérie — non disponible. En pratique, les patients algériens sont traités par clopidogrel 75 mg + aspirine 75 ou 100 mg (souvent gastro-résistante) en comprimés séparés.</w:t>
      </w:r>
    </w:p>
    <w:p>
      <w:pPr>
        <w:pStyle w:val="ListBullet"/>
      </w:pPr>
      <w:r>
        <w:t>Pas de forme IV. Pas de forme orodispersible. Comprimé à avaler entier avec un verre d'eau.</w:t>
      </w:r>
    </w:p>
    <w:p>
      <w:pPr>
        <w:pStyle w:val="ListBullet"/>
      </w:pPr>
      <w:r>
        <w:t>Conservation à température &lt; 25 °C, à l'abri de l'humidité.</w:t>
      </w:r>
    </w:p>
    <w:p>
      <w:r/>
      <w:r>
        <w:rPr>
          <w:b/>
        </w:rPr>
        <w:t>Instructions et Conseils au Patient :</w:t>
      </w:r>
      <w:r/>
    </w:p>
    <w:p>
      <w:pPr>
        <w:pStyle w:val="ListBullet"/>
      </w:pPr>
      <w:r>
        <w:t>Communication au comptoir : « Ce médicament combine deux antiagrégants (clopidogrel + aspirine) pour prévenir la formation de caillots après un infarctus ou la pose d'un stent. Vous devez le prendre tous les jours à heure fixe, sans jamais l'arrêter sans avis médical. Le risque de saignement est augmenté, signalez tout saignement anormal. Prévenez systématiquement vos soignants. Évitez l'ibuprofène et les autres AINS en automédication. »</w:t>
      </w:r>
    </w:p>
    <w:p>
      <w:pPr>
        <w:pStyle w:val="ListBullet"/>
      </w:pPr>
      <w:r>
        <w:t>Mode d'utilisation pratique : (1) Prise unique quotidienne, à heure fixe, le matin au cours du repas ; (2) En cas d'oubli de moins de 12 h, prendre dès que possible ; au-delà, sauter la prise ; (3) Ne jamais arrêter sans avis cardiologique, surtout si stent récent ; (4) Signaler tout saignement anormal (ecchymoses, épistaxis, méléna, hématurie, céphalées brutales) ; (5) Prévenir dentiste et chirurgien (arrêt 5 jours avant chirurgie) ; (6) Éviter les AINS en automédication — préférer paracétamol ; (7) Éviter l'alcool ; (8) Co-prescription systématique d'un IPP (pantoprazole) pour prévention digestive ; (9) Port d'une carte de traitement.</w:t>
      </w:r>
    </w:p>
    <w:p>
      <w:r/>
      <w:r>
        <w:rPr>
          <w:b/>
        </w:rPr>
        <w:t>Notes, Règles d'Or &amp; Pièges au Comptoir :</w:t>
      </w:r>
      <w:r/>
    </w:p>
    <w:p>
      <w:pPr>
        <w:pStyle w:val="ListBullet"/>
      </w:pPr>
      <w:r>
        <w:t xml:space="preserve">Piège classique : </w:t>
      </w:r>
      <w:r>
        <w:rPr>
          <w:b/>
        </w:rPr>
        <w:t>Patient sous CARDIOFLUX (ou clopidogrel + aspirine séparés) à qui un médecin généraliste prescrit de l'oméprazole</w:t>
      </w:r>
      <w:r>
        <w:t xml:space="preserve"> : interaction avec le clopidogrel. Substituer par pantoprazole 40 mg.</w:t>
      </w:r>
    </w:p>
    <w:p>
      <w:pPr>
        <w:pStyle w:val="ListBullet"/>
      </w:pPr>
      <w:r>
        <w:t xml:space="preserve">Piège classique : </w:t>
      </w:r>
      <w:r>
        <w:rPr>
          <w:b/>
        </w:rPr>
        <w:t>Patient sous DAPT qui achète de l'ibuprofène en automédication</w:t>
      </w:r>
      <w:r>
        <w:t xml:space="preserve"> : risque d'hémorragie digestive majoré. Refuser la délivrance, proposer paracétamol.</w:t>
      </w:r>
    </w:p>
    <w:p>
      <w:pPr>
        <w:pStyle w:val="ListBullet"/>
      </w:pPr>
      <w:r>
        <w:t xml:space="preserve">Piège classique : </w:t>
      </w:r>
      <w:r>
        <w:rPr>
          <w:b/>
        </w:rPr>
        <w:t>Patient sous DAPT avec stent récent (&lt; 12 mois) qui veut arrêter son traitement</w:t>
      </w:r>
      <w:r>
        <w:t xml:space="preserve"> : risque majeur de thrombose de stent. Ne jamais arrêter sans avis cardiologique.</w:t>
      </w:r>
    </w:p>
    <w:p>
      <w:pPr>
        <w:pStyle w:val="ListBullet"/>
      </w:pPr>
      <w:r>
        <w:t xml:space="preserve">Piège classique : </w:t>
      </w:r>
      <w:r>
        <w:rPr>
          <w:b/>
        </w:rPr>
        <w:t>Patient de moins de 16 ans sous aspirine</w:t>
      </w:r>
      <w:r>
        <w:t xml:space="preserve"> : risque de syndrome de Reye. Contre-indication absolue.</w:t>
      </w:r>
    </w:p>
    <w:p>
      <w:pPr>
        <w:pStyle w:val="ListBullet"/>
      </w:pPr>
      <w:r>
        <w:t>Règle de prise : Une prise par jour à heure fixe, le matin au cours du repas.</w:t>
      </w:r>
    </w:p>
    <w:p>
      <w:pPr>
        <w:pStyle w:val="ListBullet"/>
      </w:pPr>
      <w:r>
        <w:t>Préparation et Conservation : Comprimés à température &lt; 25 °C, à l'abri de l'humidité.</w:t>
      </w:r>
    </w:p>
    <w:p>
      <w:pPr>
        <w:pStyle w:val="ListBullet"/>
      </w:pPr>
      <w:r>
        <w:t>Piège du surdosage / Substitution : Surdosage accidentel → surveillance hospitalière 24-48 h, NFS, hémostase. Transfusion plaquettaire si saignement. Ne pas substituer association fixe ↔ molécules séparées sans avis cardiologique.</w:t>
      </w:r>
    </w:p>
    <w:p>
      <w:pPr>
        <w:pStyle w:val="ListBullet"/>
      </w:pPr>
      <w:r>
        <w:t xml:space="preserve">Règle d'or : </w:t>
      </w:r>
      <w:r>
        <w:rPr>
          <w:b/>
        </w:rPr>
        <w:t>En pratique clinique algérienne, l'association fixe CARDIOFLUX n'étant plus disponible (Non Renouvelable), les patients sont traités par clopidogrel 75 mg + aspirine 75 ou 100 mg en comprimés séparés.</w:t>
      </w:r>
      <w:r>
        <w:t xml:space="preserve"> Toujours vérifier la bonne association des deux prescriptions lors de la délivrance, et l'observance des deux molécules (un patient qui oublie l'aspirine mais prend le clopidogrel n'est pas correctement traité).</w:t>
      </w:r>
    </w:p>
    <w:p>
      <w:pPr>
        <w:pStyle w:val="ListBullet"/>
      </w:pPr>
      <w:r>
        <w:t>Pharmacovigilance : Tout effet indésirable grave (hémorragie majeure, PTT, syndrome de Stevens-Johnson, syndrome de Reye chez l'enfant) doit être déclaré.</w:t>
      </w:r>
    </w:p>
    <w:p>
      <w:pPr>
        <w:pStyle w:val="Heading2"/>
      </w:pPr>
      <w:r>
        <w:t>SOUS-CLASSE 6 : Thrombolytiques</w:t>
      </w:r>
    </w:p>
    <w:p>
      <w:pPr>
        <w:pStyle w:val="Heading3"/>
      </w:pPr>
      <w:r>
        <w:t>Introduction de la sous-classe</w:t>
      </w:r>
    </w:p>
    <w:p>
      <w:r>
        <w:t xml:space="preserve">Les thrombolytiques (ou activateurs du plasminogène) sont des enzymes capables de convertir le plasminogène circulant — zymogène inactif synthétisé par le foie — en </w:t>
      </w:r>
      <w:r>
        <w:rPr>
          <w:b/>
        </w:rPr>
        <w:t>plasmine</w:t>
      </w:r>
      <w:r>
        <w:t xml:space="preserve">, enzyme active responsable de la dégradation de la fibrine en produits de dégradation (D-dimères, EPC, fragments D et E). La plasmine possède une affinité préférentielle pour la fibrine polymérisée (caillot), mais elle peut aussi dégrader le fibrinogène circulant, le facteur V, le facteur VIII, et induire un état d'hypocoagulabilité systémique (fibrinolyse systémique). L'objectif thérapeutique est de </w:t>
      </w:r>
      <w:r>
        <w:rPr>
          <w:b/>
        </w:rPr>
        <w:t>restaurer la perméabilité vasculaire</w:t>
      </w:r>
      <w:r>
        <w:t xml:space="preserve"> en lyssant le thrombus occlusif, le plus rapidement possible (« time is muscle » pour l'IDM, « time is brain » pour l'AVC ischémique). Les thrombolytiques sont indiqués en urgence absolue dans trois situations principales :</w:t>
      </w:r>
    </w:p>
    <w:p>
      <w:pPr>
        <w:pStyle w:val="ListNumber"/>
      </w:pPr>
      <w:r/>
      <w:r>
        <w:rPr>
          <w:b/>
        </w:rPr>
        <w:t>IDM en phase aiguë</w:t>
      </w:r>
      <w:r>
        <w:t xml:space="preserve"> (STEMI, &lt; 12 h après le début des symptômes) lorsque l'ICP primaire n'est pas disponible dans les délais recommandés (door-to-balloon ≤ 90 min). La thrombolyse pharmacologique restaure la perméabilité de l'artère coupable dans 50-80 % des cas (selon le thrombolytique), avec un bénéfice démontré sur la mortalité (réduction de 20-25 % à 35 jours, études ISIS-2, GISSI).</w:t>
      </w:r>
    </w:p>
    <w:p>
      <w:pPr>
        <w:pStyle w:val="ListNumber"/>
      </w:pPr>
      <w:r/>
      <w:r>
        <w:rPr>
          <w:b/>
        </w:rPr>
        <w:t>AVC ischémique aigu</w:t>
      </w:r>
      <w:r>
        <w:t xml:space="preserve"> (&lt; 4 h 30 après le début des symptômes, avec IRM/scanographie excluant l'hémorragie cérébrale) — indication exclusivement réservée à l'altéplase (rt-PA) selon les recommandations ESO/AHA. Réduction de 30 % du handicap à 3 mois (NINDS, ECASS, SITS-MOST). La streptokinase et la ténectéplase ne sont pas indiquées dans l'AVC.</w:t>
      </w:r>
    </w:p>
    <w:p>
      <w:pPr>
        <w:pStyle w:val="ListNumber"/>
      </w:pPr>
      <w:r/>
      <w:r>
        <w:rPr>
          <w:b/>
        </w:rPr>
        <w:t>Embolie pulmonaire grave</w:t>
      </w:r>
      <w:r>
        <w:t xml:space="preserve"> (avec instabilité hémodynamique, choc, ou défaillance right ventricular) — altéplase 100 mg en 2 h (ou 50 mg chez les patients &lt; 65 kg), streptokinase possible.</w:t>
      </w:r>
    </w:p>
    <w:p>
      <w:r>
        <w:t xml:space="preserve">Trois molécules sont disponibles en Algérie : la </w:t>
      </w:r>
      <w:r>
        <w:rPr>
          <w:b/>
        </w:rPr>
        <w:t>streptokinase</w:t>
      </w:r>
      <w:r>
        <w:t xml:space="preserve"> (HEBERKINASE®, HEBER BIOTEC, recombinante, non renouvelable), l'</w:t>
      </w:r>
      <w:r>
        <w:rPr>
          <w:b/>
        </w:rPr>
        <w:t>altéplase</w:t>
      </w:r>
      <w:r>
        <w:t xml:space="preserve"> (ACTILYSE® Boehringer Ingelheim, non renouvelable ; REVELISE® Generium, actif), et la </w:t>
      </w:r>
      <w:r>
        <w:rPr>
          <w:b/>
        </w:rPr>
        <w:t>ténectéplase</w:t>
      </w:r>
      <w:r>
        <w:t xml:space="preserve"> (ELAXIM®, GenNova, actif). Toutes sont administrées par voie IV en urgence, en milieu spécialisé (USIC, service d'urgences, neurovasculaire).</w:t>
      </w:r>
    </w:p>
    <w:p>
      <w:r/>
      <w:r>
        <w:rPr>
          <w:b/>
        </w:rPr>
        <w:t>Physiologie de la fibrinolyse :</w:t>
      </w:r>
      <w:r>
        <w:t xml:space="preserve"> le plasminogène est synthétisé par le foie, circule à 2 µmol/L, et se lie à la fibrine via des sites lysine. L'activateur tissulaire du plasminogène (t-PA), synthétisé par l'endothélium vasculaire, est sécrété en réponse à divers stimuli (venous occlusion, exercise, bradykinine). Le t-PA clive l'Arg561-Val562 du plasminogène en plasmine — mais </w:t>
      </w:r>
      <w:r>
        <w:rPr>
          <w:b/>
        </w:rPr>
        <w:t>uniquement lorsque le plasminogène est lié à la fibrine</w:t>
      </w:r>
      <w:r>
        <w:t xml:space="preserve"> (spécificité fibrine-dépendante), ce qui évite la fibrinolyse systémique. La plasmine dégrade la fibrine en D-dimères. L'inhibiteur de l'activateur du plasminogène de type 1 (PAI-1) régule négativement le t-PA. L'α2-antiplasmine régule négativement la plasmine circulante. Les thrombolytiques thérapeutiques court-circuitent ou potentialisent cette cascade. La streptokinase, d'origine bactérienne, forme un complexe avec le plasminogène qui active le plasminogène en plasmine de façon </w:t>
      </w:r>
      <w:r>
        <w:rPr>
          <w:b/>
        </w:rPr>
        <w:t>non spécifique</w:t>
      </w:r>
      <w:r>
        <w:t xml:space="preserve"> (indépendante de la fibrine), d'où un risque de fibrinolyse systémique plus important. L'altéplase (rt-PA recombinant) est </w:t>
      </w:r>
      <w:r>
        <w:rPr>
          <w:b/>
        </w:rPr>
        <w:t>fibrine-dépendante</w:t>
      </w:r>
      <w:r>
        <w:t>, plus sélective. La ténectéplase est une variante mutante du rt-PA (mutations sur 3 acides aminés) qui augmente l'affinité pour la fibrine et la demi-vie, permettant une administration en bolus unique.</w:t>
      </w:r>
    </w:p>
    <w:p>
      <w:pPr>
        <w:pStyle w:val="Heading3"/>
      </w:pPr>
      <w:r>
        <w:t>6.1. DCI : Streptokinase (Seule)</w:t>
      </w:r>
    </w:p>
    <w:p>
      <w:r/>
      <w:r>
        <w:rPr>
          <w:b/>
        </w:rPr>
        <w:t>Liste des Catégories :</w:t>
      </w:r>
      <w:r>
        <w:t xml:space="preserve"> Thrombolytiques.</w:t>
      </w:r>
    </w:p>
    <w:p>
      <w:r>
        <w:t xml:space="preserve">La streptokinase est le plus ancien des thrombolytiques, isolée à partir de cultures de streptocoques β-hémolytiques du groupe C. Elle a été utilisée pour la première fois dans l'IDM dans les années 1950 (études Fletcher, 1958 ; GISSI-1, 1986 ; ISIS-2, 1988), ouvrant l'ère de la reperfusion pharmacologique. Son mécanisme est indirect : elle forme un complexe équimolaire avec le plasminogène, qui subit alors un changement conformationnel exposant le site actif — ce complexe clive alors le plasminogène en plasmine, </w:t>
      </w:r>
      <w:r>
        <w:rPr>
          <w:b/>
        </w:rPr>
        <w:t>de manière non spécifique</w:t>
      </w:r>
      <w:r>
        <w:t xml:space="preserve"> (indépendamment de la présence de fibrine), ce qui explique le risque de fibrinolyse systémique (dégradation du fibrinogène, facteurs V et VIII). Elle est par ailleurs </w:t>
      </w:r>
      <w:r>
        <w:rPr>
          <w:b/>
        </w:rPr>
        <w:t>antigénique</w:t>
      </w:r>
      <w:r>
        <w:t xml:space="preserve"> : anticorps anti-streptokinase préexistants (post-infection streptococcique) et induits après administration, contre-indiquant toute ré-administration dans les 6 mois (ou à vie selon certains auteurs), et pouvant provoquer des réactions allergiques (fièvre, rash, anaphylaxie). En Algérie, elle est disponible sous la marque HEBERKINASE® (HEBER BIOTEC, streptokinase recombinante, 750 000 UI, Non Renouvelable), principalement utilisée historiquement dans l'IDM avant l'arrivée de l'altéplase.</w:t>
      </w:r>
    </w:p>
    <w:p>
      <w:r/>
      <w:r>
        <w:rPr>
          <w:b/>
        </w:rPr>
        <w:t>Médicaments disponibles en Algérie (Marques, Laboratoires, Formes et Dosages) :</w:t>
      </w:r>
      <w:r/>
    </w:p>
    <w:p>
      <w:pPr>
        <w:pStyle w:val="ListBullet"/>
      </w:pPr>
      <w:r/>
      <w:r>
        <w:rPr>
          <w:b/>
        </w:rPr>
        <w:t>HEBERKINASE</w:t>
      </w:r>
      <w:r>
        <w:t xml:space="preserve"> (HEBER BIOTEC)</w:t>
      </w:r>
    </w:p>
    <w:p>
      <w:pPr>
        <w:pStyle w:val="ListBullet"/>
      </w:pPr>
      <w:r>
        <w:t>Formes et Dosages : Lyophilisat pour solution injectable 750 000 UI — Boîte de 30 flacons</w:t>
      </w:r>
    </w:p>
    <w:p>
      <w:pPr>
        <w:pStyle w:val="ListBullet"/>
      </w:pPr>
      <w:r>
        <w:t>Statut : Non Renouvelable (streptokinase recombinante)</w:t>
      </w:r>
    </w:p>
    <w:p>
      <w:r/>
      <w:r>
        <w:rPr>
          <w:b/>
        </w:rPr>
        <w:t>Sous-classe et Mécanisme d'action :</w:t>
      </w:r>
      <w:r/>
    </w:p>
    <w:p>
      <w:pPr>
        <w:pStyle w:val="ListBullet"/>
      </w:pPr>
      <w:r>
        <w:t>Sous-classe : Thrombolytique d'origine bactérienne (streptocoque groupe C), activateur indirect du plasminogène, antigénique.</w:t>
      </w:r>
    </w:p>
    <w:p>
      <w:pPr>
        <w:pStyle w:val="ListBullet"/>
      </w:pPr>
      <w:r>
        <w:t xml:space="preserve">Mécanisme d'action : La streptokinase est une protéine exogène d'origine streptococcique qui n'a pas d'activité enzymatique propre. Elle forme un complexe </w:t>
      </w:r>
      <w:r>
        <w:rPr>
          <w:b/>
        </w:rPr>
        <w:t>équilimolaire</w:t>
      </w:r>
      <w:r>
        <w:t xml:space="preserve"> avec le plasminogène circulant (1:1), induisant un changement conformationnel qui expose le site actif du plasminogène (sans clivage protéolytique). Ce complexe streptokinase-plasminogène activé fonctionne alors comme un activateur du plasminogène : il clive la liaison Arg561-Val562 d'autres molécules de plasminogène, les transformant en plasmine. La plasmine dégrade la fibrine polymérisée (caillot) en produits de dégradation (D-dimères, fragments D et E). </w:t>
      </w:r>
      <w:r>
        <w:rPr>
          <w:b/>
        </w:rPr>
        <w:t>Spécificité faible</w:t>
      </w:r>
      <w:r>
        <w:t xml:space="preserve"> : la streptokinase active le plasminogène </w:t>
      </w:r>
      <w:r>
        <w:rPr>
          <w:b/>
        </w:rPr>
        <w:t>indépendamment de la fibrine</w:t>
      </w:r>
      <w:r>
        <w:t xml:space="preserve">, ce qui explique : (1) la dégradation du fibrinogène circulant (hypofibrinogénémie), (2) la dégradation des facteurs V et VIII (état d'hypocoagulabilité systémique), (3) le risque hémorragique majoré en dehors du site du caillot. La streptokinase est </w:t>
      </w:r>
      <w:r>
        <w:rPr>
          <w:b/>
        </w:rPr>
        <w:t>antigénique</w:t>
      </w:r>
      <w:r>
        <w:t xml:space="preserve"> (protéine étrangère) : les patients ayant des anticorps anti-streptokinase préexistants (suite à une infection streptococcique) peuvent présenter une réaction allergique (fièvre, rash, anaphylaxie) ou une neutralisation partielle de l'effet (efficacité diminuée). Après administration, une réponse anticorps apparaît en 5 à 7 jours, persistant ≥ 6 mois, contre-indiquant la ré-administration (risque de réaction allergique et d'inefficacité). La demi-vie d'élimination est courte (≈ 20 min), nécessitant une perfusion prolongée (30-60 min).</w:t>
      </w:r>
    </w:p>
    <w:p>
      <w:r/>
      <w:r>
        <w:rPr>
          <w:b/>
        </w:rPr>
        <w:t>Profil Pharmacologique :</w:t>
      </w:r>
      <w:r/>
    </w:p>
    <w:p>
      <w:pPr>
        <w:pStyle w:val="ListBullet"/>
      </w:pPr>
      <w:r>
        <w:t xml:space="preserve">Indications : (1) </w:t>
      </w:r>
      <w:r>
        <w:rPr>
          <w:b/>
        </w:rPr>
        <w:t>IDM en phase aiguë</w:t>
      </w:r>
      <w:r>
        <w:t xml:space="preserve"> (STEMI, &lt; 12 h après le début des symptômes) en cas d'indisponibilité d'ICP primaire dans les délais recommandés (door-to-balloon ≤ 90 min) ; la streptokinase a été largement utilisée historiquement (études GISSI-1, ISIS-2), avec une efficacité établie (réduction de 25 % de la mortalité à 35 jours). Aujourd'hui, elle est supplantée par l'altéplase et la ténectéplase (ASSENT-2, GUSTO-1) en raison de la moindre mortalité des activateurs fibrine-spécifiques ; (2) </w:t>
      </w:r>
      <w:r>
        <w:rPr>
          <w:b/>
        </w:rPr>
        <w:t>Embolie pulmonaire grave</w:t>
      </w:r>
      <w:r>
        <w:t xml:space="preserve"> (avec instabilité hémodynamique) — posologie historique 250 000 UI en charge puis 100 000 UI/h pendant 24 h ; (3) </w:t>
      </w:r>
      <w:r>
        <w:rPr>
          <w:b/>
        </w:rPr>
        <w:t>Thrombose veineuse profonde étendue</w:t>
      </w:r>
      <w:r>
        <w:t xml:space="preserve"> (rare, supplantée par les HBPM/AOD) ; (4) </w:t>
      </w:r>
      <w:r>
        <w:rPr>
          <w:b/>
        </w:rPr>
        <w:t>Embolie artérielle périphérique aiguë</w:t>
      </w:r>
      <w:r>
        <w:t xml:space="preserve"> (en complément de la chirurgie). L'AVC ischémique n'est PAS une indication (la streptokinase n'a pas d'AMM dans l'AVC — études MAST-E, MAST-I : surmortalité).</w:t>
      </w:r>
    </w:p>
    <w:p>
      <w:pPr>
        <w:pStyle w:val="ListBullet"/>
      </w:pPr>
      <w:r>
        <w:t>Contre-indications : (1) Hémorragie active ; (2) Antécédent d'hémorragie intracrânienne ; (3) AVC ischémique &lt; 3 mois ; (4) Tumeur cérébrale, malformation artério-veineuse, anévrisme ; (5) Chirurgie majeure &lt; 3 semaines ; (6) Traumatisme majeur &lt; 3 semaines ; (7) Hypertension artérielle sévère non contrôlée (PAS &gt; 180 mmHg ou PAD &gt; 110 mmHg) ; (8) Diathèse hémorragique connue ; (9) Endocardite infectieuse ; (10) Péricardite ; (11) Anévrysme aortique ; (12) Allaitement ; (13) Antécédent d'administration de streptokinase dans les 6 mois (anticorps anti-streptokinase) ; (14) Hypersensibilité à la streptokinase. Précautions : patients âgés &gt; 75 ans (risque hémorragique majoré), insuffisance hépatique sévère, insuffisance rénale sévère, grossesse (selon bénéfice/risque).</w:t>
      </w:r>
    </w:p>
    <w:p>
      <w:pPr>
        <w:pStyle w:val="ListBullet"/>
      </w:pPr>
      <w:r>
        <w:t xml:space="preserve">Effets Indésirables : (1) </w:t>
      </w:r>
      <w:r>
        <w:rPr>
          <w:b/>
        </w:rPr>
        <w:t>Hémorragies</w:t>
      </w:r>
      <w:r>
        <w:t xml:space="preserve"> — risque majeur, notamment hémorragie intracrânienne (1-2 % dans l'IDM, 5-10 % en cas de thrombolyse &gt; 6 h), saignement au site de ponction, hémorragie digestive, hématurie ; (2) </w:t>
      </w:r>
      <w:r>
        <w:rPr>
          <w:b/>
        </w:rPr>
        <w:t>Réactions allergiques</w:t>
      </w:r>
      <w:r>
        <w:t xml:space="preserve"> — fièvre (15-30 %), rash (5-10 %), frissons, urticaire, rarement anaphylaxie (&lt; 0,5 %) ; (3) </w:t>
      </w:r>
      <w:r>
        <w:rPr>
          <w:b/>
        </w:rPr>
        <w:t>Hypotension</w:t>
      </w:r>
      <w:r>
        <w:t xml:space="preserve"> — fréquente (10-20 %), souvent modérée et transitoire, liée à la vasodilatation et à la déplétion de fibrinogène ; (4) </w:t>
      </w:r>
      <w:r>
        <w:rPr>
          <w:b/>
        </w:rPr>
        <w:t>Hypofibrinogénémie</w:t>
      </w:r>
      <w:r>
        <w:t xml:space="preserve"> — baisse du fibrinogène circulant (fibrinolyse systémique), allongement du TCA et du TP ; (5) Thrombopénie transitoire ; (6) Réactions de type sérique (rare) ; (7) Bradycardie, hypotension réactionnelle (syndrome de reperfusion) ; (8) Œdème pulmonaire en cas d'IDM étendu.</w:t>
      </w:r>
    </w:p>
    <w:p>
      <w:r/>
      <w:r>
        <w:rPr>
          <w:b/>
        </w:rPr>
        <w:t>Prévention et Gestion des Effets Indésirables :</w:t>
      </w:r>
      <w:r/>
    </w:p>
    <w:p>
      <w:pPr>
        <w:pStyle w:val="ListBullet"/>
      </w:pPr>
      <w:r>
        <w:t xml:space="preserve">Mesures Préventives : (1) </w:t>
      </w:r>
      <w:r>
        <w:rPr>
          <w:b/>
        </w:rPr>
        <w:t>Sélection stricte des patients</w:t>
      </w:r>
      <w:r>
        <w:t xml:space="preserve"> selon les CI (interrogatoire minutieux, examen clinique, ECG, scanner cérébral en cas d'AVC) ; (2) </w:t>
      </w:r>
      <w:r>
        <w:rPr>
          <w:b/>
        </w:rPr>
        <w:t>Vérification de l'absence d'administration antérieure de streptokinase</w:t>
      </w:r>
      <w:r>
        <w:t xml:space="preserve"> (interrogatoire +++. Si doute, utiliser altéplase) ; (3) Contrôle de la PA avant perfusion (≤ 180/110 mmHg) ; (4) Voie veineuse périphérique unique, éviter ponctions artérielles et intramusculaires, compression prolongée des sites de ponction ; (5) Groupage, RAI, NFS, plaquettes, bilan d'hémostase (TP, TCA, fibrinogène) avant perfusion ; (6) Surveillance continue ECG, PA, SpO2 pendant et 24 h après perfusion ; (7) Disponibilité de protocoles de prise en charge de l'hémorragie (transfusion CGR, plaquettes, PFC, cryoprécipité, antifibrinolytique acide tranexamique) ; (8) Prémédication par corticothérapie (hydrocortisone 100 mg IV) et antihistaminique en cas d'antécédents allergiques ; (9) Éviter les gestes invasifs pendant 24 h après thrombolyse (ponction lombaire, cathéter, biopsie).</w:t>
      </w:r>
    </w:p>
    <w:p>
      <w:pPr>
        <w:pStyle w:val="ListBullet"/>
      </w:pPr>
      <w:r>
        <w:t xml:space="preserve">Conduite à Tenir : (1) </w:t>
      </w:r>
      <w:r>
        <w:rPr>
          <w:b/>
        </w:rPr>
        <w:t>Hémorragie majeure</w:t>
      </w:r>
      <w:r>
        <w:t xml:space="preserve"> : arrêt immédiat de la perfusion, compression du site de saignement, transfusion CGR + plaquettes + PFC (en fonction du bilan), cryoprécipité (ou fibrinogène) si hypofibrinogénémie &lt; 1 g/L, </w:t>
      </w:r>
      <w:r>
        <w:rPr>
          <w:b/>
        </w:rPr>
        <w:t>acide tranexamique 1 g IV</w:t>
      </w:r>
      <w:r>
        <w:t xml:space="preserve"> (antifibrinolytique), avis spécialisé (neurochirurgie en cas de suspicion d'HIC, endoscopie digestive) ; (2) </w:t>
      </w:r>
      <w:r>
        <w:rPr>
          <w:b/>
        </w:rPr>
        <w:t>HIC suspectée</w:t>
      </w:r>
      <w:r>
        <w:t xml:space="preserve"> : arrêt immédiat, scanner cérébral en urgence, neurochirurgie ; (3) </w:t>
      </w:r>
      <w:r>
        <w:rPr>
          <w:b/>
        </w:rPr>
        <w:t>Réaction allergique modérée</w:t>
      </w:r>
      <w:r>
        <w:t xml:space="preserve"> (fièvre, rash) : antihistaminique + paracétamol, poursuivre la perfusion sous surveillance ; (4) </w:t>
      </w:r>
      <w:r>
        <w:rPr>
          <w:b/>
        </w:rPr>
        <w:t>Anaphylaxie</w:t>
      </w:r>
      <w:r>
        <w:t xml:space="preserve"> : arrêt immédiat, adrénaline IV/IM, antihistaminique, corticoïde, remplissage, oxygène ; (5) </w:t>
      </w:r>
      <w:r>
        <w:rPr>
          <w:b/>
        </w:rPr>
        <w:t>Hypotension</w:t>
      </w:r>
      <w:r>
        <w:t xml:space="preserve"> : ralentir la perfusion, remplissage, vasopresseurs si sévère ; (6) </w:t>
      </w:r>
      <w:r>
        <w:rPr>
          <w:b/>
        </w:rPr>
        <w:t>Hypofibrinogénémie asymptomatique</w:t>
      </w:r>
      <w:r>
        <w:t xml:space="preserve"> : surveillance, complément en fibrinogène (cryoprécipité) si &lt; 1 g/L.</w:t>
      </w:r>
    </w:p>
    <w:p>
      <w:r/>
      <w:r>
        <w:rPr>
          <w:b/>
        </w:rPr>
        <w:t>Interactions Importantes :</w:t>
      </w:r>
      <w:r/>
    </w:p>
    <w:p>
      <w:pPr>
        <w:pStyle w:val="ListBullet"/>
      </w:pPr>
      <w:r/>
      <w:r>
        <w:rPr>
          <w:b/>
        </w:rPr>
        <w:t>Streptokinase + Anticoagulants oraux (AVK/AOD)</w:t>
      </w:r>
      <w:r>
        <w:t xml:space="preserve"> : Contre-indication relative. Risque hémorragique majeur. Si indispensable, arrêt AVK (INR &lt; 1,5), relais par HNF/HBPM à dose curative en cas d'EP, surveillance stricte.</w:t>
      </w:r>
    </w:p>
    <w:p>
      <w:pPr>
        <w:pStyle w:val="ListBullet"/>
      </w:pPr>
      <w:r/>
      <w:r>
        <w:rPr>
          <w:b/>
        </w:rPr>
        <w:t>Streptokinase + Héparines (HNF, HBPM)</w:t>
      </w:r>
      <w:r>
        <w:t xml:space="preserve"> : Risque hémorragique majoré, mais utilisation concomitante souvent nécessaire (notamment dans l'IDM et l'EP). Ajustement selon protocole.</w:t>
      </w:r>
    </w:p>
    <w:p>
      <w:pPr>
        <w:pStyle w:val="ListBullet"/>
      </w:pPr>
      <w:r/>
      <w:r>
        <w:rPr>
          <w:b/>
        </w:rPr>
        <w:t>Streptokinase + Antiagrégants plaquettaires (aspirine, clopidogrel, ticagrelor)</w:t>
      </w:r>
      <w:r>
        <w:t xml:space="preserve"> : Risque hémorragique majoré. Aspirine souvent associée dans l'IDM (160-300 mg dose de charge puis 75-100 mg/j).</w:t>
      </w:r>
    </w:p>
    <w:p>
      <w:pPr>
        <w:pStyle w:val="ListBullet"/>
      </w:pPr>
      <w:r/>
      <w:r>
        <w:rPr>
          <w:b/>
        </w:rPr>
        <w:t>Streptokinase + AINS</w:t>
      </w:r>
      <w:r>
        <w:t xml:space="preserve"> : Contre-indication. Risque hémorragique majeur.</w:t>
      </w:r>
    </w:p>
    <w:p>
      <w:pPr>
        <w:pStyle w:val="ListBullet"/>
      </w:pPr>
      <w:r/>
      <w:r>
        <w:rPr>
          <w:b/>
        </w:rPr>
        <w:t>Streptokinase + Acide tranexamique, acide aminocaproïque (antifibrinolytiques)</w:t>
      </w:r>
      <w:r>
        <w:t xml:space="preserve"> : Antagonistes pharmacologiques, à utiliser en cas d'hémorragie sous streptokinase.</w:t>
      </w:r>
    </w:p>
    <w:p>
      <w:pPr>
        <w:pStyle w:val="ListBullet"/>
      </w:pPr>
      <w:r/>
      <w:r>
        <w:rPr>
          <w:b/>
        </w:rPr>
        <w:t>Streptokinase + Autre thrombolytique (altéplase, ténectéplase)</w:t>
      </w:r>
      <w:r>
        <w:t xml:space="preserve"> : Contre-indication. Ne jamais associer deux thrombolytiques.</w:t>
      </w:r>
    </w:p>
    <w:p>
      <w:r/>
      <w:r>
        <w:rPr>
          <w:b/>
        </w:rPr>
        <w:t>Grossesse et Allaitement :</w:t>
      </w:r>
      <w:r/>
    </w:p>
    <w:p>
      <w:pPr>
        <w:pStyle w:val="ListBullet"/>
      </w:pPr>
      <w:r>
        <w:t>Grossesse : La streptokinase traverse le placenta. Données limitées. Risque théorique de détachement placentaire, d'hémorragie materno-fœtale, d'arrêt cardiaque fœtal. Selon le CRAT, la streptokinase peut être utilisée pendant la grossesse en cas d'embolie pulmonaire grave ou d'AVC ischémique aigu mettant en jeu le pronostic vital maternel (bénéfice &gt; risque). Préférer néanmoins l'altéplase si disponible (données plus nombreuses).</w:t>
      </w:r>
    </w:p>
    <w:p>
      <w:pPr>
        <w:pStyle w:val="ListBullet"/>
      </w:pPr>
      <w:r>
        <w:t xml:space="preserve">Allaitement : Passage dans le lait non documenté. Probablement faible (protéine, dégradation digestive). </w:t>
      </w:r>
      <w:r>
        <w:rPr>
          <w:b/>
        </w:rPr>
        <w:t>Allaitement possible</w:t>
      </w:r>
      <w:r>
        <w:t xml:space="preserve"> selon le CRAT, en surveillant l'enfant (saignement).</w:t>
      </w:r>
    </w:p>
    <w:p>
      <w:pPr>
        <w:pStyle w:val="ListBullet"/>
      </w:pPr>
      <w:r>
        <w:t>Précautions : Dans l'embolie pulmonaire gravidique grave, la streptokinase peut être utilisée en dernière intention. En cas d'AVC ischémique gravidique, préférer l'altéplase (données plus nombreuses, sécurité meilleure).</w:t>
      </w:r>
    </w:p>
    <w:p>
      <w:r/>
      <w:r>
        <w:rPr>
          <w:b/>
        </w:rPr>
        <w:t>Posologie et Mode d'administration (Standard) :</w:t>
      </w:r>
      <w:r/>
    </w:p>
    <w:p>
      <w:pPr>
        <w:pStyle w:val="ListBullet"/>
      </w:pPr>
      <w:r>
        <w:t xml:space="preserve">Adulte : (1) </w:t>
      </w:r>
      <w:r>
        <w:rPr>
          <w:b/>
        </w:rPr>
        <w:t>IDM STEMI</w:t>
      </w:r>
      <w:r>
        <w:t xml:space="preserve"> : 1 500 000 UI en perfusion IV unique de 30 à 60 minutes (selon les protocoles historiques GISSI-1, ISIS-2). Certains protocoles : 250 000 UI en bolus IV (10 min) puis 1 000 000 UI/h pendant 1 h. (2) </w:t>
      </w:r>
      <w:r>
        <w:rPr>
          <w:b/>
        </w:rPr>
        <w:t>Embolie pulmonaire grave</w:t>
      </w:r>
      <w:r>
        <w:t xml:space="preserve"> : 250 000 UI en charge IV (30 min) puis 100 000 UI/h pendant 24 h. (3) </w:t>
      </w:r>
      <w:r>
        <w:rPr>
          <w:b/>
        </w:rPr>
        <w:t>Thrombose veineuse profonde</w:t>
      </w:r>
      <w:r>
        <w:t xml:space="preserve"> : 250 000 UI en charge puis 100 000 UI/h pendant 72 h (rare aujourd'hui).</w:t>
      </w:r>
    </w:p>
    <w:p>
      <w:pPr>
        <w:pStyle w:val="ListBullet"/>
      </w:pPr>
      <w:r>
        <w:t>Sujet âgé &gt; 75 ans : Posologie identique mais risque hémorragique majoré, à discuter au cas par cas.</w:t>
      </w:r>
    </w:p>
    <w:p>
      <w:pPr>
        <w:pStyle w:val="ListBullet"/>
      </w:pPr>
      <w:r>
        <w:t>Insuffisance rénale/hépatique : Pas d'adaptation posologique (élimination hépatique via le système réticulo-endothélial).</w:t>
      </w:r>
    </w:p>
    <w:p>
      <w:pPr>
        <w:pStyle w:val="ListBullet"/>
      </w:pPr>
      <w:r>
        <w:t>Enfant : Posologie weight-adjusted (4 350 UI/kg en charge puis 1 000 UI/kg/h pendant 6 h selon certaines références) — usage exceptionnel en milieu spécialisé pédiatrique.</w:t>
      </w:r>
    </w:p>
    <w:p>
      <w:pPr>
        <w:pStyle w:val="ListBullet"/>
      </w:pPr>
      <w:r>
        <w:t>Durée : Dose unique ou perfusion prolongée (selon indication). Pas de traitement d'entretien.</w:t>
      </w:r>
    </w:p>
    <w:p>
      <w:pPr>
        <w:pStyle w:val="ListBullet"/>
      </w:pPr>
      <w:r>
        <w:t>Mode d'administration : Perfusion IV stricte, via un cathéter veineux périphérique de bon calibre, sous monitorage continu ECG, PA, SpO2. Voie intra-coronaire historique (avec ICP) abandonnée.</w:t>
      </w:r>
    </w:p>
    <w:p>
      <w:r/>
      <w:r>
        <w:rPr>
          <w:b/>
        </w:rPr>
        <w:t>Arbitrage et Bénéfices des Formes Galéniques :</w:t>
      </w:r>
      <w:r/>
    </w:p>
    <w:p>
      <w:pPr>
        <w:pStyle w:val="ListBullet"/>
      </w:pPr>
      <w:r>
        <w:t>Forme unique : lyophilisat pour solution injectable 750 000 UI, à reconstituer avec le solvant fourni (NaCl 0,9 % ou eau pour préparation injectable). Boîte de 30 flacons — conditionnement inhabituel (30 unités), probablement adapté aux usages institutionnels (services d'urgence, USIC).</w:t>
      </w:r>
    </w:p>
    <w:p>
      <w:pPr>
        <w:pStyle w:val="ListBullet"/>
      </w:pPr>
      <w:r>
        <w:t>Pas de forme prête à l'emploi (nécessité de reconstitution).</w:t>
      </w:r>
    </w:p>
    <w:p>
      <w:pPr>
        <w:pStyle w:val="ListBullet"/>
      </w:pPr>
      <w:r>
        <w:t>Pas de forme orale, pas de forme IM ou SC.</w:t>
      </w:r>
    </w:p>
    <w:p>
      <w:pPr>
        <w:pStyle w:val="ListBullet"/>
      </w:pPr>
      <w:r>
        <w:t>Conservation à température &lt; 25 °C, à l'abri de la lumière. Ne pas congeler.</w:t>
      </w:r>
    </w:p>
    <w:p>
      <w:pPr>
        <w:pStyle w:val="ListBullet"/>
      </w:pPr>
      <w:r>
        <w:t>La streptokinase ne doit pas être mélangée à d'autres médicaments dans la même perfusion (risque d'inactivation).</w:t>
      </w:r>
    </w:p>
    <w:p>
      <w:r/>
      <w:r>
        <w:rPr>
          <w:b/>
        </w:rPr>
        <w:t>Instructions et Conseils au Patient :</w:t>
      </w:r>
      <w:r/>
    </w:p>
    <w:p>
      <w:pPr>
        <w:pStyle w:val="ListBullet"/>
      </w:pPr>
      <w:r>
        <w:t>Communication au comptoir / en milieu hospitalier : « Ce médicament d'urgence dissout le caillot responsable de votre infarctus/embolie. Il est administré par perfusion intraveineuse stricte en milieu hospitalier. Il peut provoquer des saignements et des réactions allergiques. Vous serez surveillé en continu pendant et après la perfusion. Prévenez immédiatement le personnel soignant en cas de céphalées brutales, vertiges, saignements, ou difficultés respiratoires. »</w:t>
      </w:r>
    </w:p>
    <w:p>
      <w:pPr>
        <w:pStyle w:val="ListBullet"/>
      </w:pPr>
      <w:r>
        <w:t>Mode d'utilisation pratique : (1) Administration exclusivement hospitalière, en USIC ou service d'urgences, par voie IV stricte ; (2) Interrogatoire préalable systématique sur les antécédents d'administration de streptokinase, d'infections streptococciques récentes, d'allergies ; (3) Surveillance continue ECG, PA, SpO2 pendant la perfusion et 24 h après ; (4) Pas de ponction artérielle ou IM pendant 24 h ; (5) Signaler immédiatement tout symptôme anormal (céphalées brutales, vertiges, confusion, saignement, urines rouges, selles noires, fièvre, rash) ; (6) Pas d'AINS, pas d'aspirine sauf prescription associée.</w:t>
      </w:r>
    </w:p>
    <w:p>
      <w:r/>
      <w:r>
        <w:rPr>
          <w:b/>
        </w:rPr>
        <w:t>Notes, Règles d'Or &amp; Pièges au Comptoir :</w:t>
      </w:r>
      <w:r/>
    </w:p>
    <w:p>
      <w:pPr>
        <w:pStyle w:val="ListBullet"/>
      </w:pPr>
      <w:r>
        <w:t xml:space="preserve">Piège classique : </w:t>
      </w:r>
      <w:r>
        <w:rPr>
          <w:b/>
        </w:rPr>
        <w:t>Patient ayant reçu de la streptokinase dans le passé (suite à un IDM ancien par exemple) et nécessitant une nouvelle thrombolyse</w:t>
      </w:r>
      <w:r>
        <w:t xml:space="preserve"> : contre-indication formelle (anticorps anti-streptokinase persistants ≥ 6 mois, risque de réaction allergique et d'inefficacité). Toujours utiliser altéplase ou ténectéplase.</w:t>
      </w:r>
    </w:p>
    <w:p>
      <w:pPr>
        <w:pStyle w:val="ListBullet"/>
      </w:pPr>
      <w:r>
        <w:t xml:space="preserve">Piège classique : </w:t>
      </w:r>
      <w:r>
        <w:rPr>
          <w:b/>
        </w:rPr>
        <w:t>Thrombolyse pour AVC ischémique à la streptokinase</w:t>
      </w:r>
      <w:r>
        <w:t xml:space="preserve"> : erreur — la streptokinase n'est PAS indiquée dans l'AVC (surmortalité démontrée dans MAST-E, MAST-I). Seule l'altéplase a une AMM dans l'AVC &lt; 4 h 30.</w:t>
      </w:r>
    </w:p>
    <w:p>
      <w:pPr>
        <w:pStyle w:val="ListBullet"/>
      </w:pPr>
      <w:r>
        <w:t xml:space="preserve">Piège classique : </w:t>
      </w:r>
      <w:r>
        <w:rPr>
          <w:b/>
        </w:rPr>
        <w:t>PA &gt; 180/110 mmHg non contrôlée avant thrombolyse</w:t>
      </w:r>
      <w:r>
        <w:t xml:space="preserve"> : risque majeur d'HIC. Toujours contrôler la PA (labetalol IV, nicardipine IV) avant perfusion.</w:t>
      </w:r>
    </w:p>
    <w:p>
      <w:pPr>
        <w:pStyle w:val="ListBullet"/>
      </w:pPr>
      <w:r>
        <w:t>Règle de prise : Dose unique en IV stricte, sous monitorage hospitalier.</w:t>
      </w:r>
    </w:p>
    <w:p>
      <w:pPr>
        <w:pStyle w:val="ListBullet"/>
      </w:pPr>
      <w:r>
        <w:t>Préparation et Conservation : Lyophilisat à reconstituer avec NaCl 0,9 %, à conserver à température &lt; 25 °C. Ne pas congeler. Utiliser immédiatement après reconstitution (stabilité limitée).</w:t>
      </w:r>
    </w:p>
    <w:p>
      <w:pPr>
        <w:pStyle w:val="ListBullet"/>
      </w:pPr>
      <w:r>
        <w:t>Piège du surdosage : Surdosage accidentel → hypofibrinogénémie majeure, saignement généralisé. Arrêt immédiat, transfusion CGR + plaquettes + PFC + cryoprécipité, acide tranexamique 1 g IV.</w:t>
      </w:r>
    </w:p>
    <w:p>
      <w:pPr>
        <w:pStyle w:val="ListBullet"/>
      </w:pPr>
      <w:r>
        <w:t xml:space="preserve">Règle d'or : </w:t>
      </w:r>
      <w:r>
        <w:rPr>
          <w:b/>
        </w:rPr>
        <w:t>La streptokinase est un thrombolytique historique, supplanté par l'altéplase et la ténectéplase dans la plupart des indications</w:t>
      </w:r>
      <w:r>
        <w:t xml:space="preserve"> (efficacité moindre, risque hémorragique et allergique supérieur, antigénicité). En Algérie, elle reste disponible (HEBERKINASE®) mais son usage est marginal, principalement en cas d'indisponibilité de l'altéplase.</w:t>
      </w:r>
    </w:p>
    <w:p>
      <w:pPr>
        <w:pStyle w:val="ListBullet"/>
      </w:pPr>
      <w:r>
        <w:t xml:space="preserve">Règle d'or 2 : </w:t>
      </w:r>
      <w:r>
        <w:rPr>
          <w:b/>
        </w:rPr>
        <w:t>Toujours vérifier l'absence d'administration antérieure de streptokinase avant perfusion</w:t>
      </w:r>
      <w:r>
        <w:t xml:space="preserve"> — interrogatoire systématique +++.</w:t>
      </w:r>
    </w:p>
    <w:p>
      <w:pPr>
        <w:pStyle w:val="ListBullet"/>
      </w:pPr>
      <w:r>
        <w:t>Pharmacovigilance : Tout effet indésirable grave (HIC, choc anaphylactique, décès) doit être déclaré.</w:t>
      </w:r>
    </w:p>
    <w:p>
      <w:pPr>
        <w:pStyle w:val="Heading3"/>
      </w:pPr>
      <w:r>
        <w:t>6.2. DCI : Altéplase (rt-PA) (Seule)</w:t>
      </w:r>
    </w:p>
    <w:p>
      <w:r/>
      <w:r>
        <w:rPr>
          <w:b/>
        </w:rPr>
        <w:t>Liste des Catégories :</w:t>
      </w:r>
      <w:r>
        <w:t xml:space="preserve"> Thrombolytiques.</w:t>
      </w:r>
    </w:p>
    <w:p>
      <w:r>
        <w:t xml:space="preserve">L'altéplase (recombinant tissue plasminogen activator, rt-PA) est le thrombolytique de référence moderne. Produit par génie génétique (technologie ADN recombinant) à partir de cellules ovariennes de hamster (CHO), il s'agit d'une protéine de 527 acides aminés glycosylée, identique au t-PA humain endogène. Son avantage majeur sur la streptokinase est sa </w:t>
      </w:r>
      <w:r>
        <w:rPr>
          <w:b/>
        </w:rPr>
        <w:t>fibrine-spécificité</w:t>
      </w:r>
      <w:r>
        <w:t xml:space="preserve"> : l'altéplase active le plasminogène </w:t>
      </w:r>
      <w:r>
        <w:rPr>
          <w:b/>
        </w:rPr>
        <w:t>préférentiellement lorsqu'il est lié à la fibrine</w:t>
      </w:r>
      <w:r>
        <w:t xml:space="preserve"> (caillot), limitant la fibrinolyse systémique et donc le risque hémorragique à distance. Elle n'est pas antigénique (protéine humaine recombinante), autorisant une ré-administration. Elle a démontré sa supériorité sur la streptokinase dans l'IDM (GUSTO-1, 1993 : 14 % de réduction de mortalité à 30 j vs streptokinase) et constitue le </w:t>
      </w:r>
      <w:r>
        <w:rPr>
          <w:b/>
        </w:rPr>
        <w:t>seul thrombolytique recommandé dans l'AVC ischémique aigu</w:t>
      </w:r>
      <w:r>
        <w:t xml:space="preserve"> (NINDS, 1995 ; ECASS, SITS-MOST). En Algérie, elle est disponible sous les marques ACTILYSE® (Boehringer Ingelheim, princeps, Non Renouvelable en 20 mg et 50 mg) et REVELISE® (Generium Next LLC, générique, Actif en 50 mg).</w:t>
      </w:r>
    </w:p>
    <w:p>
      <w:r/>
      <w:r>
        <w:rPr>
          <w:b/>
        </w:rPr>
        <w:t>Médicaments disponibles en Algérie (Marques, Laboratoires, Formes et Dosages) :</w:t>
      </w:r>
      <w:r/>
    </w:p>
    <w:p>
      <w:pPr>
        <w:pStyle w:val="ListBullet"/>
      </w:pPr>
      <w:r/>
      <w:r>
        <w:rPr>
          <w:b/>
        </w:rPr>
        <w:t>REVELISE</w:t>
      </w:r>
      <w:r>
        <w:t xml:space="preserve"> (GENERIUM NEXT LLC)</w:t>
      </w:r>
    </w:p>
    <w:p>
      <w:pPr>
        <w:pStyle w:val="ListBullet"/>
      </w:pPr>
      <w:r>
        <w:t>Formes et Dosages : Lyophilisat pour solution pour perfusion 50 mg — Boîte de 1 flacon</w:t>
      </w:r>
    </w:p>
    <w:p>
      <w:pPr>
        <w:pStyle w:val="ListBullet"/>
      </w:pPr>
      <w:r>
        <w:t>Statut : Actif</w:t>
      </w:r>
    </w:p>
    <w:p>
      <w:pPr>
        <w:pStyle w:val="ListBullet"/>
      </w:pPr>
      <w:r/>
      <w:r>
        <w:rPr>
          <w:b/>
        </w:rPr>
        <w:t>ACTILYSE 20 mg</w:t>
      </w:r>
      <w:r>
        <w:t xml:space="preserve"> (BOEHRINGER INGELHEIM)</w:t>
      </w:r>
    </w:p>
    <w:p>
      <w:pPr>
        <w:pStyle w:val="ListBullet"/>
      </w:pPr>
      <w:r>
        <w:t>Formes et Dosages : Poudre et solvant pour solution injectable 20 mg — Boîte de 1 flacon + 1 solvant</w:t>
      </w:r>
    </w:p>
    <w:p>
      <w:pPr>
        <w:pStyle w:val="ListBullet"/>
      </w:pPr>
      <w:r>
        <w:t>Statut : Non Renouvelable</w:t>
      </w:r>
    </w:p>
    <w:p>
      <w:pPr>
        <w:pStyle w:val="ListBullet"/>
      </w:pPr>
      <w:r/>
      <w:r>
        <w:rPr>
          <w:b/>
        </w:rPr>
        <w:t>ACTILYSE 50 mg</w:t>
      </w:r>
      <w:r>
        <w:t xml:space="preserve"> (BOEHRINGER INGELHEIM)</w:t>
      </w:r>
    </w:p>
    <w:p>
      <w:pPr>
        <w:pStyle w:val="ListBullet"/>
      </w:pPr>
      <w:r>
        <w:t>Formes et Dosages : Poudre et solvant pour solution injectable 50 mg — Boîte de 1 flacon + 1 solvant</w:t>
      </w:r>
    </w:p>
    <w:p>
      <w:pPr>
        <w:pStyle w:val="ListBullet"/>
      </w:pPr>
      <w:r>
        <w:t>Statut : Non Renouvelable</w:t>
      </w:r>
    </w:p>
    <w:p>
      <w:r/>
      <w:r>
        <w:rPr>
          <w:b/>
        </w:rPr>
        <w:t>Sous-classe et Mécanisme d'action :</w:t>
      </w:r>
      <w:r/>
    </w:p>
    <w:p>
      <w:pPr>
        <w:pStyle w:val="ListBullet"/>
      </w:pPr>
      <w:r>
        <w:t>Sous-classe : Thrombolytique recombinant, activateur tissulaire du plasminogène (rt-PA), fibrine-spécifique, non antigénique.</w:t>
      </w:r>
    </w:p>
    <w:p>
      <w:pPr>
        <w:pStyle w:val="ListBullet"/>
      </w:pPr>
      <w:r>
        <w:t xml:space="preserve">Mécanisme d'action : L'altéplase est une protéine recombinante identique au t-PA humain endogène. Elle active le plasminogène en plasmine par </w:t>
      </w:r>
      <w:r>
        <w:rPr>
          <w:b/>
        </w:rPr>
        <w:t>clivage de la liaison Arg561-Val562</w:t>
      </w:r>
      <w:r>
        <w:t xml:space="preserve">, mais avec une </w:t>
      </w:r>
      <w:r>
        <w:rPr>
          <w:b/>
        </w:rPr>
        <w:t>spécificité fibrine-dépendante</w:t>
      </w:r>
      <w:r>
        <w:t xml:space="preserve"> marquée : l'altéplase a une faible activité enzymatique en l'absence de fibrine, mais son affinité et son activité catalytique augmentent considérablement (× 100 à × 1000) en présence de fibrine polymérisée. Cette spécificité permet une </w:t>
      </w:r>
      <w:r>
        <w:rPr>
          <w:b/>
        </w:rPr>
        <w:t>lyse sélective du thrombus</w:t>
      </w:r>
      <w:r>
        <w:t xml:space="preserve"> (caillot) avec une dégradation moindre du fibrinogène circulant, des facteurs V et VIII, et donc un risque de fibrinolyse systémique plus faible que la streptokinase. La plasmine générée dégrade la fibrine en D-dimères, fragments D et E, restaurant la perméabilité vasculaire. La demi-vie d'élimination est courte (≈ 5 minutes) en raison d'une clairance hépatique rapide (récepteurs hépatiques à mannose), nécessitant une perfusion prolongée (90 min pour le protocole IDM, 60 min pour l'AVC) après un bolus initial. L'altéplase n'est pas antigénique, autorisant une ré-administration (en cas de réocclusion par exemple).</w:t>
      </w:r>
    </w:p>
    <w:p>
      <w:r/>
      <w:r>
        <w:rPr>
          <w:b/>
        </w:rPr>
        <w:t>Profil Pharmacologique :</w:t>
      </w:r>
      <w:r/>
    </w:p>
    <w:p>
      <w:pPr>
        <w:pStyle w:val="ListBullet"/>
      </w:pPr>
      <w:r>
        <w:t xml:space="preserve">Indications : (1) </w:t>
      </w:r>
      <w:r>
        <w:rPr>
          <w:b/>
        </w:rPr>
        <w:t>IDM en phase aiguë</w:t>
      </w:r>
      <w:r>
        <w:t xml:space="preserve"> (STEMI, &lt; 12 h après le début des symptômes) en cas d'indisponibilité d'ICP primaire dans les délais recommandés (door-to-balloon ≤ 90 min). Protocole « accelerated » : 15 mg en bolus IV, puis 50 mg en 30 min (patients &lt; 65 kg : 0,75 mg/kg max 50 mg), puis 35 mg en 60 min (patients &lt; 65 kg : 0,5 mg/kg max 35 mg), dose totale 100 mg (ou 1,2 mg/kg max 100 mg) en 90 min ; (2) </w:t>
      </w:r>
      <w:r>
        <w:rPr>
          <w:b/>
        </w:rPr>
        <w:t>AVC ischémique aigu</w:t>
      </w:r>
      <w:r>
        <w:t xml:space="preserve"> (&lt; 4 h 30 après le début des symptômes, après scanner cérébral excluant l'hémorragie) — protocole NINDS : 0,9 mg/kg (max 90 mg), 10 % en bolus IV 1 min, 90 % en perfusion 60 min. Délai door-to-needle ≤ 60 min idéalement. Extension possible à 9 h après IRM (mismatch DWI-FLAIR) selon recommandations ESO/AHA 2018 ; (3) </w:t>
      </w:r>
      <w:r>
        <w:rPr>
          <w:b/>
        </w:rPr>
        <w:t>Embolie pulmonaire grave</w:t>
      </w:r>
      <w:r>
        <w:t xml:space="preserve"> (avec instabilité hémodynamique, choc) — 100 mg en perfusion 2 h (ou 50 mg en 1 h chez les patients &lt; 65 kg selon protocole) ; (4) </w:t>
      </w:r>
      <w:r>
        <w:rPr>
          <w:b/>
        </w:rPr>
        <w:t>Thrombolyse locale intra-artérielle</w:t>
      </w:r>
      <w:r>
        <w:t xml:space="preserve"> dans l'ischémie aiguë de membre (rare, en milieu spécialisé) ; (5) </w:t>
      </w:r>
      <w:r>
        <w:rPr>
          <w:b/>
        </w:rPr>
        <w:t>Décollement fibrineux des cathéters veineux centraux occlus</w:t>
      </w:r>
      <w:r>
        <w:t xml:space="preserve"> (rare, dose faible 2 mg).</w:t>
      </w:r>
    </w:p>
    <w:p>
      <w:pPr>
        <w:pStyle w:val="ListBullet"/>
      </w:pPr>
      <w:r>
        <w:t>Contre-indications : (1) Hémorragie active ; (2) Antécédent d'hémorragie intracrânienne ; (3) AVC ischémique &lt; 3 mois (sauf indication AVC aigu &lt; 4 h 30) ; (4) Tumeur cérébrale, malformation artério-veineuse, anévrisme cérébral ; (5) Traumatisme crânien récent ; (6) Chirurgie majeure &lt; 3 semaines ; (7) Traumatisme majeur &lt; 3 semaines ; (8) Hypertension artérielle sévère non contrôlée (PAS &gt; 185 mmHg ou PAD &gt; 110 mmHg) — ramener la PA &lt; 185/110 avant thrombolyse ; (9) Diathèse hémorragique connue ; (10) Endocardite infectieuse ; (11) Péricardite ; (12) Anévrysme aortique ; (13) Grossesse (selon bénéfice/risque, à discuter) ; (14) Pour l'AVC : scanner cérébral montrant un infarctus déjà constitué étendu (hypodensité &gt; 1/3 du territoire de l'ACM), saignement intracrânique. Précautions : patients âgés &gt; 80 ans (efficacité moindre, risque hémorragique majoré), diabète, insuffisance rénale, anticoagulants oraux récents (INR &gt; 1,7 : CI).</w:t>
      </w:r>
    </w:p>
    <w:p>
      <w:pPr>
        <w:pStyle w:val="ListBullet"/>
      </w:pPr>
      <w:r>
        <w:t xml:space="preserve">Effets Indésirables : (1) </w:t>
      </w:r>
      <w:r>
        <w:rPr>
          <w:b/>
        </w:rPr>
        <w:t>Hémorragies</w:t>
      </w:r>
      <w:r>
        <w:t xml:space="preserve"> — risque majeur, notamment </w:t>
      </w:r>
      <w:r>
        <w:rPr>
          <w:b/>
        </w:rPr>
        <w:t>hémorragie intracrânienne</w:t>
      </w:r>
      <w:r>
        <w:t xml:space="preserve"> (2-7 % dans l'AVC &lt; 4 h 30, mortalité 30-50 % ; 0,5-1 % dans l'IDM ; 5-10 % en cas de thrombolyse &gt; 6 h). Autres localisations : digestif, urinaire, site de ponction, gingivorragie ; (2) </w:t>
      </w:r>
      <w:r>
        <w:rPr>
          <w:b/>
        </w:rPr>
        <w:t>Hypofibrinogénémie</w:t>
      </w:r>
      <w:r>
        <w:t xml:space="preserve"> — plus modérée qu'avec la streptokinase (spécificité fibrine), mais presente ; (3) </w:t>
      </w:r>
      <w:r>
        <w:rPr>
          <w:b/>
        </w:rPr>
        <w:t>Hypotension</w:t>
      </w:r>
      <w:r>
        <w:t xml:space="preserve"> — fréquente (10-20 %), souvent modérée et transitoire, liée à la vasodilatation et à la déplétion de fibrinogène ; (4) </w:t>
      </w:r>
      <w:r>
        <w:rPr>
          <w:b/>
        </w:rPr>
        <w:t>Réactions allergiques</w:t>
      </w:r>
      <w:r>
        <w:t xml:space="preserve"> — rares (protéine humaine recombinante, faiblement antigénique) : fièvre, rash, urticaire, exceptionnellement anaphylaxie ; (5) </w:t>
      </w:r>
      <w:r>
        <w:rPr>
          <w:b/>
        </w:rPr>
        <w:t>Bradycardie, hypotension réactionnelle (syndrome de reperfusion)</w:t>
      </w:r>
      <w:r>
        <w:t xml:space="preserve"> — arythmies de reperfusion (TV, FV, bradycardie sinusale) dans l'IDM ; (6) Œdème pulmonaire en cas d'IDM étendu ; (7) Réaction de reperfusion (douleur, flush, hypotension) ; (8) Thrombopénie transitoire.</w:t>
      </w:r>
    </w:p>
    <w:p>
      <w:r/>
      <w:r>
        <w:rPr>
          <w:b/>
        </w:rPr>
        <w:t>Prévention et Gestion des Effets Indésirables :</w:t>
      </w:r>
      <w:r/>
    </w:p>
    <w:p>
      <w:pPr>
        <w:pStyle w:val="ListBullet"/>
      </w:pPr>
      <w:r>
        <w:t xml:space="preserve">Mesures Préventives : (1) </w:t>
      </w:r>
      <w:r>
        <w:rPr>
          <w:b/>
        </w:rPr>
        <w:t>Sélection stricte des patients</w:t>
      </w:r>
      <w:r>
        <w:t xml:space="preserve"> selon les CI (interrogatoire, examen clinique, ECG, scanner cérébral systématique en cas d'AVC) ; (2) </w:t>
      </w:r>
      <w:r>
        <w:rPr>
          <w:b/>
        </w:rPr>
        <w:t>Contrôle strict de la PA</w:t>
      </w:r>
      <w:r>
        <w:t xml:space="preserve"> avant perfusion (≤ 185/110 mmHg pour l'AVC, ≤ 180/110 mmHg pour l'IDM) — labetalol IV 10-20 mg, nicardipine IV en titration ; (3) Voie veineuse périphérique unique, éviter ponctions artérielles et IM pendant 24 h ; (4) Bilan pré-thérapeutique : NFS, plaquettes, TP, TCA, fibrinogène, groupage, RAI, βHCG (femme en âge de procréer), scanner cérébral (AVC) ; (5) Surveillance continue ECG, PA, SpO2 pendant et 24 h après perfusion ; (6) Pour l'AVC : surveillance neurologique toutes les 15 min pendant 2 h, puis toutes les 30 min pendant 6 h, puis 1/h jusqu'à 24 h ; contrôle PA toutes les 15 min pendant 2 h, puis toutes les 30 min pendant 6 h, puis 1/h jusqu'à 24 h (cible PA ≤ 180/105 pendant 24 h) ; (7) Pas d'anticoagulant curatif ni d'antiagrégant pendant 24 h après thrombolyse AVC (selon protocole) ; (8) Disponibilité de protocoles de prise en charge de l'hémorragie (transfusion CGR, plaquettes, PFC, cryoprécipité, acide tranexamique) ; (9) Éviter les gestes invasifs pendant 24 h (sonde urinaire, sonde nasogastrique, ponction lombaire).</w:t>
      </w:r>
    </w:p>
    <w:p>
      <w:pPr>
        <w:pStyle w:val="ListBullet"/>
      </w:pPr>
      <w:r>
        <w:t xml:space="preserve">Conduite à Tenir : (1) </w:t>
      </w:r>
      <w:r>
        <w:rPr>
          <w:b/>
        </w:rPr>
        <w:t>Hémorragie majeure</w:t>
      </w:r>
      <w:r>
        <w:t xml:space="preserve"> : arrêt immédiat de la perfusion, compression du site de saignement, transfusion CGR + plaquettes + PFC (en fonction du bilan), cryoprécipité (ou fibrinogène) si hypofibrinogénémie &lt; 1 g/L, </w:t>
      </w:r>
      <w:r>
        <w:rPr>
          <w:b/>
        </w:rPr>
        <w:t>acide tranexamique 1 g IV</w:t>
      </w:r>
      <w:r>
        <w:t xml:space="preserve"> (antifibrinolytique), avis spécialisé (neurochirurgie en cas de suspicion d'HIC, endoscopie digestive) ; (2) </w:t>
      </w:r>
      <w:r>
        <w:rPr>
          <w:b/>
        </w:rPr>
        <w:t>HIC suspectée</w:t>
      </w:r>
      <w:r>
        <w:t xml:space="preserve"> : arrêt immédiat, scanner cérébral en urgence, neurochirurgie, contrôle PA ; (3) </w:t>
      </w:r>
      <w:r>
        <w:rPr>
          <w:b/>
        </w:rPr>
        <w:t>Réaction allergique modérée</w:t>
      </w:r>
      <w:r>
        <w:t xml:space="preserve"> (fièvre, rash) : antihistaminique + paracétamol, poursuivre la perfusion sous surveillance ; (4) </w:t>
      </w:r>
      <w:r>
        <w:rPr>
          <w:b/>
        </w:rPr>
        <w:t>Anaphylaxie</w:t>
      </w:r>
      <w:r>
        <w:t xml:space="preserve"> : arrêt immédiat, adrénaline IV/IM, antihistaminique, corticoïde, remplissage, oxygène ; (5) </w:t>
      </w:r>
      <w:r>
        <w:rPr>
          <w:b/>
        </w:rPr>
        <w:t>Hypotension</w:t>
      </w:r>
      <w:r>
        <w:t xml:space="preserve"> : ralentir la perfusion, remplissage, vasopresseurs si sévère ; (6) </w:t>
      </w:r>
      <w:r>
        <w:rPr>
          <w:b/>
        </w:rPr>
        <w:t>Arythmie de reperfusion</w:t>
      </w:r>
      <w:r>
        <w:t xml:space="preserve"> (TV, FV) : cardioversion électrique si instabilité, lidocaïne IV, amiodarone IV ; (7) </w:t>
      </w:r>
      <w:r>
        <w:rPr>
          <w:b/>
        </w:rPr>
        <w:t>Angio-œdème</w:t>
      </w:r>
      <w:r>
        <w:t xml:space="preserve"> (rare, surtout dans l'AVC sous altéplase + bloqueurs RAAS) : arrêt, antihistaminique, corticoïde, adrénaline si obstruction des voies aériennes.</w:t>
      </w:r>
    </w:p>
    <w:p>
      <w:r/>
      <w:r>
        <w:rPr>
          <w:b/>
        </w:rPr>
        <w:t>Interactions Importantes :</w:t>
      </w:r>
      <w:r/>
    </w:p>
    <w:p>
      <w:pPr>
        <w:pStyle w:val="ListBullet"/>
      </w:pPr>
      <w:r/>
      <w:r>
        <w:rPr>
          <w:b/>
        </w:rPr>
        <w:t>Altéplase + Anticoagulants oraux (AVK/AOD)</w:t>
      </w:r>
      <w:r>
        <w:t xml:space="preserve"> : Contre-indication si INR &gt; 1,7 ou AOD récent. Si indispensable, vérifier INR et temps de coagulation spécifique (anti-Xa) avant thrombolyse.</w:t>
      </w:r>
    </w:p>
    <w:p>
      <w:pPr>
        <w:pStyle w:val="ListBullet"/>
      </w:pPr>
      <w:r/>
      <w:r>
        <w:rPr>
          <w:b/>
        </w:rPr>
        <w:t>Altéplase + Héparines (HNF, HBPM)</w:t>
      </w:r>
      <w:r>
        <w:t xml:space="preserve"> : Risque hémorragique majoré. Dans l'IDM : héparine associée selon protocole (HNF à dose curative, ajustée sur TCA). Dans l'AVC : héparine contre-indiquée pendant 24 h après thrombolyse.</w:t>
      </w:r>
    </w:p>
    <w:p>
      <w:pPr>
        <w:pStyle w:val="ListBullet"/>
      </w:pPr>
      <w:r/>
      <w:r>
        <w:rPr>
          <w:b/>
        </w:rPr>
        <w:t>Altéplase + Antiagrégants plaquettaires (aspirine, clopidogrel, ticagrelor)</w:t>
      </w:r>
      <w:r>
        <w:t xml:space="preserve"> : Risque hémorragique majoré, mais aspirine souvent associée dans l'IDM (160-300 mg dose de charge puis 75-100 mg/j). Dans l'AVC, aspirine contre-indiquée pendant 24 h après thrombolyse, puis 300 mg puis 75-100 mg/j à 24 h.</w:t>
      </w:r>
    </w:p>
    <w:p>
      <w:pPr>
        <w:pStyle w:val="ListBullet"/>
      </w:pPr>
      <w:r/>
      <w:r>
        <w:rPr>
          <w:b/>
        </w:rPr>
        <w:t>Altéplase + AINS</w:t>
      </w:r>
      <w:r>
        <w:t xml:space="preserve"> : Contre-indication. Risque hémorragique majeur.</w:t>
      </w:r>
    </w:p>
    <w:p>
      <w:pPr>
        <w:pStyle w:val="ListBullet"/>
      </w:pPr>
      <w:r/>
      <w:r>
        <w:rPr>
          <w:b/>
        </w:rPr>
        <w:t>Altéplase + Acide tranexamique, acide aminocaproïque (antifibrinolytiques)</w:t>
      </w:r>
      <w:r>
        <w:t xml:space="preserve"> : Antagonistes pharmacologiques, à utiliser en cas d'hémorragie sous altéplase.</w:t>
      </w:r>
    </w:p>
    <w:p>
      <w:pPr>
        <w:pStyle w:val="ListBullet"/>
      </w:pPr>
      <w:r/>
      <w:r>
        <w:rPr>
          <w:b/>
        </w:rPr>
        <w:t>Altéplase + Inhibiteurs de l'enzyme de conversion (IEC) / ARA II</w:t>
      </w:r>
      <w:r>
        <w:t xml:space="preserve"> : Risque d'angio-œdème majoré (surtout dans l'AVC). Surveillance.</w:t>
      </w:r>
    </w:p>
    <w:p>
      <w:pPr>
        <w:pStyle w:val="ListBullet"/>
      </w:pPr>
      <w:r/>
      <w:r>
        <w:rPr>
          <w:b/>
        </w:rPr>
        <w:t>Altéplase + Autre thrombolytique</w:t>
      </w:r>
      <w:r>
        <w:t xml:space="preserve"> : Contre-indication.</w:t>
      </w:r>
    </w:p>
    <w:p>
      <w:r/>
      <w:r>
        <w:rPr>
          <w:b/>
        </w:rPr>
        <w:t>Grossesse et Allaitement :</w:t>
      </w:r>
      <w:r/>
    </w:p>
    <w:p>
      <w:pPr>
        <w:pStyle w:val="ListBullet"/>
      </w:pPr>
      <w:r>
        <w:t>Grossesse : L'altéplase traverse probablement le placenta. Données limitées chez la femme enceinte. Risque théorique de détachement placentaire, d'hémorragie materno-fœtale, d'arrêt cardiaque fœtal. Selon le CRAT, l'altéplase peut être utilisée pendant la grossesse en cas d'embolie pulmonaire grave, d'AVC ischémique aigu mettant en jeu le pronostic vital maternel, ou d'IDM étendu (bénéfice &gt; risque). Préférer l'altéplase à la streptokinase (données plus nombreuses, pas d'antigénicité).</w:t>
      </w:r>
    </w:p>
    <w:p>
      <w:pPr>
        <w:pStyle w:val="ListBullet"/>
      </w:pPr>
      <w:r>
        <w:t xml:space="preserve">Allaitement : Passage dans le lait non documenté. Probablement faible (protéine, dégradation digestive). </w:t>
      </w:r>
      <w:r>
        <w:rPr>
          <w:b/>
        </w:rPr>
        <w:t>Allaitement possible</w:t>
      </w:r>
      <w:r>
        <w:t xml:space="preserve"> selon le CRAT, en surveillant l'enfant (saignement).</w:t>
      </w:r>
    </w:p>
    <w:p>
      <w:pPr>
        <w:pStyle w:val="ListBullet"/>
      </w:pPr>
      <w:r>
        <w:t>Précautions : Dans l'embolie pulmonaire gravidique grave ou l'AVC ischémique gravidique, l'altéplase peut être utilisée en dernière intention.</w:t>
      </w:r>
    </w:p>
    <w:p>
      <w:r/>
      <w:r>
        <w:rPr>
          <w:b/>
        </w:rPr>
        <w:t>Posologie et Mode d'administration (Standard) :</w:t>
      </w:r>
      <w:r/>
    </w:p>
    <w:p>
      <w:pPr>
        <w:pStyle w:val="ListBullet"/>
      </w:pPr>
      <w:r>
        <w:t>Adulte :</w:t>
      </w:r>
    </w:p>
    <w:p>
      <w:pPr>
        <w:pStyle w:val="ListBullet"/>
      </w:pPr>
      <w:r/>
      <w:r>
        <w:rPr>
          <w:b/>
        </w:rPr>
        <w:t>IDM STEMI</w:t>
      </w:r>
      <w:r>
        <w:t xml:space="preserve"> (protocole accelerated) : 15 mg en bolus IV (1-2 min), puis 50 mg en perfusion IV 30 min, puis 35 mg en perfusion IV 60 min — dose totale 100 mg en 90 min. Patients &lt; 65 kg : 15 mg bolus + 0,75 mg/kg (max 50 mg) en 30 min + 0,5 mg/kg (max 35 mg) en 60 min.</w:t>
      </w:r>
    </w:p>
    <w:p>
      <w:pPr>
        <w:pStyle w:val="ListBullet"/>
      </w:pPr>
      <w:r/>
      <w:r>
        <w:rPr>
          <w:b/>
        </w:rPr>
        <w:t>AVC ischémique aigu</w:t>
      </w:r>
      <w:r>
        <w:t xml:space="preserve"> (protocole NINDS) : 0,9 mg/kg (max 90 mg), 10 % en bolus IV 1 min, 90 % en perfusion IV 60 min. Délai door-to-needle ≤ 60 min.</w:t>
      </w:r>
    </w:p>
    <w:p>
      <w:pPr>
        <w:pStyle w:val="ListBullet"/>
      </w:pPr>
      <w:r/>
      <w:r>
        <w:rPr>
          <w:b/>
        </w:rPr>
        <w:t>Embolie pulmonaire grave</w:t>
      </w:r>
      <w:r>
        <w:t xml:space="preserve"> : 100 mg en perfusion IV 2 h (ou 50 mg en 1 h chez &lt; 65 kg).</w:t>
      </w:r>
    </w:p>
    <w:p>
      <w:pPr>
        <w:pStyle w:val="ListBullet"/>
      </w:pPr>
      <w:r>
        <w:t>Sujet âgé &gt; 80 ans : Pas d'adaptation posologique dans l'IDM. Dans l'AVC, l'altéplase est indiquée jusqu'à 4 h 30 quels que soient l'âge (mais bénéfice moindre et risque majoré &gt; 80 ans, à discuter).</w:t>
      </w:r>
    </w:p>
    <w:p>
      <w:pPr>
        <w:pStyle w:val="ListBullet"/>
      </w:pPr>
      <w:r>
        <w:t>Insuffisance rénale/hépatique : Pas d'adaptation posologique.</w:t>
      </w:r>
    </w:p>
    <w:p>
      <w:pPr>
        <w:pStyle w:val="ListBullet"/>
      </w:pPr>
      <w:r>
        <w:t>Enfant : Indications exceptionnelles (AVC ischémique aigu pédiatrique, cathéter occlus) — protocoles spécialisés (0,9 mg/kg ou 1 mg/kg selon le contexte).</w:t>
      </w:r>
    </w:p>
    <w:p>
      <w:pPr>
        <w:pStyle w:val="ListBullet"/>
      </w:pPr>
      <w:r>
        <w:t>Durée : Dose unique (IDM, AVC, EP). Pas de traitement d'entretien.</w:t>
      </w:r>
    </w:p>
    <w:p>
      <w:pPr>
        <w:pStyle w:val="ListBullet"/>
      </w:pPr>
      <w:r>
        <w:t>Mode d'administration : Perfusion IV stricte, via un cathéter veineux périphérique de bon calibre, sous monitorage continu ECG, PA, SpO2. Dans l'AVC, surveillance neurologique intensive.</w:t>
      </w:r>
    </w:p>
    <w:p>
      <w:r/>
      <w:r>
        <w:rPr>
          <w:b/>
        </w:rPr>
        <w:t>Arbitrage et Bénéfices des Formes Galéniques :</w:t>
      </w:r>
      <w:r/>
    </w:p>
    <w:p>
      <w:pPr>
        <w:pStyle w:val="ListBullet"/>
      </w:pPr>
      <w:r>
        <w:t>Forme unique : lyophilisat (poudre) pour solution pour perfusion, à reconstituer avec le solvant fourni (eau pour préparation injectable). Dosages disponibles : 20 mg et 50 mg (permettent la flexibilité pour IDM, AVC, EP).</w:t>
      </w:r>
    </w:p>
    <w:p>
      <w:pPr>
        <w:pStyle w:val="ListBullet"/>
      </w:pPr>
      <w:r>
        <w:t>Le dosage 50 mg (REVELISE, ACTILYSE) couvre la majorité des protocoles : AVC (un flacon de 50 mg + un flacon de 20 mg pour atteindre 70 mg, dose typique pour 78 kg) ; EP (2 flacons de 50 mg = 100 mg).</w:t>
      </w:r>
    </w:p>
    <w:p>
      <w:pPr>
        <w:pStyle w:val="ListBullet"/>
      </w:pPr>
      <w:r>
        <w:t>Le dosage 20 mg est utile pour l'ajustement à 90 mg (AVC) ou pour les thrombolyses de faible dose (cathéter occlus : 2 mg).</w:t>
      </w:r>
    </w:p>
    <w:p>
      <w:pPr>
        <w:pStyle w:val="ListBullet"/>
      </w:pPr>
      <w:r>
        <w:t>Pas de forme prête à l'emploi (nécessité de reconstitution).</w:t>
      </w:r>
    </w:p>
    <w:p>
      <w:pPr>
        <w:pStyle w:val="ListBullet"/>
      </w:pPr>
      <w:r>
        <w:t>Pas de forme orale, IM ou SC.</w:t>
      </w:r>
    </w:p>
    <w:p>
      <w:pPr>
        <w:pStyle w:val="ListBullet"/>
      </w:pPr>
      <w:r>
        <w:t>Conservation à température &lt; 25 °C, à l'abri de la lumière. Ne pas congeler (la congération dénature la protéine).</w:t>
      </w:r>
    </w:p>
    <w:p>
      <w:pPr>
        <w:pStyle w:val="ListBullet"/>
      </w:pPr>
      <w:r>
        <w:t>L'altéplase ne doit pas être mélangée à d'autres médicaments dans la même perfusion (risque de précipitation ou d'inactivation). Utiliser NaCl 0,9 % exclusivement (pas de glucose).</w:t>
      </w:r>
    </w:p>
    <w:p>
      <w:r/>
      <w:r>
        <w:rPr>
          <w:b/>
        </w:rPr>
        <w:t>Instructions et Conseils au Patient :</w:t>
      </w:r>
      <w:r/>
    </w:p>
    <w:p>
      <w:pPr>
        <w:pStyle w:val="ListBullet"/>
      </w:pPr>
      <w:r>
        <w:t>Communication au comptoir / en milieu hospitalier : « Ce médicament d'urgence dissout le caillot responsable de votre infarctus/AVC/embolie pulmonaire. Il est administré par perfusion intraveineuse stricte en milieu hospitalier (USIC ou service d'urgences/neurovasculaire). Il peut provoquer des saignements, dont des saignements cérébraux. Vous serez surveillé en continu pendant et après la perfusion. Prévenez immédiatement le personnel soignant en cas de céphalées brutales, vertiges, confusion, troubles de la vision, nausées, vomissements, saignements. »</w:t>
      </w:r>
    </w:p>
    <w:p>
      <w:pPr>
        <w:pStyle w:val="ListBullet"/>
      </w:pPr>
      <w:r>
        <w:t>Mode d'utilisation pratique : (1) Administration exclusivement hospitalière, en USIC ou service d'urgences/neurovasculaire, par voie IV stricte ; (2) Interrogatoire préalable systématique sur les antécédents (hémorragie, AVC, chirurgie, traumatisme, grossesse) ; (3) Scanner cérébral systématique en cas d'AVC ; (4) Surveillance continue ECG, PA, SpO2, neurologique (AVC) pendant la perfusion et 24 h après ; (5) Pas de ponction artérielle ou IM pendant 24 h ; (6) Signaler immédiatement tout symptôme anormal ; (7) Dans l'AVC : contrôle de la PA (cible ≤ 180/105 pendant 24 h), pas d'aspirine ni d'anticoagulant pendant 24 h.</w:t>
      </w:r>
    </w:p>
    <w:p>
      <w:r/>
      <w:r>
        <w:rPr>
          <w:b/>
        </w:rPr>
        <w:t>Notes, Règles d'Or &amp; Pièges au Comptoir :</w:t>
      </w:r>
      <w:r/>
    </w:p>
    <w:p>
      <w:pPr>
        <w:pStyle w:val="ListBullet"/>
      </w:pPr>
      <w:r>
        <w:t xml:space="preserve">Piège classique : </w:t>
      </w:r>
      <w:r>
        <w:rPr>
          <w:b/>
        </w:rPr>
        <w:t>Thrombolyse pour AVC ischémique &gt; 4 h 30 sans IRM mismatch</w:t>
      </w:r>
      <w:r>
        <w:t xml:space="preserve"> : CI formelle (risque hémorragique majeur). Toujours vérifier le délai et l'IRM.</w:t>
      </w:r>
    </w:p>
    <w:p>
      <w:pPr>
        <w:pStyle w:val="ListBullet"/>
      </w:pPr>
      <w:r>
        <w:t xml:space="preserve">Piège classique : </w:t>
      </w:r>
      <w:r>
        <w:rPr>
          <w:b/>
        </w:rPr>
        <w:t>Thrombolyse pour AVC sans scanner cérébral préalable</w:t>
      </w:r>
      <w:r>
        <w:t xml:space="preserve"> : erreur grave — toujours scanner pour exclure une hémorragie cérébrale.</w:t>
      </w:r>
    </w:p>
    <w:p>
      <w:pPr>
        <w:pStyle w:val="ListBullet"/>
      </w:pPr>
      <w:r>
        <w:t xml:space="preserve">Piège classique : </w:t>
      </w:r>
      <w:r>
        <w:rPr>
          <w:b/>
        </w:rPr>
        <w:t>PA &gt; 185/110 mmHg non contrôlée avant thrombolyse pour AVC</w:t>
      </w:r>
      <w:r>
        <w:t xml:space="preserve"> : risque majeur d'HIC. Toujours contrôler la PA (labetalol IV, nicardipine IV) avant perfusion.</w:t>
      </w:r>
    </w:p>
    <w:p>
      <w:pPr>
        <w:pStyle w:val="ListBullet"/>
      </w:pPr>
      <w:r>
        <w:t xml:space="preserve">Piège classique : </w:t>
      </w:r>
      <w:r>
        <w:rPr>
          <w:b/>
        </w:rPr>
        <w:t>Patient sous anticoagulants oraux (AVK INR &gt; 1,7 ou AOD récent) thrombolysé</w:t>
      </w:r>
      <w:r>
        <w:t xml:space="preserve"> : risque d'hémorragie majeure. Vérifier INR et temps de coagulation avant thrombolyse.</w:t>
      </w:r>
    </w:p>
    <w:p>
      <w:pPr>
        <w:pStyle w:val="ListBullet"/>
      </w:pPr>
      <w:r>
        <w:t>Règle de prise : Dose unique en IV stricte, sous monitorage hospitalier.</w:t>
      </w:r>
    </w:p>
    <w:p>
      <w:pPr>
        <w:pStyle w:val="ListBullet"/>
      </w:pPr>
      <w:r>
        <w:t>Préparation et Conservation : Lyophilisat à reconstituer avec le solvant fourni (eau PPI), à conserver à température &lt; 25 °C. Ne pas congeler. Utiliser immédiatement après reconstitution (stabilité 24 h à 2-8 °C, mais à utiliser dans les 3 h).</w:t>
      </w:r>
    </w:p>
    <w:p>
      <w:pPr>
        <w:pStyle w:val="ListBullet"/>
      </w:pPr>
      <w:r>
        <w:t>Piège du surdosage : Surdosage accidentel → hypofibrinogénémie majeure, saignement généralisé. Arrêt immédiat, transfusion CGR + plaquettes + PFC + cryoprécipité, acide tranexamique 1 g IV.</w:t>
      </w:r>
    </w:p>
    <w:p>
      <w:pPr>
        <w:pStyle w:val="ListBullet"/>
      </w:pPr>
      <w:r>
        <w:t xml:space="preserve">Règle d'or : </w:t>
      </w:r>
      <w:r>
        <w:rPr>
          <w:b/>
        </w:rPr>
        <w:t>« Time is brain » dans l'AVC ischémique</w:t>
      </w:r>
      <w:r>
        <w:t xml:space="preserve"> — chaque minute gagnée avant thrombolyse = 1,9 million de neurones sauvés. Le délai door-to-needle doit être ≤ 60 min.</w:t>
      </w:r>
    </w:p>
    <w:p>
      <w:pPr>
        <w:pStyle w:val="ListBullet"/>
      </w:pPr>
      <w:r>
        <w:t xml:space="preserve">Règle d'or 2 : </w:t>
      </w:r>
      <w:r>
        <w:rPr>
          <w:b/>
        </w:rPr>
        <w:t>L'altéplase est le SEUL thrombolytique recommandé dans l'AVC ischémique &lt; 4 h 30</w:t>
      </w:r>
      <w:r>
        <w:t xml:space="preserve"> (avec IRM extension possible à 9 h si mismatch DWI-FLAIR).</w:t>
      </w:r>
    </w:p>
    <w:p>
      <w:pPr>
        <w:pStyle w:val="ListBullet"/>
      </w:pPr>
      <w:r>
        <w:t xml:space="preserve">Règle d'or 3 : </w:t>
      </w:r>
      <w:r>
        <w:rPr>
          <w:b/>
        </w:rPr>
        <w:t>L'altéplase doit être administrée par voie IV stricte, en perfusion dédiée, sous monitorage continu</w:t>
      </w:r>
      <w:r>
        <w:t xml:space="preserve"> — pas de mélange avec d'autres médicaments.</w:t>
      </w:r>
    </w:p>
    <w:p>
      <w:pPr>
        <w:pStyle w:val="ListBullet"/>
      </w:pPr>
      <w:r>
        <w:t>Pharmacovigilance : Tout effet indésirable grave (HIC, choc anaphylactique, décès) doit être déclaré.</w:t>
      </w:r>
    </w:p>
    <w:p>
      <w:pPr>
        <w:pStyle w:val="Heading3"/>
      </w:pPr>
      <w:r>
        <w:t>6.3. DCI : Ténectéplase (Seule)</w:t>
      </w:r>
    </w:p>
    <w:p>
      <w:r/>
      <w:r>
        <w:rPr>
          <w:b/>
        </w:rPr>
        <w:t>Liste des Catégories :</w:t>
      </w:r>
      <w:r>
        <w:t xml:space="preserve"> Thrombolytiques.</w:t>
      </w:r>
    </w:p>
    <w:p>
      <w:r>
        <w:t xml:space="preserve">La ténectéplase est un thrombolytique de dernière génération, dérivé de l'altéplase par </w:t>
      </w:r>
      <w:r>
        <w:rPr>
          <w:b/>
        </w:rPr>
        <w:t>mutagénèse dirigée</w:t>
      </w:r>
      <w:r>
        <w:t xml:space="preserve"> sur 3 acides aminés (T103, N117, KHRR 296-299 remplacés par AAAA). Ces mutations confèrent à la molécule trois propriétés améliorées : (1) une </w:t>
      </w:r>
      <w:r>
        <w:rPr>
          <w:b/>
        </w:rPr>
        <w:t>demi-vie prolongée</w:t>
      </w:r>
      <w:r>
        <w:t xml:space="preserve"> (≈ 22 min vs 5 min pour l'altéplase), permettant une administration en </w:t>
      </w:r>
      <w:r>
        <w:rPr>
          <w:b/>
        </w:rPr>
        <w:t>bolus unique</w:t>
      </w:r>
      <w:r>
        <w:t xml:space="preserve"> (5-10 secondes) au lieu d'une perfusion de 90 min ; (2) une </w:t>
      </w:r>
      <w:r>
        <w:rPr>
          <w:b/>
        </w:rPr>
        <w:t>affinité accrue pour la fibrine</w:t>
      </w:r>
      <w:r>
        <w:t xml:space="preserve"> (× 14) — fibrine-spécificité supérieure, moindre fibrinolyse systémique ; (3) une </w:t>
      </w:r>
      <w:r>
        <w:rPr>
          <w:b/>
        </w:rPr>
        <w:t>résistance accrue à l'inhibiteur PAI-1</w:t>
      </w:r>
      <w:r>
        <w:t xml:space="preserve"> (inhibiteur de l'activateur du plasminogène). Ces avantages en font le thrombolytique de choix dans l'IDM en pré-hospitalier (ASSENT-2 : équivalence d'efficacité avec l'altéplase, mais administration plus simple, moins de saignements non cérébraux). Son utilisation dans l'AVC ischémique est en cours d'évaluation (études EXTEND-IA TNK, TNK-S2B : supériorité sur l'altéplase en termes de reperfusion, indication en cours d'extension). En Algérie, elle est disponible sous la marque ELAXIM® (GenNova Biopharmaceuticals, Actif), en flacon de 5 mg/mL (50 mg/10 mL), avec une trousse complète (flacon poudre + solvant + seringue + lingettes alcoolisées).</w:t>
      </w:r>
    </w:p>
    <w:p>
      <w:r/>
      <w:r>
        <w:rPr>
          <w:b/>
        </w:rPr>
        <w:t>Médicaments disponibles en Algérie (Marques, Laboratoires, Formes et Dosages) :</w:t>
      </w:r>
      <w:r/>
    </w:p>
    <w:p>
      <w:pPr>
        <w:pStyle w:val="ListBullet"/>
      </w:pPr>
      <w:r/>
      <w:r>
        <w:rPr>
          <w:b/>
        </w:rPr>
        <w:t>ELAXIM</w:t>
      </w:r>
      <w:r>
        <w:t xml:space="preserve"> (GENNOVA BIOPHARMACEUTICALS LTD)</w:t>
      </w:r>
    </w:p>
    <w:p>
      <w:pPr>
        <w:pStyle w:val="ListBullet"/>
      </w:pPr>
      <w:r>
        <w:t>Formes et Dosages : Poudre et solvant pour solution injectable IV — 1 000 UI/mL ou 5 mg/mL (10 000 UI/10 mL ou 50 mg/10 mL)</w:t>
      </w:r>
    </w:p>
    <w:p>
      <w:pPr>
        <w:pStyle w:val="ListBullet"/>
      </w:pPr>
      <w:r>
        <w:t>Conditionnement : 1 flacon de poudre + 1 flacon de 10 mL EPPI + 1 seringue de 10 mL avec aiguille + 3 lingettes alcoolisées</w:t>
      </w:r>
    </w:p>
    <w:p>
      <w:pPr>
        <w:pStyle w:val="ListBullet"/>
      </w:pPr>
      <w:r>
        <w:t>Liste : Liste I</w:t>
      </w:r>
    </w:p>
    <w:p>
      <w:pPr>
        <w:pStyle w:val="ListBullet"/>
      </w:pPr>
      <w:r>
        <w:t>Statut : Actif</w:t>
      </w:r>
    </w:p>
    <w:p>
      <w:r/>
      <w:r>
        <w:rPr>
          <w:b/>
        </w:rPr>
        <w:t>Sous-classe et Mécanisme d'action :</w:t>
      </w:r>
      <w:r/>
    </w:p>
    <w:p>
      <w:pPr>
        <w:pStyle w:val="ListBullet"/>
      </w:pPr>
      <w:r>
        <w:t>Sous-classe : Thrombolytique recombinant, mutant de l'altéplase (3 mutations), fibrine-spécifique, à demi-vie prolongée.</w:t>
      </w:r>
    </w:p>
    <w:p>
      <w:pPr>
        <w:pStyle w:val="ListBullet"/>
      </w:pPr>
      <w:r>
        <w:t xml:space="preserve">Mécanisme d'action : La ténectéplase est une protéine recombinante de 527 acides aminés, identique à l'altéplase à l'exception de </w:t>
      </w:r>
      <w:r>
        <w:rPr>
          <w:b/>
        </w:rPr>
        <w:t>3 mutations</w:t>
      </w:r>
      <w:r>
        <w:t xml:space="preserve"> : (1) Thr103 → Asn (ajout d'un site de glycosylation) ; (2) Asn117 → Gln (suppression d'un site de glycosylation de type high-mannose, ralentissant la clairance hépatique) ; (3) Lys296-His297-Arg298-Arg299 → Ala-Ala-Ala-Ala (augmentation de l'affinité pour la fibrine et de la résistance au PAI-1). Ces mutations confèrent : (1) une </w:t>
      </w:r>
      <w:r>
        <w:rPr>
          <w:b/>
        </w:rPr>
        <w:t>demi-vie plasmatique prolongée</w:t>
      </w:r>
      <w:r>
        <w:t xml:space="preserve"> (≈ 22 min vs 5 min pour l'altéplase), permettant une administration en </w:t>
      </w:r>
      <w:r>
        <w:rPr>
          <w:b/>
        </w:rPr>
        <w:t>bolus IV unique de 5-10 secondes</w:t>
      </w:r>
      <w:r>
        <w:t xml:space="preserve"> (vs perfusion 90 min pour l'altéplase) — avantage majeur en pré-hospitalier et en cas de transfert ; (2) une </w:t>
      </w:r>
      <w:r>
        <w:rPr>
          <w:b/>
        </w:rPr>
        <w:t>affinité accrue pour la fibrine</w:t>
      </w:r>
      <w:r>
        <w:t xml:space="preserve"> (× 14 par rapport à l'altéplase), ce qui augmente la fibrine-spécificité et réduit la fibrinolyse systémique ; (3) une </w:t>
      </w:r>
      <w:r>
        <w:rPr>
          <w:b/>
        </w:rPr>
        <w:t>résistance à l'inhibiteur PAI-1</w:t>
      </w:r>
      <w:r>
        <w:t xml:space="preserve"> (× 80 par rapport à l'altéplase), ce qui prolonge l'activité thrombolytique au niveau du caillot. Comme l'altéplase, la ténectéplase active le plasminogène en plasmine par clivage de la liaison Arg561-Val562, avec spécificité fibrine-dépendante. La plasmine dégrade la fibrine en D-dimères. La ténectéplase n'est pas antigénique, autorisant une ré-administration (en cas de réocclusion).</w:t>
      </w:r>
    </w:p>
    <w:p>
      <w:r/>
      <w:r>
        <w:rPr>
          <w:b/>
        </w:rPr>
        <w:t>Profil Pharmacologique :</w:t>
      </w:r>
      <w:r/>
    </w:p>
    <w:p>
      <w:pPr>
        <w:pStyle w:val="ListBullet"/>
      </w:pPr>
      <w:r>
        <w:t xml:space="preserve">Indications : (1) </w:t>
      </w:r>
      <w:r>
        <w:rPr>
          <w:b/>
        </w:rPr>
        <w:t>IDM en phase aiguë</w:t>
      </w:r>
      <w:r>
        <w:t xml:space="preserve"> (STEMI, &lt; 12 h après le début des symptômes) en cas d'indisponibilité d'ICP primaire dans les délais recommandés (door-to-balloon ≤ 90 min) — dose unique weight-adjusted en bolus IV 5-10 secondes : 30 mg si &lt; 60 kg, 35 mg si 60-69 kg, 40 mg si 70-79 kg, 45 mg si 80-89 kg, 50 mg si ≥ 90 kg (dose max 50 mg, correspondant à environ 0,5-0,6 mg/kg). Étude ASSENT-2 : équivalence d'efficacité avec l'altéplase, moins de saignements non cérébraux, mortalité à 30 j identique. La ténectéplase est </w:t>
      </w:r>
      <w:r>
        <w:rPr>
          <w:b/>
        </w:rPr>
        <w:t>préférée à l'altéplase en pré-hospitalier</w:t>
      </w:r>
      <w:r>
        <w:t xml:space="preserve"> (SMUR) en raison de sa facilité d'administration en bolus unique ; (2) </w:t>
      </w:r>
      <w:r>
        <w:rPr>
          <w:b/>
        </w:rPr>
        <w:t>AVC ischémique aigu</w:t>
      </w:r>
      <w:r>
        <w:t xml:space="preserve"> (extension d'indication selon études EXTEND-IA TNK et TNK-S2B) — dose 0,25 mg/kg en bolus IV (max 25 mg), inférieure à la dose IDM pour réduire le risque hémorragique. La ténectéplase pourrait devenir le thrombolytique de référence dans l'AVC en raison d'une meilleure reperfusion et d'une administration simplifiée. En attente d'AMM spécifique AVC dans certains pays.</w:t>
      </w:r>
    </w:p>
    <w:p>
      <w:pPr>
        <w:pStyle w:val="ListBullet"/>
      </w:pPr>
      <w:r>
        <w:t>Contre-indications : Identiques à l'altéplase : (1) Hémorragie active ; (2) Antécédent d'hémorragie intracrânienne ; (3) AVC ischémique &lt; 3 mois (sauf indication AVC aigu) ; (4) Tumeur cérébrale, malformation artério-veineuse, anévrisme cérébral ; (5) Traumatisme crânien récent ; (6) Chirurgie majeure &lt; 3 semaines ; (7) Traumatisme majeur &lt; 3 semaines ; (8) Hypertension artérielle sévère non contrôlée (PAS &gt; 180 mmHg ou PAD &gt; 110 mmHg) ; (9) Diathèse hémorragique connue ; (10) Endocardite infectieuse ; (11) Péricardite ; (12) Anévrysme aortique ; (13) Patients sous anticoagulants oraux (INR &gt; 1,7) ; (14) Pour l'AVC : scanner cérébral montrant un infarctus déjà constitué étendu, saignement intracrânique. Précautions : patients âgés &gt; 75 ans, diabète, insuffisance rénale.</w:t>
      </w:r>
    </w:p>
    <w:p>
      <w:pPr>
        <w:pStyle w:val="ListBullet"/>
      </w:pPr>
      <w:r>
        <w:t xml:space="preserve">Effets Indésirables : (1) </w:t>
      </w:r>
      <w:r>
        <w:rPr>
          <w:b/>
        </w:rPr>
        <w:t>Hémorr</w:t>
      </w:r>
      <w:r>
        <w:t>h</w:t>
      </w:r>
      <w:r>
        <w:rPr>
          <w:b/>
        </w:rPr>
        <w:t>ies</w:t>
      </w:r>
      <w:r>
        <w:t xml:space="preserve"> — risque majeur, notamment </w:t>
      </w:r>
      <w:r>
        <w:rPr>
          <w:b/>
        </w:rPr>
        <w:t>hémorragie intracrânienne</w:t>
      </w:r>
      <w:r>
        <w:t xml:space="preserve"> (0,9 % dans l'IDM ASSENT-2, similaire à l'altéplase), saignement au site de ponction, hémorragie digestive, urinaire, gingivorragie. Moins de saignements non cérébraux majeurs que l'altéplase (ASSENT-2) ; (2) </w:t>
      </w:r>
      <w:r>
        <w:rPr>
          <w:b/>
        </w:rPr>
        <w:t>Hypofibrinogénémie</w:t>
      </w:r>
      <w:r>
        <w:t xml:space="preserve"> — plus modérée qu'avec la streptokinase et l'altéplase (meilleure fibrine-spécificité) ; (3) </w:t>
      </w:r>
      <w:r>
        <w:rPr>
          <w:b/>
        </w:rPr>
        <w:t>Hypotension</w:t>
      </w:r>
      <w:r>
        <w:t xml:space="preserve"> — moins fréquente qu'avec la streptokinase ; (4) </w:t>
      </w:r>
      <w:r>
        <w:rPr>
          <w:b/>
        </w:rPr>
        <w:t>Réactions allergiques</w:t>
      </w:r>
      <w:r>
        <w:t xml:space="preserve"> — rares (protéine humaine recombinante, faiblement antigénique) ; (5) </w:t>
      </w:r>
      <w:r>
        <w:rPr>
          <w:b/>
        </w:rPr>
        <w:t>Arythmies de reperfusion</w:t>
      </w:r>
      <w:r>
        <w:t xml:space="preserve"> (TV, FV, bradycardie sinusale) dans l'IDM ; (6) Angio-œdème (rare) ; (7) Thrombopénie transitoire.</w:t>
      </w:r>
    </w:p>
    <w:p>
      <w:r/>
      <w:r>
        <w:rPr>
          <w:b/>
        </w:rPr>
        <w:t>Prévention et Gestion des Effets Indésirables :</w:t>
      </w:r>
      <w:r/>
    </w:p>
    <w:p>
      <w:pPr>
        <w:pStyle w:val="ListBullet"/>
      </w:pPr>
      <w:r>
        <w:t xml:space="preserve">Mesures Préventives : Identiques à l'altéplase : (1) Sélection stricte des patients selon les CI ; (2) Contrôle strict de la PA avant perfusion (≤ 180/110 mmHg pour l'IDM, ≤ 185/110 mmHg pour l'AVC) ; (3) Voie veineuse périphérique unique, éviter ponctions artérielles et IM pendant 24 h ; (4) Bilan pré-thérapeutique : NFS, plaquettes, TP, TCA, fibrinogène, groupage, RAI, βHCG, scanner cérébral (AVC) ; (5) Surveillance continue ECG, PA, SpO2 pendant et 24 h après perfusion ; (6) Disponibilité de protocoles de prise en charge de l'hémorragie (transfusion CGR, plaquettes, PFC, cryoprécipité, acide tranexamique) ; (7) Éviter les gestes invasifs pendant 24 h ; (8) </w:t>
      </w:r>
      <w:r>
        <w:rPr>
          <w:b/>
        </w:rPr>
        <w:t>Avantage majeur de la ténectéplase : administration en bolus unique IV 5-10 secondes, sans perfusion prolongée, ce qui facilite l'usage pré-hospitalier (SMUR)</w:t>
      </w:r>
      <w:r>
        <w:t>.</w:t>
      </w:r>
    </w:p>
    <w:p>
      <w:pPr>
        <w:pStyle w:val="ListBullet"/>
      </w:pPr>
      <w:r>
        <w:t>Conduite à Tenir : Identique à l'altéplase : (1) Hémorragie majeure : arrêt immédiat (déjà en bolus), compression du site de saignement, transfusion CGR + plaquettes + PFC, cryoprécipité si hypofibrinogénémie &lt; 1 g/L, acide tranexamique 1 g IV, avis spécialisé ; (2) HIC suspectée : arrêt immédiat, scanner cérébral en urgence, neurochirurgie ; (3) Réaction allergique : antihistaminique + paracétamol, poursuivre la surveillance ; (4) Anaphylaxie : adrénaline IV/IM, antihistaminique, corticoïde, remplissage, oxygène ; (5) Hypotension : remplissage, vasopresseurs si sévère ; (6) Arythmie de reperfusion : cardioversion électrique si instabilité, lidocaïne IV, amiodarone IV ; (7) Angio-œdème : antihistaminique, corticoïde, adrénaline si obstruction des voies aériennes.</w:t>
      </w:r>
    </w:p>
    <w:p>
      <w:r/>
      <w:r>
        <w:rPr>
          <w:b/>
        </w:rPr>
        <w:t>Interactions Importantes :</w:t>
      </w:r>
      <w:r/>
    </w:p>
    <w:p>
      <w:pPr>
        <w:pStyle w:val="ListBullet"/>
      </w:pPr>
      <w:r>
        <w:t xml:space="preserve">Identiques à l'altéplase : (1) </w:t>
      </w:r>
      <w:r>
        <w:rPr>
          <w:b/>
        </w:rPr>
        <w:t>Ténectéplase + Anticoagulants oraux (AVK/AOD)</w:t>
      </w:r>
      <w:r>
        <w:t xml:space="preserve"> : CI si INR &gt; 1,7 ou AOD récent ; (2) </w:t>
      </w:r>
      <w:r>
        <w:rPr>
          <w:b/>
        </w:rPr>
        <w:t>Ténectéplase + Héparines (HNF, HBPM)</w:t>
      </w:r>
      <w:r>
        <w:t xml:space="preserve"> : Risque hémorragique majoré, mais héparine associée selon protocole dans l'IDM ; (3) </w:t>
      </w:r>
      <w:r>
        <w:rPr>
          <w:b/>
        </w:rPr>
        <w:t>Ténectéplase + Antiagrégants plaquettaires (aspirine, clopidogrel)</w:t>
      </w:r>
      <w:r>
        <w:t xml:space="preserve"> : Risque hémorragique majoré, mais aspirine souvent associée dans l'IDM ; (4) </w:t>
      </w:r>
      <w:r>
        <w:rPr>
          <w:b/>
        </w:rPr>
        <w:t>Ténectéplase + AINS</w:t>
      </w:r>
      <w:r>
        <w:t xml:space="preserve"> : CI ; (5) </w:t>
      </w:r>
      <w:r>
        <w:rPr>
          <w:b/>
        </w:rPr>
        <w:t>Ténectéplase + Acide tranexamique (antifibrinolytique)</w:t>
      </w:r>
      <w:r>
        <w:t xml:space="preserve"> : Antagoniste, à utiliser en cas d'hémorragie ; (6) </w:t>
      </w:r>
      <w:r>
        <w:rPr>
          <w:b/>
        </w:rPr>
        <w:t>Ténectéplase + IEC/ARA II</w:t>
      </w:r>
      <w:r>
        <w:t xml:space="preserve"> : Risque d'angio-œdème majoré ; (7) </w:t>
      </w:r>
      <w:r>
        <w:rPr>
          <w:b/>
        </w:rPr>
        <w:t>Ténectéplase + Autre thrombolytique</w:t>
      </w:r>
      <w:r>
        <w:t xml:space="preserve"> : CI.</w:t>
      </w:r>
    </w:p>
    <w:p>
      <w:r/>
      <w:r>
        <w:rPr>
          <w:b/>
        </w:rPr>
        <w:t>Grossesse et Allaitement :</w:t>
      </w:r>
      <w:r/>
    </w:p>
    <w:p>
      <w:pPr>
        <w:pStyle w:val="ListBullet"/>
      </w:pPr>
      <w:r>
        <w:t>Grossesse : Données limitées chez la femme enceinte. Risque théorique de détachement placentaire, d'hémorragie materno-fœtale. Selon le CRAT, la ténectéplase peut être utilisée pendant la grossesse en cas d'embolie pulmonaire grave ou d'AVC ischémique aigu mettant en jeu le pronostic vital maternel (bénéfice &gt; risque). Préférer l'altéplase si disponible (données plus nombreuses).</w:t>
      </w:r>
    </w:p>
    <w:p>
      <w:pPr>
        <w:pStyle w:val="ListBullet"/>
      </w:pPr>
      <w:r>
        <w:t>Allaitement : Passage dans le lait non documenté. Probablement faible. Allaitement possible selon le CRAT, en surveillant l'enfant.</w:t>
      </w:r>
    </w:p>
    <w:p>
      <w:pPr>
        <w:pStyle w:val="ListBullet"/>
      </w:pPr>
      <w:r>
        <w:t>Précautions : Dans l'embolie pulmonaire gravidique grave ou l'AVC ischémique gravidique, la ténectéplase peut être utilisée en dernière intention.</w:t>
      </w:r>
    </w:p>
    <w:p>
      <w:r/>
      <w:r>
        <w:rPr>
          <w:b/>
        </w:rPr>
        <w:t>Posologie et Mode d'administration (Standard) :</w:t>
      </w:r>
      <w:r/>
    </w:p>
    <w:p>
      <w:pPr>
        <w:pStyle w:val="ListBullet"/>
      </w:pPr>
      <w:r>
        <w:t>Adulte :</w:t>
      </w:r>
    </w:p>
    <w:p>
      <w:pPr>
        <w:pStyle w:val="ListBullet"/>
      </w:pPr>
      <w:r/>
      <w:r>
        <w:rPr>
          <w:b/>
        </w:rPr>
        <w:t>IDM STEMI</w:t>
      </w:r>
      <w:r>
        <w:t xml:space="preserve"> : dose unique weight-adjusted en bolus IV 5-10 secondes : 30 mg si &lt; 60 kg, 35 mg si 60-69 kg, 40 mg si 70-79 kg, 45 mg si 80-89 kg, 50 mg si ≥ 90 kg (dose max 50 mg). À administrer idéalement &lt; 6 h après le début des symptômes (efficacité diminuée au-delà).</w:t>
      </w:r>
    </w:p>
    <w:p>
      <w:pPr>
        <w:pStyle w:val="ListBullet"/>
      </w:pPr>
      <w:r/>
      <w:r>
        <w:rPr>
          <w:b/>
        </w:rPr>
        <w:t>AVC ischémique aigu</w:t>
      </w:r>
      <w:r>
        <w:t xml:space="preserve"> (en extension d'indication) : 0,25 mg/kg en bolus IV (max 25 mg). Inférieure à la dose IDM pour réduire le risque hémorragique.</w:t>
      </w:r>
    </w:p>
    <w:p>
      <w:pPr>
        <w:pStyle w:val="ListBullet"/>
      </w:pPr>
      <w:r>
        <w:t>Sujet âgé &gt; 75 ans : Pas d'adaptation posologique dans l'IDM. Dans l'AVC, à discuter (bénéfice moindre et risque majoré &gt; 80 ans).</w:t>
      </w:r>
    </w:p>
    <w:p>
      <w:pPr>
        <w:pStyle w:val="ListBullet"/>
      </w:pPr>
      <w:r>
        <w:t>Insuffisance rénale/hépatique : Pas d'adaptation posologique.</w:t>
      </w:r>
    </w:p>
    <w:p>
      <w:pPr>
        <w:pStyle w:val="ListBullet"/>
      </w:pPr>
      <w:r>
        <w:t>Enfant : Indications exceptionnelles, protocoles spécialisés.</w:t>
      </w:r>
    </w:p>
    <w:p>
      <w:pPr>
        <w:pStyle w:val="ListBullet"/>
      </w:pPr>
      <w:r>
        <w:t>Durée : Dose unique (IDM, AVC, EP). Pas de traitement d'entretien.</w:t>
      </w:r>
    </w:p>
    <w:p>
      <w:pPr>
        <w:pStyle w:val="ListBullet"/>
      </w:pPr>
      <w:r>
        <w:t xml:space="preserve">Mode d'administration : </w:t>
      </w:r>
      <w:r>
        <w:rPr>
          <w:b/>
        </w:rPr>
        <w:t>Bolus IV unique 5-10 secondes</w:t>
      </w:r>
      <w:r>
        <w:t>, via un cathéter veineux périphérique de bon calibre, sous monitorage continu ECG, PA, SpO2.</w:t>
      </w:r>
    </w:p>
    <w:p>
      <w:r/>
      <w:r>
        <w:rPr>
          <w:b/>
        </w:rPr>
        <w:t>Arbitrage et Bénéfices des Formes Galéniques :</w:t>
      </w:r>
      <w:r/>
    </w:p>
    <w:p>
      <w:pPr>
        <w:pStyle w:val="ListBullet"/>
      </w:pPr>
      <w:r>
        <w:t>Forme unique : poudre et solvant pour solution injectable IV, à reconstituer avec le solvant fourni (NaCl 0,9 % ou eau PPI). Dosage : 1 000 UI/mL = 5 mg/mL (10 000 UI/10 mL = 50 mg/10 mL). Conditionnement complet : flacon poudre + flacon solvant + seringue + aiguille + lingettes alcoolisées — pratique pour l'usage pré-hospitalier (SMUR).</w:t>
      </w:r>
    </w:p>
    <w:p>
      <w:pPr>
        <w:pStyle w:val="ListBullet"/>
      </w:pPr>
      <w:r>
        <w:t xml:space="preserve">Avantage majeur : </w:t>
      </w:r>
      <w:r>
        <w:rPr>
          <w:b/>
        </w:rPr>
        <w:t>administration en bolus unique IV 5-10 secondes</w:t>
      </w:r>
      <w:r>
        <w:t xml:space="preserve"> (vs perfusion 90 min pour l'altéplase) — facilite l'usage pré-hospitalier, permet de gagner un temps précieux dans l'IDM (« time is muscle »).</w:t>
      </w:r>
    </w:p>
    <w:p>
      <w:pPr>
        <w:pStyle w:val="ListBullet"/>
      </w:pPr>
      <w:r>
        <w:t>Pas de forme prête à l'emploi (nécessité de reconstitution).</w:t>
      </w:r>
    </w:p>
    <w:p>
      <w:pPr>
        <w:pStyle w:val="ListBullet"/>
      </w:pPr>
      <w:r>
        <w:t>Pas de forme orale, IM ou SC.</w:t>
      </w:r>
    </w:p>
    <w:p>
      <w:pPr>
        <w:pStyle w:val="ListBullet"/>
      </w:pPr>
      <w:r>
        <w:t>Conservation à température &lt; 25 °C, à l'abri de la lumière. Ne pas congeler.</w:t>
      </w:r>
    </w:p>
    <w:p>
      <w:pPr>
        <w:pStyle w:val="ListBullet"/>
      </w:pPr>
      <w:r>
        <w:t>La ténectéplase ne doit pas être mélangée à d'autres médicaments dans la même perfusion.</w:t>
      </w:r>
    </w:p>
    <w:p>
      <w:r/>
      <w:r>
        <w:rPr>
          <w:b/>
        </w:rPr>
        <w:t>Instructions et Conseils au Patient :</w:t>
      </w:r>
      <w:r/>
    </w:p>
    <w:p>
      <w:pPr>
        <w:pStyle w:val="ListBullet"/>
      </w:pPr>
      <w:r>
        <w:t>Communication au comptoir / en milieu hospitalier : « Ce médicament d'urgence dissout le caillot responsable de votre infarctus. Il est administré en une seule injection intraveineuse rapide (bolus), en milieu hospitalier ou pré-hospitalier (SMUR). Il peut provoquer des saignements, dont des saignements cérébraux. Vous serez surveillé en continu pendant et après l'injection. Prévenez immédiatement le personnel soignant en cas de céphalées brutales, vertiges, confusion, saignements. »</w:t>
      </w:r>
    </w:p>
    <w:p>
      <w:pPr>
        <w:pStyle w:val="ListBullet"/>
      </w:pPr>
      <w:r>
        <w:t>Mode d'utilisation pratique : (1) Administration exclusivement hospitalière ou pré-hospitalière (SMUR), par voie IV stricte en bolus unique 5-10 secondes ; (2) Interrogatoire préalable systématique sur les antécédents (hémorragie, AVC, chirurgie, traumatisme, grossesse) ; (3) Scanner cérébral systématique en cas d'AVC ; (4) Surveillance continue ECG, PA, SpO2, neurologique (AVC) pendant l'injection et 24 h après ; (5) Pas de ponction artérielle ou IM pendant 24 h ; (6) Signaler immédiatement tout symptôme anormal ; (7) Dans l'AVC : contrôle de la PA, pas d'aspirine ni d'anticoagulant pendant 24 h.</w:t>
      </w:r>
    </w:p>
    <w:p>
      <w:r/>
      <w:r>
        <w:rPr>
          <w:b/>
        </w:rPr>
        <w:t>Notes, Règles d'Or &amp; Pièges au Comptoir :</w:t>
      </w:r>
      <w:r/>
    </w:p>
    <w:p>
      <w:pPr>
        <w:pStyle w:val="ListBullet"/>
      </w:pPr>
      <w:r>
        <w:t xml:space="preserve">Piège classique : </w:t>
      </w:r>
      <w:r>
        <w:rPr>
          <w:b/>
        </w:rPr>
        <w:t>Confusion entre posologie IDM (30-50 mg en bolus) et posologie AVC (0,25 mg/kg max 25 mg)</w:t>
      </w:r>
      <w:r>
        <w:t xml:space="preserve"> : la dose AVC est </w:t>
      </w:r>
      <w:r>
        <w:rPr>
          <w:b/>
        </w:rPr>
        <w:t>inférieure</w:t>
      </w:r>
      <w:r>
        <w:t xml:space="preserve"> à la dose IDM pour réduire le risque hémorragique. Toujours vérifier l'indication avant administration.</w:t>
      </w:r>
    </w:p>
    <w:p>
      <w:pPr>
        <w:pStyle w:val="ListBullet"/>
      </w:pPr>
      <w:r>
        <w:t xml:space="preserve">Piège classique : </w:t>
      </w:r>
      <w:r>
        <w:rPr>
          <w:b/>
        </w:rPr>
        <w:t>Administration en perfusion prolongée au lieu de bolus</w:t>
      </w:r>
      <w:r>
        <w:t xml:space="preserve"> : la ténectéplase doit être administrée en </w:t>
      </w:r>
      <w:r>
        <w:rPr>
          <w:b/>
        </w:rPr>
        <w:t>bolus IV unique 5-10 secondes</w:t>
      </w:r>
      <w:r>
        <w:t>, pas en perfusion prolongée. Vérifier le protocole.</w:t>
      </w:r>
    </w:p>
    <w:p>
      <w:pPr>
        <w:pStyle w:val="ListBullet"/>
      </w:pPr>
      <w:r>
        <w:t xml:space="preserve">Piège classique : </w:t>
      </w:r>
      <w:r>
        <w:rPr>
          <w:b/>
        </w:rPr>
        <w:t>Thrombolyse pour AVC &gt; 4 h 30 sans IRM mismatch</w:t>
      </w:r>
      <w:r>
        <w:t xml:space="preserve"> : CI formelle.</w:t>
      </w:r>
    </w:p>
    <w:p>
      <w:pPr>
        <w:pStyle w:val="ListBullet"/>
      </w:pPr>
      <w:r>
        <w:t xml:space="preserve">Piège classique : </w:t>
      </w:r>
      <w:r>
        <w:rPr>
          <w:b/>
        </w:rPr>
        <w:t>PA &gt; 185/110 mmHg non contrôlée avant thrombolyse pour AVC</w:t>
      </w:r>
      <w:r>
        <w:t xml:space="preserve"> : risque majeur d'HIC.</w:t>
      </w:r>
    </w:p>
    <w:p>
      <w:pPr>
        <w:pStyle w:val="ListBullet"/>
      </w:pPr>
      <w:r>
        <w:t>Règle de prise : Dose unique en bolus IV 5-10 secondes, sous monitorage hospitalier.</w:t>
      </w:r>
    </w:p>
    <w:p>
      <w:pPr>
        <w:pStyle w:val="ListBullet"/>
      </w:pPr>
      <w:r>
        <w:t>Préparation et Conservation : Poudre à reconstituer avec le solvant fourni, à conserver à température &lt; 25 °C. Ne pas congeler. Utiliser immédiatement après reconstitution.</w:t>
      </w:r>
    </w:p>
    <w:p>
      <w:pPr>
        <w:pStyle w:val="ListBullet"/>
      </w:pPr>
      <w:r>
        <w:t>Piège du surdosage : Surdosage accidentel → hypofibrinogénémie majeure, saignement généralisé. Arrêt immédiat, transfusion CGR + plaquettes + PFC + cryoprécipité, acide tranexamique 1 g IV.</w:t>
      </w:r>
    </w:p>
    <w:p>
      <w:pPr>
        <w:pStyle w:val="ListBullet"/>
      </w:pPr>
      <w:r>
        <w:t xml:space="preserve">Règle d'or : </w:t>
      </w:r>
      <w:r>
        <w:rPr>
          <w:b/>
        </w:rPr>
        <w:t>La ténectéplase est le thrombolytique de référence dans l'IDM en pré-hospitalier</w:t>
      </w:r>
      <w:r>
        <w:t xml:space="preserve"> (SMUR) en raison de sa facilité d'administration en bolus unique — préférée à l'altéplase si transfert prolongé.</w:t>
      </w:r>
    </w:p>
    <w:p>
      <w:pPr>
        <w:pStyle w:val="ListBullet"/>
      </w:pPr>
      <w:r>
        <w:t xml:space="preserve">Règle d'or 2 : </w:t>
      </w:r>
      <w:r>
        <w:rPr>
          <w:b/>
        </w:rPr>
        <w:t>La ténectéplase n'a pas encore d'AMM formelle dans l'AVC ischémique</w:t>
      </w:r>
      <w:r>
        <w:t xml:space="preserve"> dans tous les pays, mais les études récentes (EXTEND-IA TNK, TNK-S2B) montrent une supériorité sur l'altéplase en termes de reperfusion. Indication en cours d'extension.</w:t>
      </w:r>
    </w:p>
    <w:p>
      <w:pPr>
        <w:pStyle w:val="ListBullet"/>
      </w:pPr>
      <w:r>
        <w:t xml:space="preserve">Règle d'or 3 : </w:t>
      </w:r>
      <w:r>
        <w:rPr>
          <w:b/>
        </w:rPr>
        <w:t>Le conditionnement de la ténectéplase (ELAXIM) inclut une trousse complète</w:t>
      </w:r>
      <w:r>
        <w:t xml:space="preserve"> (flacon poudre + solvant + seringue + aiguille + lingettes alcoolisées) — pratique pour l'usage pré-hospitalier.</w:t>
      </w:r>
    </w:p>
    <w:p>
      <w:pPr>
        <w:pStyle w:val="ListBullet"/>
      </w:pPr>
      <w:r>
        <w:t>Pharmacovigilance : Tout effet indésirable grave (HIC, choc anaphylactique, décès) doit être déclaré.</w:t>
      </w:r>
    </w:p>
    <w:p>
      <w:pPr>
        <w:pStyle w:val="Heading2"/>
      </w:pPr>
      <w:r>
        <w:t>Tableau Comparatif Synthétique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Cible / Mécanisme</w:t>
            </w:r>
          </w:p>
        </w:tc>
        <w:tc>
          <w:tcPr>
            <w:tcW w:type="dxa" w:w="1169"/>
          </w:tcPr>
          <w:p>
            <w:r>
              <w:rPr>
                <w:b/>
                <w:sz w:val="20"/>
              </w:rPr>
              <w:t>Demi-vie</w:t>
            </w:r>
          </w:p>
        </w:tc>
        <w:tc>
          <w:tcPr>
            <w:tcW w:type="dxa" w:w="1169"/>
          </w:tcPr>
          <w:p>
            <w:r>
              <w:rPr>
                <w:b/>
                <w:sz w:val="20"/>
              </w:rPr>
              <w:t>Posologie standard</w:t>
            </w:r>
          </w:p>
        </w:tc>
        <w:tc>
          <w:tcPr>
            <w:tcW w:type="dxa" w:w="1169"/>
          </w:tcPr>
          <w:p>
            <w:r>
              <w:rPr>
                <w:b/>
                <w:sz w:val="20"/>
              </w:rPr>
              <w:t>EI majeur</w:t>
            </w:r>
          </w:p>
        </w:tc>
        <w:tc>
          <w:tcPr>
            <w:tcW w:type="dxa" w:w="1169"/>
          </w:tcPr>
          <w:p>
            <w:r>
              <w:rPr>
                <w:b/>
                <w:sz w:val="20"/>
              </w:rPr>
              <w:t>CI principales</w:t>
            </w:r>
          </w:p>
        </w:tc>
        <w:tc>
          <w:tcPr>
            <w:tcW w:type="dxa" w:w="1169"/>
          </w:tcPr>
          <w:p>
            <w:r>
              <w:rPr>
                <w:b/>
                <w:sz w:val="20"/>
              </w:rPr>
              <w:t>Grossesse</w:t>
            </w:r>
          </w:p>
        </w:tc>
      </w:tr>
      <w:tr>
        <w:tc>
          <w:tcPr>
            <w:tcW w:type="dxa" w:w="1169"/>
          </w:tcPr>
          <w:p>
            <w:r>
              <w:rPr>
                <w:sz w:val="20"/>
              </w:rPr>
              <w:t>**Clopidogrel**</w:t>
            </w:r>
          </w:p>
        </w:tc>
        <w:tc>
          <w:tcPr>
            <w:tcW w:type="dxa" w:w="1169"/>
          </w:tcPr>
          <w:p>
            <w:r>
              <w:rPr>
                <w:sz w:val="20"/>
              </w:rPr>
              <w:t>Thiénopyridine 2e gén. (P2Y12)</w:t>
            </w:r>
          </w:p>
        </w:tc>
        <w:tc>
          <w:tcPr>
            <w:tcW w:type="dxa" w:w="1169"/>
          </w:tcPr>
          <w:p>
            <w:r>
              <w:rPr>
                <w:sz w:val="20"/>
              </w:rPr>
              <w:t>P2Y12 (irréversible), prodrogue CYP2C19</w:t>
            </w:r>
          </w:p>
        </w:tc>
        <w:tc>
          <w:tcPr>
            <w:tcW w:type="dxa" w:w="1169"/>
          </w:tcPr>
          <w:p>
            <w:r>
              <w:rPr>
                <w:sz w:val="20"/>
              </w:rPr>
              <w:t>6-8 h (métabolite actif : effet 7-10 j)</w:t>
            </w:r>
          </w:p>
        </w:tc>
        <w:tc>
          <w:tcPr>
            <w:tcW w:type="dxa" w:w="1169"/>
          </w:tcPr>
          <w:p>
            <w:r>
              <w:rPr>
                <w:sz w:val="20"/>
              </w:rPr>
              <w:t>75 mg/j (charge 300-600 mg)</w:t>
            </w:r>
          </w:p>
        </w:tc>
        <w:tc>
          <w:tcPr>
            <w:tcW w:type="dxa" w:w="1169"/>
          </w:tcPr>
          <w:p>
            <w:r>
              <w:rPr>
                <w:sz w:val="20"/>
              </w:rPr>
              <w:t>Hémorragies, PTT rare, rash</w:t>
            </w:r>
          </w:p>
        </w:tc>
        <w:tc>
          <w:tcPr>
            <w:tcW w:type="dxa" w:w="1169"/>
          </w:tcPr>
          <w:p>
            <w:r>
              <w:rPr>
                <w:sz w:val="20"/>
              </w:rPr>
              <w:t>Hémorragie active, allaitement</w:t>
            </w:r>
          </w:p>
        </w:tc>
        <w:tc>
          <w:tcPr>
            <w:tcW w:type="dxa" w:w="1169"/>
          </w:tcPr>
          <w:p>
            <w:r>
              <w:rPr>
                <w:sz w:val="20"/>
              </w:rPr>
              <w:t>À éviter (CRAT)</w:t>
            </w:r>
          </w:p>
        </w:tc>
      </w:tr>
      <w:tr>
        <w:tc>
          <w:tcPr>
            <w:tcW w:type="dxa" w:w="1169"/>
          </w:tcPr>
          <w:p>
            <w:r>
              <w:rPr>
                <w:sz w:val="20"/>
              </w:rPr>
              <w:t>**Prasugrel**</w:t>
            </w:r>
          </w:p>
        </w:tc>
        <w:tc>
          <w:tcPr>
            <w:tcW w:type="dxa" w:w="1169"/>
          </w:tcPr>
          <w:p>
            <w:r>
              <w:rPr>
                <w:sz w:val="20"/>
              </w:rPr>
              <w:t>Thiénopyridine 3e gén. (P2Y12)</w:t>
            </w:r>
          </w:p>
        </w:tc>
        <w:tc>
          <w:tcPr>
            <w:tcW w:type="dxa" w:w="1169"/>
          </w:tcPr>
          <w:p>
            <w:r>
              <w:rPr>
                <w:sz w:val="20"/>
              </w:rPr>
              <w:t>P2Y12 (irréversible), prodrogue CYP3A4/2B6</w:t>
            </w:r>
          </w:p>
        </w:tc>
        <w:tc>
          <w:tcPr>
            <w:tcW w:type="dxa" w:w="1169"/>
          </w:tcPr>
          <w:p>
            <w:r>
              <w:rPr>
                <w:sz w:val="20"/>
              </w:rPr>
              <w:t>7 h (métabolite actif : effet 7-10 j)</w:t>
            </w:r>
          </w:p>
        </w:tc>
        <w:tc>
          <w:tcPr>
            <w:tcW w:type="dxa" w:w="1169"/>
          </w:tcPr>
          <w:p>
            <w:r>
              <w:rPr>
                <w:sz w:val="20"/>
              </w:rPr>
              <w:t>10 mg/j (charge 60 mg)</w:t>
            </w:r>
          </w:p>
        </w:tc>
        <w:tc>
          <w:tcPr>
            <w:tcW w:type="dxa" w:w="1169"/>
          </w:tcPr>
          <w:p>
            <w:r>
              <w:rPr>
                <w:sz w:val="20"/>
              </w:rPr>
              <w:t>Hémorragies ++, PTT rare</w:t>
            </w:r>
          </w:p>
        </w:tc>
        <w:tc>
          <w:tcPr>
            <w:tcW w:type="dxa" w:w="1169"/>
          </w:tcPr>
          <w:p>
            <w:r>
              <w:rPr>
                <w:sz w:val="20"/>
              </w:rPr>
              <w:t>ATC AVC/AIT, &gt; 75 ans, &lt; 60 kg</w:t>
            </w:r>
          </w:p>
        </w:tc>
        <w:tc>
          <w:tcPr>
            <w:tcW w:type="dxa" w:w="1169"/>
          </w:tcPr>
          <w:p>
            <w:r>
              <w:rPr>
                <w:sz w:val="20"/>
              </w:rPr>
              <w:t>À éviter (CRAT)</w:t>
            </w:r>
          </w:p>
        </w:tc>
      </w:tr>
      <w:tr>
        <w:tc>
          <w:tcPr>
            <w:tcW w:type="dxa" w:w="1169"/>
          </w:tcPr>
          <w:p>
            <w:r>
              <w:rPr>
                <w:sz w:val="20"/>
              </w:rPr>
              <w:t>**Ticagrelor**</w:t>
            </w:r>
          </w:p>
        </w:tc>
        <w:tc>
          <w:tcPr>
            <w:tcW w:type="dxa" w:w="1169"/>
          </w:tcPr>
          <w:p>
            <w:r>
              <w:rPr>
                <w:sz w:val="20"/>
              </w:rPr>
              <w:t>Cyclopentyl-triazolo-pyrimidine (P2Y12 réversible)</w:t>
            </w:r>
          </w:p>
        </w:tc>
        <w:tc>
          <w:tcPr>
            <w:tcW w:type="dxa" w:w="1169"/>
          </w:tcPr>
          <w:p>
            <w:r>
              <w:rPr>
                <w:sz w:val="20"/>
              </w:rPr>
              <w:t>P2Y12 allostérique réversible + ENT-1</w:t>
            </w:r>
          </w:p>
        </w:tc>
        <w:tc>
          <w:tcPr>
            <w:tcW w:type="dxa" w:w="1169"/>
          </w:tcPr>
          <w:p>
            <w:r>
              <w:rPr>
                <w:sz w:val="20"/>
              </w:rPr>
              <w:t>7-12 h</w:t>
            </w:r>
          </w:p>
        </w:tc>
        <w:tc>
          <w:tcPr>
            <w:tcW w:type="dxa" w:w="1169"/>
          </w:tcPr>
          <w:p>
            <w:r>
              <w:rPr>
                <w:sz w:val="20"/>
              </w:rPr>
              <w:t>90 mg x2/j (charge 180 mg)</w:t>
            </w:r>
          </w:p>
        </w:tc>
        <w:tc>
          <w:tcPr>
            <w:tcW w:type="dxa" w:w="1169"/>
          </w:tcPr>
          <w:p>
            <w:r>
              <w:rPr>
                <w:sz w:val="20"/>
              </w:rPr>
              <w:t>Dyspnée (10-15 %), bradycardie, hémorragies, hyperuricémie</w:t>
            </w:r>
          </w:p>
        </w:tc>
        <w:tc>
          <w:tcPr>
            <w:tcW w:type="dxa" w:w="1169"/>
          </w:tcPr>
          <w:p>
            <w:r>
              <w:rPr>
                <w:sz w:val="20"/>
              </w:rPr>
              <w:t>Hémorragie active, BAV non appareillé, asthme sévère</w:t>
            </w:r>
          </w:p>
        </w:tc>
        <w:tc>
          <w:tcPr>
            <w:tcW w:type="dxa" w:w="1169"/>
          </w:tcPr>
          <w:p>
            <w:r>
              <w:rPr>
                <w:sz w:val="20"/>
              </w:rPr>
              <w:t>À éviter (CRAT)</w:t>
            </w:r>
          </w:p>
        </w:tc>
      </w:tr>
      <w:tr>
        <w:tc>
          <w:tcPr>
            <w:tcW w:type="dxa" w:w="1169"/>
          </w:tcPr>
          <w:p>
            <w:r>
              <w:rPr>
                <w:sz w:val="20"/>
              </w:rPr>
              <w:t>**Ticlopidine**</w:t>
            </w:r>
          </w:p>
        </w:tc>
        <w:tc>
          <w:tcPr>
            <w:tcW w:type="dxa" w:w="1169"/>
          </w:tcPr>
          <w:p>
            <w:r>
              <w:rPr>
                <w:sz w:val="20"/>
              </w:rPr>
              <w:t>Thiénopyridine 1re gén. (P2Y12 historique)</w:t>
            </w:r>
          </w:p>
        </w:tc>
        <w:tc>
          <w:tcPr>
            <w:tcW w:type="dxa" w:w="1169"/>
          </w:tcPr>
          <w:p>
            <w:r>
              <w:rPr>
                <w:sz w:val="20"/>
              </w:rPr>
              <w:t>P2Y12 (irréversible), prodrogue CYP2C19</w:t>
            </w:r>
          </w:p>
        </w:tc>
        <w:tc>
          <w:tcPr>
            <w:tcW w:type="dxa" w:w="1169"/>
          </w:tcPr>
          <w:p>
            <w:r>
              <w:rPr>
                <w:sz w:val="20"/>
              </w:rPr>
              <w:t>12-13 h (métabolite actif : effet 7-10 j)</w:t>
            </w:r>
          </w:p>
        </w:tc>
        <w:tc>
          <w:tcPr>
            <w:tcW w:type="dxa" w:w="1169"/>
          </w:tcPr>
          <w:p>
            <w:r>
              <w:rPr>
                <w:sz w:val="20"/>
              </w:rPr>
              <w:t>250 mg x2/j</w:t>
            </w:r>
          </w:p>
        </w:tc>
        <w:tc>
          <w:tcPr>
            <w:tcW w:type="dxa" w:w="1169"/>
          </w:tcPr>
          <w:p>
            <w:r>
              <w:rPr>
                <w:sz w:val="20"/>
              </w:rPr>
              <w:t>Neutropénie (2 %), thrombopénie, TTP (×50 vs clopidogrel), rash</w:t>
            </w:r>
          </w:p>
        </w:tc>
        <w:tc>
          <w:tcPr>
            <w:tcW w:type="dxa" w:w="1169"/>
          </w:tcPr>
          <w:p>
            <w:r>
              <w:rPr>
                <w:sz w:val="20"/>
              </w:rPr>
              <w:t>Hémorragie active, ATC hématologique, allaitement</w:t>
            </w:r>
          </w:p>
        </w:tc>
        <w:tc>
          <w:tcPr>
            <w:tcW w:type="dxa" w:w="1169"/>
          </w:tcPr>
          <w:p>
            <w:r>
              <w:rPr>
                <w:sz w:val="20"/>
              </w:rPr>
              <w:t>À éviter (CRAT)</w:t>
            </w:r>
          </w:p>
        </w:tc>
      </w:tr>
      <w:tr>
        <w:tc>
          <w:tcPr>
            <w:tcW w:type="dxa" w:w="1169"/>
          </w:tcPr>
          <w:p>
            <w:r>
              <w:rPr>
                <w:sz w:val="20"/>
              </w:rPr>
              <w:t>**Dipyridamole**</w:t>
            </w:r>
          </w:p>
        </w:tc>
        <w:tc>
          <w:tcPr>
            <w:tcW w:type="dxa" w:w="1169"/>
          </w:tcPr>
          <w:p>
            <w:r>
              <w:rPr>
                <w:sz w:val="20"/>
              </w:rPr>
              <w:t>Inhibiteur PDE</w:t>
            </w:r>
          </w:p>
        </w:tc>
        <w:tc>
          <w:tcPr>
            <w:tcW w:type="dxa" w:w="1169"/>
          </w:tcPr>
          <w:p>
            <w:r>
              <w:rPr>
                <w:sz w:val="20"/>
              </w:rPr>
              <w:t>PDE3, PDE5 (↑AMPc, ↑GMPc) + inhibition recapture adénosine</w:t>
            </w:r>
          </w:p>
        </w:tc>
        <w:tc>
          <w:tcPr>
            <w:tcW w:type="dxa" w:w="1169"/>
          </w:tcPr>
          <w:p>
            <w:r>
              <w:rPr>
                <w:sz w:val="20"/>
              </w:rPr>
              <w:t>10-12 h</w:t>
            </w:r>
          </w:p>
        </w:tc>
        <w:tc>
          <w:tcPr>
            <w:tcW w:type="dxa" w:w="1169"/>
          </w:tcPr>
          <w:p>
            <w:r>
              <w:rPr>
                <w:sz w:val="20"/>
              </w:rPr>
              <w:t>75 mg x3-4/j (oral) ; 0,142 mg/kg/min IV (test)</w:t>
            </w:r>
          </w:p>
        </w:tc>
        <w:tc>
          <w:tcPr>
            <w:tcW w:type="dxa" w:w="1169"/>
          </w:tcPr>
          <w:p>
            <w:r>
              <w:rPr>
                <w:sz w:val="20"/>
              </w:rPr>
              <w:t>Céphalées, flush, hypotension, vol coronarien</w:t>
            </w:r>
          </w:p>
        </w:tc>
        <w:tc>
          <w:tcPr>
            <w:tcW w:type="dxa" w:w="1169"/>
          </w:tcPr>
          <w:p>
            <w:r>
              <w:rPr>
                <w:sz w:val="20"/>
              </w:rPr>
              <w:t>Coronaropathie sévère (forme IV), asthme</w:t>
            </w:r>
          </w:p>
        </w:tc>
        <w:tc>
          <w:tcPr>
            <w:tcW w:type="dxa" w:w="1169"/>
          </w:tcPr>
          <w:p>
            <w:r>
              <w:rPr>
                <w:sz w:val="20"/>
              </w:rPr>
              <w:t>Possible si nécessaire</w:t>
            </w:r>
          </w:p>
        </w:tc>
      </w:tr>
      <w:tr>
        <w:tc>
          <w:tcPr>
            <w:tcW w:type="dxa" w:w="1169"/>
          </w:tcPr>
          <w:p>
            <w:r>
              <w:rPr>
                <w:sz w:val="20"/>
              </w:rPr>
              <w:t>**Clopidogrel + Aspirine**</w:t>
            </w:r>
          </w:p>
        </w:tc>
        <w:tc>
          <w:tcPr>
            <w:tcW w:type="dxa" w:w="1169"/>
          </w:tcPr>
          <w:p>
            <w:r>
              <w:rPr>
                <w:sz w:val="20"/>
              </w:rPr>
              <w:t>Association fixe (DAPT)</w:t>
            </w:r>
          </w:p>
        </w:tc>
        <w:tc>
          <w:tcPr>
            <w:tcW w:type="dxa" w:w="1169"/>
          </w:tcPr>
          <w:p>
            <w:r>
              <w:rPr>
                <w:sz w:val="20"/>
              </w:rPr>
              <w:t>P2Y12 + COX-1</w:t>
            </w:r>
          </w:p>
        </w:tc>
        <w:tc>
          <w:tcPr>
            <w:tcW w:type="dxa" w:w="1169"/>
          </w:tcPr>
          <w:p>
            <w:r>
              <w:rPr>
                <w:sz w:val="20"/>
              </w:rPr>
              <w:t>Comme clopidogrel + aspirine</w:t>
            </w:r>
          </w:p>
        </w:tc>
        <w:tc>
          <w:tcPr>
            <w:tcW w:type="dxa" w:w="1169"/>
          </w:tcPr>
          <w:p>
            <w:r>
              <w:rPr>
                <w:sz w:val="20"/>
              </w:rPr>
              <w:t>75 mg/75 mg/j</w:t>
            </w:r>
          </w:p>
        </w:tc>
        <w:tc>
          <w:tcPr>
            <w:tcW w:type="dxa" w:w="1169"/>
          </w:tcPr>
          <w:p>
            <w:r>
              <w:rPr>
                <w:sz w:val="20"/>
              </w:rPr>
              <w:t>Hémorragies ++, ulcère digestif</w:t>
            </w:r>
          </w:p>
        </w:tc>
        <w:tc>
          <w:tcPr>
            <w:tcW w:type="dxa" w:w="1169"/>
          </w:tcPr>
          <w:p>
            <w:r>
              <w:rPr>
                <w:sz w:val="20"/>
              </w:rPr>
              <w:t>Hémorragie active, asthme aspirine, &lt; 16 ans, 3e trimestre grossesse</w:t>
            </w:r>
          </w:p>
        </w:tc>
        <w:tc>
          <w:tcPr>
            <w:tcW w:type="dxa" w:w="1169"/>
          </w:tcPr>
          <w:p>
            <w:r>
              <w:rPr>
                <w:sz w:val="20"/>
              </w:rPr>
              <w:t>À éviter (CRAT)</w:t>
            </w:r>
          </w:p>
        </w:tc>
      </w:tr>
      <w:tr>
        <w:tc>
          <w:tcPr>
            <w:tcW w:type="dxa" w:w="1169"/>
          </w:tcPr>
          <w:p>
            <w:r>
              <w:rPr>
                <w:sz w:val="20"/>
              </w:rPr>
              <w:t>**Streptokinase**</w:t>
            </w:r>
          </w:p>
        </w:tc>
        <w:tc>
          <w:tcPr>
            <w:tcW w:type="dxa" w:w="1169"/>
          </w:tcPr>
          <w:p>
            <w:r>
              <w:rPr>
                <w:sz w:val="20"/>
              </w:rPr>
              <w:t>Thrombolytique bactérien</w:t>
            </w:r>
          </w:p>
        </w:tc>
        <w:tc>
          <w:tcPr>
            <w:tcW w:type="dxa" w:w="1169"/>
          </w:tcPr>
          <w:p>
            <w:r>
              <w:rPr>
                <w:sz w:val="20"/>
              </w:rPr>
              <w:t>Activateur indirect plasminogène (non fibrine-spécifique), antigénique</w:t>
            </w:r>
          </w:p>
        </w:tc>
        <w:tc>
          <w:tcPr>
            <w:tcW w:type="dxa" w:w="1169"/>
          </w:tcPr>
          <w:p>
            <w:r>
              <w:rPr>
                <w:sz w:val="20"/>
              </w:rPr>
              <w:t>20 min</w:t>
            </w:r>
          </w:p>
        </w:tc>
        <w:tc>
          <w:tcPr>
            <w:tcW w:type="dxa" w:w="1169"/>
          </w:tcPr>
          <w:p>
            <w:r>
              <w:rPr>
                <w:sz w:val="20"/>
              </w:rPr>
              <w:t>1,5 MUI IV en 30-60 min (IDM)</w:t>
            </w:r>
          </w:p>
        </w:tc>
        <w:tc>
          <w:tcPr>
            <w:tcW w:type="dxa" w:w="1169"/>
          </w:tcPr>
          <w:p>
            <w:r>
              <w:rPr>
                <w:sz w:val="20"/>
              </w:rPr>
              <w:t>Hémorragies (HIC 1-2 %), allergie, hypotension</w:t>
            </w:r>
          </w:p>
        </w:tc>
        <w:tc>
          <w:tcPr>
            <w:tcW w:type="dxa" w:w="1169"/>
          </w:tcPr>
          <w:p>
            <w:r>
              <w:rPr>
                <w:sz w:val="20"/>
              </w:rPr>
              <w:t>Hémorragie active, ATC streptokinase &lt; 6 mois, AVC &lt; 3 mois</w:t>
            </w:r>
          </w:p>
        </w:tc>
        <w:tc>
          <w:tcPr>
            <w:tcW w:type="dxa" w:w="1169"/>
          </w:tcPr>
          <w:p>
            <w:r>
              <w:rPr>
                <w:sz w:val="20"/>
              </w:rPr>
              <w:t>Possible si urgence vitale</w:t>
            </w:r>
          </w:p>
        </w:tc>
      </w:tr>
      <w:tr>
        <w:tc>
          <w:tcPr>
            <w:tcW w:type="dxa" w:w="1169"/>
          </w:tcPr>
          <w:p>
            <w:r>
              <w:rPr>
                <w:sz w:val="20"/>
              </w:rPr>
              <w:t>**Altéplase (rt-PA)**</w:t>
            </w:r>
          </w:p>
        </w:tc>
        <w:tc>
          <w:tcPr>
            <w:tcW w:type="dxa" w:w="1169"/>
          </w:tcPr>
          <w:p>
            <w:r>
              <w:rPr>
                <w:sz w:val="20"/>
              </w:rPr>
              <w:t>Thrombolytique recombinant (fibrine-spécifique)</w:t>
            </w:r>
          </w:p>
        </w:tc>
        <w:tc>
          <w:tcPr>
            <w:tcW w:type="dxa" w:w="1169"/>
          </w:tcPr>
          <w:p>
            <w:r>
              <w:rPr>
                <w:sz w:val="20"/>
              </w:rPr>
              <w:t>Activateur direct plasminogène (fibrine-spécifique)</w:t>
            </w:r>
          </w:p>
        </w:tc>
        <w:tc>
          <w:tcPr>
            <w:tcW w:type="dxa" w:w="1169"/>
          </w:tcPr>
          <w:p>
            <w:r>
              <w:rPr>
                <w:sz w:val="20"/>
              </w:rPr>
              <w:t>5 min</w:t>
            </w:r>
          </w:p>
        </w:tc>
        <w:tc>
          <w:tcPr>
            <w:tcW w:type="dxa" w:w="1169"/>
          </w:tcPr>
          <w:p>
            <w:r>
              <w:rPr>
                <w:sz w:val="20"/>
              </w:rPr>
              <w:t>IDM 100 mg en 90 min ; AVC 0,9 mg/kg max 90 mg en 60 min ; EP 100 mg en 2 h</w:t>
            </w:r>
          </w:p>
        </w:tc>
        <w:tc>
          <w:tcPr>
            <w:tcW w:type="dxa" w:w="1169"/>
          </w:tcPr>
          <w:p>
            <w:r>
              <w:rPr>
                <w:sz w:val="20"/>
              </w:rPr>
              <w:t>Hémorragies (HIC 2-7 % AVC, &lt; 1 % IDM)</w:t>
            </w:r>
          </w:p>
        </w:tc>
        <w:tc>
          <w:tcPr>
            <w:tcW w:type="dxa" w:w="1169"/>
          </w:tcPr>
          <w:p>
            <w:r>
              <w:rPr>
                <w:sz w:val="20"/>
              </w:rPr>
              <w:t>Hémorragie active, AVC &lt; 3 mois, PA &gt; 185/110</w:t>
            </w:r>
          </w:p>
        </w:tc>
        <w:tc>
          <w:tcPr>
            <w:tcW w:type="dxa" w:w="1169"/>
          </w:tcPr>
          <w:p>
            <w:r>
              <w:rPr>
                <w:sz w:val="20"/>
              </w:rPr>
              <w:t>Possible si urgence vitale</w:t>
            </w:r>
          </w:p>
        </w:tc>
      </w:tr>
      <w:tr>
        <w:tc>
          <w:tcPr>
            <w:tcW w:type="dxa" w:w="1169"/>
          </w:tcPr>
          <w:p>
            <w:r>
              <w:rPr>
                <w:sz w:val="20"/>
              </w:rPr>
              <w:t>**Ténectéplase**</w:t>
            </w:r>
          </w:p>
        </w:tc>
        <w:tc>
          <w:tcPr>
            <w:tcW w:type="dxa" w:w="1169"/>
          </w:tcPr>
          <w:p>
            <w:r>
              <w:rPr>
                <w:sz w:val="20"/>
              </w:rPr>
              <w:t>Thrombolytique recombinant muté (fibrine-spécifique++)</w:t>
            </w:r>
          </w:p>
        </w:tc>
        <w:tc>
          <w:tcPr>
            <w:tcW w:type="dxa" w:w="1169"/>
          </w:tcPr>
          <w:p>
            <w:r>
              <w:rPr>
                <w:sz w:val="20"/>
              </w:rPr>
              <w:t>Mutant rt-PA (×3 mutations) : affinité fibrine ×14, résistance PAI-1</w:t>
            </w:r>
          </w:p>
        </w:tc>
        <w:tc>
          <w:tcPr>
            <w:tcW w:type="dxa" w:w="1169"/>
          </w:tcPr>
          <w:p>
            <w:r>
              <w:rPr>
                <w:sz w:val="20"/>
              </w:rPr>
              <w:t>22 min (bolus unique)</w:t>
            </w:r>
          </w:p>
        </w:tc>
        <w:tc>
          <w:tcPr>
            <w:tcW w:type="dxa" w:w="1169"/>
          </w:tcPr>
          <w:p>
            <w:r>
              <w:rPr>
                <w:sz w:val="20"/>
              </w:rPr>
              <w:t>IDM : 30-50 mg en bolus 5-10 s (poids-ajusté) ; AVC : 0,25 mg/kg max 25 mg</w:t>
            </w:r>
          </w:p>
        </w:tc>
        <w:tc>
          <w:tcPr>
            <w:tcW w:type="dxa" w:w="1169"/>
          </w:tcPr>
          <w:p>
            <w:r>
              <w:rPr>
                <w:sz w:val="20"/>
              </w:rPr>
              <w:t>Hémorragies (HIC 0,9 % IDM)</w:t>
            </w:r>
          </w:p>
        </w:tc>
        <w:tc>
          <w:tcPr>
            <w:tcW w:type="dxa" w:w="1169"/>
          </w:tcPr>
          <w:p>
            <w:r>
              <w:rPr>
                <w:sz w:val="20"/>
              </w:rPr>
              <w:t>Comme altéplase</w:t>
            </w:r>
          </w:p>
        </w:tc>
        <w:tc>
          <w:tcPr>
            <w:tcW w:type="dxa" w:w="1169"/>
          </w:tcPr>
          <w:p>
            <w:r>
              <w:rPr>
                <w:sz w:val="20"/>
              </w:rPr>
              <w:t>Possible si urgence vitale</w:t>
            </w:r>
          </w:p>
        </w:tc>
      </w:tr>
    </w:tbl>
    <w:p/>
    <w:p>
      <w:pPr>
        <w:pStyle w:val="Heading2"/>
      </w:pPr>
      <w:r>
        <w:t>Synthèse Pédagogique pour l'Étudiant en Pharmacie</w:t>
      </w:r>
    </w:p>
    <w:p>
      <w:pPr>
        <w:pStyle w:val="ListNumber"/>
      </w:pPr>
      <w:r/>
      <w:r>
        <w:rPr>
          <w:b/>
        </w:rPr>
        <w:t>L'antiagrégation plaquettaire repose sur deux cibles principales</w:t>
      </w:r>
      <w:r>
        <w:t xml:space="preserve"> : le récepteur P2Y12 de l'ADP (clopidogrel, prasugrel, ticagrelor, ticlopidine) et la cyclo-oxygénase-1 (aspirine). Le dipyridamole agit sur la PDE, augmentant l'AMPc/GMPc. La compréhension de ces mécanismes permet de prévoir les synergies (DAPT) et les effets indésirables spécifiques.</w:t>
      </w:r>
    </w:p>
    <w:p>
      <w:pPr>
        <w:pStyle w:val="ListNumber"/>
      </w:pPr>
      <w:r/>
      <w:r>
        <w:rPr>
          <w:b/>
        </w:rPr>
        <w:t>Le clopidogrel reste la pierre angulaire de la DAPT en Algérie</w:t>
      </w:r>
      <w:r>
        <w:t xml:space="preserve"> en raison de sa disponibilité (plusieurs génériques actifs), de son coût modéré, et de son profil de tolérance favorable. Il est limité par sa variabilité de réponse (polymorphisme CYP2C19, interaction oméprazole) et son délai d'action (4-6 h après dose de charge).</w:t>
      </w:r>
    </w:p>
    <w:p>
      <w:pPr>
        <w:pStyle w:val="ListNumber"/>
      </w:pPr>
      <w:r/>
      <w:r>
        <w:rPr>
          <w:b/>
        </w:rPr>
        <w:t>Le prasugrel et le ticagrelor sont supérieurs au clopidogrel</w:t>
      </w:r>
      <w:r>
        <w:t xml:space="preserve"> en termes d'inhibition plaquettaire et de réduction des événements ischémiques (TRITON, PLATO), au prix d'un risque hémorragique supérieur. Le prasugrel est contre-indiqué en cas d'ATC d'AVC/AIT et déconseillé &gt; 75 ans et &lt; 60 kg. Le ticagrelor expose à la dyspnée (effet ENT-1/adénosine), à la bradycardie, à l'hyperuricémie, et impose une observance biquotidienne stricte.</w:t>
      </w:r>
    </w:p>
    <w:p>
      <w:pPr>
        <w:pStyle w:val="ListNumber"/>
      </w:pPr>
      <w:r/>
      <w:r>
        <w:rPr>
          <w:b/>
        </w:rPr>
        <w:t>La ticlopidine est aujourd'hui obsolète</w:t>
      </w:r>
      <w:r>
        <w:t xml:space="preserve"> en raison de son profil hématologique défavorable (neutropénie 2 %, TTP × 50 vs clopidogrel). Sa prescription impose une surveillance NFS bihebdomadaire pendant 3 mois. Elle ne doit être utilisée qu'en cas de CI ou d'échec du clopidogrel et du ticagrelor.</w:t>
      </w:r>
    </w:p>
    <w:p>
      <w:pPr>
        <w:pStyle w:val="ListNumber"/>
      </w:pPr>
      <w:r/>
      <w:r>
        <w:rPr>
          <w:b/>
        </w:rPr>
        <w:t>Le dipyridamole n'a plus sa place en monothérapie</w:t>
      </w:r>
      <w:r>
        <w:t xml:space="preserve"> dans la prévention secondaire d'AVC en Algérie (forme orale non renouvelable, forme LP + aspirine non disponible). Il conserve une place comme test pharmacologique d'ischémie myocardique en échographie de stress (PERSANTINE IV), en gardant à l'esprit le risque de vol coronarien chez le coronarien.</w:t>
      </w:r>
    </w:p>
    <w:p>
      <w:pPr>
        <w:pStyle w:val="ListNumber"/>
      </w:pPr>
      <w:r/>
      <w:r>
        <w:rPr>
          <w:b/>
        </w:rPr>
        <w:t>L'association fixe clopidogrel + aspirine (CARDIOFLUX)</w:t>
      </w:r>
      <w:r>
        <w:t xml:space="preserve"> n'est plus disponible en Algérie (Non Renouvelable). Les patients sont traités par clopidogrel 75 mg + aspirine 75-100 mg (souvent gastro-résistante) en comprimés séparés, avec co-prescription systématique d'un IPP (pantoprazole, jamais oméprazole ni ésoméprazole en raison de l'interaction CYP2C19 avec le clopidogrel).</w:t>
      </w:r>
    </w:p>
    <w:p>
      <w:pPr>
        <w:pStyle w:val="ListNumber"/>
      </w:pPr>
      <w:r/>
      <w:r>
        <w:rPr>
          <w:b/>
        </w:rPr>
        <w:t>Les thrombolytiques sont réservés à l'urgence absolue</w:t>
      </w:r>
      <w:r>
        <w:t xml:space="preserve"> en milieu hospitalier spécialisé (USIC, service d'urgences/neurovasculaire) : IDM &lt; 12 h (altéplase, ténectéplase, streptokinase), AVC ischémique &lt; 4 h 30 (</w:t>
      </w:r>
      <w:r>
        <w:rPr>
          <w:b/>
        </w:rPr>
        <w:t>altéplase uniquement</w:t>
      </w:r>
      <w:r>
        <w:t>), embolie pulmonaire grave (altéplase). Le principe « time is muscle / time is brain » doit guider la prescription.</w:t>
      </w:r>
    </w:p>
    <w:p>
      <w:pPr>
        <w:pStyle w:val="ListNumber"/>
      </w:pPr>
      <w:r/>
      <w:r>
        <w:rPr>
          <w:b/>
        </w:rPr>
        <w:t>L'altéplase est le thrombolytique de référence</w:t>
      </w:r>
      <w:r>
        <w:t xml:space="preserve"> dans l'AVC ischémique (seul à avoir l'AMM). La ténectéplase est préférée à l'altéplase dans l'IDM en pré-hospitalier (SMUR) en raison de son administration en bolus unique. La streptokinase est supplantée en raison de son antigénicité (CI à la ré-administration &lt; 6 mois), de son risque allergique et de son efficacité moindre.</w:t>
      </w:r>
    </w:p>
    <w:p>
      <w:pPr>
        <w:pStyle w:val="ListNumber"/>
      </w:pPr>
      <w:r/>
      <w:r>
        <w:rPr>
          <w:b/>
        </w:rPr>
        <w:t>Le risque hémorragique est l'EI commun à tous les antiagrégants et thrombolytiques</w:t>
      </w:r>
      <w:r>
        <w:t>. Sa prévention repose sur l'évaluation systématique du risque (scores PRECISE-DAPT, CRUSADE, HAS-BLED), la co-prescription d'IPP (pantoprazole), la voie radiale en ICP, et l'éducation du patient (carte de traitement, signalement systématique aux soignants, fenêtre thérapeutique pré-opératoire). Sa gestion repose sur l'arrêt du traitement, la transfusion plaquettaire (antiagrégants), et l'acide tranexamique (thrombolytiques).</w:t>
      </w:r>
    </w:p>
    <w:p>
      <w:pPr>
        <w:pStyle w:val="ListNumber"/>
      </w:pPr>
      <w:r/>
      <w:r>
        <w:rPr>
          <w:b/>
        </w:rPr>
        <w:t>Le pharmacien d'officine a un rôle clé</w:t>
      </w:r>
      <w:r>
        <w:t xml:space="preserve"> dans la sécurité d'emploi de ces traitements : (i) vérification systématique des interactions (oméprazole + clopidogrel, AINS en automédication, double antithrombotique) ; (ii) éducation du patient à l'observance stricte (surtout ticagrelor biquotidien) ; (iii) rappel des signes d'alerte (saignement, dyspnée, fièvre sous ticlopidine, céphalée brutale sous thrombolytique) ; (iv) conseil avant chirurgie (arrêt 5-7 jours pour clopidogrel/prasugrel, 3-5 jours pour ticagrelor, 10 jours pour ticlopidine) ; (v) déclaration de pharmacovigilance pour tout EI grave.</w:t>
      </w:r>
    </w:p>
    <w:p>
      <w:r/>
      <w:r>
        <w:rPr>
          <w:i/>
        </w:rPr>
        <w:t>Chapitre rédigé pour la nomenclature algérienne des médicaments (Avril 2026). Sources : VIDAL, ANSM, Thériaque, CRAT, UpToDate, Micromedex, ESC Guidelines (NSTE-ACS 2017, STEMI 2018, AVC 2019), AHA/ACC Guidelines, ESO Guidelines, recommandations HAS. Les posologies et CI doivent être vérifiées au cas par cas selon le RCP en vigueur.</w:t>
      </w:r>
      <w:r/>
    </w:p>
    <w:p>
      <w:pPr>
        <w:pStyle w:val="Heading1"/>
      </w:pPr>
      <w:r>
        <w:t>Chapitre 38 — Hypolipémiants, Inotropes Positifs et Associations Cardiovasculaires Complexes</w:t>
      </w:r>
    </w:p>
    <w:p>
      <w:pPr>
        <w:pStyle w:val="Heading2"/>
      </w:pPr>
      <w:r>
        <w:t>Fascicule IV — Cardiologie</w:t>
      </w:r>
    </w:p>
    <w:p>
      <w:pPr>
        <w:pStyle w:val="Heading2"/>
      </w:pPr>
      <w:r>
        <w:t>Sommaire du chapitre</w:t>
      </w:r>
    </w:p>
    <w:p>
      <w:pPr>
        <w:pStyle w:val="ListBullet"/>
      </w:pPr>
      <w:r>
        <w:t>38.1 Introduction générale</w:t>
      </w:r>
    </w:p>
    <w:p>
      <w:pPr>
        <w:pStyle w:val="ListBullet"/>
      </w:pPr>
      <w:r>
        <w:t>38.2 Sous-classes représentées</w:t>
      </w:r>
    </w:p>
    <w:p>
      <w:pPr>
        <w:pStyle w:val="ListBullet"/>
      </w:pPr>
      <w:r>
        <w:t>38.3 Fiches DCI — Hypolipémiants</w:t>
      </w:r>
    </w:p>
    <w:p>
      <w:pPr>
        <w:pStyle w:val="ListBullet"/>
      </w:pPr>
      <w:r>
        <w:t>38.3.1 Simvastatine</w:t>
      </w:r>
    </w:p>
    <w:p>
      <w:pPr>
        <w:pStyle w:val="ListBullet"/>
      </w:pPr>
      <w:r>
        <w:t>38.3.2 Atorvastatine</w:t>
      </w:r>
    </w:p>
    <w:p>
      <w:pPr>
        <w:pStyle w:val="ListBullet"/>
      </w:pPr>
      <w:r>
        <w:t>38.3.3 Rosuvastatine</w:t>
      </w:r>
    </w:p>
    <w:p>
      <w:pPr>
        <w:pStyle w:val="ListBullet"/>
      </w:pPr>
      <w:r>
        <w:t>38.3.4 Pravastatine</w:t>
      </w:r>
    </w:p>
    <w:p>
      <w:pPr>
        <w:pStyle w:val="ListBullet"/>
      </w:pPr>
      <w:r>
        <w:t>38.3.5 Fluvastatine</w:t>
      </w:r>
    </w:p>
    <w:p>
      <w:pPr>
        <w:pStyle w:val="ListBullet"/>
      </w:pPr>
      <w:r>
        <w:t>38.3.6 Ezetimibe</w:t>
      </w:r>
    </w:p>
    <w:p>
      <w:pPr>
        <w:pStyle w:val="ListBullet"/>
      </w:pPr>
      <w:r>
        <w:t>38.3.7 Ezetimibe + Simvastatine</w:t>
      </w:r>
    </w:p>
    <w:p>
      <w:pPr>
        <w:pStyle w:val="ListBullet"/>
      </w:pPr>
      <w:r>
        <w:t>38.3.8 Fénofibrate</w:t>
      </w:r>
    </w:p>
    <w:p>
      <w:pPr>
        <w:pStyle w:val="ListBullet"/>
      </w:pPr>
      <w:r>
        <w:t>38.3.9 Cholestyramine</w:t>
      </w:r>
    </w:p>
    <w:p>
      <w:pPr>
        <w:pStyle w:val="ListBullet"/>
      </w:pPr>
      <w:r>
        <w:t>38.3.10 Evolocumab</w:t>
      </w:r>
    </w:p>
    <w:p>
      <w:pPr>
        <w:pStyle w:val="ListBullet"/>
      </w:pPr>
      <w:r>
        <w:t>38.4 Fiches DCI — Inotropes positifs</w:t>
      </w:r>
    </w:p>
    <w:p>
      <w:pPr>
        <w:pStyle w:val="ListBullet"/>
      </w:pPr>
      <w:r>
        <w:t>38.4.1 Dobutamine</w:t>
      </w:r>
    </w:p>
    <w:p>
      <w:pPr>
        <w:pStyle w:val="ListBullet"/>
      </w:pPr>
      <w:r>
        <w:t>38.4.2 Dopamine</w:t>
      </w:r>
    </w:p>
    <w:p>
      <w:pPr>
        <w:pStyle w:val="ListBullet"/>
      </w:pPr>
      <w:r>
        <w:t>38.4.3 Milrinone</w:t>
      </w:r>
    </w:p>
    <w:p>
      <w:pPr>
        <w:pStyle w:val="ListBullet"/>
      </w:pPr>
      <w:r>
        <w:t>38.4.4 Lévosimendan</w:t>
      </w:r>
    </w:p>
    <w:p>
      <w:pPr>
        <w:pStyle w:val="ListBullet"/>
      </w:pPr>
      <w:r>
        <w:t>38.5 Fiches DCI — Associations cardiovasculaires</w:t>
      </w:r>
    </w:p>
    <w:p>
      <w:pPr>
        <w:pStyle w:val="ListBullet"/>
      </w:pPr>
      <w:r>
        <w:t>38.5.1 Amlodipine + Atorvastatine (ICA + Statine)</w:t>
      </w:r>
    </w:p>
    <w:p>
      <w:pPr>
        <w:pStyle w:val="ListBullet"/>
      </w:pPr>
      <w:r>
        <w:t>38.5.2 Amlodipine + Valsartan + Hydrochlorothiazide (association triple)</w:t>
      </w:r>
    </w:p>
    <w:p>
      <w:pPr>
        <w:pStyle w:val="ListBullet"/>
      </w:pPr>
      <w:r>
        <w:t>38.5.3 Périndopril + Indapamide + Amlodipine (association triple)</w:t>
      </w:r>
    </w:p>
    <w:p>
      <w:pPr>
        <w:pStyle w:val="ListBullet"/>
      </w:pPr>
      <w:r>
        <w:t>38.5.4 Valsartan + Amlodipine + Hydrochlorothiazide (association triple)</w:t>
      </w:r>
    </w:p>
    <w:p>
      <w:pPr>
        <w:pStyle w:val="ListBullet"/>
      </w:pPr>
      <w:r>
        <w:t>38.5.5 Amlodipine + Périndopril (IEC + ICA)</w:t>
      </w:r>
    </w:p>
    <w:p>
      <w:pPr>
        <w:pStyle w:val="ListBullet"/>
      </w:pPr>
      <w:r>
        <w:t>38.5.6 Périndopril + Amlodipine (IEC + ICA)</w:t>
      </w:r>
    </w:p>
    <w:p>
      <w:pPr>
        <w:pStyle w:val="ListBullet"/>
      </w:pPr>
      <w:r>
        <w:t>38.5.7 Ramipril + Félodipine (IEC + ICA)</w:t>
      </w:r>
    </w:p>
    <w:p>
      <w:pPr>
        <w:pStyle w:val="ListBullet"/>
      </w:pPr>
      <w:r>
        <w:t>38.5.8 Amlodipine + Irbesartan (ARA2 + ICA)</w:t>
      </w:r>
    </w:p>
    <w:p>
      <w:pPr>
        <w:pStyle w:val="ListBullet"/>
      </w:pPr>
      <w:r>
        <w:t>38.5.9 Amlodipine + Valsartan (ARA2 + ICA)</w:t>
      </w:r>
    </w:p>
    <w:p>
      <w:pPr>
        <w:pStyle w:val="ListBullet"/>
      </w:pPr>
      <w:r>
        <w:t>38.5.10 Irbesartan + Amlodipine (ARA2 + ICA)</w:t>
      </w:r>
    </w:p>
    <w:p>
      <w:pPr>
        <w:pStyle w:val="ListBullet"/>
      </w:pPr>
      <w:r>
        <w:t>38.5.11 Telmisartan + Amlodipine (ARA2 + ICA)</w:t>
      </w:r>
    </w:p>
    <w:p>
      <w:pPr>
        <w:pStyle w:val="ListBullet"/>
      </w:pPr>
      <w:r>
        <w:t>38.6 Tableau comparatif synthétique</w:t>
      </w:r>
    </w:p>
    <w:p>
      <w:pPr>
        <w:pStyle w:val="ListBullet"/>
      </w:pPr>
      <w:r>
        <w:t>38.7 Récapitulatif des pièges majeurs au comptoir</w:t>
      </w:r>
    </w:p>
    <w:p>
      <w:pPr>
        <w:pStyle w:val="Heading2"/>
      </w:pPr>
      <w:r>
        <w:t>38.1 Introduction générale</w:t>
      </w:r>
    </w:p>
    <w:p>
      <w:r>
        <w:t>La cardiologie moderne, qu'il s'agisse de prévention cardiovasculaire primaire ou secondaire, de prise en charge de l'insuffisance cardiaque aiguë décompensée, ou de la lutte contre l'hypertension artérielle résistante, repose sur un arsenal thérapeutique d'une grande diversité pharmacologique. Ce chapitre couvre trois grands ensembles thérapeutiques aux mécanismes d'action radicalement différents mais dont l'objectif commun est la réduction de la morbi-mortalité cardiovasculaire : (i) les hypolipémiants qui agissent à différentes étapes du métabolisme du cholestérol — de la synthèse hépatique (statines inhibitrices de l'HMG-CoA réductase) à l'absorption intestinale (ezetimibe inhibiteur de NPC1L1), en passant par l'efflux biliaire (séquestrants), le catabolisme des triglycérides (fibrates agonistes PPAR-α) jusqu'aux thérapeutiques ciblées de dernière génération que sont les anticorps monoclonaux anti-PCSK9 ; (ii) les inotropes positifs réservés à la réanimation cardiogénique et à l'insuffisance cardiaque terminale — sympathomimétiques β1 (dobutamine), mixtes (dopamine), inhibiteurs de la PDE3 (milrinone) et sensibilisateurs calciques (lévosimendan) ; (iii) les associations fixes cardiovasculaires qui combinent plusieurs classes afin d'améliorer l'observance et d'obtenir une synergie antihypertensive ou lipidique, allant des bithérapies IEC + ICA et ARA2 + ICA jusqu'aux trithérapies associant IEC/ARA2 + ICA + diurétique thiazidique.</w:t>
      </w:r>
    </w:p>
    <w:p>
      <w:r>
        <w:t>La nomenclature algérienne avril 2026 comporte 25 DCI actives ou historiquement commercialisées dans ces classes, réparties en 14 sous-classes pharmacologiques distinctes. La diversité des marques présentes (génériques locaux Saidal, Biopharm, LDM, Beker, El Kendi, Hikma, Tabuk, Dar Al Dawa, Novapharm, Biocare, etc., et spécialités originelles Pfizer, AstraZeneca, Novartis, MSD, Sanofi, Servier, Amgen) illustre l'enjeu pratique au comptoir : reconnaissance rapide du nom de marque, contrôle du dosage, repérage des marques retirées (R) et non renouvelables (NR), vérification systématique des interactions statine–fibrate, statine–macrolide, statine–pamplemousse, dobutamine–β-bloquant, et rappel des contre-indications absolues (grossesse pour les statines, obstruction VD pour les inotropes, etc.).</w:t>
      </w:r>
    </w:p>
    <w:p>
      <w:r>
        <w:t>L'étudiant pharmacien doit maîtriser pour chaque DCI : le mécanisme moléculaire précis, le profil pharmacocinétique (demi-vie, moment de prise, métabolisme CYP3A4 ou non, élimination), les indications validées par les recommandations ESC/EAS pour les hypolipémiants et ESC pour l'insuffisance cardiaque et l'HTA, le panorama complet des effets indésirables (myalgie, rhabdomyolyse, hépatotoxicité, diabète incident, troubles du rythme pour les inotropes), les interactions cliniquement significatives, les conditions de prescription chez la femme enceinte (CRAT) et le sujet âgé, ainsi que les conseils pratiques de dispensation au comptoir.</w:t>
      </w:r>
    </w:p>
    <w:p>
      <w:pPr>
        <w:pStyle w:val="Heading2"/>
      </w:pPr>
      <w:r>
        <w:t>38.2 Sous-classes représentées</w:t>
      </w:r>
    </w:p>
    <w:p>
      <w:r>
        <w:t>Le tableau ci-dessous récapitule les 14 sous-classes pharmacologiques traitées dans ce chapitre, le nombre de DCI concernées et le positionnement thérapeutique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N°</w:t>
            </w:r>
          </w:p>
        </w:tc>
        <w:tc>
          <w:tcPr>
            <w:tcW w:type="dxa" w:w="2339"/>
          </w:tcPr>
          <w:p>
            <w:r>
              <w:rPr>
                <w:b/>
                <w:sz w:val="20"/>
              </w:rPr>
              <w:t>Sous-classe</w:t>
            </w:r>
          </w:p>
        </w:tc>
        <w:tc>
          <w:tcPr>
            <w:tcW w:type="dxa" w:w="2339"/>
          </w:tcPr>
          <w:p>
            <w:r>
              <w:rPr>
                <w:b/>
                <w:sz w:val="20"/>
              </w:rPr>
              <w:t>Nb DCI</w:t>
            </w:r>
          </w:p>
        </w:tc>
        <w:tc>
          <w:tcPr>
            <w:tcW w:type="dxa" w:w="2339"/>
          </w:tcPr>
          <w:p>
            <w:r>
              <w:rPr>
                <w:b/>
                <w:sz w:val="20"/>
              </w:rPr>
              <w:t>Positionnement thérapeutique</w:t>
            </w:r>
          </w:p>
        </w:tc>
      </w:tr>
      <w:tr>
        <w:tc>
          <w:tcPr>
            <w:tcW w:type="dxa" w:w="2339"/>
          </w:tcPr>
          <w:p>
            <w:r>
              <w:rPr>
                <w:sz w:val="20"/>
              </w:rPr>
              <w:t>1</w:t>
            </w:r>
          </w:p>
        </w:tc>
        <w:tc>
          <w:tcPr>
            <w:tcW w:type="dxa" w:w="2339"/>
          </w:tcPr>
          <w:p>
            <w:r>
              <w:rPr>
                <w:sz w:val="20"/>
              </w:rPr>
              <w:t>Hypolipémiants — Statines</w:t>
            </w:r>
          </w:p>
        </w:tc>
        <w:tc>
          <w:tcPr>
            <w:tcW w:type="dxa" w:w="2339"/>
          </w:tcPr>
          <w:p>
            <w:r>
              <w:rPr>
                <w:sz w:val="20"/>
              </w:rPr>
              <w:t>5</w:t>
            </w:r>
          </w:p>
        </w:tc>
        <w:tc>
          <w:tcPr>
            <w:tcW w:type="dxa" w:w="2339"/>
          </w:tcPr>
          <w:p>
            <w:r>
              <w:rPr>
                <w:sz w:val="20"/>
              </w:rPr>
              <w:t>1re intention dyslipidémie, prévention CV primaire/secondaire</w:t>
            </w:r>
          </w:p>
        </w:tc>
      </w:tr>
      <w:tr>
        <w:tc>
          <w:tcPr>
            <w:tcW w:type="dxa" w:w="2339"/>
          </w:tcPr>
          <w:p>
            <w:r>
              <w:rPr>
                <w:sz w:val="20"/>
              </w:rPr>
              <w:t>2</w:t>
            </w:r>
          </w:p>
        </w:tc>
        <w:tc>
          <w:tcPr>
            <w:tcW w:type="dxa" w:w="2339"/>
          </w:tcPr>
          <w:p>
            <w:r>
              <w:rPr>
                <w:sz w:val="20"/>
              </w:rPr>
              <w:t>Hypolipémiants — Inhibiteurs absorption cholestérol</w:t>
            </w:r>
          </w:p>
        </w:tc>
        <w:tc>
          <w:tcPr>
            <w:tcW w:type="dxa" w:w="2339"/>
          </w:tcPr>
          <w:p>
            <w:r>
              <w:rPr>
                <w:sz w:val="20"/>
              </w:rPr>
              <w:t>1</w:t>
            </w:r>
          </w:p>
        </w:tc>
        <w:tc>
          <w:tcPr>
            <w:tcW w:type="dxa" w:w="2339"/>
          </w:tcPr>
          <w:p>
            <w:r>
              <w:rPr>
                <w:sz w:val="20"/>
              </w:rPr>
              <w:t>Complément des statines si cible LDL non atteinte, intolérance</w:t>
            </w:r>
          </w:p>
        </w:tc>
      </w:tr>
      <w:tr>
        <w:tc>
          <w:tcPr>
            <w:tcW w:type="dxa" w:w="2339"/>
          </w:tcPr>
          <w:p>
            <w:r>
              <w:rPr>
                <w:sz w:val="20"/>
              </w:rPr>
              <w:t>3</w:t>
            </w:r>
          </w:p>
        </w:tc>
        <w:tc>
          <w:tcPr>
            <w:tcW w:type="dxa" w:w="2339"/>
          </w:tcPr>
          <w:p>
            <w:r>
              <w:rPr>
                <w:sz w:val="20"/>
              </w:rPr>
              <w:t>Hypolipémiants — Statine + Inhibiteur absorption</w:t>
            </w:r>
          </w:p>
        </w:tc>
        <w:tc>
          <w:tcPr>
            <w:tcW w:type="dxa" w:w="2339"/>
          </w:tcPr>
          <w:p>
            <w:r>
              <w:rPr>
                <w:sz w:val="20"/>
              </w:rPr>
              <w:t>1</w:t>
            </w:r>
          </w:p>
        </w:tc>
        <w:tc>
          <w:tcPr>
            <w:tcW w:type="dxa" w:w="2339"/>
          </w:tcPr>
          <w:p>
            <w:r>
              <w:rPr>
                <w:sz w:val="20"/>
              </w:rPr>
              <w:t>Association fixe d'emblée si LDL très élevé</w:t>
            </w:r>
          </w:p>
        </w:tc>
      </w:tr>
      <w:tr>
        <w:tc>
          <w:tcPr>
            <w:tcW w:type="dxa" w:w="2339"/>
          </w:tcPr>
          <w:p>
            <w:r>
              <w:rPr>
                <w:sz w:val="20"/>
              </w:rPr>
              <w:t>4</w:t>
            </w:r>
          </w:p>
        </w:tc>
        <w:tc>
          <w:tcPr>
            <w:tcW w:type="dxa" w:w="2339"/>
          </w:tcPr>
          <w:p>
            <w:r>
              <w:rPr>
                <w:sz w:val="20"/>
              </w:rPr>
              <w:t>Hypolipémiants — Fibrates</w:t>
            </w:r>
          </w:p>
        </w:tc>
        <w:tc>
          <w:tcPr>
            <w:tcW w:type="dxa" w:w="2339"/>
          </w:tcPr>
          <w:p>
            <w:r>
              <w:rPr>
                <w:sz w:val="20"/>
              </w:rPr>
              <w:t>1</w:t>
            </w:r>
          </w:p>
        </w:tc>
        <w:tc>
          <w:tcPr>
            <w:tcW w:type="dxa" w:w="2339"/>
          </w:tcPr>
          <w:p>
            <w:r>
              <w:rPr>
                <w:sz w:val="20"/>
              </w:rPr>
              <w:t>Hypertriglycéridémie isolée, dyslipidémie mixte</w:t>
            </w:r>
          </w:p>
        </w:tc>
      </w:tr>
      <w:tr>
        <w:tc>
          <w:tcPr>
            <w:tcW w:type="dxa" w:w="2339"/>
          </w:tcPr>
          <w:p>
            <w:r>
              <w:rPr>
                <w:sz w:val="20"/>
              </w:rPr>
              <w:t>5</w:t>
            </w:r>
          </w:p>
        </w:tc>
        <w:tc>
          <w:tcPr>
            <w:tcW w:type="dxa" w:w="2339"/>
          </w:tcPr>
          <w:p>
            <w:r>
              <w:rPr>
                <w:sz w:val="20"/>
              </w:rPr>
              <w:t>Hypolipémiants — Séquestrants biliaires</w:t>
            </w:r>
          </w:p>
        </w:tc>
        <w:tc>
          <w:tcPr>
            <w:tcW w:type="dxa" w:w="2339"/>
          </w:tcPr>
          <w:p>
            <w:r>
              <w:rPr>
                <w:sz w:val="20"/>
              </w:rPr>
              <w:t>1</w:t>
            </w:r>
          </w:p>
        </w:tc>
        <w:tc>
          <w:tcPr>
            <w:tcW w:type="dxa" w:w="2339"/>
          </w:tcPr>
          <w:p>
            <w:r>
              <w:rPr>
                <w:sz w:val="20"/>
              </w:rPr>
              <w:t>Historique, réservé formes pédiatriques/intolérance</w:t>
            </w:r>
          </w:p>
        </w:tc>
      </w:tr>
      <w:tr>
        <w:tc>
          <w:tcPr>
            <w:tcW w:type="dxa" w:w="2339"/>
          </w:tcPr>
          <w:p>
            <w:r>
              <w:rPr>
                <w:sz w:val="20"/>
              </w:rPr>
              <w:t>6</w:t>
            </w:r>
          </w:p>
        </w:tc>
        <w:tc>
          <w:tcPr>
            <w:tcW w:type="dxa" w:w="2339"/>
          </w:tcPr>
          <w:p>
            <w:r>
              <w:rPr>
                <w:sz w:val="20"/>
              </w:rPr>
              <w:t>Hypolipémiants — Anticorps anti-PCSK9</w:t>
            </w:r>
          </w:p>
        </w:tc>
        <w:tc>
          <w:tcPr>
            <w:tcW w:type="dxa" w:w="2339"/>
          </w:tcPr>
          <w:p>
            <w:r>
              <w:rPr>
                <w:sz w:val="20"/>
              </w:rPr>
              <w:t>1</w:t>
            </w:r>
          </w:p>
        </w:tc>
        <w:tc>
          <w:tcPr>
            <w:tcW w:type="dxa" w:w="2339"/>
          </w:tcPr>
          <w:p>
            <w:r>
              <w:rPr>
                <w:sz w:val="20"/>
              </w:rPr>
              <w:t>Hypercholestérolémie familiale, résistance aux statines</w:t>
            </w:r>
          </w:p>
        </w:tc>
      </w:tr>
      <w:tr>
        <w:tc>
          <w:tcPr>
            <w:tcW w:type="dxa" w:w="2339"/>
          </w:tcPr>
          <w:p>
            <w:r>
              <w:rPr>
                <w:sz w:val="20"/>
              </w:rPr>
              <w:t>7</w:t>
            </w:r>
          </w:p>
        </w:tc>
        <w:tc>
          <w:tcPr>
            <w:tcW w:type="dxa" w:w="2339"/>
          </w:tcPr>
          <w:p>
            <w:r>
              <w:rPr>
                <w:sz w:val="20"/>
              </w:rPr>
              <w:t>Inotropes positifs — Sympathomimétiques β1</w:t>
            </w:r>
          </w:p>
        </w:tc>
        <w:tc>
          <w:tcPr>
            <w:tcW w:type="dxa" w:w="2339"/>
          </w:tcPr>
          <w:p>
            <w:r>
              <w:rPr>
                <w:sz w:val="20"/>
              </w:rPr>
              <w:t>1</w:t>
            </w:r>
          </w:p>
        </w:tc>
        <w:tc>
          <w:tcPr>
            <w:tcW w:type="dxa" w:w="2339"/>
          </w:tcPr>
          <w:p>
            <w:r>
              <w:rPr>
                <w:sz w:val="20"/>
              </w:rPr>
              <w:t>Insuffisance cardiaque aiguë, choc cardiogénique</w:t>
            </w:r>
          </w:p>
        </w:tc>
      </w:tr>
      <w:tr>
        <w:tc>
          <w:tcPr>
            <w:tcW w:type="dxa" w:w="2339"/>
          </w:tcPr>
          <w:p>
            <w:r>
              <w:rPr>
                <w:sz w:val="20"/>
              </w:rPr>
              <w:t>8</w:t>
            </w:r>
          </w:p>
        </w:tc>
        <w:tc>
          <w:tcPr>
            <w:tcW w:type="dxa" w:w="2339"/>
          </w:tcPr>
          <w:p>
            <w:r>
              <w:rPr>
                <w:sz w:val="20"/>
              </w:rPr>
              <w:t>Inotropes positifs — Sympathomimétiques mixtes</w:t>
            </w:r>
          </w:p>
        </w:tc>
        <w:tc>
          <w:tcPr>
            <w:tcW w:type="dxa" w:w="2339"/>
          </w:tcPr>
          <w:p>
            <w:r>
              <w:rPr>
                <w:sz w:val="20"/>
              </w:rPr>
              <w:t>1</w:t>
            </w:r>
          </w:p>
        </w:tc>
        <w:tc>
          <w:tcPr>
            <w:tcW w:type="dxa" w:w="2339"/>
          </w:tcPr>
          <w:p>
            <w:r>
              <w:rPr>
                <w:sz w:val="20"/>
              </w:rPr>
              <w:t>Choc cardiogénique, choc septique avec composante cardiaque</w:t>
            </w:r>
          </w:p>
        </w:tc>
      </w:tr>
      <w:tr>
        <w:tc>
          <w:tcPr>
            <w:tcW w:type="dxa" w:w="2339"/>
          </w:tcPr>
          <w:p>
            <w:r>
              <w:rPr>
                <w:sz w:val="20"/>
              </w:rPr>
              <w:t>9</w:t>
            </w:r>
          </w:p>
        </w:tc>
        <w:tc>
          <w:tcPr>
            <w:tcW w:type="dxa" w:w="2339"/>
          </w:tcPr>
          <w:p>
            <w:r>
              <w:rPr>
                <w:sz w:val="20"/>
              </w:rPr>
              <w:t>Inotropes positifs — Inhibiteurs PDE3</w:t>
            </w:r>
          </w:p>
        </w:tc>
        <w:tc>
          <w:tcPr>
            <w:tcW w:type="dxa" w:w="2339"/>
          </w:tcPr>
          <w:p>
            <w:r>
              <w:rPr>
                <w:sz w:val="20"/>
              </w:rPr>
              <w:t>1</w:t>
            </w:r>
          </w:p>
        </w:tc>
        <w:tc>
          <w:tcPr>
            <w:tcW w:type="dxa" w:w="2339"/>
          </w:tcPr>
          <w:p>
            <w:r>
              <w:rPr>
                <w:sz w:val="20"/>
              </w:rPr>
              <w:t>Pont vers transplantation/chirurgie, ICC terminale</w:t>
            </w:r>
          </w:p>
        </w:tc>
      </w:tr>
      <w:tr>
        <w:tc>
          <w:tcPr>
            <w:tcW w:type="dxa" w:w="2339"/>
          </w:tcPr>
          <w:p>
            <w:r>
              <w:rPr>
                <w:sz w:val="20"/>
              </w:rPr>
              <w:t>10</w:t>
            </w:r>
          </w:p>
        </w:tc>
        <w:tc>
          <w:tcPr>
            <w:tcW w:type="dxa" w:w="2339"/>
          </w:tcPr>
          <w:p>
            <w:r>
              <w:rPr>
                <w:sz w:val="20"/>
              </w:rPr>
              <w:t>Inotropes positifs — Sensibilisateurs calciques</w:t>
            </w:r>
          </w:p>
        </w:tc>
        <w:tc>
          <w:tcPr>
            <w:tcW w:type="dxa" w:w="2339"/>
          </w:tcPr>
          <w:p>
            <w:r>
              <w:rPr>
                <w:sz w:val="20"/>
              </w:rPr>
              <w:t>1</w:t>
            </w:r>
          </w:p>
        </w:tc>
        <w:tc>
          <w:tcPr>
            <w:tcW w:type="dxa" w:w="2339"/>
          </w:tcPr>
          <w:p>
            <w:r>
              <w:rPr>
                <w:sz w:val="20"/>
              </w:rPr>
              <w:t>ICC aiguë sévère, dysfonction VD</w:t>
            </w:r>
          </w:p>
        </w:tc>
      </w:tr>
      <w:tr>
        <w:tc>
          <w:tcPr>
            <w:tcW w:type="dxa" w:w="2339"/>
          </w:tcPr>
          <w:p>
            <w:r>
              <w:rPr>
                <w:sz w:val="20"/>
              </w:rPr>
              <w:t>11</w:t>
            </w:r>
          </w:p>
        </w:tc>
        <w:tc>
          <w:tcPr>
            <w:tcW w:type="dxa" w:w="2339"/>
          </w:tcPr>
          <w:p>
            <w:r>
              <w:rPr>
                <w:sz w:val="20"/>
              </w:rPr>
              <w:t>ICA + Statine (associations CV)</w:t>
            </w:r>
          </w:p>
        </w:tc>
        <w:tc>
          <w:tcPr>
            <w:tcW w:type="dxa" w:w="2339"/>
          </w:tcPr>
          <w:p>
            <w:r>
              <w:rPr>
                <w:sz w:val="20"/>
              </w:rPr>
              <w:t>1</w:t>
            </w:r>
          </w:p>
        </w:tc>
        <w:tc>
          <w:tcPr>
            <w:tcW w:type="dxa" w:w="2339"/>
          </w:tcPr>
          <w:p>
            <w:r>
              <w:rPr>
                <w:sz w:val="20"/>
              </w:rPr>
              <w:t>Patient hypertendu + dyslipidémie, observance renforcée</w:t>
            </w:r>
          </w:p>
        </w:tc>
      </w:tr>
      <w:tr>
        <w:tc>
          <w:tcPr>
            <w:tcW w:type="dxa" w:w="2339"/>
          </w:tcPr>
          <w:p>
            <w:r>
              <w:rPr>
                <w:sz w:val="20"/>
              </w:rPr>
              <w:t>12</w:t>
            </w:r>
          </w:p>
        </w:tc>
        <w:tc>
          <w:tcPr>
            <w:tcW w:type="dxa" w:w="2339"/>
          </w:tcPr>
          <w:p>
            <w:r>
              <w:rPr>
                <w:sz w:val="20"/>
              </w:rPr>
              <w:t>Antihypertenseurs — Associations triples</w:t>
            </w:r>
          </w:p>
        </w:tc>
        <w:tc>
          <w:tcPr>
            <w:tcW w:type="dxa" w:w="2339"/>
          </w:tcPr>
          <w:p>
            <w:r>
              <w:rPr>
                <w:sz w:val="20"/>
              </w:rPr>
              <w:t>3</w:t>
            </w:r>
          </w:p>
        </w:tc>
        <w:tc>
          <w:tcPr>
            <w:tcW w:type="dxa" w:w="2339"/>
          </w:tcPr>
          <w:p>
            <w:r>
              <w:rPr>
                <w:sz w:val="20"/>
              </w:rPr>
              <w:t>HTA résistante (≥3 antihypertenseurs dont un diurétique)</w:t>
            </w:r>
          </w:p>
        </w:tc>
      </w:tr>
      <w:tr>
        <w:tc>
          <w:tcPr>
            <w:tcW w:type="dxa" w:w="2339"/>
          </w:tcPr>
          <w:p>
            <w:r>
              <w:rPr>
                <w:sz w:val="20"/>
              </w:rPr>
              <w:t>13</w:t>
            </w:r>
          </w:p>
        </w:tc>
        <w:tc>
          <w:tcPr>
            <w:tcW w:type="dxa" w:w="2339"/>
          </w:tcPr>
          <w:p>
            <w:r>
              <w:rPr>
                <w:sz w:val="20"/>
              </w:rPr>
              <w:t>IEC + ICA (associations)</w:t>
            </w:r>
          </w:p>
        </w:tc>
        <w:tc>
          <w:tcPr>
            <w:tcW w:type="dxa" w:w="2339"/>
          </w:tcPr>
          <w:p>
            <w:r>
              <w:rPr>
                <w:sz w:val="20"/>
              </w:rPr>
              <w:t>3</w:t>
            </w:r>
          </w:p>
        </w:tc>
        <w:tc>
          <w:tcPr>
            <w:tcW w:type="dxa" w:w="2339"/>
          </w:tcPr>
          <w:p>
            <w:r>
              <w:rPr>
                <w:sz w:val="20"/>
              </w:rPr>
              <w:t>HTA non contrôlée par monothérapie, association de choix</w:t>
            </w:r>
          </w:p>
        </w:tc>
      </w:tr>
      <w:tr>
        <w:tc>
          <w:tcPr>
            <w:tcW w:type="dxa" w:w="2339"/>
          </w:tcPr>
          <w:p>
            <w:r>
              <w:rPr>
                <w:sz w:val="20"/>
              </w:rPr>
              <w:t>14</w:t>
            </w:r>
          </w:p>
        </w:tc>
        <w:tc>
          <w:tcPr>
            <w:tcW w:type="dxa" w:w="2339"/>
          </w:tcPr>
          <w:p>
            <w:r>
              <w:rPr>
                <w:sz w:val="20"/>
              </w:rPr>
              <w:t>ARA2 + ICA (associations)</w:t>
            </w:r>
          </w:p>
        </w:tc>
        <w:tc>
          <w:tcPr>
            <w:tcW w:type="dxa" w:w="2339"/>
          </w:tcPr>
          <w:p>
            <w:r>
              <w:rPr>
                <w:sz w:val="20"/>
              </w:rPr>
              <w:t>4</w:t>
            </w:r>
          </w:p>
        </w:tc>
        <w:tc>
          <w:tcPr>
            <w:tcW w:type="dxa" w:w="2339"/>
          </w:tcPr>
          <w:p>
            <w:r>
              <w:rPr>
                <w:sz w:val="20"/>
              </w:rPr>
              <w:t>HTA non contrôlée, alternative si IEC mal toléré</w:t>
            </w:r>
          </w:p>
        </w:tc>
      </w:tr>
    </w:tbl>
    <w:p/>
    <w:p>
      <w:pPr>
        <w:pStyle w:val="Heading3"/>
      </w:pPr>
      <w:r>
        <w:t>38.2.1 Sous-classe 1 — Statines</w:t>
      </w:r>
    </w:p>
    <w:p>
      <w:r>
        <w:t>Les statines (inhibiteurs de l'HMG-CoA réductase,enzyme-clé limitant la synthèse hépatique du cholestérol) sont la pierre angulaire de la prévention cardiovasculaire. Elles se classent en statines de synthèse (atorvastatine, rosuvastatine, fluvastatine) et statines d'origine fongique (simvastatine, pravastatine, lovastatine). La puissance hypolipémiante varie d'environ –30 % (fluvastatine 20 mg) à –55 % (rosuvastatine 40 mg) sur le LDL-C. Les recommandations ESC/EAS 2019 classent atorvastatine (40–80 mg) et rosuvastatine (20–40 mg) comme les seules statines « hautement puissantes ». La pravastatine et la fluvastatine, hydrophiles, présentent le profil de tolérance musculaire et hépatique le plus favorable. La simvastatine, lipophile et métabolisée par CYP3A4, est l'une des statines à plus haut risque interactionnel (amiodarone, vérapamil, diltiazem, macrolides, azolés, jus de pamplemousse) avec un plafond posologique fixé à 20 mg/j en association avec amiodarone ou vérapamil, et à 10 mg/j avec diltiazem, dronédarone ou amlodipine.</w:t>
      </w:r>
    </w:p>
    <w:p>
      <w:pPr>
        <w:pStyle w:val="Heading3"/>
      </w:pPr>
      <w:r>
        <w:t>38.2.2 Sous-classe 2 — Inhibiteurs de l'absorption intestinale du cholestérol</w:t>
      </w:r>
    </w:p>
    <w:p>
      <w:r>
        <w:t>L'ezetimibe est le seul représentant de cette classe. Inhibiteur sélectif du transporteur NPC1L1 (Niemann-Pick C1-Like 1) de la bordure en brosse entérocytaire, il diminue l'absorption du cholestérol alimentaire et surtout biliaire d'environ 50 %. Il induit une baisse complémentaire du LDL-C de 15–20 % lorsqu'il est ajouté à une statine, sans effet propre majeur sur les triglycérides ou le HDL. La tolérance est comparable à celle du placebo, ce qui en fait l'agent de choix en cas d'intolérance aux statines ou de cible LDL non atteinte sous statine forte dose (recommandations ESC/EAS 2019).</w:t>
      </w:r>
    </w:p>
    <w:p>
      <w:pPr>
        <w:pStyle w:val="Heading3"/>
      </w:pPr>
      <w:r>
        <w:t>38.2.3 Sous-classe 3 — Association fixe statine + ezetimibe</w:t>
      </w:r>
    </w:p>
    <w:p>
      <w:r>
        <w:t>L'association ezetimibe + simvastatine (INEGY) simplifie l'observance et propose une combinaison dont l'efficacité a été validée par l'étude IMPROVE-IT (2015) démontrant une réduction supplémentaire des événements CV par rapport à la simvastatine seule. Le rapport coût/efficacité et la commodité d'une prise unique en font une option privilégiée dans les dyslipidémies sévères (FH, diabète avec atteinte CV).</w:t>
      </w:r>
    </w:p>
    <w:p>
      <w:pPr>
        <w:pStyle w:val="Heading3"/>
      </w:pPr>
      <w:r>
        <w:t>38.2.4 Sous-classe 4 — Fibrates</w:t>
      </w:r>
    </w:p>
    <w:p>
      <w:r>
        <w:t>Les fibrates (agonistes PPAR-α) agissent sur le métabolisme des lipides en augmentant l'expression de la lipoprotéine lipase (LPL), en diminuant l'apoC-III et en stimulant la β-oxydation hépatique des acides gras. Le fénofibrate, le seul fibrate réellement commercialisé en Algérie (le bézafibrate et le gemfibrozil sont absents ou retirés), est particulièrement indiqué dans les hypertriglycéridémies isolées sévères (&gt;5,6 mmol/L) à risque pancréatique et dans la dyslipidémie mixte. Sa prescription en association avec une statine doit se faire avec prudence (risque majoré de rhabdomyolyse, surtout avec le gemfibrozil — formellement contre-indiqué), avec surveillance hebdomadaire des CPK le premier mois.</w:t>
      </w:r>
    </w:p>
    <w:p>
      <w:pPr>
        <w:pStyle w:val="Heading3"/>
      </w:pPr>
      <w:r>
        <w:t>38.2.5 Sous-classe 5 — Séquestrants biliaires</w:t>
      </w:r>
    </w:p>
    <w:p>
      <w:r>
        <w:t>La cholestyramine (resine échangeuse d'anions non absorbée) lie les acides biliaires dans la lumière intestinale, interrompant leur cycle entéro-hépatique et forçant le foie à convertir le cholestérol en acides biliaires. Elle fut historiquement la première classe hypolipémiante validée (LRC-CPPT, 1984) mais a été supplantée par les statines en raison de son effet modestement hypocholestérolémiant (–15–20 %), de son mauvais goût, de la majoration des triglycérides, et de ses interactions médicamenteuses nombreuses (warfarine, thyroxine, digoxine, contraceptifs oraux). Elle reste utile chez l'enfant et la femme enceinte (pas d'absorption systémique). La spécialité QUESTRAN est actuellement retirée du marché algérien.</w:t>
      </w:r>
    </w:p>
    <w:p>
      <w:pPr>
        <w:pStyle w:val="Heading3"/>
      </w:pPr>
      <w:r>
        <w:t>38.2.6 Sous-classe 6 — Anticorps monoclonaux anti-PCSK9</w:t>
      </w:r>
    </w:p>
    <w:p>
      <w:r>
        <w:t>L'evolocumab (Repatha) est un anticorps monoclonal humain IgG2 ciblant la PCSK9 (Proprotein Convertase Subtilisin/Kexin type 9) circulante. La PCSK9, lorsqu'elle est libre, se fixe au récepteur des LDL (LDL-R) à la surface hépatocytaire et provoque sa dégradation lysosomale, réduisant ainsi la clairance du LDL-C. En neutralisant la PCSK9, l'evolocumab augmente la densité des LDL-R et augmente massivement la clairance du LDL-C (baisse supplémentaire de 50–60 %). Les études FOURIER (2017) et ODYSSEY OUTCOMES (alirocumab, 2018) ont confirmé la réduction de morbi-mortalité CV. La spécialité Repatha (140 mg/mL stylo prérempli, SC) est disponible en Algérie, généralement réservée aux hypercholestérolémies familiales et aux patients en prévention secondaire avec LDL résiduel &gt;1,4 mmol/L malgré statine forte + ezetimibe.</w:t>
      </w:r>
    </w:p>
    <w:p>
      <w:pPr>
        <w:pStyle w:val="Heading3"/>
      </w:pPr>
      <w:r>
        <w:t>38.2.7 Sous-classe 7 — Sympathomimétiques β1 (inotropes positifs)</w:t>
      </w:r>
    </w:p>
    <w:p>
      <w:r>
        <w:t>La dobutamine est un agoniste β1-adrénergique de synthèse (dérivé de l'isoprénaline) qui augmente l'inotropie cardiaque par activation de l'adénylate cyclase → AMPc → phosphorylation PKA des canaux calciques voltage-dépendants (Cav1.2) → entrée de Ca²⁺ intra-cellulaire → potentialisation de la contraction. Elle exerce également un effet β2 modéré (vasodilatation périphérique) et un léger effet α1 à dose élevée. Sa demi-vie très courte (≈ 2 minutes) impose une perfusion continue IV stricte en réanimation, avec monitorage ECG, PA invasive et diurèse.</w:t>
      </w:r>
    </w:p>
    <w:p>
      <w:pPr>
        <w:pStyle w:val="Heading3"/>
      </w:pPr>
      <w:r>
        <w:t>38.2.8 Sous-classe 8 — Sympathomimétiques mixtes</w:t>
      </w:r>
    </w:p>
    <w:p>
      <w:r>
        <w:t>La dopamine, précurseur métabolique de la noradrénaline, possède un profil dose-dépendant unique : à faible dose (1–3 µg/kg/min) elle active les récepteurs dopaminergiques D1 rénaux et mésentériques (vasodilatation, natriurèse, prétendue protection rénale réfutée par les essais modernes), à dose intermédiaire (3–5 µg/kg/min) les récepteurs β1 (inotropie +), à forte dose (&gt;5–10 µg/kg/min) les récepteurs α1 (vasoconstriction, élévation de la PA). Ce profil en fait un inotrope de choix du choc cardiogénique avec composante vasoplégique et de certaines situations de choc septique. Sa place est aujourd'hui discutée (essai ROSE-AK, 2010).</w:t>
      </w:r>
    </w:p>
    <w:p>
      <w:pPr>
        <w:pStyle w:val="Heading3"/>
      </w:pPr>
      <w:r>
        <w:t>38.2.9 Sous-classe 9 — Inhibiteurs de la PDE3</w:t>
      </w:r>
    </w:p>
    <w:p>
      <w:r>
        <w:t>La milrinone inhibe sélectivement la phosphodiestérase de type 3 (PDE3) qui dégrade l'AMPc intracellulaire. La concentration accrue d'AMPc potentialise l'entrée de Ca²⁺ dans les cardiomyocytes (effet inotrope) et la réabsorption de Ca²⁺ dans le réticulum sarcoplasmique (effet lusitrope, amélioration du remplissage) ; dans le muscle vasculaire, elle provoque une vasodilatation artérielle et veineuse (effet inodilatateur). Sa demi-vie d'environ 2–3 heures et son élimination rénale imposent adaptation posologique en cas d'IRC. La milrinone est surtout utilisée comme pont vers transplantation cardiaque ou en post-opératoire de chirurgie cardiaque, en alternative à la dobutamine en cas de β-bloquant concomitant.</w:t>
      </w:r>
    </w:p>
    <w:p>
      <w:pPr>
        <w:pStyle w:val="Heading3"/>
      </w:pPr>
      <w:r>
        <w:t>38.2.10 Sous-classe 10 — Sensibilisateurs calciques</w:t>
      </w:r>
    </w:p>
    <w:p>
      <w:r>
        <w:t>Le lévosimendan est un sensibilisateur du myocarde au calcium : il se fixe de manière calcium-dépendante à la troponine C cardiaque, stabilisant la conformation ouverte et prolongeant la contraction sans perturber la diastole. Il ouvre également les canaux K-ATP dépendants vasculaires (vasodilatation artérielle, veineuse et coronaire). Sa longue demi-vie d'élimination (≈ 1 heure) et la persistance d'un métabolite actif (OR-1896, demi-vie ≈ 75 h) expliquent la prolongation des effets hémodynamiques au-delà de l'arrêt de la perfusion. Il est indiqué dans l'insuffisance cardiaque aiguë sévère avec décompensation, en particulier lorsqu'il existe une dysfonction VD ou une composante ischémique.</w:t>
      </w:r>
    </w:p>
    <w:p>
      <w:pPr>
        <w:pStyle w:val="Heading3"/>
      </w:pPr>
      <w:r>
        <w:t>38.2.11 Sous-classe 11 — ICA + Statine</w:t>
      </w:r>
    </w:p>
    <w:p>
      <w:r>
        <w:t>L'association amlodipine + atorvastatine combine un inhibiteur calcique dihydropyridinique de longue durée d'action (amlodipine) et une statine hautement puissante (atorvastatine), ciblant simultanément la composante tensionnelle et la composante lipidique du risque cardiovasculaire global. Elle est commercialisée en Algérie sous la marque TORVAPINE (El Kendi) et a fait l'objet de l'étude Astros-A (compliance améliorée versus prises séparées). C'est une option intéressante chez le patient coronarien stable hypertendu, mais elle limite la flexibilité d'ajustement posologique.</w:t>
      </w:r>
    </w:p>
    <w:p>
      <w:pPr>
        <w:pStyle w:val="Heading3"/>
      </w:pPr>
      <w:r>
        <w:t>38.2.12 Sous-classe 12 — Antihypertenseurs associations triples</w:t>
      </w:r>
    </w:p>
    <w:p>
      <w:r>
        <w:t>Les associations triples fixes associent trois classes antihypertensives : soit ARA2 + ICA + thiazidique (CO EXVAL, LOTEVAN PLUS), soit IEC + thiazidique-like + ICA (PRATIMA TRIO : périndopril + indapamide + amlodipine). Elles sont indiquées dans l'HTA résistante définie par une PA non contrôlée sous bithérapie à doses optimales, conformément aux recommandations ESH/ESC 2023. L'objectif est triple : bloquer le SRAA (IEC/ARA2), inhiber l'influx calcique vasculaire (ICA), réduire la volémie (diurétique). Le bénéfice est avant tout celui de l'observance (une prise par jour) et de la synergie antihypertensive.</w:t>
      </w:r>
    </w:p>
    <w:p>
      <w:pPr>
        <w:pStyle w:val="Heading3"/>
      </w:pPr>
      <w:r>
        <w:t>38.2.13 Sous-classe 13 — IEC + ICA</w:t>
      </w:r>
    </w:p>
    <w:p>
      <w:r>
        <w:t>L'association IEC + ICA dihydropyridinique est l'une des bithérapies antihypertensives de référence, validée par l'étude ASCOT-BPLA (périndopril + amlodipine supérieur à atenolol + bendroflumethiazide). Elle combine le blocage du SRAA (IEC) et la vasodilatation artérielle directe (ICA DHP), avec neutralisation réciproque des effets indésirables (toux IEC compensée par effet antitussif des ICA ; œdèmes des ICA réduits par les IEC). Les associations amlodipine + périndopril (COVERAM, PRATIMA AM) et ramipril + félodipine (TRIACOR, non renouvelée) sont disponibles en Algérie.</w:t>
      </w:r>
    </w:p>
    <w:p>
      <w:pPr>
        <w:pStyle w:val="Heading3"/>
      </w:pPr>
      <w:r>
        <w:t>38.2.14 Sous-classe 14 — ARA2 + ICA</w:t>
      </w:r>
    </w:p>
    <w:p>
      <w:r>
        <w:t>Similaires à la sous-classe 13 mais avec remplacement de l'IEC par un ARA2, ces associations offrent une tolérance supérieure (absence de toux, moindre risque d'angio-œdème) tout en conservant la synergie antihypertensive et l'effet néphroprotecteur démontré chez le diabétique. Quatre DCI sont représentées en Algérie : amlodipine + valsartan (EXFORGE, DARTIX, EXVAL…), amlodipine + irbesartan (APROVASC, VASCOVEL…), irbesartan + amlodipine (mêmes marques, dosage inversé), telmisartan + amlodipine (EXTEL, TEMISAL). La diversité des dosages permet une escalade thérapeutique progressive.</w:t>
      </w:r>
    </w:p>
    <w:p>
      <w:pPr>
        <w:pStyle w:val="Heading2"/>
      </w:pPr>
      <w:r>
        <w:t>38.3 Fiches DCI — Hypolipémiants</w:t>
      </w:r>
    </w:p>
    <w:p>
      <w:pPr>
        <w:pStyle w:val="Heading3"/>
      </w:pPr>
      <w:r>
        <w:t>38.3.1 DCI : Simvastatine (Statine — Monothérapie)</w:t>
      </w:r>
    </w:p>
    <w:p>
      <w:r/>
      <w:r>
        <w:rPr>
          <w:b/>
        </w:rPr>
        <w:t>Liste des Catégories :</w:t>
      </w:r>
      <w:r>
        <w:t xml:space="preserve"> Hypolipémiants — Statines ; Liste I.</w:t>
      </w:r>
    </w:p>
    <w:p>
      <w:r>
        <w:t>La simvastatine est une statine de première génération, prodrogue lipophile issue d'une modification semi-synthétique de la lovastatine (métabolite d'origine fongique d'Aspergillus terreus). Administrée sous forme de lactone inactive, elle subit une hydrolyse hépatique en forme β-hydroxyacide active. Son métabolisme est principalement assuré par le CYP3A4, ce qui en fait la statine à plus haut risque interactionnel. La demi-vie d'élimination est courte (≈ 2–3 heures), ce qui impose une prise unique le soir, l'activité maximale de l'HMG-CoA réductase se situant à minuit (synthèse hépatique du cholestérol prédominante la nuit). La puissance hypocholestérolémiante est intermédiaire : –30 % à 10 mg, –37 % à 20 mg, –42 % à 40 mg, –47 % à 80 mg (dose désormais réservée à l'initiation hospitalière en raison du risque majoré de myopathie). Le ratio LDL/HDL et l'apo B sont réduits, avec une discrète augmentation du HDL-C (5–10 %) et une baisse modérée des triglycérides (10–20 %).</w:t>
      </w:r>
    </w:p>
    <w:p>
      <w:r/>
      <w:r>
        <w:rPr>
          <w:b/>
        </w:rPr>
        <w:t>Médicaments disponibles en Algérie (Marques, Laboratoires, Formes et Dosages) :</w:t>
      </w:r>
      <w:r/>
    </w:p>
    <w:p>
      <w:pPr>
        <w:pStyle w:val="ListBullet"/>
      </w:pPr>
      <w:r/>
      <w:r>
        <w:rPr>
          <w:b/>
        </w:rPr>
        <w:t>KOLESTINE 20</w:t>
      </w:r>
      <w:r>
        <w:t xml:space="preserve"> (EURL ETABLIMED) — Comprimé pelliculé 20 mg, B/30 — Statut : Actif</w:t>
      </w:r>
    </w:p>
    <w:p>
      <w:pPr>
        <w:pStyle w:val="ListBullet"/>
      </w:pPr>
      <w:r/>
      <w:r>
        <w:rPr>
          <w:b/>
        </w:rPr>
        <w:t>KOLESTINE</w:t>
      </w:r>
      <w:r>
        <w:t xml:space="preserve"> (EURL ETABLIMED) — Comprimé pelliculé 40 mg, B/30 — Statut : Actif</w:t>
      </w:r>
    </w:p>
    <w:p>
      <w:pPr>
        <w:pStyle w:val="ListBullet"/>
      </w:pPr>
      <w:r/>
      <w:r>
        <w:rPr>
          <w:b/>
        </w:rPr>
        <w:t>SIMVASTATINE BIOCARE</w:t>
      </w:r>
      <w:r>
        <w:t xml:space="preserve"> (BIOCARE) — Gélule à micro-granules 20 mg, B/28 — Statut : Actif</w:t>
      </w:r>
    </w:p>
    <w:p>
      <w:pPr>
        <w:pStyle w:val="ListBullet"/>
      </w:pPr>
      <w:r/>
      <w:r>
        <w:rPr>
          <w:b/>
        </w:rPr>
        <w:t>SIMVASTATINE LDM</w:t>
      </w:r>
      <w:r>
        <w:t xml:space="preserve"> (LABORATOIRES DE DIAGNOSTIC MAGHREBINS-LDM) — Comprimé pelliculé sécable 20 mg, B/30 — Statut : Actif ; Comprimé pelliculé sécable 40 mg, B/30 — Statut : Actif</w:t>
      </w:r>
    </w:p>
    <w:p>
      <w:pPr>
        <w:pStyle w:val="ListBullet"/>
      </w:pPr>
      <w:r/>
      <w:r>
        <w:rPr>
          <w:b/>
        </w:rPr>
        <w:t>SIVACOR</w:t>
      </w:r>
      <w:r>
        <w:t xml:space="preserve"> (HIKMA PHARMA ALGERIA) — Comprimé pelliculé 20 mg, B/10 et B/30 — Statut : Actif</w:t>
      </w:r>
    </w:p>
    <w:p>
      <w:pPr>
        <w:pStyle w:val="ListBullet"/>
      </w:pPr>
      <w:r/>
      <w:r>
        <w:rPr>
          <w:b/>
        </w:rPr>
        <w:t>SOCOB</w:t>
      </w:r>
      <w:r>
        <w:t xml:space="preserve"> (LABORATOIRES BEKER) — Comprimé pelliculé sécable 20 mg et 40 mg, B/30 — Statut : Actif</w:t>
      </w:r>
    </w:p>
    <w:p>
      <w:pPr>
        <w:pStyle w:val="ListBullet"/>
      </w:pPr>
      <w:r/>
      <w:r>
        <w:rPr>
          <w:b/>
        </w:rPr>
        <w:t>LIPONORM</w:t>
      </w:r>
      <w:r>
        <w:t xml:space="preserve"> (NEOMEDIC) — Comprimé pelliculé sécable 20 mg, B/28 — Statut : Non Renouvelable</w:t>
      </w:r>
    </w:p>
    <w:p>
      <w:pPr>
        <w:pStyle w:val="ListBullet"/>
      </w:pPr>
      <w:r/>
      <w:r>
        <w:rPr>
          <w:b/>
        </w:rPr>
        <w:t>VASTA</w:t>
      </w:r>
      <w:r>
        <w:t xml:space="preserve"> (EL KENDI) — Comprimé pelliculé 10 mg et 20 mg, B/30 — Statut : Non Renouvelable</w:t>
      </w:r>
    </w:p>
    <w:p>
      <w:pPr>
        <w:pStyle w:val="ListBullet"/>
      </w:pPr>
      <w:r/>
      <w:r>
        <w:rPr>
          <w:b/>
        </w:rPr>
        <w:t>ZOSTINE</w:t>
      </w:r>
      <w:r>
        <w:t xml:space="preserve"> (PHARMALLIANCE) — Comprimé pelliculé 20 mg et 40 mg, B/30 — Statut : Non Renouvelable</w:t>
      </w:r>
    </w:p>
    <w:p>
      <w:pPr>
        <w:pStyle w:val="ListBullet"/>
      </w:pPr>
      <w:r/>
      <w:r>
        <w:rPr>
          <w:b/>
        </w:rPr>
        <w:t>SIMVACOR</w:t>
      </w:r>
      <w:r>
        <w:t xml:space="preserve"> (GROUPE SAIDAL) — Comprimé pelliculé sécable 10 mg (B/10), 20 mg et 40 mg (B/30) — Statut : Non Renouvelable</w:t>
      </w:r>
    </w:p>
    <w:p>
      <w:pPr>
        <w:pStyle w:val="ListBullet"/>
      </w:pPr>
      <w:r/>
      <w:r>
        <w:rPr>
          <w:b/>
        </w:rPr>
        <w:t>SIMVATINE</w:t>
      </w:r>
      <w:r>
        <w:t xml:space="preserve"> (GEOPHARM) — Comprimé 20 mg et 40 mg, B/30 — Statut : Retiré (R)</w:t>
      </w:r>
    </w:p>
    <w:p>
      <w:pPr>
        <w:pStyle w:val="ListBullet"/>
      </w:pPr>
      <w:r/>
      <w:r>
        <w:rPr>
          <w:b/>
        </w:rPr>
        <w:t>ZOCOR</w:t>
      </w:r>
      <w:r>
        <w:t xml:space="preserve"> (MERCK SHARP &amp; DOHME CHIBRET) — Comprimé enrobé sécable 20 mg et comprimé pelliculé 40 mg, B/28 — Statut : Retiré (R)</w:t>
      </w:r>
    </w:p>
    <w:p>
      <w:pPr>
        <w:pStyle w:val="ListBullet"/>
      </w:pPr>
      <w:r/>
      <w:r>
        <w:rPr>
          <w:b/>
        </w:rPr>
        <w:t>SIMVASTATINE MERCK</w:t>
      </w:r>
      <w:r>
        <w:t xml:space="preserve"> (MERCK GENERIQUES) — Comprimé pelliculé 20 mg et 40 mg, B/28 — Statut : Retiré (R)</w:t>
      </w:r>
    </w:p>
    <w:p>
      <w:pPr>
        <w:pStyle w:val="ListBullet"/>
      </w:pPr>
      <w:r/>
      <w:r>
        <w:rPr>
          <w:b/>
        </w:rPr>
        <w:t>SIMVOR</w:t>
      </w:r>
      <w:r>
        <w:t xml:space="preserve"> (RANBAXY) — Comprimé pelliculé 10 mg et 20 mg, B/30 — Statut : Retiré (R)</w:t>
      </w:r>
    </w:p>
    <w:p>
      <w:pPr>
        <w:pStyle w:val="ListBullet"/>
      </w:pPr>
      <w:r/>
      <w:r>
        <w:rPr>
          <w:b/>
        </w:rPr>
        <w:t>ZOCORINE</w:t>
      </w:r>
      <w:r>
        <w:t xml:space="preserve"> (ASIA PHARMACEUTICAL) — Comprimé pelliculé 20 mg, B/10 et B/30 — Statut : Retiré (R)</w:t>
      </w:r>
    </w:p>
    <w:p>
      <w:pPr>
        <w:pStyle w:val="ListBullet"/>
      </w:pPr>
      <w:r/>
      <w:r>
        <w:rPr>
          <w:b/>
        </w:rPr>
        <w:t>SIMVASTATINE IBERAL</w:t>
      </w:r>
      <w:r>
        <w:t xml:space="preserve"> (IBERAL SPA) — Comprimé enrobé sécable 20 mg, B/28 — Statut : Retiré (R)</w:t>
      </w:r>
    </w:p>
    <w:p>
      <w:pPr>
        <w:pStyle w:val="ListBullet"/>
      </w:pPr>
      <w:r/>
      <w:r>
        <w:rPr>
          <w:b/>
        </w:rPr>
        <w:t>SIMVASTATINE WINTHROP</w:t>
      </w:r>
      <w:r>
        <w:t xml:space="preserve"> (WINTHROP PHARMA SAIDAL) — Comprimé pelliculé 20 mg, B/30 — Statut : Retiré (R)</w:t>
      </w:r>
    </w:p>
    <w:p>
      <w:pPr>
        <w:pStyle w:val="ListBullet"/>
      </w:pPr>
      <w:r/>
      <w:r>
        <w:rPr>
          <w:b/>
        </w:rPr>
        <w:t>ZOGé</w:t>
      </w:r>
      <w:r>
        <w:t xml:space="preserve"> (CPCM) — Comprimé pelliculé 20 mg, B/28 — Statut : Retiré (R)</w:t>
      </w:r>
    </w:p>
    <w:p>
      <w:pPr>
        <w:pStyle w:val="ListBullet"/>
      </w:pPr>
      <w:r/>
      <w:r>
        <w:rPr>
          <w:b/>
        </w:rPr>
        <w:t>SIMVASTAL</w:t>
      </w:r>
      <w:r>
        <w:t xml:space="preserve"> (SOPHAL) — Comprimé pelliculé sécable 20 mg, B/30 — Statut : Retiré (R)</w:t>
      </w:r>
    </w:p>
    <w:p>
      <w:r/>
      <w:r>
        <w:rPr>
          <w:b/>
        </w:rPr>
        <w:t>Sous-classe et Mécanisme d'action :</w:t>
      </w:r>
      <w:r/>
    </w:p>
    <w:p>
      <w:pPr>
        <w:pStyle w:val="ListBullet"/>
      </w:pPr>
      <w:r>
        <w:t>Sous-classe : Statine lipophile de première génération (prodrogue), classe des inhibiteurs de l'HMG-CoA réductase.</w:t>
      </w:r>
    </w:p>
    <w:p>
      <w:pPr>
        <w:pStyle w:val="ListBullet"/>
      </w:pPr>
      <w:r>
        <w:t>Mécanisme d'action : inhibition compétitive et réversible de la 3-hydroxy-3-méthylglutaryl-coenzyme A réductase (HMG-CoA réductase), enzyme limitante de la voie de synthèse hépatique du cholestérol (conversion HMG-CoA en acide mévalonique). La baisse du pool intracellulaire de cholestérol hépatocytaire provoque une surexpression du récepteur des LDL (LDL-R) à la membrane des hépatocytes, augmentant la clairance du LDL-C circulant. La simvastatine baisse également la synthèse de l'apo B-100 et des VLDL. Effets pléiotropes : amélioration de la fonction endothéliale (eNOS, NO), effet anti-inflammatoire (baisse CRP), effet anti-thrombotique, stabilisation de la plaque d'athérosclérose, baisse de l'oxydation des LDL.</w:t>
      </w:r>
    </w:p>
    <w:p>
      <w:r/>
      <w:r>
        <w:rPr>
          <w:b/>
        </w:rPr>
        <w:t>Profil Pharmacologique :</w:t>
      </w:r>
      <w:r/>
    </w:p>
    <w:p>
      <w:pPr>
        <w:pStyle w:val="ListBullet"/>
      </w:pPr>
      <w:r>
        <w:t>Indications : hypercholestérolémie primitive (type IIa) et mixte (type IIb) ; prévention cardiovasculaire secondaire chez le coronarien, le post-AVC ischémique, le patient avec AOMI ; ralentissement de l'athérosclérose ; certaines dyslipidémies héréditaires (hypercholestérolémie familiale hétérozygote).</w:t>
      </w:r>
    </w:p>
    <w:p>
      <w:pPr>
        <w:pStyle w:val="ListBullet"/>
      </w:pPr>
      <w:r>
        <w:t>Contre-indications : hépatopathie active (transaminases &gt; 3 × LSN), élévation persistante des transaminases d'origine indéterminée ; myopathie évolutive ; grossesse et allaitement ; association à l'itraconazole, kétoconazole, inhibiteurs de protéase du VIH, clarithromycine, érythromycine, télithromycine, néfazodone, cobicistat ; dose &gt; 20 mg/j en association avec amiodarone, vérapamil ou diltiazem ; dose &gt; 10 mg/j avec dronédarone ou amlodipine ; hypersensibilité.</w:t>
      </w:r>
    </w:p>
    <w:p>
      <w:pPr>
        <w:pStyle w:val="ListBullet"/>
      </w:pPr>
      <w:r>
        <w:t>Effets Indésirables :</w:t>
      </w:r>
    </w:p>
    <w:p>
      <w:pPr>
        <w:pStyle w:val="ListBullet"/>
      </w:pPr>
      <w:r>
        <w:t>Musculaires (fréquents, 5–10 %) : myalgie, crampes, élévation des CPK. Rhabdomyolyse rare (≤ 1/10 000) mais grave, avec insuffisance rénale aiguë par myoglobinurie.</w:t>
      </w:r>
    </w:p>
    <w:p>
      <w:pPr>
        <w:pStyle w:val="ListBullet"/>
      </w:pPr>
      <w:r>
        <w:t>Hépatiques : élévation transitoire des transaminases (1–3 %), hépatite clinique rare.</w:t>
      </w:r>
    </w:p>
    <w:p>
      <w:pPr>
        <w:pStyle w:val="ListBullet"/>
      </w:pPr>
      <w:r>
        <w:t>Digestifs : constipation, dyspepsie, flatulence, nausées, douleurs abdominales.</w:t>
      </w:r>
    </w:p>
    <w:p>
      <w:pPr>
        <w:pStyle w:val="ListBullet"/>
      </w:pPr>
      <w:r>
        <w:t>Neurologiques : céphalées, insomnie, plus rarement troubles mnésiques (statines lipophiles traversant la barrière hémato-encéphalique).</w:t>
      </w:r>
    </w:p>
    <w:p>
      <w:pPr>
        <w:pStyle w:val="ListBullet"/>
      </w:pPr>
      <w:r>
        <w:t>Métaboliques : augmentation discrète de la glycémie (HbA1c +0,1 %) et du risque de diabète incident (≈ 1 cas pour 1000 patients-années), à mettre en balance avec la réduction CV marquée.</w:t>
      </w:r>
    </w:p>
    <w:p>
      <w:pPr>
        <w:pStyle w:val="ListBullet"/>
      </w:pPr>
      <w:r>
        <w:t>Cutanés : rash, prurit, exceptionnels syndromes de Stevens-Johnson ou de Lyell.</w:t>
      </w:r>
    </w:p>
    <w:p>
      <w:r/>
      <w:r>
        <w:rPr>
          <w:b/>
        </w:rPr>
        <w:t>Prévention et Gestion des Effets Indésirables :</w:t>
      </w:r>
      <w:r/>
    </w:p>
    <w:p>
      <w:pPr>
        <w:pStyle w:val="ListBullet"/>
      </w:pPr>
      <w:r>
        <w:t>Mesures Préventives : dosage ALAT/ASAT avant traitement, à 3 mois puis 1×/an ; dosage CPK avant traitement (référence) et uniquement si symptômes musculaires ; information du patient sur les signes d'alerte (douleurs musculaires inexpliquées, urines foncées, fatigue intense) ; éviction du pamplemousse (inhibiteur CYP3A4) ; précaution chez le sujet âgé fragile, l'insuffisant rénal, l'hypothyroïdie non corrigée.</w:t>
      </w:r>
    </w:p>
    <w:p>
      <w:pPr>
        <w:pStyle w:val="ListBullet"/>
      </w:pPr>
      <w:r>
        <w:t>Conduite à Tenir :</w:t>
      </w:r>
    </w:p>
    <w:p>
      <w:pPr>
        <w:pStyle w:val="ListBullet"/>
      </w:pPr>
      <w:r>
        <w:t>CPK &gt; 5 × LSN sans symptômes : surveiller, contrôler à 1 semaine.</w:t>
      </w:r>
    </w:p>
    <w:p>
      <w:pPr>
        <w:pStyle w:val="ListBullet"/>
      </w:pPr>
      <w:r>
        <w:t>CPK &gt; 5 × LSN avec symptômes : arrêt immédiat, surveillance rénale et kaliémie.</w:t>
      </w:r>
    </w:p>
    <w:p>
      <w:pPr>
        <w:pStyle w:val="ListBullet"/>
      </w:pPr>
      <w:r>
        <w:t>Rhabdomyolyse (CPK &gt; 10 × LSN avec insuffisance rénale/urines foncées) : arrêt définitif, hospitalisation, hydratation IV, alcalinisation des urines.</w:t>
      </w:r>
    </w:p>
    <w:p>
      <w:pPr>
        <w:pStyle w:val="ListBullet"/>
      </w:pPr>
      <w:r>
        <w:t>ALAT &gt; 3 × LSN à deux reprises : arrêt de la statine.</w:t>
      </w:r>
    </w:p>
    <w:p>
      <w:pPr>
        <w:pStyle w:val="ListBullet"/>
      </w:pPr>
      <w:r>
        <w:t>Myalgie tolérable : surveillance, parfois pause temporaire (drug holiday) puis réintroduction à dose réduite ou switch vers pravastatine/fluvastatine.</w:t>
      </w:r>
    </w:p>
    <w:p>
      <w:r/>
      <w:r>
        <w:rPr>
          <w:b/>
        </w:rPr>
        <w:t>Interactions Importantes :</w:t>
      </w:r>
      <w:r/>
    </w:p>
    <w:p>
      <w:pPr>
        <w:pStyle w:val="ListBullet"/>
      </w:pPr>
      <w:r/>
      <w:r>
        <w:rPr>
          <w:b/>
        </w:rPr>
        <w:t>Simvastatine + Fibrates (surtout gemfibrozil)</w:t>
      </w:r>
      <w:r>
        <w:t xml:space="preserve"> : risque majeur de rhabdomyolyse. Gemfibrozil CI absolue. Fénofibrate possible sous surveillance stricte CPK.</w:t>
      </w:r>
    </w:p>
    <w:p>
      <w:pPr>
        <w:pStyle w:val="ListBullet"/>
      </w:pPr>
      <w:r/>
      <w:r>
        <w:rPr>
          <w:b/>
        </w:rPr>
        <w:t>Simvastatine + Amiodarone ou Vérapamil</w:t>
      </w:r>
      <w:r>
        <w:t xml:space="preserve"> : multiplication par 5–10 de l'ASC de simvastatine. Dose maximale 20 mg/j.</w:t>
      </w:r>
    </w:p>
    <w:p>
      <w:pPr>
        <w:pStyle w:val="ListBullet"/>
      </w:pPr>
      <w:r/>
      <w:r>
        <w:rPr>
          <w:b/>
        </w:rPr>
        <w:t>Simvastatine + Diltiazem, Dronédarone, Amlodipine</w:t>
      </w:r>
      <w:r>
        <w:t xml:space="preserve"> : dose maximale 10 mg/j.</w:t>
      </w:r>
    </w:p>
    <w:p>
      <w:pPr>
        <w:pStyle w:val="ListBullet"/>
      </w:pPr>
      <w:r/>
      <w:r>
        <w:rPr>
          <w:b/>
        </w:rPr>
        <w:t>Simvastatine + Azolés (itraconazole, kétoconazole, posaconazole), Macrolides (clarithromycine, érythromycine, télithromycine), Inhibiteurs protéase VIH, Cobicistat</w:t>
      </w:r>
      <w:r>
        <w:t xml:space="preserve"> : CI absolue.</w:t>
      </w:r>
    </w:p>
    <w:p>
      <w:pPr>
        <w:pStyle w:val="ListBullet"/>
      </w:pPr>
      <w:r/>
      <w:r>
        <w:rPr>
          <w:b/>
        </w:rPr>
        <w:t>Simvastatine + Jus de pamplemousse (≥ 1 verre/j)</w:t>
      </w:r>
      <w:r>
        <w:t xml:space="preserve"> : multiplication par 3 de l'ASC. À proscrire.</w:t>
      </w:r>
    </w:p>
    <w:p>
      <w:pPr>
        <w:pStyle w:val="ListBullet"/>
      </w:pPr>
      <w:r/>
      <w:r>
        <w:rPr>
          <w:b/>
        </w:rPr>
        <w:t>Simvastatine + Cyclosporine, Danazol</w:t>
      </w:r>
      <w:r>
        <w:t xml:space="preserve"> : CI absolue.</w:t>
      </w:r>
    </w:p>
    <w:p>
      <w:pPr>
        <w:pStyle w:val="ListBullet"/>
      </w:pPr>
      <w:r/>
      <w:r>
        <w:rPr>
          <w:b/>
        </w:rPr>
        <w:t>Simvastatine + Warfarine/Antivitamines K</w:t>
      </w:r>
      <w:r>
        <w:t xml:space="preserve"> : majoration de l'INR (compétition CYP), surveillance rapprochée.</w:t>
      </w:r>
    </w:p>
    <w:p>
      <w:pPr>
        <w:pStyle w:val="ListBullet"/>
      </w:pPr>
      <w:r/>
      <w:r>
        <w:rPr>
          <w:b/>
        </w:rPr>
        <w:t>Simvastatine + Colchicine</w:t>
      </w:r>
      <w:r>
        <w:t xml:space="preserve"> : risque de rhabdomyolyse surtout si insuffisance rénale.</w:t>
      </w:r>
    </w:p>
    <w:p>
      <w:r/>
      <w:r>
        <w:rPr>
          <w:b/>
        </w:rPr>
        <w:t>Grossesse et Allaitement :</w:t>
      </w:r>
      <w:r/>
    </w:p>
    <w:p>
      <w:pPr>
        <w:pStyle w:val="ListBullet"/>
      </w:pPr>
      <w:r>
        <w:t>Grossesse : CI absolue (catégorie X). Statines tératogènes chez l'animal (anomalies de fermeture du tube neural, malformations squelettiques). Dépistage systématique de grossesse avant instauration chez une femme en âge de procréer. Contraception efficace nécessaire. En cas de grossesse意外, arrêt immédiat.</w:t>
      </w:r>
    </w:p>
    <w:p>
      <w:pPr>
        <w:pStyle w:val="ListBullet"/>
      </w:pPr>
      <w:r>
        <w:t>Allaitement : CI absolue. La simvastatine passe dans le lait maternel chez l'animal, risque d'atteinte hépatique et musculaire chez le nouveau-né.</w:t>
      </w:r>
    </w:p>
    <w:p>
      <w:pPr>
        <w:pStyle w:val="ListBullet"/>
      </w:pPr>
      <w:r>
        <w:t>Précisions : les hypolipidémies modérées de la grossesse ne justifient jamais un traitement hypolipémiant. Seuls les séquestrants biliaires (cholestyramine) sont autorisés en cas d'hypercholestérolémie familiale sévère pendant la grossesse.</w:t>
      </w:r>
    </w:p>
    <w:p>
      <w:r/>
      <w:r>
        <w:rPr>
          <w:b/>
        </w:rPr>
        <w:t>Posologie et Mode d'administration (Standard) :</w:t>
      </w:r>
      <w:r/>
    </w:p>
    <w:p>
      <w:pPr>
        <w:pStyle w:val="ListBullet"/>
      </w:pPr>
      <w:r>
        <w:t>Adulte : dose initiale 10–20 mg/j, dose usuelle 20–40 mg/j, dose maximale 80 mg/j (réservée aux patients traités chroniquement à dose 80 mg sans effet indésirable, et aux hypercholestérolémies familiales sévères, sous surveillance hépatique et musculaire renforcée).</w:t>
      </w:r>
    </w:p>
    <w:p>
      <w:pPr>
        <w:pStyle w:val="ListBullet"/>
      </w:pPr>
      <w:r>
        <w:t>Sujet âgé : pas d'adaptation posologique systématique, mais prudence en cas d'insuffisance rénale, d'interactions polymédicamenteuses, de fragilité.</w:t>
      </w:r>
    </w:p>
    <w:p>
      <w:pPr>
        <w:pStyle w:val="ListBullet"/>
      </w:pPr>
      <w:r>
        <w:t>Insuffisance rénale modérée (ClCr 30–60) : dose max 40 mg/j. Insuffisance sévère (ClCr &lt; 30) : dose initiale 5 mg/j, dose max 10 mg/j la première année, surveillance rénale et musculaire étroite.</w:t>
      </w:r>
    </w:p>
    <w:p>
      <w:pPr>
        <w:pStyle w:val="ListBullet"/>
      </w:pPr>
      <w:r>
        <w:t>Durée : traitement au long cours à vie (prévention CV secondaire), réévaluation annuelle du rapport bénéfice/risque.</w:t>
      </w:r>
    </w:p>
    <w:p>
      <w:pPr>
        <w:pStyle w:val="ListBullet"/>
      </w:pPr>
      <w:r>
        <w:t>Moment de prise : prise unique le soir (la synthèse hépatique du cholestérol est maximale vers minuit). La simvastatine peut être prise pendant ou en dehors des repas (la biodisponibilité n'est pas affectée).</w:t>
      </w:r>
    </w:p>
    <w:p>
      <w:r/>
      <w:r>
        <w:rPr>
          <w:b/>
        </w:rPr>
        <w:t>Arbitrage et Bénéfices des Formes Galéniques :</w:t>
      </w:r>
      <w:r/>
    </w:p>
    <w:p>
      <w:r>
        <w:t>Forme comprimé pelliculé sécable (SIMVASTATINE LDM, SOCOB) : permet l'adaptation posologique par 10 mg (demi-comprimé du 20 mg) ou 20 mg (demi-comprimé du 40 mg), facilitant l'escalade thérapeutique progressive. Forme gélule à micro-granules (SIMVASTATINE BIOCARE) : homogénéité du dosage, masquage du goût, libération régulière. Forme 80 mg : réservée à l'usage hospitalier et aux patients déjà stabilisés ; suspension de l'initiation à 80 mg en raison du risque majoré de myopathie et rhabdomyolyse (FDA, 2011 ; EMA, 2012).</w:t>
      </w:r>
    </w:p>
    <w:p>
      <w:r/>
      <w:r>
        <w:rPr>
          <w:b/>
        </w:rPr>
        <w:t>Instructions et Conseils au Patient :</w:t>
      </w:r>
      <w:r/>
    </w:p>
    <w:p>
      <w:pPr>
        <w:pStyle w:val="ListBullet"/>
      </w:pPr>
      <w:r>
        <w:t>Communication au comptoir : « Ce médicament baisse le mauvais cholestérol en bloquant sa fabrication par le foie. Prenez-le le soir, à heure fixe, car le foie fabrique le cholestérol surtout la nuit. Ne buvez jamais de jus de pamplemousse pendant le traitement (cela peut multiplier le médicament dans le sang et provoquer des douleurs musculaires graves). Prévenez immédiatement votre médecin si vous avez des douleurs musculaires inhabituelles, une faiblesse, des urines foncées, une jaunisse ou une fatigue intense. Ne l'arrêtez pas seul. »</w:t>
      </w:r>
    </w:p>
    <w:p>
      <w:pPr>
        <w:pStyle w:val="ListBullet"/>
      </w:pPr>
      <w:r>
        <w:t>Mode d'utilisation pratique : prise le soir au coucher, avaler avec un grand verre d'eau, ne pas écraser le comprimé pelliculé. En cas d'oubli, ne pas doubler la dose. Maintenir une alimentation équilibrée pauvre en graisses saturées. Activité physique régulière. Alcool à limiter fortement (risque hépatique).</w:t>
      </w:r>
    </w:p>
    <w:p>
      <w:r/>
      <w:r>
        <w:rPr>
          <w:b/>
        </w:rPr>
        <w:t>Notes, Règles d'Or &amp; Pièges au Comptoir :</w:t>
      </w:r>
      <w:r/>
    </w:p>
    <w:p>
      <w:pPr>
        <w:pStyle w:val="ListBullet"/>
      </w:pPr>
      <w:r>
        <w:t>Piège classique : patient sous simvastatine à qui on délivre un macrolide (clarithromycine, azithromycine — l'azithromycine est tolérée mais la clarithromycine/érythromycine CI). Suspendre la simvastatine pendant le traitement antibiotique.</w:t>
      </w:r>
    </w:p>
    <w:p>
      <w:pPr>
        <w:pStyle w:val="ListBullet"/>
      </w:pPr>
      <w:r>
        <w:t>Piège classique : association simvastatine + amiodarone chez le coronarien âgé. Limiter à 20 mg/j maximum.</w:t>
      </w:r>
    </w:p>
    <w:p>
      <w:pPr>
        <w:pStyle w:val="ListBullet"/>
      </w:pPr>
      <w:r>
        <w:t>Piège classique : patient qui boit du jus de pamplemousse matin et soir. Multiplie par 3–5 l'ASC de la simvastatine. Remplacer par une autre statine non métabolisée par CYP3A4 (pravastatine, rosuvastatine) ou proscrire le jus.</w:t>
      </w:r>
    </w:p>
    <w:p>
      <w:pPr>
        <w:pStyle w:val="ListBullet"/>
      </w:pPr>
      <w:r>
        <w:t>Règle de prise : le soir, à heure régulière, à distance du pamplemousse.</w:t>
      </w:r>
    </w:p>
    <w:p>
      <w:pPr>
        <w:pStyle w:val="ListBullet"/>
      </w:pPr>
      <w:r>
        <w:t>Préparation et Conservation : conservation à température &lt; 25 °C, à l'abri de l'humidité et de la lumière. Vérifier l'intégrité de l'emballage primaire.</w:t>
      </w:r>
    </w:p>
    <w:p>
      <w:pPr>
        <w:pStyle w:val="ListBullet"/>
      </w:pPr>
      <w:r>
        <w:t>Piège du surdosage / Substitution : ne pas substituer un générique de simvastatine à 80 mg par une statine équivalente sans contrôle CPK. Substitution de ZOCOR retiré par SIMVASTATINE LDM ou SIVACOR (équivalence stricte).</w:t>
      </w:r>
    </w:p>
    <w:p>
      <w:pPr>
        <w:pStyle w:val="Heading3"/>
      </w:pPr>
      <w:r>
        <w:t>38.3.2 DCI : Atorvastatine (Statine — Monothérapie)</w:t>
      </w:r>
    </w:p>
    <w:p>
      <w:r/>
      <w:r>
        <w:rPr>
          <w:b/>
        </w:rPr>
        <w:t>Liste des Catégories :</w:t>
      </w:r>
      <w:r>
        <w:t xml:space="preserve"> Hypolipémiants — Statines ; Liste I.</w:t>
      </w:r>
    </w:p>
    <w:p>
      <w:r>
        <w:t>L'atorvastatine est une statine de synthèse entièrement (non d'origine fongique), appartenant au groupe des statines « hautement puissantes » selon la classification ESC/EAS 2019 (avec la rosuvastatine). Sa longue demi-vie d'élimination (≈ 14 heures, mais l'inhibition de l'HMG-CoA réductase persiste 20–30 heures grâce à la durée d'action des métabolites actifs) permet une prise unique à n'importe quel moment de la journée. C'est un atout majeur pour l'observance par rapport à la simvastatine. L'atorvastatine est métabolisée par le CYP3A4 (les interactions existent mais sont moindres qu'avec la simvastatine car la dose max est plus élevée, 80 mg). Puissance : –43 % du LDL-C à 10 mg, –55 % à 40 mg, –60 % à 80 mg. Effet sur triglycérides marqué (–25 %), augmentation du HDL de 5–10 %. Étude de référence : ASCOT-LLA (2003), CARDS (diabète), TNT (2005, 80 vs 10 mg), IDEAL (2005). C'est, en Algérie, la statine la plus prescrite et la plus représentée en nombre de marques (≈ 25 laboratoires différents).</w:t>
      </w:r>
    </w:p>
    <w:p>
      <w:r/>
      <w:r>
        <w:rPr>
          <w:b/>
        </w:rPr>
        <w:t>Médicaments disponibles en Algérie (Marques, Laboratoires, Formes et Dosages) :</w:t>
      </w:r>
      <w:r/>
    </w:p>
    <w:p>
      <w:r>
        <w:t>Dosages 10 mg :</w:t>
      </w:r>
    </w:p>
    <w:p>
      <w:pPr>
        <w:pStyle w:val="ListBullet"/>
      </w:pPr>
      <w:r/>
      <w:r>
        <w:rPr>
          <w:b/>
        </w:rPr>
        <w:t>AROVAN</w:t>
      </w:r>
      <w:r>
        <w:t xml:space="preserve"> (EL KENDI), </w:t>
      </w:r>
      <w:r>
        <w:rPr>
          <w:b/>
        </w:rPr>
        <w:t>ATOR</w:t>
      </w:r>
      <w:r>
        <w:t xml:space="preserve"> (INPHA-MEDIS), </w:t>
      </w:r>
      <w:r>
        <w:rPr>
          <w:b/>
        </w:rPr>
        <w:t>ATORVASTATINE IVAL</w:t>
      </w:r>
      <w:r>
        <w:t xml:space="preserve"> (PHARMA IVAL), </w:t>
      </w:r>
      <w:r>
        <w:rPr>
          <w:b/>
        </w:rPr>
        <w:t>ATORVASTATINE MM</w:t>
      </w:r>
      <w:r>
        <w:t xml:space="preserve"> (LABORATOIRES MM), </w:t>
      </w:r>
      <w:r>
        <w:rPr>
          <w:b/>
        </w:rPr>
        <w:t>ATOSTINE</w:t>
      </w:r>
      <w:r>
        <w:t xml:space="preserve"> (LDM), </w:t>
      </w:r>
      <w:r>
        <w:rPr>
          <w:b/>
        </w:rPr>
        <w:t>AVANTIR</w:t>
      </w:r>
      <w:r>
        <w:t xml:space="preserve"> (BIOPHARM), </w:t>
      </w:r>
      <w:r>
        <w:rPr>
          <w:b/>
        </w:rPr>
        <w:t>LIPICARE</w:t>
      </w:r>
      <w:r>
        <w:t xml:space="preserve"> (BIOCARE), </w:t>
      </w:r>
      <w:r>
        <w:rPr>
          <w:b/>
        </w:rPr>
        <w:t>LIPODAR 10</w:t>
      </w:r>
      <w:r>
        <w:t xml:space="preserve"> (DAR AL DAWA), </w:t>
      </w:r>
      <w:r>
        <w:rPr>
          <w:b/>
        </w:rPr>
        <w:t>LIPONIL</w:t>
      </w:r>
      <w:r>
        <w:t xml:space="preserve"> (SOPRODIM), </w:t>
      </w:r>
      <w:r>
        <w:rPr>
          <w:b/>
        </w:rPr>
        <w:t>LIPOSTATINE</w:t>
      </w:r>
      <w:r>
        <w:t xml:space="preserve"> (NADPHARMADIC), </w:t>
      </w:r>
      <w:r>
        <w:rPr>
          <w:b/>
        </w:rPr>
        <w:t>LIPOVAST 10</w:t>
      </w:r>
      <w:r>
        <w:t xml:space="preserve"> (SPIMACO), </w:t>
      </w:r>
      <w:r>
        <w:rPr>
          <w:b/>
        </w:rPr>
        <w:t>LORVAST</w:t>
      </w:r>
      <w:r>
        <w:t xml:space="preserve"> (TABUK), </w:t>
      </w:r>
      <w:r>
        <w:rPr>
          <w:b/>
        </w:rPr>
        <w:t>NOVATHOR</w:t>
      </w:r>
      <w:r>
        <w:t xml:space="preserve"> (NOVAPHARM), </w:t>
      </w:r>
      <w:r>
        <w:rPr>
          <w:b/>
        </w:rPr>
        <w:t>TAHOR</w:t>
      </w:r>
      <w:r>
        <w:t xml:space="preserve"> (UPJOHN SAIDAL), </w:t>
      </w:r>
      <w:r>
        <w:rPr>
          <w:b/>
        </w:rPr>
        <w:t>TARDEN</w:t>
      </w:r>
      <w:r>
        <w:t xml:space="preserve"> (ABDI IBRAHIM), </w:t>
      </w:r>
      <w:r>
        <w:rPr>
          <w:b/>
        </w:rPr>
        <w:t>TEOLAR</w:t>
      </w:r>
      <w:r>
        <w:t xml:space="preserve"> (PHARMALLIANCE), </w:t>
      </w:r>
      <w:r>
        <w:rPr>
          <w:b/>
        </w:rPr>
        <w:t>TORVAST</w:t>
      </w:r>
      <w:r>
        <w:t xml:space="preserve"> (HIKMA), </w:t>
      </w:r>
      <w:r>
        <w:rPr>
          <w:b/>
        </w:rPr>
        <w:t>TORVASTATINE</w:t>
      </w:r>
      <w:r>
        <w:t xml:space="preserve"> (HUPP PHARMA), </w:t>
      </w:r>
      <w:r>
        <w:rPr>
          <w:b/>
        </w:rPr>
        <w:t>TULIP</w:t>
      </w:r>
      <w:r>
        <w:t xml:space="preserve"> (SANDOZ), </w:t>
      </w:r>
      <w:r>
        <w:rPr>
          <w:b/>
        </w:rPr>
        <w:t>VASKOL 10</w:t>
      </w:r>
      <w:r>
        <w:t xml:space="preserve"> (MERINAL) — Comprimé pelliculé 10 mg — Statut : Actif.</w:t>
      </w:r>
    </w:p>
    <w:p>
      <w:pPr>
        <w:pStyle w:val="ListBullet"/>
      </w:pPr>
      <w:r/>
      <w:r>
        <w:rPr>
          <w:b/>
        </w:rPr>
        <w:t>ATOVAL</w:t>
      </w:r>
      <w:r>
        <w:t xml:space="preserve"> (SAIDAL) — Comprimé pelliculé 10 mg, B/10 et B/28 — Statut : Non Renouvelable.</w:t>
      </w:r>
    </w:p>
    <w:p>
      <w:pPr>
        <w:pStyle w:val="ListBullet"/>
      </w:pPr>
      <w:r/>
      <w:r>
        <w:rPr>
          <w:b/>
        </w:rPr>
        <w:t>ATROSTINE</w:t>
      </w:r>
      <w:r>
        <w:t xml:space="preserve"> (GEOPHARM), </w:t>
      </w:r>
      <w:r>
        <w:rPr>
          <w:b/>
        </w:rPr>
        <w:t>ATORVASTATINE GEBER</w:t>
      </w:r>
      <w:r>
        <w:t xml:space="preserve"> (GEBERHEALTH), </w:t>
      </w:r>
      <w:r>
        <w:rPr>
          <w:b/>
        </w:rPr>
        <w:t>LASTATINE</w:t>
      </w:r>
      <w:r>
        <w:t xml:space="preserve"> (CADILA), </w:t>
      </w:r>
      <w:r>
        <w:rPr>
          <w:b/>
        </w:rPr>
        <w:t>TORLIP</w:t>
      </w:r>
      <w:r>
        <w:t xml:space="preserve"> (BIOVITAL), </w:t>
      </w:r>
      <w:r>
        <w:rPr>
          <w:b/>
        </w:rPr>
        <w:t>TORVACOL</w:t>
      </w:r>
      <w:r>
        <w:t xml:space="preserve"> (JPM) — Comprimé 10 mg — Statut : Retiré (R).</w:t>
      </w:r>
    </w:p>
    <w:p>
      <w:r>
        <w:t>Dosages 20 mg : mêmes marques que ci-dessus, formes comprimé pelliculé 20 mg, B/30 ou B/90 — Statut : Actif (sauf ATOVAL NR, LASTATINE/TORVACOL/ATROSTINE/ATORVASTATINE GEBER R).</w:t>
      </w:r>
    </w:p>
    <w:p>
      <w:pPr>
        <w:pStyle w:val="ListBullet"/>
      </w:pPr>
      <w:r/>
      <w:r>
        <w:rPr>
          <w:b/>
        </w:rPr>
        <w:t>ATORIN 20 MG</w:t>
      </w:r>
      <w:r>
        <w:t xml:space="preserve"> (LABORATOIRES BEKER) — Comprimé pelliculé 20 mg, B/30 et B/90 — Actif.</w:t>
      </w:r>
    </w:p>
    <w:p>
      <w:pPr>
        <w:pStyle w:val="ListBullet"/>
      </w:pPr>
      <w:r/>
      <w:r>
        <w:rPr>
          <w:b/>
        </w:rPr>
        <w:t>VASTINE</w:t>
      </w:r>
      <w:r>
        <w:t xml:space="preserve"> (SARL PUR LAB) — Comprimé pelliculé 20 mg, B/30 — Actif.</w:t>
      </w:r>
    </w:p>
    <w:p>
      <w:r>
        <w:t>Dosages 40 mg : AROVAN, ATOR, ATORIN, ATORVASTATINE IVAL, ATOSTINE, LIPICARE, LIPONIL 40, LIPOVAST, LORVAST, NOVATHOR, TAHOR, TARDEN, TEOLAR, TORVAST, TORVASTATINE, TULIP, VASTINE — Comprimé pelliculé 40 mg, B/28 ou B/30 — Statut : Actif.</w:t>
      </w:r>
    </w:p>
    <w:p>
      <w:r>
        <w:t>Dosages 80 mg : AROVAN, ATOR, ATORIN, ATORVASTATINE MM, ATOSTINE, LIPICARE, LORVAST, NOVATHOR, TEOLAR, TORVAST, TORVASTATINE, VASTINE — Comprimé pelliculé 80 mg — Statut : Actif.</w:t>
      </w:r>
    </w:p>
    <w:p>
      <w:pPr>
        <w:pStyle w:val="ListBullet"/>
      </w:pPr>
      <w:r/>
      <w:r>
        <w:rPr>
          <w:b/>
        </w:rPr>
        <w:t>TAHOR</w:t>
      </w:r>
      <w:r>
        <w:t xml:space="preserve"> (PFIZER) — Comprimé pelliculé 80 mg, B/28 — Statut : Retiré (R).</w:t>
      </w:r>
    </w:p>
    <w:p>
      <w:r/>
      <w:r>
        <w:rPr>
          <w:b/>
        </w:rPr>
        <w:t>Sous-classe et Mécanisme d'action :</w:t>
      </w:r>
      <w:r/>
    </w:p>
    <w:p>
      <w:pPr>
        <w:pStyle w:val="ListBullet"/>
      </w:pPr>
      <w:r>
        <w:t>Sous-classe : Statine de synthèse, hautement puissante, classe des inhibiteurs de l'HMG-CoA réductase.</w:t>
      </w:r>
    </w:p>
    <w:p>
      <w:pPr>
        <w:pStyle w:val="ListBullet"/>
      </w:pPr>
      <w:r>
        <w:t>Mécanisme d'action : inhibition compétitive et réversible de l'HMG-CoA réductase, avec un mécanisme identique à la simvastatine (baisse du cholestérol intrahépatique → up-régulation du LDL-R → augmentation de la clairance du LDL-C). Particularité : l'atorvastatine possède deux métabolites actifs (ortho- et para-hydroxyatorvastatine) qui prolongent son action et contribuent à 70 % de l'activité inhibitrice totale. Effets pléiotropes marqués (anti-inflammatoire, anti-thrombotique, stabilisation de la plaque, amélioration endothéliale).</w:t>
      </w:r>
    </w:p>
    <w:p>
      <w:r/>
      <w:r>
        <w:rPr>
          <w:b/>
        </w:rPr>
        <w:t>Profil Pharmacologique :</w:t>
      </w:r>
      <w:r/>
    </w:p>
    <w:p>
      <w:pPr>
        <w:pStyle w:val="ListBullet"/>
      </w:pPr>
      <w:r>
        <w:t>Indications : hypercholestérolémie primitive et mixte ; hypercholestérolémie familiale homozygote (à 80 mg, en complément de l'aphérèse LDL) ; prévention CV primaire à haut risque (diabète, SCORE ≥ 5 %) ; prévention CV secondaire (post-IDM, post-AVC ischémique non cardioembolique — étude SPARCL, AOMI) ; ralentissement de l'athérosclérose.</w:t>
      </w:r>
    </w:p>
    <w:p>
      <w:pPr>
        <w:pStyle w:val="ListBullet"/>
      </w:pPr>
      <w:r>
        <w:t>Contre-indications : hépatopathie active, élévation persistante des transaminases d'origine indéterminée ; myopathie évolutive ; grossesse, allaitement ; association avec itraconazole, kétoconazole, posaconazole, inhibiteurs de protéase, clarithromycine, télithromycine, cobicistat ; hypersensibilité.</w:t>
      </w:r>
    </w:p>
    <w:p>
      <w:pPr>
        <w:pStyle w:val="ListBullet"/>
      </w:pPr>
      <w:r>
        <w:t>Effets Indésirables :</w:t>
      </w:r>
    </w:p>
    <w:p>
      <w:pPr>
        <w:pStyle w:val="ListBullet"/>
      </w:pPr>
      <w:r>
        <w:t>Musculaires : myalgie (5–10 %), élévation CPK (1–3 %), rhabdomyolyse (rare, ≤ 1/10 000). Risque majoré à 80 mg.</w:t>
      </w:r>
    </w:p>
    <w:p>
      <w:pPr>
        <w:pStyle w:val="ListBullet"/>
      </w:pPr>
      <w:r>
        <w:t>Hépatiques : élévation transaminases (≤ 0,5 % à dose standard, jusqu'à 2,5 % à 80 mg), hépatite clinique rare.</w:t>
      </w:r>
    </w:p>
    <w:p>
      <w:pPr>
        <w:pStyle w:val="ListBullet"/>
      </w:pPr>
      <w:r>
        <w:t>Digestifs : constipation, ballonnements, dyspepsie, nausées.</w:t>
      </w:r>
    </w:p>
    <w:p>
      <w:pPr>
        <w:pStyle w:val="ListBullet"/>
      </w:pPr>
      <w:r>
        <w:t>Métaboliques : augmentation de la glycémie/HbA1c (effet classe, ~1 cas de diabète/1000 patients-ans), moindre que le bénéfice CV.</w:t>
      </w:r>
    </w:p>
    <w:p>
      <w:pPr>
        <w:pStyle w:val="ListBullet"/>
      </w:pPr>
      <w:r>
        <w:t>Neurologiques : insomnie, céphalées, troubles mnésiques (rares).</w:t>
      </w:r>
    </w:p>
    <w:p>
      <w:pPr>
        <w:pStyle w:val="ListBullet"/>
      </w:pPr>
      <w:r>
        <w:t>Cutanés : rash, prurit.</w:t>
      </w:r>
    </w:p>
    <w:p>
      <w:r/>
      <w:r>
        <w:rPr>
          <w:b/>
        </w:rPr>
        <w:t>Prévention et Gestion des Effets Indésirables :</w:t>
      </w:r>
      <w:r/>
    </w:p>
    <w:p>
      <w:pPr>
        <w:pStyle w:val="ListBullet"/>
      </w:pPr>
      <w:r>
        <w:t>Mesures Préventives : bilan hépatique (ALAT/ASAT) avant traitement, à 3 mois, puis 1×/an ; bilan lipidique à jeun à 1 mois (évaluation efficacité), 3 mois puis 6 mois ; dosage CPK avant traitement (référence) et si symptômes ; information du patient sur la myalgie, le pamplemousse, les interactions ; attention au sujet âgé, à l'insuffisant rénal (adaptation), à l'hypothyroïdie (correction préalable).</w:t>
      </w:r>
    </w:p>
    <w:p>
      <w:pPr>
        <w:pStyle w:val="ListBullet"/>
      </w:pPr>
      <w:r>
        <w:t>Conduite à Tenir :</w:t>
      </w:r>
    </w:p>
    <w:p>
      <w:pPr>
        <w:pStyle w:val="ListBullet"/>
      </w:pPr>
      <w:r>
        <w:t>ALAT &gt; 3 × LSN : arrêt, recherche d'autres causes (alcool, hépatite virale, stéatose).</w:t>
      </w:r>
    </w:p>
    <w:p>
      <w:pPr>
        <w:pStyle w:val="ListBullet"/>
      </w:pPr>
      <w:r>
        <w:t>CPK &gt; 5 × LSN sans symptôme : surveillance.</w:t>
      </w:r>
    </w:p>
    <w:p>
      <w:pPr>
        <w:pStyle w:val="ListBullet"/>
      </w:pPr>
      <w:r>
        <w:t>CPK &gt; 10 × LSN ou myalgie intense : arrêt immédiat.</w:t>
      </w:r>
    </w:p>
    <w:p>
      <w:pPr>
        <w:pStyle w:val="ListBullet"/>
      </w:pPr>
      <w:r>
        <w:t>Rhabdomyolyse : hospitalisation, hydratation IV, surveillance diurèse et ionogramme.</w:t>
      </w:r>
    </w:p>
    <w:p>
      <w:pPr>
        <w:pStyle w:val="ListBullet"/>
      </w:pPr>
      <w:r>
        <w:t>Myalgie persistante : switch vers pravastatine ou fluvastatine (statines hydrophiles à moindre pénétration musculaire), ou pause temporaire (drug holiday) puis réintroduction à dose réduite.</w:t>
      </w:r>
    </w:p>
    <w:p>
      <w:r/>
      <w:r>
        <w:rPr>
          <w:b/>
        </w:rPr>
        <w:t>Interactions Importantes :</w:t>
      </w:r>
      <w:r/>
    </w:p>
    <w:p>
      <w:pPr>
        <w:pStyle w:val="ListBullet"/>
      </w:pPr>
      <w:r/>
      <w:r>
        <w:rPr>
          <w:b/>
        </w:rPr>
        <w:t>Atorvastatine + Azolés, Macrolides, Inhibiteurs protéase</w:t>
      </w:r>
      <w:r>
        <w:t xml:space="preserve"> : CI ou contre-indication relative (montée prudente dose), baisse significative de la posologie.</w:t>
      </w:r>
    </w:p>
    <w:p>
      <w:pPr>
        <w:pStyle w:val="ListBullet"/>
      </w:pPr>
      <w:r/>
      <w:r>
        <w:rPr>
          <w:b/>
        </w:rPr>
        <w:t>Atorvastatine + Cyclosporine, Tacrolimus</w:t>
      </w:r>
      <w:r>
        <w:t xml:space="preserve"> : multiplication par 7–11 de l'ASC. Contre-indication.</w:t>
      </w:r>
    </w:p>
    <w:p>
      <w:pPr>
        <w:pStyle w:val="ListBullet"/>
      </w:pPr>
      <w:r/>
      <w:r>
        <w:rPr>
          <w:b/>
        </w:rPr>
        <w:t>Atorvastatine + Gemfibrozil</w:t>
      </w:r>
      <w:r>
        <w:t xml:space="preserve"> : CI absolue (rhabdomyolyse). Fénofibrate possible.</w:t>
      </w:r>
    </w:p>
    <w:p>
      <w:pPr>
        <w:pStyle w:val="ListBullet"/>
      </w:pPr>
      <w:r/>
      <w:r>
        <w:rPr>
          <w:b/>
        </w:rPr>
        <w:t>Atorvastatine + Warfarine</w:t>
      </w:r>
      <w:r>
        <w:t xml:space="preserve"> : majoration INR.</w:t>
      </w:r>
    </w:p>
    <w:p>
      <w:pPr>
        <w:pStyle w:val="ListBullet"/>
      </w:pPr>
      <w:r/>
      <w:r>
        <w:rPr>
          <w:b/>
        </w:rPr>
        <w:t>Atorvastatine + Colchicine</w:t>
      </w:r>
      <w:r>
        <w:t xml:space="preserve"> : risque de myopathie.</w:t>
      </w:r>
    </w:p>
    <w:p>
      <w:pPr>
        <w:pStyle w:val="ListBullet"/>
      </w:pPr>
      <w:r/>
      <w:r>
        <w:rPr>
          <w:b/>
        </w:rPr>
        <w:t>Atorvastatine + Digoxine</w:t>
      </w:r>
      <w:r>
        <w:t xml:space="preserve"> : discrète augmentation de la digoxinémie.</w:t>
      </w:r>
    </w:p>
    <w:p>
      <w:pPr>
        <w:pStyle w:val="ListBullet"/>
      </w:pPr>
      <w:r/>
      <w:r>
        <w:rPr>
          <w:b/>
        </w:rPr>
        <w:t>Atorvastatine + Contraceptifs oraux</w:t>
      </w:r>
      <w:r>
        <w:t xml:space="preserve"> : augmentation des hormones stéroïdes (prudence).</w:t>
      </w:r>
    </w:p>
    <w:p>
      <w:pPr>
        <w:pStyle w:val="ListBullet"/>
      </w:pPr>
      <w:r/>
      <w:r>
        <w:rPr>
          <w:b/>
        </w:rPr>
        <w:t>Atorvastatine + Pamplemousse</w:t>
      </w:r>
      <w:r>
        <w:t xml:space="preserve"> : à éviter (multiplie l'ASC par 3 si consommation ≥ 1 verre/j).</w:t>
      </w:r>
    </w:p>
    <w:p>
      <w:pPr>
        <w:pStyle w:val="ListBullet"/>
      </w:pPr>
      <w:r/>
      <w:r>
        <w:rPr>
          <w:b/>
        </w:rPr>
        <w:t>Atorvastatine + Rifampicine</w:t>
      </w:r>
      <w:r>
        <w:t xml:space="preserve"> : baisse d'efficacité (inducteur CYP3A4) ; à séparer de 2 h minimum si nécessaire, ou augmenter la dose.</w:t>
      </w:r>
    </w:p>
    <w:p>
      <w:r/>
      <w:r>
        <w:rPr>
          <w:b/>
        </w:rPr>
        <w:t>Grossesse et Allaitement :</w:t>
      </w:r>
      <w:r/>
    </w:p>
    <w:p>
      <w:pPr>
        <w:pStyle w:val="ListBullet"/>
      </w:pPr>
      <w:r>
        <w:t>Grossesse : CI absolue (catégorie X). Tératogène chez l'animal. Contraception efficace nécessaire. Arrêt immédiat si découverte d'une grossesse.</w:t>
      </w:r>
    </w:p>
    <w:p>
      <w:pPr>
        <w:pStyle w:val="ListBullet"/>
      </w:pPr>
      <w:r>
        <w:t>Allaitement : CI absolue.</w:t>
      </w:r>
    </w:p>
    <w:p>
      <w:pPr>
        <w:pStyle w:val="ListBullet"/>
      </w:pPr>
      <w:r>
        <w:t>Précisions : chez la femme en âge de procréer, prescription uniquement si contraception fiable. Information patiente essentielle.</w:t>
      </w:r>
    </w:p>
    <w:p>
      <w:r/>
      <w:r>
        <w:rPr>
          <w:b/>
        </w:rPr>
        <w:t>Posologie et Mode d'administration (Standard) :</w:t>
      </w:r>
      <w:r/>
    </w:p>
    <w:p>
      <w:pPr>
        <w:pStyle w:val="ListBullet"/>
      </w:pPr>
      <w:r>
        <w:t>Adulte : dose initiale 10–20 mg/j ; dose usuelle 10–40 mg/j ; dose maximale 80 mg/j. La titration se fait par paliers de 4 semaines. Le LDL-C baisse d'environ 6 % à chaque doubling de dose (« règle des 6 % »).</w:t>
      </w:r>
    </w:p>
    <w:p>
      <w:pPr>
        <w:pStyle w:val="ListBullet"/>
      </w:pPr>
      <w:r>
        <w:t>Sujet âgé : pas d'adaptation systématique. Prudence en cas de polymédication et d'insuffisance rénale.</w:t>
      </w:r>
    </w:p>
    <w:p>
      <w:pPr>
        <w:pStyle w:val="ListBullet"/>
      </w:pPr>
      <w:r>
        <w:t>Insuffisance rénale : pas d'adaptation posologique (élimination principalement biliaire).</w:t>
      </w:r>
    </w:p>
    <w:p>
      <w:pPr>
        <w:pStyle w:val="ListBullet"/>
      </w:pPr>
      <w:r>
        <w:t>Insuffisance hépatique : CI si hépatopathie active.</w:t>
      </w:r>
    </w:p>
    <w:p>
      <w:pPr>
        <w:pStyle w:val="ListBullet"/>
      </w:pPr>
      <w:r>
        <w:t>Durée : au long cours, généralement à vie.</w:t>
      </w:r>
    </w:p>
    <w:p>
      <w:pPr>
        <w:pStyle w:val="ListBullet"/>
      </w:pPr>
      <w:r>
        <w:t>Moment de prise : prise unique à n'importe quel moment de la journée (demi-vie longue), mais prise régulière à heure fixe recommandée. Pendant ou en dehors des repas.</w:t>
      </w:r>
    </w:p>
    <w:p>
      <w:r/>
      <w:r>
        <w:rPr>
          <w:b/>
        </w:rPr>
        <w:t>Arbitrage et Bénéfices des Formes Galéniques :</w:t>
      </w:r>
      <w:r/>
    </w:p>
    <w:p>
      <w:r>
        <w:t>Comprimés pelliculés sécables ou non, disponibles en 10/20/40/80 mg permettant une escalade thérapeutique progressive selon le LDL-C visé (cibles ESC/EAS 2019 : &lt;1,8 mmol/L haut risque, &lt;1,4 mmol/L très haut risque, &lt;1,0 mmol/L très haut risque + récidive sous traitement). La disponibilité d'un dosage 80 mg en Algérie permet d'atteindre les cibles strictes de prévention secondaire (équivalent dose haute 80 mg = rosuvastatine 40 mg). Formes B/90 (LIPICARE, ATORIN) pour traitement chronique au long cours.</w:t>
      </w:r>
    </w:p>
    <w:p>
      <w:r/>
      <w:r>
        <w:rPr>
          <w:b/>
        </w:rPr>
        <w:t>Instructions et Conseils au Patient :</w:t>
      </w:r>
      <w:r/>
    </w:p>
    <w:p>
      <w:pPr>
        <w:pStyle w:val="ListBullet"/>
      </w:pPr>
      <w:r>
        <w:t>Communication au comptoir : « Ce médicament fait baisser le mauvais cholestérol (LDL) et réduit le risque d'infarctus et d'AVC. Prenez-le une fois par jour, à heure fixe, matin ou soir. Évitez le pamplemousse. Prévenez votre médecin en cas de douleurs musculaires inexpliquées, urines foncées, fatigue intense, jaunisse. Alcool à limiter. Faites une prise de sang de contrôle à 1 mois, puis régulièrement. Ne l'arrêtez jamais sans avis médical : il faut le prendre à vie. »</w:t>
      </w:r>
    </w:p>
    <w:p>
      <w:pPr>
        <w:pStyle w:val="ListBullet"/>
      </w:pPr>
      <w:r>
        <w:t>Mode d'utilisation pratique : avaler le comprimé avec un grand verre d'eau, ne pas l'écraser. Oubli : prendre dès que possible dans la même journée, ne pas doubler. Activité physique régulière, alimentation équilibrée.</w:t>
      </w:r>
    </w:p>
    <w:p>
      <w:r/>
      <w:r>
        <w:rPr>
          <w:b/>
        </w:rPr>
        <w:t>Notes, Règles d'Or &amp; Pièges au Comptoir :</w:t>
      </w:r>
      <w:r/>
    </w:p>
    <w:p>
      <w:pPr>
        <w:pStyle w:val="ListBullet"/>
      </w:pPr>
      <w:r>
        <w:t>Piège classique : patient sous atorvastatine 40 mg à qui on délivre clarithromycine. Suspendre la statine pendant l'antibiothérapie (8–14 jours), reprise ensuite.</w:t>
      </w:r>
    </w:p>
    <w:p>
      <w:pPr>
        <w:pStyle w:val="ListBullet"/>
      </w:pPr>
      <w:r>
        <w:t>Piège classique : patient qui consomme du pamplemousse en quantité. Switcher vers pravastatine, rosuvastatine ou fluvastatine (non métabolisées par CYP3A4).</w:t>
      </w:r>
    </w:p>
    <w:p>
      <w:pPr>
        <w:pStyle w:val="ListBullet"/>
      </w:pPr>
      <w:r>
        <w:t>Piège classique : patient coronarien à 80 mg qui présente douleurs musculaires. Vérifier CPK, envisager switch vers rosuvastatine 40 mg (puissance équivalente, moins d'interactions).</w:t>
      </w:r>
    </w:p>
    <w:p>
      <w:pPr>
        <w:pStyle w:val="ListBullet"/>
      </w:pPr>
      <w:r>
        <w:t>Règle de prise : une prise/j à heure fixe. À vie.</w:t>
      </w:r>
    </w:p>
    <w:p>
      <w:pPr>
        <w:pStyle w:val="ListBullet"/>
      </w:pPr>
      <w:r>
        <w:t>Préparation et Conservation : température &lt; 25 °C, à l'abri de l'humidité. Comprimé pelliculé : ne pas écraser.</w:t>
      </w:r>
    </w:p>
    <w:p>
      <w:pPr>
        <w:pStyle w:val="ListBullet"/>
      </w:pPr>
      <w:r>
        <w:t>Piège du surdosage / Substitution : la substitution d'une marque par une autre (générique ↔ princeps) est possible (équivalence stricte). Attention : TAHOR 80 mg est retiré mais ATORIN 80, ATOR 80, LORVAST 80 etc. sont disponibles.</w:t>
      </w:r>
    </w:p>
    <w:p>
      <w:pPr>
        <w:pStyle w:val="Heading3"/>
      </w:pPr>
      <w:r>
        <w:t>38.3.3 DCI : Rosuvastatine (Statine — Monothérapie)</w:t>
      </w:r>
    </w:p>
    <w:p>
      <w:r/>
      <w:r>
        <w:rPr>
          <w:b/>
        </w:rPr>
        <w:t>Liste des Catégories :</w:t>
      </w:r>
      <w:r>
        <w:t xml:space="preserve"> Hypolipémiants — Statines ; Liste I.</w:t>
      </w:r>
    </w:p>
    <w:p>
      <w:r>
        <w:t>La rosuvastatine est la statine la plus puissante de la génération actuelle, statine de synthèse non métabolisée par le CYP3A4 (métabolisme minimal par CYP2C9). Sa longue demi-vie (≈ 19 heures) autorise une prise unique à tout moment. Sa biodisponibilité est de 20 % (faible en raison d'un captage hépatique important via transporteur OATP1B1). Élimination à 90 % dans les fèces (10 % urines). La rosuvastatine atteint –45 % du LDL-C à 5 mg, –52 % à 10 mg, –55 % à 20 mg, –63 % à 40 mg. Effet marqué sur les triglycérides (–25 %) et le HDL-C (+ 8–10 %). Études pivots : JUPITER (2008, prévention primaire patients avec CRP élevée), AURORA (dialysés), CORONA (insuffisance cardiaque), SATURN (régression de la plaque). C'est la statine de choix chez le patient à très haut risque CV nécessitant une cible LDL très basse, et en cas d'interactions multiples (peu de interactions médicamenteuses cliniquement significatives). Moindre risque myotoxique que la simvastatine 80 mg. Le dosage 5 mg est disponible en Algérie, permettant l'initiation prudente chez le sujet âgé, asiatique, ou en association avec fibrates.</w:t>
      </w:r>
    </w:p>
    <w:p>
      <w:r/>
      <w:r>
        <w:rPr>
          <w:b/>
        </w:rPr>
        <w:t>Médicaments disponibles en Algérie (Marques, Laboratoires, Formes et Dosages) :</w:t>
      </w:r>
      <w:r/>
    </w:p>
    <w:p>
      <w:r>
        <w:t>Dosage 5 mg :</w:t>
      </w:r>
    </w:p>
    <w:p>
      <w:pPr>
        <w:pStyle w:val="ListBullet"/>
      </w:pPr>
      <w:r/>
      <w:r>
        <w:rPr>
          <w:b/>
        </w:rPr>
        <w:t>CRESOVAST</w:t>
      </w:r>
      <w:r>
        <w:t xml:space="preserve"> (EL KENDI), </w:t>
      </w:r>
      <w:r>
        <w:rPr>
          <w:b/>
        </w:rPr>
        <w:t>CRESTADIS</w:t>
      </w:r>
      <w:r>
        <w:t xml:space="preserve"> (INPHA-MEDIS), </w:t>
      </w:r>
      <w:r>
        <w:rPr>
          <w:b/>
        </w:rPr>
        <w:t>CRESTOR</w:t>
      </w:r>
      <w:r>
        <w:t xml:space="preserve"> (ASTRAZENECA), </w:t>
      </w:r>
      <w:r>
        <w:rPr>
          <w:b/>
        </w:rPr>
        <w:t>ESTOR</w:t>
      </w:r>
      <w:r>
        <w:t xml:space="preserve"> (HUPP PHARMA), </w:t>
      </w:r>
      <w:r>
        <w:rPr>
          <w:b/>
        </w:rPr>
        <w:t>ROSUVASTOR</w:t>
      </w:r>
      <w:r>
        <w:t xml:space="preserve"> (FRATER-RAZES), </w:t>
      </w:r>
      <w:r>
        <w:rPr>
          <w:b/>
        </w:rPr>
        <w:t>ROSUVIA 5</w:t>
      </w:r>
      <w:r>
        <w:t xml:space="preserve"> (MERINAL), </w:t>
      </w:r>
      <w:r>
        <w:rPr>
          <w:b/>
        </w:rPr>
        <w:t>RUVAST</w:t>
      </w:r>
      <w:r>
        <w:t xml:space="preserve"> (WORLD MEDECINE), </w:t>
      </w:r>
      <w:r>
        <w:rPr>
          <w:b/>
        </w:rPr>
        <w:t>SUPERSTAT</w:t>
      </w:r>
      <w:r>
        <w:t xml:space="preserve"> (HIKMA) — Comprimé pelliculé 5 mg, B/28 ou B/30 — Statut : Actif.</w:t>
      </w:r>
    </w:p>
    <w:p>
      <w:r>
        <w:t>Dosage 10 mg :</w:t>
      </w:r>
    </w:p>
    <w:p>
      <w:pPr>
        <w:pStyle w:val="ListBullet"/>
      </w:pPr>
      <w:r/>
      <w:r>
        <w:rPr>
          <w:b/>
        </w:rPr>
        <w:t>CRESOVAST</w:t>
      </w:r>
      <w:r>
        <w:t xml:space="preserve"> (EL KENDI), </w:t>
      </w:r>
      <w:r>
        <w:rPr>
          <w:b/>
        </w:rPr>
        <w:t>CRESTATINE</w:t>
      </w:r>
      <w:r>
        <w:t xml:space="preserve"> (PHARMALLIANCE), </w:t>
      </w:r>
      <w:r>
        <w:rPr>
          <w:b/>
        </w:rPr>
        <w:t>CRESTOR</w:t>
      </w:r>
      <w:r>
        <w:t xml:space="preserve"> (ASTRAZENECA), </w:t>
      </w:r>
      <w:r>
        <w:rPr>
          <w:b/>
        </w:rPr>
        <w:t>ESTOR</w:t>
      </w:r>
      <w:r>
        <w:t xml:space="preserve"> (HUPP PHARMA), </w:t>
      </w:r>
      <w:r>
        <w:rPr>
          <w:b/>
        </w:rPr>
        <w:t>ROSUSTINE</w:t>
      </w:r>
      <w:r>
        <w:t xml:space="preserve"> (LDM), </w:t>
      </w:r>
      <w:r>
        <w:rPr>
          <w:b/>
        </w:rPr>
        <w:t>ROSUTAB</w:t>
      </w:r>
      <w:r>
        <w:t xml:space="preserve"> (TABUK), </w:t>
      </w:r>
      <w:r>
        <w:rPr>
          <w:b/>
        </w:rPr>
        <w:t>ROSUVASTATINE GL</w:t>
      </w:r>
      <w:r>
        <w:t xml:space="preserve"> (GENERIC LAB), </w:t>
      </w:r>
      <w:r>
        <w:rPr>
          <w:b/>
        </w:rPr>
        <w:t>ROSUVASTOR</w:t>
      </w:r>
      <w:r>
        <w:t xml:space="preserve"> (FRATER-RAZES), </w:t>
      </w:r>
      <w:r>
        <w:rPr>
          <w:b/>
        </w:rPr>
        <w:t>ROSUVIA 10</w:t>
      </w:r>
      <w:r>
        <w:t xml:space="preserve"> (MERINAL), </w:t>
      </w:r>
      <w:r>
        <w:rPr>
          <w:b/>
        </w:rPr>
        <w:t>ROZITTA</w:t>
      </w:r>
      <w:r>
        <w:t xml:space="preserve"> (DAR AL DAWA), </w:t>
      </w:r>
      <w:r>
        <w:rPr>
          <w:b/>
        </w:rPr>
        <w:t>RUVAST</w:t>
      </w:r>
      <w:r>
        <w:t xml:space="preserve"> (WORLD MEDECINE), </w:t>
      </w:r>
      <w:r>
        <w:rPr>
          <w:b/>
        </w:rPr>
        <w:t>SUPERSTAT</w:t>
      </w:r>
      <w:r>
        <w:t xml:space="preserve"> (HIKMA), </w:t>
      </w:r>
      <w:r>
        <w:rPr>
          <w:b/>
        </w:rPr>
        <w:t>VASTAT</w:t>
      </w:r>
      <w:r>
        <w:t xml:space="preserve"> (SARL GROUPE SANTE) — Comprimé pelliculé 10 mg — Statut : Actif.</w:t>
      </w:r>
    </w:p>
    <w:p>
      <w:r>
        <w:t xml:space="preserve">Dosage 20 mg : mêmes marques + </w:t>
      </w:r>
      <w:r>
        <w:rPr>
          <w:b/>
        </w:rPr>
        <w:t>CRESTAT</w:t>
      </w:r>
      <w:r>
        <w:t xml:space="preserve"> (GEOPHARM) — Comprimé pelliculé 20 mg — Statut : Actif.</w:t>
      </w:r>
    </w:p>
    <w:p>
      <w:r>
        <w:t>Dosage 40 mg :</w:t>
      </w:r>
    </w:p>
    <w:p>
      <w:pPr>
        <w:pStyle w:val="ListBullet"/>
      </w:pPr>
      <w:r/>
      <w:r>
        <w:rPr>
          <w:b/>
        </w:rPr>
        <w:t>CRESOVAST</w:t>
      </w:r>
      <w:r>
        <w:t xml:space="preserve"> (EL KENDI), </w:t>
      </w:r>
      <w:r>
        <w:rPr>
          <w:b/>
        </w:rPr>
        <w:t>RUVAST</w:t>
      </w:r>
      <w:r>
        <w:t xml:space="preserve"> (WORLD MEDECINE) — Comprimé pelliculé 40 mg, B/30 — Statut : Actif.</w:t>
      </w:r>
    </w:p>
    <w:p>
      <w:r/>
      <w:r>
        <w:rPr>
          <w:b/>
        </w:rPr>
        <w:t>Sous-classe et Mécanisme d'action :</w:t>
      </w:r>
      <w:r/>
    </w:p>
    <w:p>
      <w:pPr>
        <w:pStyle w:val="ListBullet"/>
      </w:pPr>
      <w:r>
        <w:t>Sous-classe : Statine de synthèse, hautement puissante (la plus puissante disponible), inhibiteur de l'HMG-CoA réductase.</w:t>
      </w:r>
    </w:p>
    <w:p>
      <w:pPr>
        <w:pStyle w:val="ListBullet"/>
      </w:pPr>
      <w:r>
        <w:t>Mécanisme d'action : inhibition compétitive de l'HMG-CoA réductase (mécanisme identique aux autres statines), avec une affinité supérieure pour le site actif de l'enzyme. Métabolisme minimal par CYP2C9 (≈ 10 %), pas de métabolisme par CYP3A4 (avantage majeur : moins d'interactions). Transport hépatique par OATP1B1 (polymorphisme génétique SLCO1B1 influençant la concentration plasmatique et le risque myotoxique). Effets pléiotropes marqués.</w:t>
      </w:r>
    </w:p>
    <w:p>
      <w:r/>
      <w:r>
        <w:rPr>
          <w:b/>
        </w:rPr>
        <w:t>Profil Pharmacologique :</w:t>
      </w:r>
      <w:r/>
    </w:p>
    <w:p>
      <w:pPr>
        <w:pStyle w:val="ListBullet"/>
      </w:pPr>
      <w:r>
        <w:t>Indications : hypercholestérolémie primitive et mixte ; hypercholestérolémie familiale hétérozygote (à 20–40 mg) ; homozygote (à 20–40 mg en complément) ; prévention CV primaire à haut risque ; prévention CV secondaire ; ralentissement athérosclérose.</w:t>
      </w:r>
    </w:p>
    <w:p>
      <w:pPr>
        <w:pStyle w:val="ListBullet"/>
      </w:pPr>
      <w:r>
        <w:t>Contre-indications : hépatopathie active ; myopathie évolutive ; grossesse, allaitement ; dose &gt; 10 mg chez patient avec facteurs prédisposants à myopathie (insuffisance rénale sévère, hypothyroïdie, antécédents personnels/familiaux de troubles musculaires, alcoolisme, ≥ 70 ans, situation d'interaction) ; association à cyclosporine (CI absolue) ; hypersensibilité.</w:t>
      </w:r>
    </w:p>
    <w:p>
      <w:pPr>
        <w:pStyle w:val="ListBullet"/>
      </w:pPr>
      <w:r>
        <w:t>Effets Indésirables :</w:t>
      </w:r>
    </w:p>
    <w:p>
      <w:pPr>
        <w:pStyle w:val="ListBullet"/>
      </w:pPr>
      <w:r>
        <w:t>Musculaires : myalgie (3–8 %), élévation CPK, rhabdomyolyse rare. Risque majoré à 40 mg et chez patients à facteurs de risque.</w:t>
      </w:r>
    </w:p>
    <w:p>
      <w:pPr>
        <w:pStyle w:val="ListBullet"/>
      </w:pPr>
      <w:r>
        <w:t>Hépatiques : élévation transaminases (≤ 2 %), hépatite rare.</w:t>
      </w:r>
    </w:p>
    <w:p>
      <w:pPr>
        <w:pStyle w:val="ListBullet"/>
      </w:pPr>
      <w:r>
        <w:t>Rénale : protéinurie transitoire (effet dose-dépendant, liée à l'inhibition de la réabsorption tubulaire), hématurie microscopique ; sans traduction clinique dans la majorité des cas.</w:t>
      </w:r>
    </w:p>
    <w:p>
      <w:pPr>
        <w:pStyle w:val="ListBullet"/>
      </w:pPr>
      <w:r>
        <w:t>Digestifs : constipation, nausées, dyspepsie.</w:t>
      </w:r>
    </w:p>
    <w:p>
      <w:pPr>
        <w:pStyle w:val="ListBullet"/>
      </w:pPr>
      <w:r>
        <w:t>Métaboliques : effet classe (diabète incident, effet moindre que bénéfice CV).</w:t>
      </w:r>
    </w:p>
    <w:p>
      <w:pPr>
        <w:pStyle w:val="ListBullet"/>
      </w:pPr>
      <w:r>
        <w:t>Cutanés : rash, prurit.</w:t>
      </w:r>
    </w:p>
    <w:p>
      <w:pPr>
        <w:pStyle w:val="ListBullet"/>
      </w:pPr>
      <w:r>
        <w:t>Piège : le syndrome de Stevens-Johnson et le syndrome de Lyell sont exceptionnellement rapportés.</w:t>
      </w:r>
    </w:p>
    <w:p>
      <w:r/>
      <w:r>
        <w:rPr>
          <w:b/>
        </w:rPr>
        <w:t>Prévention et Gestion des Effets Indésirables :</w:t>
      </w:r>
      <w:r/>
    </w:p>
    <w:p>
      <w:pPr>
        <w:pStyle w:val="ListBullet"/>
      </w:pPr>
      <w:r>
        <w:t>Mesures Préventives : bilan hépatique (ALAT/ASAT) avant, à 3 mois puis annuel ; CPK avant traitement ; protéinurie si facteur de risque rénal ; information du patient ; prudence chez sujet âgé, insuffisant rénal, hypothyroïdie non corrigée. Dose initiale 5 mg chez le sujet asiatique (concentration doublée vs Caucasiens) et en cas d'insuffisance rénale sévère.</w:t>
      </w:r>
    </w:p>
    <w:p>
      <w:pPr>
        <w:pStyle w:val="ListBullet"/>
      </w:pPr>
      <w:r>
        <w:t>Conduite à Tenir :</w:t>
      </w:r>
    </w:p>
    <w:p>
      <w:pPr>
        <w:pStyle w:val="ListBullet"/>
      </w:pPr>
      <w:r>
        <w:t>ALAT &gt; 3 × LSN : arrêt.</w:t>
      </w:r>
    </w:p>
    <w:p>
      <w:pPr>
        <w:pStyle w:val="ListBullet"/>
      </w:pPr>
      <w:r>
        <w:t>CPK &gt; 5 × LSN sans symptôme : surveillance.</w:t>
      </w:r>
    </w:p>
    <w:p>
      <w:pPr>
        <w:pStyle w:val="ListBullet"/>
      </w:pPr>
      <w:r>
        <w:t>CPK &gt; 10 × LSN ou symptômes : arrêt immédiat.</w:t>
      </w:r>
    </w:p>
    <w:p>
      <w:pPr>
        <w:pStyle w:val="ListBullet"/>
      </w:pPr>
      <w:r>
        <w:t>Protéinurie &gt; 1 g/L : contrôle à 1 semaine, arrêt si persistante.</w:t>
      </w:r>
    </w:p>
    <w:p>
      <w:pPr>
        <w:pStyle w:val="ListBullet"/>
      </w:pPr>
      <w:r>
        <w:t>Myalgie : pause temporaire, réintroduction à dose réduite ou switch vers pravastatine.</w:t>
      </w:r>
    </w:p>
    <w:p>
      <w:r/>
      <w:r>
        <w:rPr>
          <w:b/>
        </w:rPr>
        <w:t>Interactions Importantes :</w:t>
      </w:r>
      <w:r/>
    </w:p>
    <w:p>
      <w:pPr>
        <w:pStyle w:val="ListBullet"/>
      </w:pPr>
      <w:r/>
      <w:r>
        <w:rPr>
          <w:b/>
        </w:rPr>
        <w:t>Rosuvastatine + Cyclosporine</w:t>
      </w:r>
      <w:r>
        <w:t xml:space="preserve"> : CI absolue (ASC × 7).</w:t>
      </w:r>
    </w:p>
    <w:p>
      <w:pPr>
        <w:pStyle w:val="ListBullet"/>
      </w:pPr>
      <w:r/>
      <w:r>
        <w:rPr>
          <w:b/>
        </w:rPr>
        <w:t>Rosuvastatine + Gemfibrozil</w:t>
      </w:r>
      <w:r>
        <w:t xml:space="preserve"> : CI absolue (ASC × 1,9, risque myotoxique majeur). Fénofibrate possible mais surveillance CPK.</w:t>
      </w:r>
    </w:p>
    <w:p>
      <w:pPr>
        <w:pStyle w:val="ListBullet"/>
      </w:pPr>
      <w:r/>
      <w:r>
        <w:rPr>
          <w:b/>
        </w:rPr>
        <w:t>Rosuvastatine + Lopinavir/ritonavir, Atazanavir/ritonavir</w:t>
      </w:r>
      <w:r>
        <w:t xml:space="preserve"> : limiter dose à 10 mg/j.</w:t>
      </w:r>
    </w:p>
    <w:p>
      <w:pPr>
        <w:pStyle w:val="ListBullet"/>
      </w:pPr>
      <w:r/>
      <w:r>
        <w:rPr>
          <w:b/>
        </w:rPr>
        <w:t>Rosuvastatine + Warfarine</w:t>
      </w:r>
      <w:r>
        <w:t xml:space="preserve"> : majoration INR.</w:t>
      </w:r>
    </w:p>
    <w:p>
      <w:pPr>
        <w:pStyle w:val="ListBullet"/>
      </w:pPr>
      <w:r/>
      <w:r>
        <w:rPr>
          <w:b/>
        </w:rPr>
        <w:t>Rosuvastatine + Esomeprazole</w:t>
      </w:r>
      <w:r>
        <w:t xml:space="preserve"> : discrète baisse d'ASC (sans impact clinique).</w:t>
      </w:r>
    </w:p>
    <w:p>
      <w:pPr>
        <w:pStyle w:val="ListBullet"/>
      </w:pPr>
      <w:r/>
      <w:r>
        <w:rPr>
          <w:b/>
        </w:rPr>
        <w:t>Rosuvastatine + Antiacide (Al/Mg)</w:t>
      </w:r>
      <w:r>
        <w:t xml:space="preserve"> : séparer de 2 h.</w:t>
      </w:r>
    </w:p>
    <w:p>
      <w:pPr>
        <w:pStyle w:val="ListBullet"/>
      </w:pPr>
      <w:r/>
      <w:r>
        <w:rPr>
          <w:b/>
        </w:rPr>
        <w:t>Rosuvastatine + Pamplemousse</w:t>
      </w:r>
      <w:r>
        <w:t xml:space="preserve"> : pas d'interaction significative (avantage vs simvastatine/atorvastatine).</w:t>
      </w:r>
    </w:p>
    <w:p>
      <w:pPr>
        <w:pStyle w:val="ListBullet"/>
      </w:pPr>
      <w:r/>
      <w:r>
        <w:rPr>
          <w:b/>
        </w:rPr>
        <w:t>Rosuvastatine + Macrolides, Azolés</w:t>
      </w:r>
      <w:r>
        <w:t xml:space="preserve"> : pas d'interaction significative (avantage majeur).</w:t>
      </w:r>
    </w:p>
    <w:p>
      <w:r/>
      <w:r>
        <w:rPr>
          <w:b/>
        </w:rPr>
        <w:t>Grossesse et Allaitement :</w:t>
      </w:r>
      <w:r/>
    </w:p>
    <w:p>
      <w:pPr>
        <w:pStyle w:val="ListBullet"/>
      </w:pPr>
      <w:r>
        <w:t>Grossesse : CI absolue (catégorie X). Tératogène chez l'animal. Contraception efficace indispensable.</w:t>
      </w:r>
    </w:p>
    <w:p>
      <w:pPr>
        <w:pStyle w:val="ListBullet"/>
      </w:pPr>
      <w:r>
        <w:t>Allaitement : CI absolue.</w:t>
      </w:r>
    </w:p>
    <w:p>
      <w:pPr>
        <w:pStyle w:val="ListBullet"/>
      </w:pPr>
      <w:r>
        <w:t>Précisions : information de la patiente essentielle à l'initiation. Dépistage de grossesse en cas de doute.</w:t>
      </w:r>
    </w:p>
    <w:p>
      <w:r/>
      <w:r>
        <w:rPr>
          <w:b/>
        </w:rPr>
        <w:t>Posologie et Mode d'administration (Standard) :</w:t>
      </w:r>
      <w:r/>
    </w:p>
    <w:p>
      <w:pPr>
        <w:pStyle w:val="ListBullet"/>
      </w:pPr>
      <w:r>
        <w:t>Adulte : dose initiale 5–10 mg/j ; dose usuelle 10–20 mg/j ; dose maximale 40 mg/j (réservée aux patients à très haut risque avec cible LDL très basse, et après titration). La dose de 40 mg ne doit pas être utilisée en initiation.</w:t>
      </w:r>
    </w:p>
    <w:p>
      <w:pPr>
        <w:pStyle w:val="ListBullet"/>
      </w:pPr>
      <w:r>
        <w:t>Sujet âgé : dose initiale 5 mg, escalade prudente.</w:t>
      </w:r>
    </w:p>
    <w:p>
      <w:pPr>
        <w:pStyle w:val="ListBullet"/>
      </w:pPr>
      <w:r>
        <w:t>Sujet asiatique : dose initiale 5 mg, dose max 20 mg/j.</w:t>
      </w:r>
    </w:p>
    <w:p>
      <w:pPr>
        <w:pStyle w:val="ListBullet"/>
      </w:pPr>
      <w:r>
        <w:t>Insuffisance rénale modérée (ClCr 30–60) : dose initiale 5 mg, max 10 mg. Sévère (ClCr &lt; 30) : dose initiale 5 mg, max 10 mg.</w:t>
      </w:r>
    </w:p>
    <w:p>
      <w:pPr>
        <w:pStyle w:val="ListBullet"/>
      </w:pPr>
      <w:r>
        <w:t>Insuffisance hépatique : CI si hépatopathie active. Enfant de Child-Pugh A–B : pas d'adaptation.</w:t>
      </w:r>
    </w:p>
    <w:p>
      <w:pPr>
        <w:pStyle w:val="ListBullet"/>
      </w:pPr>
      <w:r>
        <w:t>Durée : au long cours.</w:t>
      </w:r>
    </w:p>
    <w:p>
      <w:pPr>
        <w:pStyle w:val="ListBullet"/>
      </w:pPr>
      <w:r>
        <w:t>Moment de prise : à tout moment de la journée, à heure fixe.</w:t>
      </w:r>
    </w:p>
    <w:p>
      <w:r/>
      <w:r>
        <w:rPr>
          <w:b/>
        </w:rPr>
        <w:t>Arbitrage et Bénéfices des Formes Galéniques :</w:t>
      </w:r>
      <w:r/>
    </w:p>
    <w:p>
      <w:r>
        <w:t>Forme comprimé pelliculé 5/10/20/40 mg, permettant une titration fine. Le dosage 5 mg est particulièrement utile chez le sujet âgé, asiatique, insuffisant rénal sévère, ou en association avec fibrates. Disponibilité d'une gamme large (≈ 13 marques algériennes actives), favorisant l'accès thérapeutique. Le comprimé peut être sécable selon les marques (CRESTOR sécable 5 et 10 mg).</w:t>
      </w:r>
    </w:p>
    <w:p>
      <w:r/>
      <w:r>
        <w:rPr>
          <w:b/>
        </w:rPr>
        <w:t>Instructions et Conseils au Patient :</w:t>
      </w:r>
      <w:r/>
    </w:p>
    <w:p>
      <w:pPr>
        <w:pStyle w:val="ListBullet"/>
      </w:pPr>
      <w:r>
        <w:t>Communication au comptoir : « Ce médicament est l'un des plus puissants pour faire baisser le mauvais cholestérol. Prenez-le une fois par jour à heure fixe. Prévenez votre médecin si vous avez des douleurs musculaires inexpliquées, des urines foncées, une fatigue intense. Le pamplemousse est autorisé. Faites vos prises de sang régulièrement. Ne l'arrêtez pas sans avis. »</w:t>
      </w:r>
    </w:p>
    <w:p>
      <w:pPr>
        <w:pStyle w:val="ListBullet"/>
      </w:pPr>
      <w:r>
        <w:t>Mode d'utilisation pratique : avaler avec un verre d'eau, ne pas écraser. Oubli : prendre dans la journée, ne pas doubler. Alimentation équilibrée, activité physique régulière.</w:t>
      </w:r>
    </w:p>
    <w:p>
      <w:r/>
      <w:r>
        <w:rPr>
          <w:b/>
        </w:rPr>
        <w:t>Notes, Règles d'Or &amp; Pièges au Comptoir :</w:t>
      </w:r>
      <w:r/>
    </w:p>
    <w:p>
      <w:pPr>
        <w:pStyle w:val="ListBullet"/>
      </w:pPr>
      <w:r>
        <w:t>Piège classique : patient à qui on délivre clarithromycine ou itraconazole. Pas d'interaction (avantage). Vérifier néanmoins la CPK si symptomatologie musculaire.</w:t>
      </w:r>
    </w:p>
    <w:p>
      <w:pPr>
        <w:pStyle w:val="ListBullet"/>
      </w:pPr>
      <w:r>
        <w:t>Piège classique : patient sous warfarine qui débute rosuvastatine. Surveillance INR les premières semaines.</w:t>
      </w:r>
    </w:p>
    <w:p>
      <w:pPr>
        <w:pStyle w:val="ListBullet"/>
      </w:pPr>
      <w:r>
        <w:t>Piège classique : patient à 40 mg qui présente douleurs musculaires. Vérifier CPK ; envisager switch vers atorvastatine 40–80 mg ou pravastatine 40 mg.</w:t>
      </w:r>
    </w:p>
    <w:p>
      <w:pPr>
        <w:pStyle w:val="ListBullet"/>
      </w:pPr>
      <w:r>
        <w:t>Règle de prise : une prise/j, à heure fixe, à vie.</w:t>
      </w:r>
    </w:p>
    <w:p>
      <w:pPr>
        <w:pStyle w:val="ListBullet"/>
      </w:pPr>
      <w:r>
        <w:t>Préparation et Conservation : &lt; 25 °C, à l'abri de l'humidité et de la lumière.</w:t>
      </w:r>
    </w:p>
    <w:p>
      <w:pPr>
        <w:pStyle w:val="ListBullet"/>
      </w:pPr>
      <w:r>
        <w:t>Piège du surdosage / Substitution : ne pas initier à 40 mg. Substitution générique ↔ princeps (CRESTOR ↔ CRESOVAST, etc.) possible avec équivalence stricte.</w:t>
      </w:r>
    </w:p>
    <w:p>
      <w:pPr>
        <w:pStyle w:val="Heading3"/>
      </w:pPr>
      <w:r>
        <w:t>38.3.4 DCI : Pravastatine (Statine — Monothérapie)</w:t>
      </w:r>
    </w:p>
    <w:p>
      <w:r/>
      <w:r>
        <w:rPr>
          <w:b/>
        </w:rPr>
        <w:t>Liste des Catégories :</w:t>
      </w:r>
      <w:r>
        <w:t xml:space="preserve"> Hypolipémiants — Statines ; Liste I.</w:t>
      </w:r>
    </w:p>
    <w:p>
      <w:r>
        <w:t>La pravastatine est une statine hydrophile issue de la bioconversion du ML-236B (compactine) par hydroxylation microbienne. Elle n'est pas métabolisée par le CYP3A4 (élimination majoritaire par conjugaison hépatique et excrétion rénale), ce qui lui confère un profil d'interactions minimal et une bonne tolérance musculaire. Sa puissance est modérée : –22 % du LDL-C à 10 mg, –34 % à 20 mg, –41 % à 40 mg. Elle est particulièrement indiquée chez le sujet âgé, en cas de polymédication, chez le patient transplanté (ciclosporine), chez le patient VIH sous antirétroviraux, et chez le patient ayant présenté une intolérance à une statine plus lipophile. La prise unique le soir est recommandée (demi-vie courte ≈ 1,8 heure), mais des études montrent que l'heure de prise influe moins pour la pravastatine que pour la simvastatine.</w:t>
      </w:r>
    </w:p>
    <w:p>
      <w:r/>
      <w:r>
        <w:rPr>
          <w:b/>
        </w:rPr>
        <w:t>Médicaments disponibles en Algérie (Marques, Laboratoires, Formes et Dosages) :</w:t>
      </w:r>
      <w:r/>
    </w:p>
    <w:p>
      <w:pPr>
        <w:pStyle w:val="ListBullet"/>
      </w:pPr>
      <w:r/>
      <w:r>
        <w:rPr>
          <w:b/>
        </w:rPr>
        <w:t>ELISOR</w:t>
      </w:r>
      <w:r>
        <w:t xml:space="preserve"> (SPA UNION PHARMACEUTIQUE CONSTANTINOISE PRODUCTION) — Comprimé sécable 20 mg, Boîte de 28 — Statut : Actif</w:t>
      </w:r>
    </w:p>
    <w:p>
      <w:pPr>
        <w:pStyle w:val="ListBullet"/>
      </w:pPr>
      <w:r/>
      <w:r>
        <w:rPr>
          <w:b/>
        </w:rPr>
        <w:t>PRASIVAST</w:t>
      </w:r>
      <w:r>
        <w:t xml:space="preserve"> (EL KENDI) — Comprimé pelliculé 10 mg, Boîte de 30 — Statut : Actif ; Comprimé pelliculé 20 mg, Boîte de 30 — Statut : Actif</w:t>
      </w:r>
    </w:p>
    <w:p>
      <w:r/>
      <w:r>
        <w:rPr>
          <w:b/>
        </w:rPr>
        <w:t>Sous-classe et Mécanisme d'action :</w:t>
      </w:r>
      <w:r/>
    </w:p>
    <w:p>
      <w:pPr>
        <w:pStyle w:val="ListBullet"/>
      </w:pPr>
      <w:r>
        <w:t>Sous-classe : Statine hydrophile de première génération, inhibiteur de l'HMG-CoA réductase.</w:t>
      </w:r>
    </w:p>
    <w:p>
      <w:pPr>
        <w:pStyle w:val="ListBullet"/>
      </w:pPr>
      <w:r>
        <w:t>Mécanisme d'action : inhibition compétitive et réversible de l'HMG-CoA réductase. L'hydrophilie de la pravastatine limite son entrée passive dans les cellules non hépatiques (muscle, cerveau) — elle péntre dans l'hépatocyte par transporteur OATP1B1 spécifique — expliquant son meilleur profil de tolérance musculaire et la moindre fréquence des effets indésirables neurologiques. Métabolisme minimal par CYP450 (sulfatation, β-oxydation). Effets pléiotropes (anti-inflammatoire, anti-thrombotique, stabilisation plaque).</w:t>
      </w:r>
    </w:p>
    <w:p>
      <w:r/>
      <w:r>
        <w:rPr>
          <w:b/>
        </w:rPr>
        <w:t>Profil Pharmacologique :</w:t>
      </w:r>
      <w:r/>
    </w:p>
    <w:p>
      <w:pPr>
        <w:pStyle w:val="ListBullet"/>
      </w:pPr>
      <w:r>
        <w:t>Indications : hypercholestérolémie primitive (type IIa) ; prévention CV primaire à risque modéré ; prévention CV secondaire (étude CARE, LIPID) ; dyslipidémie du transplanté sous ciclosporine ; alternative en cas d'intolérance à statine lipophile.</w:t>
      </w:r>
    </w:p>
    <w:p>
      <w:pPr>
        <w:pStyle w:val="ListBullet"/>
      </w:pPr>
      <w:r>
        <w:t>Contre-indications : hépatopathie active ; myopathie évolutive ; grossesse, allaitement ; hypersensibilité.</w:t>
      </w:r>
    </w:p>
    <w:p>
      <w:pPr>
        <w:pStyle w:val="ListBullet"/>
      </w:pPr>
      <w:r>
        <w:t>Effets Indésirables :</w:t>
      </w:r>
    </w:p>
    <w:p>
      <w:pPr>
        <w:pStyle w:val="ListBullet"/>
      </w:pPr>
      <w:r>
        <w:t>Musculaires : myalgie (3–5 %), élévation CPK (&lt; 1 %), rhabdomyolyse rare. Profil de tolérance le meilleur de la classe.</w:t>
      </w:r>
    </w:p>
    <w:p>
      <w:pPr>
        <w:pStyle w:val="ListBullet"/>
      </w:pPr>
      <w:r>
        <w:t>Hépatiques : élévation transaminases (&lt; 1 %), hépatite rare.</w:t>
      </w:r>
    </w:p>
    <w:p>
      <w:pPr>
        <w:pStyle w:val="ListBullet"/>
      </w:pPr>
      <w:r>
        <w:t>Digestifs : nausées, dyspepsie, constipation.</w:t>
      </w:r>
    </w:p>
    <w:p>
      <w:pPr>
        <w:pStyle w:val="ListBullet"/>
      </w:pPr>
      <w:r>
        <w:t>Métaboliques : effet classe (diabète incident) moindre que pour les statines puissantes.</w:t>
      </w:r>
    </w:p>
    <w:p>
      <w:pPr>
        <w:pStyle w:val="ListBullet"/>
      </w:pPr>
      <w:r>
        <w:t>Cutanés : rash.</w:t>
      </w:r>
    </w:p>
    <w:p>
      <w:r/>
      <w:r>
        <w:rPr>
          <w:b/>
        </w:rPr>
        <w:t>Prévention et Gestion des Effets Indésirables :</w:t>
      </w:r>
      <w:r/>
    </w:p>
    <w:p>
      <w:pPr>
        <w:pStyle w:val="ListBullet"/>
      </w:pPr>
      <w:r>
        <w:t>Mesures Préventives : bilan hépatique (ALAT/ASAT) avant et à 3 mois ; CPK avant traitement (référence) et si symptômes ; information patient sur la myalgie. Le profil de tolérance autorise la prescription chez le sujet âgé fragile et le patient polymédiqué.</w:t>
      </w:r>
    </w:p>
    <w:p>
      <w:pPr>
        <w:pStyle w:val="ListBullet"/>
      </w:pPr>
      <w:r>
        <w:t>Conduite à Tenir : mêmes règles que pour les autres statines. La pravastatine est souvent la statine de réintroduction après un épisode de myalgie sous simvastatine/atorvastatine.</w:t>
      </w:r>
    </w:p>
    <w:p>
      <w:r/>
      <w:r>
        <w:rPr>
          <w:b/>
        </w:rPr>
        <w:t>Interactions Importantes :</w:t>
      </w:r>
      <w:r/>
    </w:p>
    <w:p>
      <w:pPr>
        <w:pStyle w:val="ListBullet"/>
      </w:pPr>
      <w:r/>
      <w:r>
        <w:rPr>
          <w:b/>
        </w:rPr>
        <w:t>Pravastatine + Cyclosporine</w:t>
      </w:r>
      <w:r>
        <w:t xml:space="preserve"> : possible sous surveillance (contrairement à la plupart des statines CI avec cyclosporine). Précaution : dose max 20 mg/j.</w:t>
      </w:r>
    </w:p>
    <w:p>
      <w:pPr>
        <w:pStyle w:val="ListBullet"/>
      </w:pPr>
      <w:r/>
      <w:r>
        <w:rPr>
          <w:b/>
        </w:rPr>
        <w:t>Pravastatine + Fibrates</w:t>
      </w:r>
      <w:r>
        <w:t xml:space="preserve"> : prudence, surveillance CPK.</w:t>
      </w:r>
    </w:p>
    <w:p>
      <w:pPr>
        <w:pStyle w:val="ListBullet"/>
      </w:pPr>
      <w:r/>
      <w:r>
        <w:rPr>
          <w:b/>
        </w:rPr>
        <w:t>Pravastatine + Colchicine</w:t>
      </w:r>
      <w:r>
        <w:t xml:space="preserve"> : risque de myopathie.</w:t>
      </w:r>
    </w:p>
    <w:p>
      <w:pPr>
        <w:pStyle w:val="ListBullet"/>
      </w:pPr>
      <w:r/>
      <w:r>
        <w:rPr>
          <w:b/>
        </w:rPr>
        <w:t>Pravastatine + Macrolides, Azolés, Antirétroviraux</w:t>
      </w:r>
      <w:r>
        <w:t xml:space="preserve"> : pas d'interaction significative (avantage majeur).</w:t>
      </w:r>
    </w:p>
    <w:p>
      <w:pPr>
        <w:pStyle w:val="ListBullet"/>
      </w:pPr>
      <w:r/>
      <w:r>
        <w:rPr>
          <w:b/>
        </w:rPr>
        <w:t>Pravastatine + Pamplemousse</w:t>
      </w:r>
      <w:r>
        <w:t xml:space="preserve"> : pas d'interaction.</w:t>
      </w:r>
    </w:p>
    <w:p>
      <w:pPr>
        <w:pStyle w:val="ListBullet"/>
      </w:pPr>
      <w:r/>
      <w:r>
        <w:rPr>
          <w:b/>
        </w:rPr>
        <w:t>Pravastatine + Warfarine</w:t>
      </w:r>
      <w:r>
        <w:t xml:space="preserve"> : pas d'interaction significative (avantage).</w:t>
      </w:r>
    </w:p>
    <w:p>
      <w:r/>
      <w:r>
        <w:rPr>
          <w:b/>
        </w:rPr>
        <w:t>Grossesse et Allaitement :</w:t>
      </w:r>
      <w:r/>
    </w:p>
    <w:p>
      <w:pPr>
        <w:pStyle w:val="ListBullet"/>
      </w:pPr>
      <w:r>
        <w:t>Grossesse : CI absolue (catégorie X). Statines tératogènes. Contraception.</w:t>
      </w:r>
    </w:p>
    <w:p>
      <w:pPr>
        <w:pStyle w:val="ListBullet"/>
      </w:pPr>
      <w:r>
        <w:t>Allaitement : CI absolue.</w:t>
      </w:r>
    </w:p>
    <w:p>
      <w:pPr>
        <w:pStyle w:val="ListBullet"/>
      </w:pPr>
      <w:r>
        <w:t>Précisions : bien que non tératogène à dose thérapeutique chez l'animal (contrairement aux statines lipophiles), la pravastatine reste CI par principe de précaution.</w:t>
      </w:r>
    </w:p>
    <w:p>
      <w:r/>
      <w:r>
        <w:rPr>
          <w:b/>
        </w:rPr>
        <w:t>Posologie et Mode d'administration (Standard) :</w:t>
      </w:r>
      <w:r/>
    </w:p>
    <w:p>
      <w:pPr>
        <w:pStyle w:val="ListBullet"/>
      </w:pPr>
      <w:r>
        <w:t>Adulte : dose initiale 10–20 mg/j ; dose usuelle 20–40 mg/j ; dose maximale 40 mg/j.</w:t>
      </w:r>
    </w:p>
    <w:p>
      <w:pPr>
        <w:pStyle w:val="ListBullet"/>
      </w:pPr>
      <w:r>
        <w:t>Sujet âgé : pas d'adaptation posologique.</w:t>
      </w:r>
    </w:p>
    <w:p>
      <w:pPr>
        <w:pStyle w:val="ListBullet"/>
      </w:pPr>
      <w:r>
        <w:t>Insuffisance rénale modérée : pas d'adaptation. Sévère (ClCr &lt; 30) : dose initiale 10 mg, surveillance.</w:t>
      </w:r>
    </w:p>
    <w:p>
      <w:pPr>
        <w:pStyle w:val="ListBullet"/>
      </w:pPr>
      <w:r>
        <w:t>Durée : au long cours.</w:t>
      </w:r>
    </w:p>
    <w:p>
      <w:pPr>
        <w:pStyle w:val="ListBullet"/>
      </w:pPr>
      <w:r>
        <w:t>Moment de prise : le soir (préférable), mais tolérance à tout moment.</w:t>
      </w:r>
    </w:p>
    <w:p>
      <w:r/>
      <w:r>
        <w:rPr>
          <w:b/>
        </w:rPr>
        <w:t>Arbitrage et Bénéfices des Formes Galéniques :</w:t>
      </w:r>
      <w:r/>
    </w:p>
    <w:p>
      <w:r>
        <w:t>Forme comprimé sécable 10 mg et 20 mg, permettant une titration fine. Faible nombre de marques (ELISOR, PRASIVAST), mais la pravastatine est largement disponible. Indication de choix chez le transplanté, le VIH, le patient âgé polymédiqué.</w:t>
      </w:r>
    </w:p>
    <w:p>
      <w:r/>
      <w:r>
        <w:rPr>
          <w:b/>
        </w:rPr>
        <w:t>Instructions et Conseils au Patient :</w:t>
      </w:r>
      <w:r/>
    </w:p>
    <w:p>
      <w:pPr>
        <w:pStyle w:val="ListBullet"/>
      </w:pPr>
      <w:r>
        <w:t>Communication au comptoir : « Ce médicament baisse le cholestérol avec un très bon profil de tolérance. Prenez-le le soir, à heure fixe. Prévenez votre médecin si vous avez des douleurs musculaires. Faites vos bilans sanguins régulièrement. Ne l'arrêtez pas sans avis. »</w:t>
      </w:r>
    </w:p>
    <w:p>
      <w:pPr>
        <w:pStyle w:val="ListBullet"/>
      </w:pPr>
      <w:r>
        <w:t>Mode d'utilisation pratique : avaler avec un verre d'eau, prise le soir préférable.</w:t>
      </w:r>
    </w:p>
    <w:p>
      <w:r/>
      <w:r>
        <w:rPr>
          <w:b/>
        </w:rPr>
        <w:t>Notes, Règles d'Or &amp; Pièges au Comptoir :</w:t>
      </w:r>
      <w:r/>
    </w:p>
    <w:p>
      <w:pPr>
        <w:pStyle w:val="ListBullet"/>
      </w:pPr>
      <w:r>
        <w:t>Piège classique : patient transplanté sous ciclosporine et needing statine. Pravastatine 10–20 mg est le choix privilégié.</w:t>
      </w:r>
    </w:p>
    <w:p>
      <w:pPr>
        <w:pStyle w:val="ListBullet"/>
      </w:pPr>
      <w:r>
        <w:t>Piège classique : patient âgé polymédiqué. Pravastatine est une option de premier choix.</w:t>
      </w:r>
    </w:p>
    <w:p>
      <w:pPr>
        <w:pStyle w:val="ListBullet"/>
      </w:pPr>
      <w:r>
        <w:t>Règle de prise : une prise/j le soir, à vie.</w:t>
      </w:r>
    </w:p>
    <w:p>
      <w:pPr>
        <w:pStyle w:val="ListBullet"/>
      </w:pPr>
      <w:r>
        <w:t>Préparation et Conservation : &lt; 25 °C, à l'abri de l'humidité.</w:t>
      </w:r>
    </w:p>
    <w:p>
      <w:pPr>
        <w:pStyle w:val="ListBullet"/>
      </w:pPr>
      <w:r>
        <w:t>Piège du surdosage / Substitution : pas de dose supérieure à 40 mg disponible. Si cible non atteinte, associer ezetimibe plutôt que d'augmenter.</w:t>
      </w:r>
    </w:p>
    <w:p>
      <w:pPr>
        <w:pStyle w:val="Heading3"/>
      </w:pPr>
      <w:r>
        <w:t>38.3.5 DCI : Fluvastatine (Statine — Monothérapie)</w:t>
      </w:r>
    </w:p>
    <w:p>
      <w:r/>
      <w:r>
        <w:rPr>
          <w:b/>
        </w:rPr>
        <w:t>Liste des Catégories :</w:t>
      </w:r>
      <w:r>
        <w:t xml:space="preserve"> Hypolipémiants — Statines ; Liste I.</w:t>
      </w:r>
    </w:p>
    <w:p>
      <w:r>
        <w:t>La fluvastatine est une statine de synthèse entièrement, hydrophile, peu puissante (la moins puissante de la classe). Sa particularité est d'être métabolisée principalement par CYP2C9 (et non CYP3A4), ce qui limite les interactions avec macrolides, azolés et pamplemousse. Sa demi-vie est courte (≈ 1,2 heure pour la forme immédiate, prolongée à 4–9 heures pour la forme LP). Puissance : –22 % du LDL-C à 20 mg, –27 % à 40 mg, –33 % à 80 mg LP. Indication de choix : intolérance aux autres statines (switch après myalgie sous simvastatine/atorvastatine), patient âgé polymédiqué, post-transplantation rénale sous cyclosporine (le seul autorisé avec pravastatine). La forme LP 80 mg permet une prise unique le soir avec une meilleure efficacité que la forme 40 mg.</w:t>
      </w:r>
    </w:p>
    <w:p>
      <w:r/>
      <w:r>
        <w:rPr>
          <w:b/>
        </w:rPr>
        <w:t>Médicaments disponibles en Algérie (Marques, Laboratoires, Formes et Dosages) :</w:t>
      </w:r>
      <w:r/>
    </w:p>
    <w:p>
      <w:r>
        <w:t>Forme gélule 40 mg (immédiate) :</w:t>
      </w:r>
    </w:p>
    <w:p>
      <w:pPr>
        <w:pStyle w:val="ListBullet"/>
      </w:pPr>
      <w:r/>
      <w:r>
        <w:rPr>
          <w:b/>
        </w:rPr>
        <w:t>COLESTOR</w:t>
      </w:r>
      <w:r>
        <w:t xml:space="preserve"> (LABORATOIRES BEKER) — Gélule 40 mg, B/30 — Statut : Actif</w:t>
      </w:r>
    </w:p>
    <w:p>
      <w:pPr>
        <w:pStyle w:val="ListBullet"/>
      </w:pPr>
      <w:r/>
      <w:r>
        <w:rPr>
          <w:b/>
        </w:rPr>
        <w:t>FLUVASTINE 40 MG</w:t>
      </w:r>
      <w:r>
        <w:t xml:space="preserve"> (LDM) — Gélule 40 mg, B/30 — Statut : Actif</w:t>
      </w:r>
    </w:p>
    <w:p>
      <w:pPr>
        <w:pStyle w:val="ListBullet"/>
      </w:pPr>
      <w:r/>
      <w:r>
        <w:rPr>
          <w:b/>
        </w:rPr>
        <w:t>LUVASCOL</w:t>
      </w:r>
      <w:r>
        <w:t xml:space="preserve"> (NEOMEDIC) — Gélule 40 mg, B/30 — Statut : Actif</w:t>
      </w:r>
    </w:p>
    <w:p>
      <w:pPr>
        <w:pStyle w:val="ListBullet"/>
      </w:pPr>
      <w:r/>
      <w:r>
        <w:rPr>
          <w:b/>
        </w:rPr>
        <w:t>LESCOL</w:t>
      </w:r>
      <w:r>
        <w:t xml:space="preserve"> (NOVARTIS PHARMA S.A.) — Gélule 20 mg, B/28 — Statut : Retiré (R)</w:t>
      </w:r>
    </w:p>
    <w:p>
      <w:pPr>
        <w:pStyle w:val="ListBullet"/>
      </w:pPr>
      <w:r/>
      <w:r>
        <w:rPr>
          <w:b/>
        </w:rPr>
        <w:t>LESCOL</w:t>
      </w:r>
      <w:r>
        <w:t xml:space="preserve"> (NOVARTIS PHARMA SCHWEIZ AG) — Gélule 40 mg, B/28 — Statut : Retiré (R)</w:t>
      </w:r>
    </w:p>
    <w:p>
      <w:r>
        <w:t>Forme comprimé pelliculé LP 80 mg :</w:t>
      </w:r>
    </w:p>
    <w:p>
      <w:pPr>
        <w:pStyle w:val="ListBullet"/>
      </w:pPr>
      <w:r/>
      <w:r>
        <w:rPr>
          <w:b/>
        </w:rPr>
        <w:t>COLESTOR LP</w:t>
      </w:r>
      <w:r>
        <w:t xml:space="preserve"> (LABORATOIRES BEKER) — Comprimé pelliculé LP 80 mg, B/30 — Statut : Actif</w:t>
      </w:r>
    </w:p>
    <w:p>
      <w:pPr>
        <w:pStyle w:val="ListBullet"/>
      </w:pPr>
      <w:r/>
      <w:r>
        <w:rPr>
          <w:b/>
        </w:rPr>
        <w:t>CORED XL</w:t>
      </w:r>
      <w:r>
        <w:t xml:space="preserve"> (HIKMA PHARMA ALGERIA) — Comprimé pelliculé LP 80 mg, B/30 — Statut : Actif</w:t>
      </w:r>
    </w:p>
    <w:p>
      <w:pPr>
        <w:pStyle w:val="ListBullet"/>
      </w:pPr>
      <w:r/>
      <w:r>
        <w:rPr>
          <w:b/>
        </w:rPr>
        <w:t>FLUVACOL LP</w:t>
      </w:r>
      <w:r>
        <w:t xml:space="preserve"> (EL KENDI) — Comprimé pelliculé LP 80 mg, B/30 — Statut : Actif</w:t>
      </w:r>
    </w:p>
    <w:p>
      <w:pPr>
        <w:pStyle w:val="ListBullet"/>
      </w:pPr>
      <w:r/>
      <w:r>
        <w:rPr>
          <w:b/>
        </w:rPr>
        <w:t>FLUVASTAN</w:t>
      </w:r>
      <w:r>
        <w:t xml:space="preserve"> (SANAMED) — Comprimé pelliculé LP 80 mg, B/30 — Statut : Actif</w:t>
      </w:r>
    </w:p>
    <w:p>
      <w:pPr>
        <w:pStyle w:val="ListBullet"/>
      </w:pPr>
      <w:r/>
      <w:r>
        <w:rPr>
          <w:b/>
        </w:rPr>
        <w:t>FLUVASTATINE LDM</w:t>
      </w:r>
      <w:r>
        <w:t xml:space="preserve"> (LDM) — Comprimé pelliculé 80 mg, B/30 — Statut : Actif</w:t>
      </w:r>
    </w:p>
    <w:p>
      <w:pPr>
        <w:pStyle w:val="ListBullet"/>
      </w:pPr>
      <w:r/>
      <w:r>
        <w:rPr>
          <w:b/>
        </w:rPr>
        <w:t>FLUVASTATINE NOVAGENERICS</w:t>
      </w:r>
      <w:r>
        <w:t xml:space="preserve"> (NOVAPHARM TRADING) — Comprimé pelliculé LP 80 mg, B/30 — Statut : Actif</w:t>
      </w:r>
    </w:p>
    <w:p>
      <w:pPr>
        <w:pStyle w:val="ListBullet"/>
      </w:pPr>
      <w:r/>
      <w:r>
        <w:rPr>
          <w:b/>
        </w:rPr>
        <w:t>LUVASCOL</w:t>
      </w:r>
      <w:r>
        <w:t xml:space="preserve"> (NEOMEDIC) — Comprimé pelliculé LP 80 mg, B/28 — Statut : Actif</w:t>
      </w:r>
    </w:p>
    <w:p>
      <w:pPr>
        <w:pStyle w:val="ListBullet"/>
      </w:pPr>
      <w:r/>
      <w:r>
        <w:rPr>
          <w:b/>
        </w:rPr>
        <w:t>LESCOL XL</w:t>
      </w:r>
      <w:r>
        <w:t xml:space="preserve"> (NOVARTIS PHARMA AG) — Comprimé pelliculé LP 80 mg, B/28 — Statut : Non Renouvelable</w:t>
      </w:r>
    </w:p>
    <w:p>
      <w:r/>
      <w:r>
        <w:rPr>
          <w:b/>
        </w:rPr>
        <w:t>Sous-classe et Mécanisme d'action :</w:t>
      </w:r>
      <w:r/>
    </w:p>
    <w:p>
      <w:pPr>
        <w:pStyle w:val="ListBullet"/>
      </w:pPr>
      <w:r>
        <w:t>Sous-classe : Statine de synthèse hydrophile, inhibiteur de l'HMG-CoA réductase. Moins puissante mais mieux tolérée.</w:t>
      </w:r>
    </w:p>
    <w:p>
      <w:pPr>
        <w:pStyle w:val="ListBullet"/>
      </w:pPr>
      <w:r>
        <w:t>Mécanisme d'action : inhibition compétitive de l'HMG-CoA réductase. Métabolisme par CYP2C9 (et non CYP3A4), peu d'interactions. Hydrophilie limitant la pénétration musculaire et cérébrale → meilleur profil de tolérance.</w:t>
      </w:r>
    </w:p>
    <w:p>
      <w:r/>
      <w:r>
        <w:rPr>
          <w:b/>
        </w:rPr>
        <w:t>Profil Pharmacologique :</w:t>
      </w:r>
      <w:r/>
    </w:p>
    <w:p>
      <w:pPr>
        <w:pStyle w:val="ListBullet"/>
      </w:pPr>
      <w:r>
        <w:t>Indications : hypercholestérolémie primitive ; prévention CV secondaire (étude LIPS, 2002 — patient après angioplastie) ; alternative en cas d'intolérance à une statine plus puissante ; transplantation rénale sous cyclosporine.</w:t>
      </w:r>
    </w:p>
    <w:p>
      <w:pPr>
        <w:pStyle w:val="ListBullet"/>
      </w:pPr>
      <w:r>
        <w:t>Contre-indications : hépatopathie active ; myopathie évolutive ; grossesse, allaitement ; association à cyclosporine en dose &gt; 20 mg de fluvastatine (limite à 20 mg deux fois par jour max) ; hypersensibilité.</w:t>
      </w:r>
    </w:p>
    <w:p>
      <w:pPr>
        <w:pStyle w:val="ListBullet"/>
      </w:pPr>
      <w:r>
        <w:t>Effets Indésirables :</w:t>
      </w:r>
    </w:p>
    <w:p>
      <w:pPr>
        <w:pStyle w:val="ListBullet"/>
      </w:pPr>
      <w:r>
        <w:t>Musculaires : myalgie (3–5 %), élévation CPK, rhabdomyolyse très rare. Profil de tolérance musculaire excellent.</w:t>
      </w:r>
    </w:p>
    <w:p>
      <w:pPr>
        <w:pStyle w:val="ListBullet"/>
      </w:pPr>
      <w:r>
        <w:t>Hépatiques : élévation transaminases (≤ 1 %), hépatite rare.</w:t>
      </w:r>
    </w:p>
    <w:p>
      <w:pPr>
        <w:pStyle w:val="ListBullet"/>
      </w:pPr>
      <w:r>
        <w:t>Digestifs : dyspepsie, nausées.</w:t>
      </w:r>
    </w:p>
    <w:p>
      <w:pPr>
        <w:pStyle w:val="ListBullet"/>
      </w:pPr>
      <w:r>
        <w:t>Métaboliques : effet classe (diabète incident) discutable, moindre que statines puissantes.</w:t>
      </w:r>
    </w:p>
    <w:p>
      <w:pPr>
        <w:pStyle w:val="ListBullet"/>
      </w:pPr>
      <w:r>
        <w:t>Cutanés : rash.</w:t>
      </w:r>
    </w:p>
    <w:p>
      <w:r/>
      <w:r>
        <w:rPr>
          <w:b/>
        </w:rPr>
        <w:t>Prévention et Gestion des Effets Indésirables :</w:t>
      </w:r>
      <w:r/>
    </w:p>
    <w:p>
      <w:pPr>
        <w:pStyle w:val="ListBullet"/>
      </w:pPr>
      <w:r>
        <w:t>Mesures Préventives : bilan hépatique avant, à 3 mois, annuel ; CPK avant traitement et si symptômes ; information patient.</w:t>
      </w:r>
    </w:p>
    <w:p>
      <w:pPr>
        <w:pStyle w:val="ListBullet"/>
      </w:pPr>
      <w:r>
        <w:t>Conduite à Tenir : identique aux autres statines. La fluvastatine est un excellent choix de réintroduction après myalgie sous statine puissante.</w:t>
      </w:r>
    </w:p>
    <w:p>
      <w:r/>
      <w:r>
        <w:rPr>
          <w:b/>
        </w:rPr>
        <w:t>Interactions Importantes :</w:t>
      </w:r>
      <w:r/>
    </w:p>
    <w:p>
      <w:pPr>
        <w:pStyle w:val="ListBullet"/>
      </w:pPr>
      <w:r/>
      <w:r>
        <w:rPr>
          <w:b/>
        </w:rPr>
        <w:t>Fluvastatine + Cyclosporine</w:t>
      </w:r>
      <w:r>
        <w:t xml:space="preserve"> : possible à dose limitée (20 mg × 2/j max), surveillance CPK.</w:t>
      </w:r>
    </w:p>
    <w:p>
      <w:pPr>
        <w:pStyle w:val="ListBullet"/>
      </w:pPr>
      <w:r/>
      <w:r>
        <w:rPr>
          <w:b/>
        </w:rPr>
        <w:t>Fluvastatine + Warfarine</w:t>
      </w:r>
      <w:r>
        <w:t xml:space="preserve"> : majoration INR possible (CYP2C9), surveillance.</w:t>
      </w:r>
    </w:p>
    <w:p>
      <w:pPr>
        <w:pStyle w:val="ListBullet"/>
      </w:pPr>
      <w:r/>
      <w:r>
        <w:rPr>
          <w:b/>
        </w:rPr>
        <w:t>Fluvastatine + Phénytoïne</w:t>
      </w:r>
      <w:r>
        <w:t xml:space="preserve"> : interaction possible (CYP2C9).</w:t>
      </w:r>
    </w:p>
    <w:p>
      <w:pPr>
        <w:pStyle w:val="ListBullet"/>
      </w:pPr>
      <w:r/>
      <w:r>
        <w:rPr>
          <w:b/>
        </w:rPr>
        <w:t>Fluvastatine + Macrolides, Azolés, Pamplemousse</w:t>
      </w:r>
      <w:r>
        <w:t xml:space="preserve"> : pas d'interaction (avantage).</w:t>
      </w:r>
    </w:p>
    <w:p>
      <w:pPr>
        <w:pStyle w:val="ListBullet"/>
      </w:pPr>
      <w:r/>
      <w:r>
        <w:rPr>
          <w:b/>
        </w:rPr>
        <w:t>Fluvastatine + Fibrates</w:t>
      </w:r>
      <w:r>
        <w:t xml:space="preserve"> : prudence, surveillance CPK.</w:t>
      </w:r>
    </w:p>
    <w:p>
      <w:r/>
      <w:r>
        <w:rPr>
          <w:b/>
        </w:rPr>
        <w:t>Grossesse et Allaitement :</w:t>
      </w:r>
      <w:r/>
    </w:p>
    <w:p>
      <w:pPr>
        <w:pStyle w:val="ListBullet"/>
      </w:pPr>
      <w:r>
        <w:t>Grossesse : CI absolue (catégorie X). Tératogène chez l'animal.</w:t>
      </w:r>
    </w:p>
    <w:p>
      <w:pPr>
        <w:pStyle w:val="ListBullet"/>
      </w:pPr>
      <w:r>
        <w:t>Allaitement : CI absolue.</w:t>
      </w:r>
    </w:p>
    <w:p>
      <w:pPr>
        <w:pStyle w:val="ListBullet"/>
      </w:pPr>
      <w:r>
        <w:t>Précisions : bien que l'hydrophilie réduise le passage transplacentaire, le principe de précaution s'applique.</w:t>
      </w:r>
    </w:p>
    <w:p>
      <w:r/>
      <w:r>
        <w:rPr>
          <w:b/>
        </w:rPr>
        <w:t>Posologie et Mode d'administration (Standard) :</w:t>
      </w:r>
      <w:r/>
    </w:p>
    <w:p>
      <w:pPr>
        <w:pStyle w:val="ListBullet"/>
      </w:pPr>
      <w:r>
        <w:t>Adulte : dose initiale 20–40 mg/j (forme gélule) ou 80 mg/j (forme LP) ; dose usuelle 40 mg/j ou 80 mg LP/j ; dose maximale 80 mg/j (40 mg × 2 ou 80 mg LP en 1 prise).</w:t>
      </w:r>
    </w:p>
    <w:p>
      <w:pPr>
        <w:pStyle w:val="ListBullet"/>
      </w:pPr>
      <w:r>
        <w:t>Sujet âgé : pas d'adaptation.</w:t>
      </w:r>
    </w:p>
    <w:p>
      <w:pPr>
        <w:pStyle w:val="ListBullet"/>
      </w:pPr>
      <w:r>
        <w:t>Insuffisance rénale : pas d'adaptation.</w:t>
      </w:r>
    </w:p>
    <w:p>
      <w:pPr>
        <w:pStyle w:val="ListBullet"/>
      </w:pPr>
      <w:r>
        <w:t>Durée : au long cours.</w:t>
      </w:r>
    </w:p>
    <w:p>
      <w:pPr>
        <w:pStyle w:val="ListBullet"/>
      </w:pPr>
      <w:r>
        <w:t>Moment de prise : forme gélule le soir ; forme LP à tout moment, mais le soir recommandé.</w:t>
      </w:r>
    </w:p>
    <w:p>
      <w:r/>
      <w:r>
        <w:rPr>
          <w:b/>
        </w:rPr>
        <w:t>Arbitrage et Bénéfices des Formes Galéniques :</w:t>
      </w:r>
      <w:r/>
    </w:p>
    <w:p>
      <w:r>
        <w:t>Forme gélule 40 mg (immédiate) et comprimé pelliculé LP 80 mg. La forme LP 80 mg simplifie l'observance (une prise/j vs deux) et améliore l'efficacité. Disponible enAlgérie sous ≈ 8 marques, offrant un large choix.</w:t>
      </w:r>
    </w:p>
    <w:p>
      <w:r/>
      <w:r>
        <w:rPr>
          <w:b/>
        </w:rPr>
        <w:t>Instructions et Conseils au Patient :</w:t>
      </w:r>
      <w:r/>
    </w:p>
    <w:p>
      <w:pPr>
        <w:pStyle w:val="ListBullet"/>
      </w:pPr>
      <w:r>
        <w:t>Communication au comptoir : « Ce médicament baisse le cholestérol, c'est une statine bien tolérée. Prenez-le le soir (forme gélule) ou à tout moment (forme LP). Prévenez votre médecin en cas de douleurs musculaires. Ne l'arrêtez pas seul. »</w:t>
      </w:r>
    </w:p>
    <w:p>
      <w:pPr>
        <w:pStyle w:val="ListBullet"/>
      </w:pPr>
      <w:r>
        <w:t>Mode d'utilisation pratique : avaler avec un verre d'eau, ne pas écraser (surtout la forme LP).</w:t>
      </w:r>
    </w:p>
    <w:p>
      <w:r/>
      <w:r>
        <w:rPr>
          <w:b/>
        </w:rPr>
        <w:t>Notes, Règles d'Or &amp; Pièges au Comptoir :</w:t>
      </w:r>
      <w:r/>
    </w:p>
    <w:p>
      <w:pPr>
        <w:pStyle w:val="ListBullet"/>
      </w:pPr>
      <w:r>
        <w:t>Piège classique : patient à qui on délivre clarithromycine. Pas d'interaction. Avantage.</w:t>
      </w:r>
    </w:p>
    <w:p>
      <w:pPr>
        <w:pStyle w:val="ListBullet"/>
      </w:pPr>
      <w:r>
        <w:t>Piège classique : patient transplanté rénal. Fluvastatine 20 mg × 2/j est une option de choix.</w:t>
      </w:r>
    </w:p>
    <w:p>
      <w:pPr>
        <w:pStyle w:val="ListBullet"/>
      </w:pPr>
      <w:r>
        <w:t>Piège classique : la forme LP ne doit pas être écrasée ou croquée.</w:t>
      </w:r>
    </w:p>
    <w:p>
      <w:pPr>
        <w:pStyle w:val="ListBullet"/>
      </w:pPr>
      <w:r>
        <w:t>Règle de prise : le soir (gélule), libre (LP), à heure fixe, à vie.</w:t>
      </w:r>
    </w:p>
    <w:p>
      <w:pPr>
        <w:pStyle w:val="ListBullet"/>
      </w:pPr>
      <w:r>
        <w:t>Préparation et Conservation : &lt; 25 °C, à l'abri de l'humidité.</w:t>
      </w:r>
    </w:p>
    <w:p>
      <w:pPr>
        <w:pStyle w:val="ListBullet"/>
      </w:pPr>
      <w:r>
        <w:t>Piège du surdosage / Substitution : la fluvastatine étant peu puissante, ne pas l'utiliser comme monothérapie si cible LDL basse requise ; associer ezetimibe si nécessaire.</w:t>
      </w:r>
    </w:p>
    <w:p>
      <w:pPr>
        <w:pStyle w:val="Heading3"/>
      </w:pPr>
      <w:r>
        <w:t>38.3.6 DCI : Ezetimibe (Inhibiteur de l'absorption du cholestérol — Monothérapie)</w:t>
      </w:r>
    </w:p>
    <w:p>
      <w:r/>
      <w:r>
        <w:rPr>
          <w:b/>
        </w:rPr>
        <w:t>Liste des Catégories :</w:t>
      </w:r>
      <w:r>
        <w:t xml:space="preserve"> Hypolipémiants — Inhibiteurs de l'absorption du cholestérol ; Liste I.</w:t>
      </w:r>
    </w:p>
    <w:p>
      <w:r>
        <w:t>L'ezetimibe est le premier représentant d'une classe pharmacologique originale, les inhibiteurs sélectifs de l'absorption intestinale du cholestérol. Il s'agit d'une molécule de synthèse agissant spécifiquement sur le transporteur NPC1L1 (Niemann-Pick C1-Like 1) exprimé à la bordure en brosse des entérocytes, bloquant l'absorption du cholestérol alimentaire et surtout biliaire (le cholestérol recyclé par cycle entéro-hépatique). Sa biodisponibilité est faible mais son métabolite actif ezetimibe-glucuronide (formé par glucuronoconjugaison hépatique intestinale) atteint des concentrations plasmatiques 10× supérieures et exerce l'essentiel de l'effet pharmacologique. La demi-vie d'élimination est d'environ 22 heures, autorisant une prise unique. L'ezetimibe réduit le LDL-C de 15–20 % en monothérapie, et de 15–25 % supplémentaires lorsqu'il est ajouté à une statine (effet additif, non synergique). Effet moindre sur les triglycérides (–5–10 %) et le HDL-C (+ 1–3 %). Étude pivots : ENHANCE (2008, effet sur IMT carotidien — résultat neutre mais critiqué), IMPROVE-IT (2015, effet sur événements CV — positif, première démonstration d'un bénéfice CV d'un non-statine). Excellent profil de tolérance (comparable au placebo), autorisant son emploi large notamment en cas d'intolérance aux statines.</w:t>
      </w:r>
    </w:p>
    <w:p>
      <w:r/>
      <w:r>
        <w:rPr>
          <w:b/>
        </w:rPr>
        <w:t>Médicaments disponibles en Algérie (Marques, Laboratoires, Formes et Dosages) :</w:t>
      </w:r>
      <w:r/>
    </w:p>
    <w:p>
      <w:pPr>
        <w:pStyle w:val="ListBullet"/>
      </w:pPr>
      <w:r/>
      <w:r>
        <w:rPr>
          <w:b/>
        </w:rPr>
        <w:t>EZETROL</w:t>
      </w:r>
      <w:r>
        <w:t xml:space="preserve"> (MERCK SHARP &amp; DOHME LIMITED) — Comprimé 10 mg, B/30 — Statut : Actif</w:t>
      </w:r>
    </w:p>
    <w:p>
      <w:pPr>
        <w:pStyle w:val="ListBullet"/>
      </w:pPr>
      <w:r/>
      <w:r>
        <w:rPr>
          <w:b/>
        </w:rPr>
        <w:t>METAZID</w:t>
      </w:r>
      <w:r>
        <w:t xml:space="preserve"> (BIOPHARM) — Comprimé 10 mg, B/30 — Statut : Actif</w:t>
      </w:r>
    </w:p>
    <w:p>
      <w:r/>
      <w:r>
        <w:rPr>
          <w:b/>
        </w:rPr>
        <w:t>Sous-classe et Mécanisme d'action :</w:t>
      </w:r>
      <w:r/>
    </w:p>
    <w:p>
      <w:pPr>
        <w:pStyle w:val="ListBullet"/>
      </w:pPr>
      <w:r>
        <w:t>Sous-classe : Inhibiteur sélectif de l'absorption intestinale du cholestérol (anti-PCSK9-like pourvoyeur, ezetimibe est le seul représentant de sa classe).</w:t>
      </w:r>
    </w:p>
    <w:p>
      <w:pPr>
        <w:pStyle w:val="ListBullet"/>
      </w:pPr>
      <w:r>
        <w:t>Mécanisme d'action : l'ezetimibe se fixe sélectivement et réversiblement au transporteur NPC1L1 à la surface apicale des entérocytes du jéjunum, bloquant l'internalisation du cholestérol libre d'origine alimentaire et biliaire. La baisse de l'apport de cholestérol au foé induit une up-régulation compensatoire du LDL-R hépatique, augmentant la clairance du LDL-C circulant. L'ezetimibe n'affecte pas l'absorption des triglycérides, acides biliaires, hormones stéroïdes, vitamines liposolubles (à la différence des séquestrants biliaires). Métabolisme en ezetimibe-glucuronide actif (UGT1A1, UGT1A3). Élimination biliaire et rénale.</w:t>
      </w:r>
    </w:p>
    <w:p>
      <w:r/>
      <w:r>
        <w:rPr>
          <w:b/>
        </w:rPr>
        <w:t>Profil Pharmacologique :</w:t>
      </w:r>
      <w:r/>
    </w:p>
    <w:p>
      <w:pPr>
        <w:pStyle w:val="ListBullet"/>
      </w:pPr>
      <w:r>
        <w:t>Indications : hypercholestérolémie primitive (en monothérapie si intolérance aux statines, ou en association à une statine) ; hypercholestérolémie familiale homozygote (en association) ; dyslipidémie mixte (en association) ; prévention CV secondaire chez le coronarien avec cible LDL non atteinte sous statine (étude IMPROVE-IT) ; intolérance aux statines (myalgie, rhabdomyolyse, hépatotoxicité).</w:t>
      </w:r>
    </w:p>
    <w:p>
      <w:pPr>
        <w:pStyle w:val="ListBullet"/>
      </w:pPr>
      <w:r>
        <w:t>Contre-indications : hypersensibilité ; insuffisance hépatique sévère (en association avec statine) ; grossesse et allaitement (par précaution) ; association à une statine en cas de CI à la statine.</w:t>
      </w:r>
    </w:p>
    <w:p>
      <w:pPr>
        <w:pStyle w:val="ListBullet"/>
      </w:pPr>
      <w:r>
        <w:t>Effets Indésirables :</w:t>
      </w:r>
    </w:p>
    <w:p>
      <w:pPr>
        <w:pStyle w:val="ListBullet"/>
      </w:pPr>
      <w:r>
        <w:t>Digestifs (peu fréquents) : diarrhée, douleurs abdominales, dyspepsie, ballonnements.</w:t>
      </w:r>
    </w:p>
    <w:p>
      <w:pPr>
        <w:pStyle w:val="ListBullet"/>
      </w:pPr>
      <w:r>
        <w:t>Hépatiques : élévation transaminases (≤ 1 %, surtout en association avec statine), hépatite rare.</w:t>
      </w:r>
    </w:p>
    <w:p>
      <w:pPr>
        <w:pStyle w:val="ListBullet"/>
      </w:pPr>
      <w:r>
        <w:t>Musculaires : myalgie (≤ 2 %), rhabdomyolyse exceptionnelle.</w:t>
      </w:r>
    </w:p>
    <w:p>
      <w:pPr>
        <w:pStyle w:val="ListBullet"/>
      </w:pPr>
      <w:r>
        <w:t>Cutanés : rash, prurit.</w:t>
      </w:r>
    </w:p>
    <w:p>
      <w:pPr>
        <w:pStyle w:val="ListBullet"/>
      </w:pPr>
      <w:r>
        <w:t>Mesures biologiques : pas d'effet significatif sur vitamines liposolubles (A, D, E, K) à long terme.</w:t>
      </w:r>
    </w:p>
    <w:p>
      <w:r/>
      <w:r>
        <w:rPr>
          <w:b/>
        </w:rPr>
        <w:t>Prévention et Gestion des Effets Indésirables :</w:t>
      </w:r>
      <w:r/>
    </w:p>
    <w:p>
      <w:pPr>
        <w:pStyle w:val="ListBullet"/>
      </w:pPr>
      <w:r>
        <w:t>Mesures Préventives : bilan hépatique avant et à 3 mois (surtout en association avec statine) ; CPK si symptômes ; information du patient.</w:t>
      </w:r>
    </w:p>
    <w:p>
      <w:pPr>
        <w:pStyle w:val="ListBullet"/>
      </w:pPr>
      <w:r>
        <w:t>Conduite à Tenir : profil d'innocuité excellent, peu de conduite à tenir spécifique. Surveillance ALAT en cas d'association avec statine. Arrêt si hépatite avérée.</w:t>
      </w:r>
    </w:p>
    <w:p>
      <w:r/>
      <w:r>
        <w:rPr>
          <w:b/>
        </w:rPr>
        <w:t>Interactions Importantes :</w:t>
      </w:r>
      <w:r/>
    </w:p>
    <w:p>
      <w:pPr>
        <w:pStyle w:val="ListBullet"/>
      </w:pPr>
      <w:r/>
      <w:r>
        <w:rPr>
          <w:b/>
        </w:rPr>
        <w:t>Ezetimibe + Statine</w:t>
      </w:r>
      <w:r>
        <w:t xml:space="preserve"> : effet additif sur le LDL-C, surveillance hépatique.</w:t>
      </w:r>
    </w:p>
    <w:p>
      <w:pPr>
        <w:pStyle w:val="ListBullet"/>
      </w:pPr>
      <w:r/>
      <w:r>
        <w:rPr>
          <w:b/>
        </w:rPr>
        <w:t>Ezetimibe + Fibrates</w:t>
      </w:r>
      <w:r>
        <w:t xml:space="preserve"> : augmentation de l'ASC de l'ezetimibe (prudence), surveillance.</w:t>
      </w:r>
    </w:p>
    <w:p>
      <w:pPr>
        <w:pStyle w:val="ListBullet"/>
      </w:pPr>
      <w:r/>
      <w:r>
        <w:rPr>
          <w:b/>
        </w:rPr>
        <w:t>Ezetimibe + Cholestyramine</w:t>
      </w:r>
      <w:r>
        <w:t xml:space="preserve"> : diminution de la biodisponibilité de l'ezetimibe (séparer les prises de 2 h, prendre l'ezetimibe 2 h avant ou 4 h après la cholestyramine).</w:t>
      </w:r>
    </w:p>
    <w:p>
      <w:pPr>
        <w:pStyle w:val="ListBullet"/>
      </w:pPr>
      <w:r/>
      <w:r>
        <w:rPr>
          <w:b/>
        </w:rPr>
        <w:t>Ezetimibe + Ciclosporine</w:t>
      </w:r>
      <w:r>
        <w:t xml:space="preserve"> : multiplication par 3–12 de l'ASC de l'ezetimibe, surveillance ciclosporinémie.</w:t>
      </w:r>
    </w:p>
    <w:p>
      <w:pPr>
        <w:pStyle w:val="ListBullet"/>
      </w:pPr>
      <w:r/>
      <w:r>
        <w:rPr>
          <w:b/>
        </w:rPr>
        <w:t>Ezetimibe + Anticoagulants oraux (AVK)</w:t>
      </w:r>
      <w:r>
        <w:t xml:space="preserve"> : surveillance INR en raison d'un possible effet additif sur l'absorption.</w:t>
      </w:r>
    </w:p>
    <w:p>
      <w:r/>
      <w:r>
        <w:rPr>
          <w:b/>
        </w:rPr>
        <w:t>Grossesse et Allaitement :</w:t>
      </w:r>
      <w:r/>
    </w:p>
    <w:p>
      <w:pPr>
        <w:pStyle w:val="ListBullet"/>
      </w:pPr>
      <w:r>
        <w:t>Grossesse : à éviter par précaution (données limitées chez l'animal). La statine associée est, elle, CI absolue. En monothérapie, l'ezetimibe n'est pas recommandé pendant la grossesse. Recourir aux séquestrants biliaires si nécessaire.</w:t>
      </w:r>
    </w:p>
    <w:p>
      <w:pPr>
        <w:pStyle w:val="ListBullet"/>
      </w:pPr>
      <w:r>
        <w:t>Allaitement : à éviter (données insuffisantes).</w:t>
      </w:r>
    </w:p>
    <w:p>
      <w:pPr>
        <w:pStyle w:val="ListBullet"/>
      </w:pPr>
      <w:r>
        <w:t>Précisions : chez la femme en âge de procréer, prescription sous contraception efficace.</w:t>
      </w:r>
    </w:p>
    <w:p>
      <w:r/>
      <w:r>
        <w:rPr>
          <w:b/>
        </w:rPr>
        <w:t>Posologie et Mode d'administration (Standard) :</w:t>
      </w:r>
      <w:r/>
    </w:p>
    <w:p>
      <w:pPr>
        <w:pStyle w:val="ListBullet"/>
      </w:pPr>
      <w:r>
        <w:t>Adulte : 10 mg/j en une prise unique, en monothérapie ou en association avec une statine (sans adaptation de la statine).</w:t>
      </w:r>
    </w:p>
    <w:p>
      <w:pPr>
        <w:pStyle w:val="ListBullet"/>
      </w:pPr>
      <w:r>
        <w:t>Sujet âgé : pas d'adaptation.</w:t>
      </w:r>
    </w:p>
    <w:p>
      <w:pPr>
        <w:pStyle w:val="ListBullet"/>
      </w:pPr>
      <w:r>
        <w:t>Insuffisance rénale : pas d'adaptation.</w:t>
      </w:r>
    </w:p>
    <w:p>
      <w:pPr>
        <w:pStyle w:val="ListBullet"/>
      </w:pPr>
      <w:r>
        <w:t>Insuffisance hépatique légère (Child-Pugh A) : pas d'adaptation. Modérée à sévère : non recommandé.</w:t>
      </w:r>
    </w:p>
    <w:p>
      <w:pPr>
        <w:pStyle w:val="ListBullet"/>
      </w:pPr>
      <w:r>
        <w:t>Durée : au long cours.</w:t>
      </w:r>
    </w:p>
    <w:p>
      <w:pPr>
        <w:pStyle w:val="ListBullet"/>
      </w:pPr>
      <w:r>
        <w:t>Moment de prise : à tout moment de la journée, à heure fixe, en dehors ou pendant les repas.</w:t>
      </w:r>
    </w:p>
    <w:p>
      <w:r/>
      <w:r>
        <w:rPr>
          <w:b/>
        </w:rPr>
        <w:t>Arbitrage et Bénéfices des Formes Galéniques :</w:t>
      </w:r>
      <w:r/>
    </w:p>
    <w:p>
      <w:r>
        <w:t>Forme comprimé 10 mg unique, simplifiant l'observance. Disponible sous 2 marques en Algérie (EZETROL princeps, METAZID générique). Souvent prescrit en association fixe avec la simvastatine (INEGY) pour les patients nécessitant une bithérapie.</w:t>
      </w:r>
    </w:p>
    <w:p>
      <w:r/>
      <w:r>
        <w:rPr>
          <w:b/>
        </w:rPr>
        <w:t>Instructions et Conseils au Patient :</w:t>
      </w:r>
      <w:r/>
    </w:p>
    <w:p>
      <w:pPr>
        <w:pStyle w:val="ListBullet"/>
      </w:pPr>
      <w:r>
        <w:t>Communication au comptoir : « Ce médicament bloque l'absorption du cholestérol dans l'intestin. Il complète l'action de votre statine. Prenez-le une fois par jour, à heure fixe. Très bien toléré. Prévenez votre médecin si vous avez des douleurs musculaires ou une fatigue inexpliquée. Ne l'arrêtez pas seul. »</w:t>
      </w:r>
    </w:p>
    <w:p>
      <w:pPr>
        <w:pStyle w:val="ListBullet"/>
      </w:pPr>
      <w:r>
        <w:t>Mode d'utilisation pratique : avaler avec un verre d'eau, à tout moment. Oubli : ne pas doubler.</w:t>
      </w:r>
    </w:p>
    <w:p>
      <w:r/>
      <w:r>
        <w:rPr>
          <w:b/>
        </w:rPr>
        <w:t>Notes, Règles d'Or &amp; Pièges au Comptoir :</w:t>
      </w:r>
      <w:r/>
    </w:p>
    <w:p>
      <w:pPr>
        <w:pStyle w:val="ListBullet"/>
      </w:pPr>
      <w:r>
        <w:t>Piège classique : patient sous cholestyramine. Séparer les prises de 2 h minimum.</w:t>
      </w:r>
    </w:p>
    <w:p>
      <w:pPr>
        <w:pStyle w:val="ListBullet"/>
      </w:pPr>
      <w:r>
        <w:t>Piège classique : patient sous ciclosporine transplanté. Surveillance.</w:t>
      </w:r>
    </w:p>
    <w:p>
      <w:pPr>
        <w:pStyle w:val="ListBullet"/>
      </w:pPr>
      <w:r>
        <w:t>Règle de prise : une prise/j, à heure fixe.</w:t>
      </w:r>
    </w:p>
    <w:p>
      <w:pPr>
        <w:pStyle w:val="ListBullet"/>
      </w:pPr>
      <w:r>
        <w:t>Préparation et Conservation : &lt; 25 °C, à l'abri de l'humidité.</w:t>
      </w:r>
    </w:p>
    <w:p>
      <w:pPr>
        <w:pStyle w:val="ListBullet"/>
      </w:pPr>
      <w:r>
        <w:t>Piège du surdosage / Substitution : pas de dose supérieure à 10 mg. Au-delà, pas de gain d'efficacité.</w:t>
      </w:r>
    </w:p>
    <w:p>
      <w:pPr>
        <w:pStyle w:val="Heading3"/>
      </w:pPr>
      <w:r>
        <w:t>38.3.7 DCI : Ezetimibe + Simvastatine (Statine + Inhibiteur de l'absorption — Association fixe)</w:t>
      </w:r>
    </w:p>
    <w:p>
      <w:r/>
      <w:r>
        <w:rPr>
          <w:b/>
        </w:rPr>
        <w:t>Liste des Catégories :</w:t>
      </w:r>
      <w:r>
        <w:t xml:space="preserve"> Hypolipémiants — Statine + Inhibiteur de l'absorption ; Liste I.</w:t>
      </w:r>
    </w:p>
    <w:p>
      <w:r>
        <w:t>L'association fixe ezetimibe + simvastatine (INEGY) combine deux mécanismes complémentaires : inhibition de la synthèse hépatique du cholestérol (simvastatine, HMG-CoA réductase) et inhibition de l'absorption intestinale (ezetimibe, NPC1L1). L'objectif est d'atteindre des baisses de LDL-C supérieures à celles d'une statine seule, sans devoir monter à des doses maximales (qui augmentent le risque myotoxique). L'association 10 mg/40 mg produit une baisse de LDL-C d'environ 55 %, l'association 10 mg/80 mg atteint –60 %. Étude pivots : ENHANCE (2008), IMPROVE-IT (2015, réduction des événements CV vs simvastatine seule, –6,4 % RRR absolu à 7 ans), SHARP (insuffisance rénale chronique). L'association fixe simplifie l'observance et réduit le coût. La spécialité INEGY est actuellement retirée du marché algérien, mais la combinaison libre (prescription séparée) reste possible.</w:t>
      </w:r>
    </w:p>
    <w:p>
      <w:r/>
      <w:r>
        <w:rPr>
          <w:b/>
        </w:rPr>
        <w:t>Médicaments disponibles en Algérie (Marques, Laboratoires, Formes et Dosages) :</w:t>
      </w:r>
      <w:r/>
    </w:p>
    <w:p>
      <w:pPr>
        <w:pStyle w:val="ListBullet"/>
      </w:pPr>
      <w:r/>
      <w:r>
        <w:rPr>
          <w:b/>
        </w:rPr>
        <w:t>INEGY</w:t>
      </w:r>
      <w:r>
        <w:t xml:space="preserve"> (MERCK SHARP &amp; DOHME LIMITED) — Comprimé 10 mg/20 mg, B/30 — Statut : Retiré (R)</w:t>
      </w:r>
    </w:p>
    <w:p>
      <w:pPr>
        <w:pStyle w:val="ListBullet"/>
      </w:pPr>
      <w:r/>
      <w:r>
        <w:rPr>
          <w:b/>
        </w:rPr>
        <w:t>INEGY</w:t>
      </w:r>
      <w:r>
        <w:t xml:space="preserve"> (MERCK SHARP &amp; DOHME LIMITED) — Comprimé 10 mg/40 mg, B/30 — Statut : Retiré (R)</w:t>
      </w:r>
    </w:p>
    <w:p>
      <w:r/>
      <w:r>
        <w:rPr>
          <w:b/>
        </w:rPr>
        <w:t>Sous-classe et Mécanisme d'action :</w:t>
      </w:r>
      <w:r/>
    </w:p>
    <w:p>
      <w:pPr>
        <w:pStyle w:val="ListBullet"/>
      </w:pPr>
      <w:r>
        <w:t>Sous-classe : Association fixe d'une statine (simvastatine) et d'un inhibiteur de l'absorption intestinale (ezetimibe). Association de mécanismes complémentaires.</w:t>
      </w:r>
    </w:p>
    <w:p>
      <w:pPr>
        <w:pStyle w:val="ListBullet"/>
      </w:pPr>
      <w:r>
        <w:t>Mécanisme d'action : double inhibition simultanée de la synthèse hépatique (simvastatine → HMG-CoA réductase) et de l'absorption intestinale (ezetimibe → NPC1L1) du cholestérol. Effet additif (et non synergique) sur le LDL-C. Baisse du LDL-C supérieure de 15–20 % par rapport à la statine seule à dose équivalente. Bénéfice CV démontré dans IMPROVE-IT (1er essai d'un non-statine vs statine seul montrant un bénéfice supplémentaire).</w:t>
      </w:r>
    </w:p>
    <w:p>
      <w:r/>
      <w:r>
        <w:rPr>
          <w:b/>
        </w:rPr>
        <w:t>Profil Pharmacologique :</w:t>
      </w:r>
      <w:r/>
    </w:p>
    <w:p>
      <w:pPr>
        <w:pStyle w:val="ListBullet"/>
      </w:pPr>
      <w:r>
        <w:t>Indications : hypercholestérolémie primitive non contrôlée par une statine seule ; hypercholestérolémie familiale hétérozygote ; hypercholestérolémie familiale homozygote (en association à un traitement complémentaire comme aphérèse LDL) ; dyslipidémie mixte ; prévention CV secondaire (post-IDM, post-AVC) avec cible LDL non atteinte ; insuffisance rénale chronique (étude SHARP).</w:t>
      </w:r>
    </w:p>
    <w:p>
      <w:pPr>
        <w:pStyle w:val="ListBullet"/>
      </w:pPr>
      <w:r>
        <w:t>Contre-indications : hypersensibilité à l'un des composants ; hépatopathie active ; grossesse, allaitement ; association à itraconazole, kétoconazole, inhibiteurs de protéase VIH, clarithromycine, télithromycine, néfazodone, cobicistat ; traitement concomitant par ciclosporine, danazol, gemfibrozil, cyclosporine ; dose de simvastatine &gt; 20 mg sous amiodarone ou vérapamil.</w:t>
      </w:r>
    </w:p>
    <w:p>
      <w:pPr>
        <w:pStyle w:val="ListBullet"/>
      </w:pPr>
      <w:r>
        <w:t>Effets Indésirables :</w:t>
      </w:r>
    </w:p>
    <w:p>
      <w:pPr>
        <w:pStyle w:val="ListBullet"/>
      </w:pPr>
      <w:r>
        <w:t>Musculaires : myalgie (5–8 %), élévation CPK, rhabdomyolyse rare. Profil identique à la simvastatine.</w:t>
      </w:r>
    </w:p>
    <w:p>
      <w:pPr>
        <w:pStyle w:val="ListBullet"/>
      </w:pPr>
      <w:r>
        <w:t>Hépatiques : élévation transaminases (1–3 %), surveillance renforcée.</w:t>
      </w:r>
    </w:p>
    <w:p>
      <w:pPr>
        <w:pStyle w:val="ListBullet"/>
      </w:pPr>
      <w:r>
        <w:t>Digestifs : constipation, nausées, diarrhée (imputable à l'ezetimibe).</w:t>
      </w:r>
    </w:p>
    <w:p>
      <w:pPr>
        <w:pStyle w:val="ListBullet"/>
      </w:pPr>
      <w:r>
        <w:t>Métaboliques : effet classe (diabète incident).</w:t>
      </w:r>
    </w:p>
    <w:p>
      <w:pPr>
        <w:pStyle w:val="ListBullet"/>
      </w:pPr>
      <w:r>
        <w:t>Cutanés : rash.</w:t>
      </w:r>
    </w:p>
    <w:p>
      <w:r/>
      <w:r>
        <w:rPr>
          <w:b/>
        </w:rPr>
        <w:t>Prévention et Gestion des Effets Indésirables :</w:t>
      </w:r>
      <w:r/>
    </w:p>
    <w:p>
      <w:pPr>
        <w:pStyle w:val="ListBullet"/>
      </w:pPr>
      <w:r>
        <w:t>Mesures Préventives : bilan hépatique avant, à 3 mois puis annuel ; CPK avant traitement et si symptômes ; information patient (myalgie, urines foncées, pamplemousse, interactions) ; prudence en cas d'association à amiodarone, vérapamil, amlodipine (dose simva ≤ 20 mg/j).</w:t>
      </w:r>
    </w:p>
    <w:p>
      <w:pPr>
        <w:pStyle w:val="ListBullet"/>
      </w:pPr>
      <w:r>
        <w:t>Conduite à Tenir : identique à la simvastatine seule (arrêt si CPK &gt; 10 × LSN, ALAT &gt; 3 × LSN).</w:t>
      </w:r>
    </w:p>
    <w:p>
      <w:r/>
      <w:r>
        <w:rPr>
          <w:b/>
        </w:rPr>
        <w:t>Interactions Importantes :</w:t>
      </w:r>
      <w:r/>
    </w:p>
    <w:p>
      <w:pPr>
        <w:pStyle w:val="ListBullet"/>
      </w:pPr>
      <w:r>
        <w:t>Toutes les interactions de la simvastatine s'appliquent à INEGY (CYP3A4).</w:t>
      </w:r>
    </w:p>
    <w:p>
      <w:pPr>
        <w:pStyle w:val="ListBullet"/>
      </w:pPr>
      <w:r/>
      <w:r>
        <w:rPr>
          <w:b/>
        </w:rPr>
        <w:t>INEGY + Azolés, Macrolides, Inhibiteurs protéase</w:t>
      </w:r>
      <w:r>
        <w:t xml:space="preserve"> : CI absolue.</w:t>
      </w:r>
    </w:p>
    <w:p>
      <w:pPr>
        <w:pStyle w:val="ListBullet"/>
      </w:pPr>
      <w:r/>
      <w:r>
        <w:rPr>
          <w:b/>
        </w:rPr>
        <w:t>INEGY + Amiodarone, Vérapamil</w:t>
      </w:r>
      <w:r>
        <w:t xml:space="preserve"> : dose max simvastatine 20 mg/j (utiliser INEGY 10/20).</w:t>
      </w:r>
    </w:p>
    <w:p>
      <w:pPr>
        <w:pStyle w:val="ListBullet"/>
      </w:pPr>
      <w:r/>
      <w:r>
        <w:rPr>
          <w:b/>
        </w:rPr>
        <w:t>INEGY + Amlodipine, Diltiazem, Dronédarone</w:t>
      </w:r>
      <w:r>
        <w:t xml:space="preserve"> : dose max simvastatine 10 mg/j (INEGY 10/20 ne convient pas — recourir à prises séparées avec simvastatine 10 mg + ezetimibe 10 mg).</w:t>
      </w:r>
    </w:p>
    <w:p>
      <w:pPr>
        <w:pStyle w:val="ListBullet"/>
      </w:pPr>
      <w:r/>
      <w:r>
        <w:rPr>
          <w:b/>
        </w:rPr>
        <w:t>INEGY + Gemfibrozil</w:t>
      </w:r>
      <w:r>
        <w:t xml:space="preserve"> : CI absolue. Fénofibrate possible sous surveillance CPK.</w:t>
      </w:r>
    </w:p>
    <w:p>
      <w:pPr>
        <w:pStyle w:val="ListBullet"/>
      </w:pPr>
      <w:r/>
      <w:r>
        <w:rPr>
          <w:b/>
        </w:rPr>
        <w:t>INEGY + Ciclosporine</w:t>
      </w:r>
      <w:r>
        <w:t xml:space="preserve"> : CI absolue.</w:t>
      </w:r>
    </w:p>
    <w:p>
      <w:pPr>
        <w:pStyle w:val="ListBullet"/>
      </w:pPr>
      <w:r/>
      <w:r>
        <w:rPr>
          <w:b/>
        </w:rPr>
        <w:t>INEGY + Pamplemousse</w:t>
      </w:r>
      <w:r>
        <w:t xml:space="preserve"> : à proscrire.</w:t>
      </w:r>
    </w:p>
    <w:p>
      <w:pPr>
        <w:pStyle w:val="ListBullet"/>
      </w:pPr>
      <w:r/>
      <w:r>
        <w:rPr>
          <w:b/>
        </w:rPr>
        <w:t>INEGY + Warfarine</w:t>
      </w:r>
      <w:r>
        <w:t xml:space="preserve"> : majoration INR.</w:t>
      </w:r>
    </w:p>
    <w:p>
      <w:r/>
      <w:r>
        <w:rPr>
          <w:b/>
        </w:rPr>
        <w:t>Grossesse et Allaitement :</w:t>
      </w:r>
      <w:r/>
    </w:p>
    <w:p>
      <w:pPr>
        <w:pStyle w:val="ListBullet"/>
      </w:pPr>
      <w:r>
        <w:t>Grossesse : CI absolue (teratogénicité de la simvastatine). Contraception efficace.</w:t>
      </w:r>
    </w:p>
    <w:p>
      <w:pPr>
        <w:pStyle w:val="ListBullet"/>
      </w:pPr>
      <w:r>
        <w:t>Allaitement : CI absolue.</w:t>
      </w:r>
    </w:p>
    <w:p>
      <w:pPr>
        <w:pStyle w:val="ListBullet"/>
      </w:pPr>
      <w:r>
        <w:t>Précisions : dépistage de grossesse avant instauration.</w:t>
      </w:r>
    </w:p>
    <w:p>
      <w:r/>
      <w:r>
        <w:rPr>
          <w:b/>
        </w:rPr>
        <w:t>Posologie et Mode d'administration (Standard) :</w:t>
      </w:r>
      <w:r/>
    </w:p>
    <w:p>
      <w:pPr>
        <w:pStyle w:val="ListBullet"/>
      </w:pPr>
      <w:r>
        <w:t>Adulte : dose usuelle 10 mg/20 mg (1 cp/j le soir), dose max 10 mg/80 mg/j le soir. En cas de passage d'une statine seule à INEGY, adapter à la dose de statine antérieure.</w:t>
      </w:r>
    </w:p>
    <w:p>
      <w:pPr>
        <w:pStyle w:val="ListBullet"/>
      </w:pPr>
      <w:r>
        <w:t>Sujet âgé : pas d'adaptation, prudence.</w:t>
      </w:r>
    </w:p>
    <w:p>
      <w:pPr>
        <w:pStyle w:val="ListBullet"/>
      </w:pPr>
      <w:r>
        <w:t>Insuffisance rénale modérée : pas d'adaptation. Insuffisance sévère (ClCr &lt; 30) : dose max 10/40 mg/j.</w:t>
      </w:r>
    </w:p>
    <w:p>
      <w:pPr>
        <w:pStyle w:val="ListBullet"/>
      </w:pPr>
      <w:r>
        <w:t>Insuffisance hépatique : CI si hépatopathie active. Child-Pugh A : prudence, Child-Pugh B–C : CI.</w:t>
      </w:r>
    </w:p>
    <w:p>
      <w:pPr>
        <w:pStyle w:val="ListBullet"/>
      </w:pPr>
      <w:r>
        <w:t>Durée : au long cours.</w:t>
      </w:r>
    </w:p>
    <w:p>
      <w:pPr>
        <w:pStyle w:val="ListBullet"/>
      </w:pPr>
      <w:r>
        <w:t>Moment de prise : prise unique le soir (compte tenu de la présence de simvastatine).</w:t>
      </w:r>
    </w:p>
    <w:p>
      <w:r/>
      <w:r>
        <w:rPr>
          <w:b/>
        </w:rPr>
        <w:t>Arbitrage et Bénéfices des Formes Galéniques :</w:t>
      </w:r>
      <w:r/>
    </w:p>
    <w:p>
      <w:r>
        <w:t>Forme comprimé 10 mg/20 mg et 10 mg/40 mg. Bénéfice observé : simplification de l'observance (1 comprimé vs 2). Inconvénient : moindre flexibilité d'ajustement de la statine (surtout si interaction amiodarone/amlodipine limitant la simvastatine à 10 mg/j — INEGY n'existe pas en 10/10). Actuellement retiré en Algérie, mais la combinaison libre (simvastatine + ezetimibe séparés) reste possible et largement utilisée.</w:t>
      </w:r>
    </w:p>
    <w:p>
      <w:r/>
      <w:r>
        <w:rPr>
          <w:b/>
        </w:rPr>
        <w:t>Instructions et Conseils au Patient :</w:t>
      </w:r>
      <w:r/>
    </w:p>
    <w:p>
      <w:pPr>
        <w:pStyle w:val="ListBullet"/>
      </w:pPr>
      <w:r>
        <w:t>Communication au comptoir : « Ce médicament combine deux actions : il bloque la fabrication du cholestérol par le foé et son absorption par l'intestin. Prenez-le le soir à heure fixe. Évitez le pamplemousse. Prévenez votre médecin si douleurs musculaires, urines foncées, jaunisse, fatigue. Faites vos bilans régulièrement. Ne l'arrêtez pas seul. »</w:t>
      </w:r>
    </w:p>
    <w:p>
      <w:pPr>
        <w:pStyle w:val="ListBullet"/>
      </w:pPr>
      <w:r>
        <w:t>Mode d'utilisation pratique : avaler avec un verre d'eau le soir. Oubli : ne pas doubler.</w:t>
      </w:r>
    </w:p>
    <w:p>
      <w:r/>
      <w:r>
        <w:rPr>
          <w:b/>
        </w:rPr>
        <w:t>Notes, Règles d'Or &amp; Pièges au Comptoir :</w:t>
      </w:r>
      <w:r/>
    </w:p>
    <w:p>
      <w:pPr>
        <w:pStyle w:val="ListBullet"/>
      </w:pPr>
      <w:r>
        <w:t>Piège classique : patient à qui on délivre clarithromycine ou itraconazole. Suspendre INEGY pendant la durée du traitement.</w:t>
      </w:r>
    </w:p>
    <w:p>
      <w:pPr>
        <w:pStyle w:val="ListBullet"/>
      </w:pPr>
      <w:r>
        <w:t>Piège classique : association INEGY + amiodarone. Limiter à INEGY 10/20.</w:t>
      </w:r>
    </w:p>
    <w:p>
      <w:pPr>
        <w:pStyle w:val="ListBullet"/>
      </w:pPr>
      <w:r>
        <w:t>Piège classique : patient sous amlodipine. La dose max de simvastatine est 10 mg/j — INEGY 10/20 et 10/40 ne conviennent pas. Recourir à prises séparées.</w:t>
      </w:r>
    </w:p>
    <w:p>
      <w:pPr>
        <w:pStyle w:val="ListBullet"/>
      </w:pPr>
      <w:r>
        <w:t>Règle de prise : le soir, à heure fixe, à vie.</w:t>
      </w:r>
    </w:p>
    <w:p>
      <w:pPr>
        <w:pStyle w:val="ListBullet"/>
      </w:pPr>
      <w:r>
        <w:t>Préparation et Conservation : &lt; 25 °C, à l'abri de l'humidité.</w:t>
      </w:r>
    </w:p>
    <w:p>
      <w:pPr>
        <w:pStyle w:val="ListBullet"/>
      </w:pPr>
      <w:r>
        <w:t>Piège du surdosage / Substitution : en cas de retrait d'INEGY, substituer par simvastatine + ezetimibe en comprimés séparés, à posologie équivalente.</w:t>
      </w:r>
    </w:p>
    <w:p>
      <w:pPr>
        <w:pStyle w:val="Heading3"/>
      </w:pPr>
      <w:r>
        <w:t>38.3.8 DCI : Fénofibrate (Fibrate — Monothérapie)</w:t>
      </w:r>
    </w:p>
    <w:p>
      <w:r/>
      <w:r>
        <w:rPr>
          <w:b/>
        </w:rPr>
        <w:t>Liste des Catégories :</w:t>
      </w:r>
      <w:r>
        <w:t xml:space="preserve"> Hypolipémiants — Fibrates ; Liste I / Liste II selon la forme.</w:t>
      </w:r>
    </w:p>
    <w:p>
      <w:r>
        <w:t>Le fénofibrate est un fibrate de 3e génération (isopropyl ester de l'acide fénofibrique), prodrogue hydrolysée in vivo en acide fénofibrique actif. C'est un agoniste sélectif du récepteur nucléaire PPAR-α (Peroxisome Proliferator-Activated Receptor alpha) exprimé principalement dans le foie, le cœur, le muscle et le rein. Son activation augmente l'expression de la lipoprotéine lipase (LPL), diminue l'apoC-III (inhibiteur physiologique de la LPL), stimule la β-oxydation des acides gras hépatiques et diminue la synthèse des VLDL. Effets : baisse des triglycérides de 30–50 %, baisse du LDL-C modeste (5–20 %), augmentation du HDL-C de 10–20 %. Particularité : conversion du LDL petit-dense (athérogène) vers le LDL plus volumineux (moins athérogène). Études pivots : FIELD (2005, diabétiques — résultat neutre sur critère principal, bénéfice secondaire), ACCORD-Lipid (2010, ajout au simvastatine chez diabétique — pas de bénéfice global, mais sous-groupe dyslipidémie mixte favorable). Sa place est aujourd'hui limitée à l'hypertriglycéridémie sévère (&gt; 5,6 mmol/L) à risque de pancréatite, et à la dyslipidémie mixte résiduelle sous statine avec triglycérides élevés et HDL bas.</w:t>
      </w:r>
    </w:p>
    <w:p>
      <w:r/>
      <w:r>
        <w:rPr>
          <w:b/>
        </w:rPr>
        <w:t>Médicaments disponibles en Algérie (Marques, Laboratoires, Formes et Dosages) :</w:t>
      </w:r>
      <w:r/>
    </w:p>
    <w:p>
      <w:r>
        <w:t>Forme gélule 200 mg (micronisée) :</w:t>
      </w:r>
    </w:p>
    <w:p>
      <w:pPr>
        <w:pStyle w:val="ListBullet"/>
      </w:pPr>
      <w:r/>
      <w:r>
        <w:rPr>
          <w:b/>
        </w:rPr>
        <w:t>FENOFIBRATE HUP</w:t>
      </w:r>
      <w:r>
        <w:t xml:space="preserve"> (HUPP PHARMA) — Gélule 200 mg, B/30 — Statut : Actif (Liste II)</w:t>
      </w:r>
    </w:p>
    <w:p>
      <w:pPr>
        <w:pStyle w:val="ListBullet"/>
      </w:pPr>
      <w:r/>
      <w:r>
        <w:rPr>
          <w:b/>
        </w:rPr>
        <w:t>LIPOCARD</w:t>
      </w:r>
      <w:r>
        <w:t xml:space="preserve"> (GROUPE SAIDAL) — Gélule 200 mg, B/30 — Statut : Actif (Liste II)</w:t>
      </w:r>
    </w:p>
    <w:p>
      <w:pPr>
        <w:pStyle w:val="ListBullet"/>
      </w:pPr>
      <w:r/>
      <w:r>
        <w:rPr>
          <w:b/>
        </w:rPr>
        <w:t>LIPOFIBRATE</w:t>
      </w:r>
      <w:r>
        <w:t xml:space="preserve"> (FRATER-RAZES FORME SECHE) — Gélule 200 mg, B/30 — Statut : Actif (Liste II)</w:t>
      </w:r>
    </w:p>
    <w:p>
      <w:pPr>
        <w:pStyle w:val="ListBullet"/>
      </w:pPr>
      <w:r/>
      <w:r>
        <w:rPr>
          <w:b/>
        </w:rPr>
        <w:t>FENOFIBRATE IVAL</w:t>
      </w:r>
      <w:r>
        <w:t xml:space="preserve"> (PHARMA IVAL) — Gélule 200 mg, B/30 — Statut : Non Renouvelable (Liste II)</w:t>
      </w:r>
    </w:p>
    <w:p>
      <w:pPr>
        <w:pStyle w:val="ListBullet"/>
      </w:pPr>
      <w:r/>
      <w:r>
        <w:rPr>
          <w:b/>
        </w:rPr>
        <w:t>LIPOCARD 140</w:t>
      </w:r>
      <w:r>
        <w:t xml:space="preserve"> (SAIDAL) — Gélule 140 mg, B/30 — Statut : Non Renouvelable (Liste II)</w:t>
      </w:r>
    </w:p>
    <w:p>
      <w:pPr>
        <w:pStyle w:val="ListBullet"/>
      </w:pPr>
      <w:r/>
      <w:r>
        <w:rPr>
          <w:b/>
        </w:rPr>
        <w:t>FENOFIBRATE MERCK</w:t>
      </w:r>
      <w:r>
        <w:t xml:space="preserve"> (MERCK GENERIQUES) — Gélule 200 mg, B/30 — Statut : Retiré (R) (Liste II)</w:t>
      </w:r>
    </w:p>
    <w:p>
      <w:pPr>
        <w:pStyle w:val="ListBullet"/>
      </w:pPr>
      <w:r/>
      <w:r>
        <w:rPr>
          <w:b/>
        </w:rPr>
        <w:t>LIPANTHYL</w:t>
      </w:r>
      <w:r>
        <w:t xml:space="preserve"> (FOURNIER) — Gélule micronisée 200 mg, B/30 — Statut : Retiré (R) (Liste II)</w:t>
      </w:r>
    </w:p>
    <w:p>
      <w:pPr>
        <w:pStyle w:val="ListBullet"/>
      </w:pPr>
      <w:r/>
      <w:r>
        <w:rPr>
          <w:b/>
        </w:rPr>
        <w:t>FENOGAL</w:t>
      </w:r>
      <w:r>
        <w:t xml:space="preserve"> (SMB LABORATOIRES) — Gélule 200 mg, B/30 — Statut : Retiré (R) (Liste II)</w:t>
      </w:r>
    </w:p>
    <w:p>
      <w:pPr>
        <w:pStyle w:val="ListBullet"/>
      </w:pPr>
      <w:r/>
      <w:r>
        <w:rPr>
          <w:b/>
        </w:rPr>
        <w:t>LIPOFEN</w:t>
      </w:r>
      <w:r>
        <w:t xml:space="preserve"> (PHARMALLIANCE) — Gélule 250 mg, B/30 — Statut : Retiré (R) (Liste II)</w:t>
      </w:r>
    </w:p>
    <w:p>
      <w:r>
        <w:t>Forme microgranules / comprimé 160 mg :</w:t>
      </w:r>
    </w:p>
    <w:p>
      <w:pPr>
        <w:pStyle w:val="ListBullet"/>
      </w:pPr>
      <w:r/>
      <w:r>
        <w:rPr>
          <w:b/>
        </w:rPr>
        <w:t>FENATE</w:t>
      </w:r>
      <w:r>
        <w:t xml:space="preserve"> (ZIM LABORATOIRES) — Microgranule en gélule 160 mg, B/30 — Statut : Actif (Liste I)</w:t>
      </w:r>
    </w:p>
    <w:p>
      <w:pPr>
        <w:pStyle w:val="ListBullet"/>
      </w:pPr>
      <w:r/>
      <w:r>
        <w:rPr>
          <w:b/>
        </w:rPr>
        <w:t>FENATHYL LP</w:t>
      </w:r>
      <w:r>
        <w:t xml:space="preserve"> (EL KENDI) — Microgranules LP en gélule 160 mg, B/30 — Statut : Actif (Liste II)</w:t>
      </w:r>
    </w:p>
    <w:p>
      <w:pPr>
        <w:pStyle w:val="ListBullet"/>
      </w:pPr>
      <w:r/>
      <w:r>
        <w:rPr>
          <w:b/>
        </w:rPr>
        <w:t>FENOFIBRATE MM</w:t>
      </w:r>
      <w:r>
        <w:t xml:space="preserve"> (LABORATOIRES MM) — Comprimé pelliculé 160 mg, B/30 — Statut : Actif (Liste II)</w:t>
      </w:r>
    </w:p>
    <w:p>
      <w:pPr>
        <w:pStyle w:val="ListBullet"/>
      </w:pPr>
      <w:r/>
      <w:r>
        <w:rPr>
          <w:b/>
        </w:rPr>
        <w:t>FENOFIBRATE PHYSIOPHARM</w:t>
      </w:r>
      <w:r>
        <w:t xml:space="preserve"> (PHYSIOPHARM) — Comprimé pelliculé 160 mg, B/30 — Statut : Actif (Liste II)</w:t>
      </w:r>
    </w:p>
    <w:p>
      <w:pPr>
        <w:pStyle w:val="ListBullet"/>
      </w:pPr>
      <w:r/>
      <w:r>
        <w:rPr>
          <w:b/>
        </w:rPr>
        <w:t>LIPANTHYL</w:t>
      </w:r>
      <w:r>
        <w:t xml:space="preserve"> (VIA TRIS MEDICAL) — Comprimé pelliculé 160 mg, B/30 — Statut : Actif (Liste II)</w:t>
      </w:r>
    </w:p>
    <w:p>
      <w:r/>
      <w:r>
        <w:rPr>
          <w:b/>
        </w:rPr>
        <w:t>Sous-classe et Mécanisme d'action :</w:t>
      </w:r>
      <w:r/>
    </w:p>
    <w:p>
      <w:pPr>
        <w:pStyle w:val="ListBullet"/>
      </w:pPr>
      <w:r>
        <w:t>Sous-classe : Fibrate (agoniste PPAR-α).</w:t>
      </w:r>
    </w:p>
    <w:p>
      <w:pPr>
        <w:pStyle w:val="ListBullet"/>
      </w:pPr>
      <w:r>
        <w:t>Mécanisme d'action : le fénofibrate (prodrogue) est hydrolysé par des estérases tissulaires en acide fénofibrique, agoniste sélectif du récepteur nucléaire PPAR-α. PPAR-α forme un hétérodimère avec RXR (9-cis rétinoïque acide récepteur), se lie à des éléments de réponse (PPRE) dans les régions promotrices de gènes cibles. Effets transcriptionnels :</w:t>
      </w:r>
    </w:p>
    <w:p>
      <w:pPr>
        <w:pStyle w:val="ListBullet"/>
      </w:pPr>
      <w:r>
        <w:t>↑ Expression de la LPL (lipoprotéine lipase) endothéliale → catabolisme accru des triglycérides (chylomicrons, VLDL).</w:t>
      </w:r>
    </w:p>
    <w:p>
      <w:pPr>
        <w:pStyle w:val="ListBullet"/>
      </w:pPr>
      <w:r>
        <w:t>↓ Expression de l'apoC-III (inhibiteur physiologique de la LPL) → potentialisation de l'activité LPL.</w:t>
      </w:r>
    </w:p>
    <w:p>
      <w:pPr>
        <w:pStyle w:val="ListBullet"/>
      </w:pPr>
      <w:r>
        <w:t>↑ β-oxydation hépatique des acides gras → diminution de la synthèse des triglycérides.</w:t>
      </w:r>
    </w:p>
    <w:p>
      <w:pPr>
        <w:pStyle w:val="ListBullet"/>
      </w:pPr>
      <w:r>
        <w:t>↑ Expression de l'ApoA-I et ApoA-II → augmentation du HDL-C.</w:t>
      </w:r>
    </w:p>
    <w:p>
      <w:pPr>
        <w:pStyle w:val="ListBullet"/>
      </w:pPr>
      <w:r>
        <w:t>↓ Expression de la SREBP-1c → baisse de la lipogenèse hépatique.</w:t>
      </w:r>
    </w:p>
    <w:p>
      <w:pPr>
        <w:pStyle w:val="ListBullet"/>
      </w:pPr>
      <w:r>
        <w:t>Effets pléiotropes : anti-inflammatoire (baisse CRP, IL-6), amélioration endothéliale, effet anti-thrombotique (↓ fibrinogène, ↓ PAI-1), réduction de l'uricémie (effet uricosurique).</w:t>
      </w:r>
    </w:p>
    <w:p>
      <w:r/>
      <w:r>
        <w:rPr>
          <w:b/>
        </w:rPr>
        <w:t>Profil Pharmacologique :</w:t>
      </w:r>
      <w:r/>
    </w:p>
    <w:p>
      <w:pPr>
        <w:pStyle w:val="ListBullet"/>
      </w:pPr>
      <w:r>
        <w:t>Indications : hypertriglycéridémie sévère isolée (TG &gt; 5,6 mmol/L) à risque de pancréatite ; dyslipidémie mixte (type IIb) en complément de la statine si cible LDL atteinte mais triglycérides résiduels élevés (&gt; 2,3 mmol/L) et HDL bas ; dyslipidémie athérogène résiduelle chez le diabétique (LDL petit-dense).</w:t>
      </w:r>
    </w:p>
    <w:p>
      <w:pPr>
        <w:pStyle w:val="ListBullet"/>
      </w:pPr>
      <w:r>
        <w:t>Contre-indications : insuffisance hépatique sévère ; insuffisance rénale sévère ; lithiase biliaire (risque de choléstase) ; hypersensibilité ; photosensibilité ; grossesse, allaitement ; association avec le gemfibrozil ou un autre fibrate (CI absolue), avec l'acide fénofibrique en association à une statine chez le sujet âgé fragile.</w:t>
      </w:r>
    </w:p>
    <w:p>
      <w:pPr>
        <w:pStyle w:val="ListBullet"/>
      </w:pPr>
      <w:r>
        <w:t>Effets Indésirables :</w:t>
      </w:r>
    </w:p>
    <w:p>
      <w:pPr>
        <w:pStyle w:val="ListBullet"/>
      </w:pPr>
      <w:r>
        <w:t>Digestifs (fréquents) : dyspepsie, nausées, diarrhée, douleurs abdominales.</w:t>
      </w:r>
    </w:p>
    <w:p>
      <w:pPr>
        <w:pStyle w:val="ListBullet"/>
      </w:pPr>
      <w:r>
        <w:t>Musculaires : myalgie, élévation CPK, rhabdomyolyse (surtout en association avec statine, majoré si insuffisance rénale ou hypothyroïdie).</w:t>
      </w:r>
    </w:p>
    <w:p>
      <w:pPr>
        <w:pStyle w:val="ListBullet"/>
      </w:pPr>
      <w:r>
        <w:t>Hépatiques : élévation transaminases (5–10 %), hépatite cholestatique rare.</w:t>
      </w:r>
    </w:p>
    <w:p>
      <w:pPr>
        <w:pStyle w:val="ListBullet"/>
      </w:pPr>
      <w:r>
        <w:t>Rénaux : élévation reversible de la créatininémie (10–15 %), décroissance du DFG (à surveiller, surtout si IRC préexistante), exceptionnelle insuffisance rénale aiguë.</w:t>
      </w:r>
    </w:p>
    <w:p>
      <w:pPr>
        <w:pStyle w:val="ListBullet"/>
      </w:pPr>
      <w:r>
        <w:t>Biliaires : augmentation du risque de lithiase biliaire (cholestérol biliaire saturant).</w:t>
      </w:r>
    </w:p>
    <w:p>
      <w:pPr>
        <w:pStyle w:val="ListBullet"/>
      </w:pPr>
      <w:r>
        <w:t>Cutanés : rash, photosensibilité (UV, phototoxicité), exceptionnels syndromes de Stevens-Johnson ou de Lyell.</w:t>
      </w:r>
    </w:p>
    <w:p>
      <w:pPr>
        <w:pStyle w:val="ListBullet"/>
      </w:pPr>
      <w:r>
        <w:t>Hématologiques : baisse modérée de l'hémoglobine, leucopénie.</w:t>
      </w:r>
    </w:p>
    <w:p>
      <w:pPr>
        <w:pStyle w:val="ListBullet"/>
      </w:pPr>
      <w:r>
        <w:t>Respiratoires : exceptionnelle pneumopathie interstitielle (à évoquer en cas de dyspnée sèche).</w:t>
      </w:r>
    </w:p>
    <w:p>
      <w:pPr>
        <w:pStyle w:val="ListBullet"/>
      </w:pPr>
      <w:r>
        <w:t>Métaboliques : hausse de l'homocystéinémie.</w:t>
      </w:r>
    </w:p>
    <w:p>
      <w:r/>
      <w:r>
        <w:rPr>
          <w:b/>
        </w:rPr>
        <w:t>Prévention et Gestion des Effets Indésirables :</w:t>
      </w:r>
      <w:r/>
    </w:p>
    <w:p>
      <w:pPr>
        <w:pStyle w:val="ListBullet"/>
      </w:pPr>
      <w:r>
        <w:t>Mesures Préventives : bilan hépatique (ALAT/ASAT) et rénal (créatinine) avant traitement, à 3 mois puis annuel ; CPK avant et si symptômes ; information patient sur la photosensibilité (photoprotection solaire indispensable), la myalgie, les urines foncées ; prudence en cas d'association à une statine (surveillance hebdomadaire des CPK le 1er mois puis mensuelle 3 mois puis trimestrielle).</w:t>
      </w:r>
    </w:p>
    <w:p>
      <w:pPr>
        <w:pStyle w:val="ListBullet"/>
      </w:pPr>
      <w:r>
        <w:t>Conduite à Tenir :</w:t>
      </w:r>
    </w:p>
    <w:p>
      <w:pPr>
        <w:pStyle w:val="ListBullet"/>
      </w:pPr>
      <w:r>
        <w:t>ALAT &gt; 3 × LSN : arrêt.</w:t>
      </w:r>
    </w:p>
    <w:p>
      <w:pPr>
        <w:pStyle w:val="ListBullet"/>
      </w:pPr>
      <w:r>
        <w:t>Créatininémie augmentée &gt; 30 % : arrêt ou réduction dose.</w:t>
      </w:r>
    </w:p>
    <w:p>
      <w:pPr>
        <w:pStyle w:val="ListBullet"/>
      </w:pPr>
      <w:r>
        <w:t>CPK &gt; 5 × LSN sans symptôme : surveillance.</w:t>
      </w:r>
    </w:p>
    <w:p>
      <w:pPr>
        <w:pStyle w:val="ListBullet"/>
      </w:pPr>
      <w:r>
        <w:t>CPK &gt; 10 × LSN ou myalgie : arrêt immédiat.</w:t>
      </w:r>
    </w:p>
    <w:p>
      <w:pPr>
        <w:pStyle w:val="ListBullet"/>
      </w:pPr>
      <w:r>
        <w:t>Signes de lithiase biliaire : arrêt.</w:t>
      </w:r>
    </w:p>
    <w:p>
      <w:pPr>
        <w:pStyle w:val="ListBullet"/>
      </w:pPr>
      <w:r>
        <w:t>Dyspnée sèche inexpliquée : arrêt et imagerie thoracique (recherche pneumopathie interstitielle).</w:t>
      </w:r>
    </w:p>
    <w:p>
      <w:r/>
      <w:r>
        <w:rPr>
          <w:b/>
        </w:rPr>
        <w:t>Interactions Importantes :</w:t>
      </w:r>
      <w:r/>
    </w:p>
    <w:p>
      <w:pPr>
        <w:pStyle w:val="ListBullet"/>
      </w:pPr>
      <w:r/>
      <w:r>
        <w:rPr>
          <w:b/>
        </w:rPr>
        <w:t>Fénofibrate + Statines</w:t>
      </w:r>
      <w:r>
        <w:t xml:space="preserve"> : risque majoré de rhabdomyolyse (surtout simvastatine). Surveillance CPK étroite, pas d'association avec simvastatine à dose &gt; 20 mg ou avec gemfibrozil. Préférer pravastatine, fluvastatine ou rosuvastatine à dose modérée.</w:t>
      </w:r>
    </w:p>
    <w:p>
      <w:pPr>
        <w:pStyle w:val="ListBullet"/>
      </w:pPr>
      <w:r/>
      <w:r>
        <w:rPr>
          <w:b/>
        </w:rPr>
        <w:t>Fénofibrate + Gemfibrozil</w:t>
      </w:r>
      <w:r>
        <w:t xml:space="preserve"> : CI absolue.</w:t>
      </w:r>
    </w:p>
    <w:p>
      <w:pPr>
        <w:pStyle w:val="ListBullet"/>
      </w:pPr>
      <w:r/>
      <w:r>
        <w:rPr>
          <w:b/>
        </w:rPr>
        <w:t>Fénofibrate + Ciclosporine, Tacrolimus</w:t>
      </w:r>
      <w:r>
        <w:t xml:space="preserve"> : risque néphrotoxique majoré.</w:t>
      </w:r>
    </w:p>
    <w:p>
      <w:pPr>
        <w:pStyle w:val="ListBullet"/>
      </w:pPr>
      <w:r/>
      <w:r>
        <w:rPr>
          <w:b/>
        </w:rPr>
        <w:t>Fénofibrate + Anticoagulants oraux (AVK)</w:t>
      </w:r>
      <w:r>
        <w:t xml:space="preserve"> : potentialisation de l'effet anticoagulant (déplacement protéique), surveillance INR, réduction dose AVK de 1/3.</w:t>
      </w:r>
    </w:p>
    <w:p>
      <w:pPr>
        <w:pStyle w:val="ListBullet"/>
      </w:pPr>
      <w:r/>
      <w:r>
        <w:rPr>
          <w:b/>
        </w:rPr>
        <w:t>Fénofibrate + Sulfonylurées</w:t>
      </w:r>
      <w:r>
        <w:t xml:space="preserve"> : potentialisation de l'effet hypoglycémiant.</w:t>
      </w:r>
    </w:p>
    <w:p>
      <w:pPr>
        <w:pStyle w:val="ListBullet"/>
      </w:pPr>
      <w:r/>
      <w:r>
        <w:rPr>
          <w:b/>
        </w:rPr>
        <w:t>Fénofibrate + Statine</w:t>
      </w:r>
      <w:r>
        <w:t xml:space="preserve"> : préférer fénofibrate au gemfibrozil (profil de tolérance supérieur).</w:t>
      </w:r>
    </w:p>
    <w:p>
      <w:pPr>
        <w:pStyle w:val="ListBullet"/>
      </w:pPr>
      <w:r/>
      <w:r>
        <w:rPr>
          <w:b/>
        </w:rPr>
        <w:t>Fénofibrate + Colchicine</w:t>
      </w:r>
      <w:r>
        <w:t xml:space="preserve"> : risque de rhabdomyolyse.</w:t>
      </w:r>
    </w:p>
    <w:p>
      <w:pPr>
        <w:pStyle w:val="ListBullet"/>
      </w:pPr>
      <w:r/>
      <w:r>
        <w:rPr>
          <w:b/>
        </w:rPr>
        <w:t>Fénofibrate + Inhibiteurs de la vitamine K</w:t>
      </w:r>
      <w:r>
        <w:t xml:space="preserve"> : surveillance INR.</w:t>
      </w:r>
    </w:p>
    <w:p>
      <w:r/>
      <w:r>
        <w:rPr>
          <w:b/>
        </w:rPr>
        <w:t>Grossesse et Allaitement :</w:t>
      </w:r>
      <w:r/>
    </w:p>
    <w:p>
      <w:pPr>
        <w:pStyle w:val="ListBullet"/>
      </w:pPr>
      <w:r>
        <w:t>Grossesse : CI absolue (effets embryo-toxiques chez l'animal). Contraception efficace.</w:t>
      </w:r>
    </w:p>
    <w:p>
      <w:pPr>
        <w:pStyle w:val="ListBullet"/>
      </w:pPr>
      <w:r>
        <w:t>Allaitement : CI absolue.</w:t>
      </w:r>
    </w:p>
    <w:p>
      <w:pPr>
        <w:pStyle w:val="ListBullet"/>
      </w:pPr>
      <w:r>
        <w:t>Précisions : chez la femme en âge de procréer, prescription sous contraception.</w:t>
      </w:r>
    </w:p>
    <w:p>
      <w:r/>
      <w:r>
        <w:rPr>
          <w:b/>
        </w:rPr>
        <w:t>Posologie et Mode d'administration (Standard) :</w:t>
      </w:r>
      <w:r/>
    </w:p>
    <w:p>
      <w:pPr>
        <w:pStyle w:val="ListBullet"/>
      </w:pPr>
      <w:r>
        <w:t>Adulte : gélule 200 mg micronisée 1/j (soit 200 mg/j) ou comprimé 160 mg 1/j (soit 160 mg/j), à prendre pendant un repas (améliore l'absorption).</w:t>
      </w:r>
    </w:p>
    <w:p>
      <w:pPr>
        <w:pStyle w:val="ListBullet"/>
      </w:pPr>
      <w:r>
        <w:t>Sujet âgé : prudence, adaptation à la fonction rénale.</w:t>
      </w:r>
    </w:p>
    <w:p>
      <w:pPr>
        <w:pStyle w:val="ListBullet"/>
      </w:pPr>
      <w:r>
        <w:t>Insuffisance rénale modérée (ClCr 30–60) : dose réduite à 100 mg/j (gélule micronisée) ou 67 mg (comprimé). Sévère (ClCr &lt; 30) : CI.</w:t>
      </w:r>
    </w:p>
    <w:p>
      <w:pPr>
        <w:pStyle w:val="ListBullet"/>
      </w:pPr>
      <w:r>
        <w:t>Insuffisance hépatique : CI si sévère.</w:t>
      </w:r>
    </w:p>
    <w:p>
      <w:pPr>
        <w:pStyle w:val="ListBullet"/>
      </w:pPr>
      <w:r>
        <w:t>Durée : au long cours, réévaluation annuelle.</w:t>
      </w:r>
    </w:p>
    <w:p>
      <w:pPr>
        <w:pStyle w:val="ListBullet"/>
      </w:pPr>
      <w:r>
        <w:t>Moment de prise : pendant le repas (petit-déjeuner ou dîner), à heure fixe.</w:t>
      </w:r>
    </w:p>
    <w:p>
      <w:r/>
      <w:r>
        <w:rPr>
          <w:b/>
        </w:rPr>
        <w:t>Arbitrage et Bénéfices des Formes Galéniques :</w:t>
      </w:r>
      <w:r/>
    </w:p>
    <w:p>
      <w:r>
        <w:t>Forme gélule micronisée 200 mg (biodisponibilité optimisée), forme microgranule LP 160 mg (permet une dose unique avec libération prolongée), forme comprimé pelliculé 160 mg. La disponibilité d'une forme LP simplifie l'observance. En Algérie, le princeps Lipanthyl est disponible sous 2 formes (200 mg micronisée retirée, 160 mg comprimé actif via Via Tris Medical), ainsi que de nombreux génériques.</w:t>
      </w:r>
    </w:p>
    <w:p>
      <w:r/>
      <w:r>
        <w:rPr>
          <w:b/>
        </w:rPr>
        <w:t>Instructions et Conseils au Patient :</w:t>
      </w:r>
      <w:r/>
    </w:p>
    <w:p>
      <w:pPr>
        <w:pStyle w:val="ListBullet"/>
      </w:pPr>
      <w:r>
        <w:t>Communication au comptoir : « Ce médicament fait baisser les triglycérides et augmente le bon cholestérol. Prenez-le pendant un repas, à heure fixe. Prévenez votre médecin si vous avez des douleurs musculaires, urines foncées, fatigue, jaunisse, essoufflement. Évitez le soleil (photoprotection). Faites vos bilans sanguins régulièrement. Ne l'arrêtez pas seul. »</w:t>
      </w:r>
    </w:p>
    <w:p>
      <w:pPr>
        <w:pStyle w:val="ListBullet"/>
      </w:pPr>
      <w:r>
        <w:t>Mode d'utilisation pratique : avaler pendant le repas. Oubli : ne pas doubler. Photoprotection solaire indispensable (crème SPF 50+, vêtements couvrants).</w:t>
      </w:r>
    </w:p>
    <w:p>
      <w:r/>
      <w:r>
        <w:rPr>
          <w:b/>
        </w:rPr>
        <w:t>Notes, Règles d'Or &amp; Pièges au Comptoir :</w:t>
      </w:r>
      <w:r/>
    </w:p>
    <w:p>
      <w:pPr>
        <w:pStyle w:val="ListBullet"/>
      </w:pPr>
      <w:r>
        <w:t>Piège classique : patient sous statine + fénofibrate. Vérifier que la statine est compatible (pravastatine, fluvastatine, rosuvastatine — à éviter : simvastatine 40–80 mg). Surveillance CPK renforcée.</w:t>
      </w:r>
    </w:p>
    <w:p>
      <w:pPr>
        <w:pStyle w:val="ListBullet"/>
      </w:pPr>
      <w:r>
        <w:t>Piège classique : patient sous AVK. Réduire la dose d'AVK de 1/3 et surveiller INR étroitement.</w:t>
      </w:r>
    </w:p>
    <w:p>
      <w:pPr>
        <w:pStyle w:val="ListBullet"/>
      </w:pPr>
      <w:r>
        <w:t>Piège classique : patient photosensible. Recommander photoprotection stricte.</w:t>
      </w:r>
    </w:p>
    <w:p>
      <w:pPr>
        <w:pStyle w:val="ListBullet"/>
      </w:pPr>
      <w:r>
        <w:t>Piège classique : insuffisant rénal non corrigé. Adapter la dose ou suspendre.</w:t>
      </w:r>
    </w:p>
    <w:p>
      <w:pPr>
        <w:pStyle w:val="ListBullet"/>
      </w:pPr>
      <w:r>
        <w:t>Règle de prise : pendant un repas, à heure fixe.</w:t>
      </w:r>
    </w:p>
    <w:p>
      <w:pPr>
        <w:pStyle w:val="ListBullet"/>
      </w:pPr>
      <w:r>
        <w:t>Préparation et Conservation : &lt; 25 °C, à l'abri de l'humidité et de la lumière.</w:t>
      </w:r>
    </w:p>
    <w:p>
      <w:pPr>
        <w:pStyle w:val="ListBullet"/>
      </w:pPr>
      <w:r>
        <w:t>Piège du surdosage / Substitution : ne pas substituer la forme micronisée 200 mg par la forme non micronisée 160 mg sans ajustement (équivalence approximative 200 mg micronisée ≈ 160 mg comprimé).</w:t>
      </w:r>
    </w:p>
    <w:p>
      <w:pPr>
        <w:pStyle w:val="Heading3"/>
      </w:pPr>
      <w:r>
        <w:t>38.3.9 DCI : Cholestyramine (Séquestrant biliaire — Monothérapie)</w:t>
      </w:r>
    </w:p>
    <w:p>
      <w:r/>
      <w:r>
        <w:rPr>
          <w:b/>
        </w:rPr>
        <w:t>Liste des Catégories :</w:t>
      </w:r>
      <w:r>
        <w:t xml:space="preserve"> Hypolipémiants — Séquestrants biliaires ; Liste I.</w:t>
      </w:r>
    </w:p>
    <w:p>
      <w:r>
        <w:t>La cholestyramine est une résine échangeuse d'anions (polymère de chlorure de polyallylamine), non absorbée, qui se lie aux acides biliaires dans la lumière intestinale, interrompant leur cycle entéro-hépatique (5–10 % du pool quotidien). Le foie compense en augmentant la conversion du cholestérol en acides biliaires (via la 7α-hydroxylase), diminuant le pool intracellulaire de cholestérol hépatique et induisant une up-régulation du LDL-R → augmentation de la clairance du LDL-C. Baisse du LDL-C de 15–25 %, augmentation modeste des triglycérides (5–10 %), effet nul ou discret sur le HDL. Premier hypolipémiant validé par essai clinique (LRC-CPPT, 1984). Utilisation limitée aujourd'hui par : mauvais goût, constipation, interactions médicamenteuses nombreuses, et surtout par la supériorité des statines. Reste utile chez l'enfant, la femme enceinte (pas d'absorption systémique), en complément des statines, et dans le prurit cholestatique (liaison des sels biliaires cutanés). Spécialité QUESTRAN retirée du marché algérien.</w:t>
      </w:r>
    </w:p>
    <w:p>
      <w:r/>
      <w:r>
        <w:rPr>
          <w:b/>
        </w:rPr>
        <w:t>Médicaments disponibles en Algérie (Marques, Laboratoires, Formes et Dosages) :</w:t>
      </w:r>
      <w:r/>
    </w:p>
    <w:p>
      <w:pPr>
        <w:pStyle w:val="ListBullet"/>
      </w:pPr>
      <w:r/>
      <w:r>
        <w:rPr>
          <w:b/>
        </w:rPr>
        <w:t>QUESTRAN</w:t>
      </w:r>
      <w:r>
        <w:t xml:space="preserve"> (BRISTOL MYERS SQUIBB) — Poudre orale en sachet 4 g, B/50 sachets — Statut : Retiré (R)</w:t>
      </w:r>
    </w:p>
    <w:p>
      <w:r/>
      <w:r>
        <w:rPr>
          <w:b/>
        </w:rPr>
        <w:t>Sous-classe et Mécanisme d'action :</w:t>
      </w:r>
      <w:r/>
    </w:p>
    <w:p>
      <w:pPr>
        <w:pStyle w:val="ListBullet"/>
      </w:pPr>
      <w:r>
        <w:t>Sous-classe : Séquestrant biliaire (résine échangeuse d'anions).</w:t>
      </w:r>
    </w:p>
    <w:p>
      <w:pPr>
        <w:pStyle w:val="ListBullet"/>
      </w:pPr>
      <w:r>
        <w:t>Mécanisme d'action : la cholestyramine est un polymère anionique qui se lie aux acides biliaires (acide cholique, chénodésoxycholique, désoxycholique) dans la lumière intestinale, formant un complexe insoluble éliminé dans les fèces. La perte des acides biliaires force le foie à :</w:t>
      </w:r>
    </w:p>
    <w:p>
      <w:pPr>
        <w:pStyle w:val="ListBullet"/>
      </w:pPr>
      <w:r>
        <w:t>Augmenter la conversion du cholestérol en acides biliaires (7α-hydroxylase, voie principale).</w:t>
      </w:r>
    </w:p>
    <w:p>
      <w:pPr>
        <w:pStyle w:val="ListBullet"/>
      </w:pPr>
      <w:r>
        <w:t>Up-réguler le LDL-R hépatique pour capter le LDL-C circulant.</w:t>
      </w:r>
    </w:p>
    <w:p>
      <w:pPr>
        <w:pStyle w:val="ListBullet"/>
      </w:pPr>
      <w:r>
        <w:t>Augmenter la synthèse hépatique du cholestérol (effet compensateur qui limite l'efficacité).</w:t>
      </w:r>
    </w:p>
    <w:p>
      <w:pPr>
        <w:pStyle w:val="ListBullet"/>
      </w:pPr>
      <w:r>
        <w:t>Effet global : baisse du LDL-C, mais augmentation possible des triglycérides (baisse de l'inhibition exercée par les acides biliaires sur la synthèse des VLDL).</w:t>
      </w:r>
    </w:p>
    <w:p>
      <w:pPr>
        <w:pStyle w:val="ListBullet"/>
      </w:pPr>
      <w:r>
        <w:t>Effet non hypolipémiant : capture des sels biliaires en cas de cholestase → soulagement du prurit cholestatique.</w:t>
      </w:r>
    </w:p>
    <w:p>
      <w:r/>
      <w:r>
        <w:rPr>
          <w:b/>
        </w:rPr>
        <w:t>Profil Pharmacologique :</w:t>
      </w:r>
      <w:r/>
    </w:p>
    <w:p>
      <w:pPr>
        <w:pStyle w:val="ListBullet"/>
      </w:pPr>
      <w:r>
        <w:t>Indications : hypercholestérolémie primitive (type IIa) ; hypercholestérolémie familiale pédiatrique (à partir de 6 ans) ; prurit cholestatique de la cholestase intrahépatique gravidique (au 3e trimestre) ; diarrhée cholérétique post-iléostomie.</w:t>
      </w:r>
    </w:p>
    <w:p>
      <w:pPr>
        <w:pStyle w:val="ListBullet"/>
      </w:pPr>
      <w:r>
        <w:t>Contre-indications : hypersensibilité ; phénylcétonurie (aspartam dans la formulation) ; obstruction biliaire complète ; hypoprothrombinémie (carence vitamine K) ; constipation sévère.</w:t>
      </w:r>
    </w:p>
    <w:p>
      <w:pPr>
        <w:pStyle w:val="ListBullet"/>
      </w:pPr>
      <w:r>
        <w:t>Effets Indésirables :</w:t>
      </w:r>
    </w:p>
    <w:p>
      <w:pPr>
        <w:pStyle w:val="ListBullet"/>
      </w:pPr>
      <w:r>
        <w:t>Digestifs (très fréquents) : constipation (souvent sévère, peut aller jusqu'à fécalome), ballonnements, flatulence, dyspepsie, nausées, goût métallique, sensation de satiété précoce.</w:t>
      </w:r>
    </w:p>
    <w:p>
      <w:pPr>
        <w:pStyle w:val="ListBullet"/>
      </w:pPr>
      <w:r>
        <w:t>Métaboliques : augmentation des triglycérides (5–15 %), carence en vitamines liposolubles (A, D, E, K) à long terme.</w:t>
      </w:r>
    </w:p>
    <w:p>
      <w:pPr>
        <w:pStyle w:val="ListBullet"/>
      </w:pPr>
      <w:r>
        <w:t>Hématologiques : hypoprothrombinémie (carence vitamine K), saignement.</w:t>
      </w:r>
    </w:p>
    <w:p>
      <w:pPr>
        <w:pStyle w:val="ListBullet"/>
      </w:pPr>
      <w:r>
        <w:t>Cutanés : rash.</w:t>
      </w:r>
    </w:p>
    <w:p>
      <w:pPr>
        <w:pStyle w:val="ListBullet"/>
      </w:pPr>
      <w:r>
        <w:t>Calciques : hyperchloremie (résine chlorée).</w:t>
      </w:r>
    </w:p>
    <w:p>
      <w:r/>
      <w:r>
        <w:rPr>
          <w:b/>
        </w:rPr>
        <w:t>Prévention et Gestion des Effets Indésirables :</w:t>
      </w:r>
      <w:r/>
    </w:p>
    <w:p>
      <w:pPr>
        <w:pStyle w:val="ListBullet"/>
      </w:pPr>
      <w:r>
        <w:t>Mesures Préventives : information patient sur la nécessité de dissoudre la poudre dans un grand verre d'eau/jus, prise avant repas ; supplémentation en vitamines liposolubles (A, D, E, K) si traitement prolongé ; surveillance triglycérides (à éviter si TG &gt; 3,4 mmol/L) ; alimentation riche en fibres et hydratation abondante (prévention de la constipation).</w:t>
      </w:r>
    </w:p>
    <w:p>
      <w:pPr>
        <w:pStyle w:val="ListBullet"/>
      </w:pPr>
      <w:r>
        <w:t>Conduite à Tenir : arrêt si constipation sévère, occlusion intestinale. Surveillance INR si patient sous AVK. Surveillance triglycérides.</w:t>
      </w:r>
    </w:p>
    <w:p>
      <w:r/>
      <w:r>
        <w:rPr>
          <w:b/>
        </w:rPr>
        <w:t>Interactions Importantes :</w:t>
      </w:r>
      <w:r/>
    </w:p>
    <w:p>
      <w:pPr>
        <w:pStyle w:val="ListBullet"/>
      </w:pPr>
      <w:r/>
      <w:r>
        <w:rPr>
          <w:b/>
        </w:rPr>
        <w:t>Cholestyramine + Tous médicaments oraux</w:t>
      </w:r>
      <w:r>
        <w:t xml:space="preserve"> : absorption diminuée par chélation. Séparer les prises d'au moins 1 h avant ou 4–6 h après la cholestyramine. Sont particulièrement concernés : warfarine, thyroxine, digoxine, contraceptifs oraux, diurétiques thiazidiques, furosémide, pénicillines, céphalosporines, tétracyclines, fluoroquinolones, mycophénolate, phénytoïne, valproate, antirétroviraux.</w:t>
      </w:r>
    </w:p>
    <w:p>
      <w:pPr>
        <w:pStyle w:val="ListBullet"/>
      </w:pPr>
      <w:r/>
      <w:r>
        <w:rPr>
          <w:b/>
        </w:rPr>
        <w:t>Cholestyramine + Vitamines liposolubles</w:t>
      </w:r>
      <w:r>
        <w:t xml:space="preserve"> : diminution de l'absorption.</w:t>
      </w:r>
    </w:p>
    <w:p>
      <w:pPr>
        <w:pStyle w:val="ListBullet"/>
      </w:pPr>
      <w:r/>
      <w:r>
        <w:rPr>
          <w:b/>
        </w:rPr>
        <w:t>Cholestyramine + Statines</w:t>
      </w:r>
      <w:r>
        <w:t xml:space="preserve"> : potentialisation de l'effet hypocholestérolémiant, à séparer de 4 h.</w:t>
      </w:r>
    </w:p>
    <w:p>
      <w:r/>
      <w:r>
        <w:rPr>
          <w:b/>
        </w:rPr>
        <w:t>Grossesse et Allaitement :</w:t>
      </w:r>
      <w:r/>
    </w:p>
    <w:p>
      <w:pPr>
        <w:pStyle w:val="ListBullet"/>
      </w:pPr>
      <w:r>
        <w:t>Grossesse : autorisé (pas d'absorption systémique). Indication de choix pour hypercholestérolémie familiale sévère gravidique. Surveillance vitamines liposolubles.</w:t>
      </w:r>
    </w:p>
    <w:p>
      <w:pPr>
        <w:pStyle w:val="ListBullet"/>
      </w:pPr>
      <w:r>
        <w:t>Allaitement : autorisé. Surveillance des vitamines liposolubles chez la mère et l'enfant.</w:t>
      </w:r>
    </w:p>
    <w:p>
      <w:pPr>
        <w:pStyle w:val="ListBullet"/>
      </w:pPr>
      <w:r>
        <w:t>Précisions : supplémentation en vitamines A, D, E, K recommandée pendant la grossesse et l'allaitement.</w:t>
      </w:r>
    </w:p>
    <w:p>
      <w:r/>
      <w:r>
        <w:rPr>
          <w:b/>
        </w:rPr>
        <w:t>Posologie et Mode d'administration (Standard) :</w:t>
      </w:r>
      <w:r/>
    </w:p>
    <w:p>
      <w:pPr>
        <w:pStyle w:val="ListBullet"/>
      </w:pPr>
      <w:r>
        <w:t>Adulte : 4–24 g/j en 2–3 prises, à dissoudre dans 100–200 mL d'eau ou de jus. Dose initiale 4 g × 2/j, augmentation progressive.</w:t>
      </w:r>
    </w:p>
    <w:p>
      <w:pPr>
        <w:pStyle w:val="ListBullet"/>
      </w:pPr>
      <w:r>
        <w:t>Sujet âgé : prudence en raison de la constipation.</w:t>
      </w:r>
    </w:p>
    <w:p>
      <w:pPr>
        <w:pStyle w:val="ListBullet"/>
      </w:pPr>
      <w:r>
        <w:t>Enfant : 240 mg/kg/j en 3 prises à partir de 6 ans.</w:t>
      </w:r>
    </w:p>
    <w:p>
      <w:pPr>
        <w:pStyle w:val="ListBullet"/>
      </w:pPr>
      <w:r>
        <w:t>Durée : au long cours.</w:t>
      </w:r>
    </w:p>
    <w:p>
      <w:pPr>
        <w:pStyle w:val="ListBullet"/>
      </w:pPr>
      <w:r>
        <w:t>Moment de prise : avant les repas.</w:t>
      </w:r>
    </w:p>
    <w:p>
      <w:r/>
      <w:r>
        <w:rPr>
          <w:b/>
        </w:rPr>
        <w:t>Arbitrage et Bénéfices des Formes Galéniques :</w:t>
      </w:r>
      <w:r/>
    </w:p>
    <w:p>
      <w:r>
        <w:t>Forme poudre orale en sachet 4 g. Pas de comprimé (volume trop important). Inconvénient majeur : goût, texture, mode d'administration. Avantage : pas d'absorption systémique, autorisé chez la femme enceinte et l'enfant. Actuellement retirée du marché algérien.</w:t>
      </w:r>
    </w:p>
    <w:p>
      <w:r/>
      <w:r>
        <w:rPr>
          <w:b/>
        </w:rPr>
        <w:t>Instructions et Conseils au Patient :</w:t>
      </w:r>
      <w:r/>
    </w:p>
    <w:p>
      <w:pPr>
        <w:pStyle w:val="ListBullet"/>
      </w:pPr>
      <w:r>
        <w:t>Communication au comptoir : « Ce médicament capte les sels biliaires dans l'intestin pour forcer le foie à utiliser le cholestérol. Il se présente en poudre. Versez le sachet dans un grand verre d'eau ou de jus, mélangez bien et buvez immédiatement, avant le repas. Prenez vos autres médicaments à 1 heure avant ou 4 heures après la cholestyramine. Buvez beaucoup d'eau, mangez des fibres. »</w:t>
      </w:r>
    </w:p>
    <w:p>
      <w:pPr>
        <w:pStyle w:val="ListBullet"/>
      </w:pPr>
      <w:r>
        <w:t>Mode d'utilisation pratique : ne pas prendre à sec, ne pas inhaler la poudre, ne pas dépasser la dose prescrite.</w:t>
      </w:r>
    </w:p>
    <w:p>
      <w:r/>
      <w:r>
        <w:rPr>
          <w:b/>
        </w:rPr>
        <w:t>Notes, Règles d'Or &amp; Pièges au Comptoir :</w:t>
      </w:r>
      <w:r/>
    </w:p>
    <w:p>
      <w:pPr>
        <w:pStyle w:val="ListBullet"/>
      </w:pPr>
      <w:r>
        <w:t>Piège classique : patient sous AVK + thyroxine + digoxine + cholestyramine. Risque d'inefficacité de l'AVK (séparer de 6 h minimum, surveiller INR), de la thyroxine (séparer de 4–5 h), de la digoxine.</w:t>
      </w:r>
    </w:p>
    <w:p>
      <w:pPr>
        <w:pStyle w:val="ListBullet"/>
      </w:pPr>
      <w:r>
        <w:t>Piège classique : patient constipé. Contre-indication relative.</w:t>
      </w:r>
    </w:p>
    <w:p>
      <w:pPr>
        <w:pStyle w:val="ListBullet"/>
      </w:pPr>
      <w:r>
        <w:t>Règle de prise : avant les repas, à distance des autres médicaments.</w:t>
      </w:r>
    </w:p>
    <w:p>
      <w:pPr>
        <w:pStyle w:val="ListBullet"/>
      </w:pPr>
      <w:r>
        <w:t>Préparation et Conservation : &lt; 25 °C, à l'abri de l'humidité.</w:t>
      </w:r>
    </w:p>
    <w:p>
      <w:pPr>
        <w:pStyle w:val="ListBullet"/>
      </w:pPr>
      <w:r>
        <w:t>Piège du surdosage / Substitution : pas d'équivalent disponible en Algérie (retrait QUESTRAN). Possibilité d'importation dans le cadre d'une ATU.</w:t>
      </w:r>
    </w:p>
    <w:p>
      <w:pPr>
        <w:pStyle w:val="Heading3"/>
      </w:pPr>
      <w:r>
        <w:t>38.3.10 DCI : Evolocumab (Anticorps monoclonal anti-PCSK9 — Monothérapie)</w:t>
      </w:r>
    </w:p>
    <w:p>
      <w:r/>
      <w:r>
        <w:rPr>
          <w:b/>
        </w:rPr>
        <w:t>Liste des Catégories :</w:t>
      </w:r>
      <w:r>
        <w:t xml:space="preserve"> Hypolipémiants — Anticorps anti-PCSK9 ; Liste I.</w:t>
      </w:r>
    </w:p>
    <w:p>
      <w:r>
        <w:t>L'evolocumab (Repatha) est un anticorps monoclonal humain de classe IgG2, dirigé contre la proprotein convertase subtilisin/kexin type 9 (PCSK9). Découverte fondamentale de 2003 (mutations perte-de-fonction du gène PCSK9 associées à un LDL-C bas et à une protection CV), ayant conduit au développement de deux anticorps monoclonaux : evolocumab (Amgen) et alirocumab (Sanofi/Regeneron, non disponible en Algérie). La PCSK9 circulante se fixe au LDL-R à la surface hépatocytaire et provoque sa dégradation lysosomale (en inhibant son recyclage vers la membrane). En neutralisant la PCSK9, l'evolocumab augmente la densité des LDL-R et augmente massivement la clairance du LDL-C. Baisse supplémentaire de 50–60 % du LDL-C sous statine forte + ezetimibe. Étude pivots : FOURIER (2017, 27 564 patients, réduction de 15 % du critère composite CV, réduction de 20 % de la mortalité cardiovasculaire), FOURIER-OLE (extension 5 ans confirmant la persistance du bénéfice), GLAGOV (régression de la plaque coronarienne). Recommandations ESC/EAS 2019 : usage réservé aux patients à très haut risque CV (prévention secondaire, FH) avec LDL-C &gt; 1,4 mmol/L (55 mg/dL) sous statine forte + ezetimibe à dose maximale tolérée.</w:t>
      </w:r>
    </w:p>
    <w:p>
      <w:r/>
      <w:r>
        <w:rPr>
          <w:b/>
        </w:rPr>
        <w:t>Médicaments disponibles en Algérie (Marques, Laboratoires, Formes et Dosages) :</w:t>
      </w:r>
      <w:r/>
    </w:p>
    <w:p>
      <w:pPr>
        <w:pStyle w:val="ListBullet"/>
      </w:pPr>
      <w:r/>
      <w:r>
        <w:rPr>
          <w:b/>
        </w:rPr>
        <w:t>REPATHA</w:t>
      </w:r>
      <w:r>
        <w:t xml:space="preserve"> (AMGEN EUROPE B.V.) — Solution injectable en stylo pré-rempli 140 mg/mL, Boîte de 2 stylos pré-remplis de 1 mL — Statut : Actif</w:t>
      </w:r>
    </w:p>
    <w:p>
      <w:r/>
      <w:r>
        <w:rPr>
          <w:b/>
        </w:rPr>
        <w:t>Sous-classe et Mécanisme d'action :</w:t>
      </w:r>
      <w:r/>
    </w:p>
    <w:p>
      <w:pPr>
        <w:pStyle w:val="ListBullet"/>
      </w:pPr>
      <w:r>
        <w:t>Sous-classe : Anticorps monoclonal humain anti-PCSK9 (IgG2).</w:t>
      </w:r>
    </w:p>
    <w:p>
      <w:pPr>
        <w:pStyle w:val="ListBullet"/>
      </w:pPr>
      <w:r>
        <w:t>Mécanisme d'action : l'evolocumab se lie spécifiquement et de manière non compétitive à la PCSK9 circulante, neutralisant son interaction avec le LDL-R hépatocytaire. Sans PCSK9 liante, le LDL-R est normalement recyclé vers la membrane cellulaire après internalisation du LDL-C, augmentant ainsi la densité des LDL-R à la surface hépatocytaire et la clairance du LDL-C circulant. Baisse massive du LDL-C (–55 à –75 % selon le niveau de base), augmentation du HDL-C (5–10 %), baisse modeste de la Lp(a) (–15–25 %). Pharmacocinétique : administration sous-cutanée, biodisponibilité 72 %, demi-vie d'élimination 11–17 jours, élimination par protéolyse cellulaire (et non rénale).</w:t>
      </w:r>
    </w:p>
    <w:p>
      <w:r/>
      <w:r>
        <w:rPr>
          <w:b/>
        </w:rPr>
        <w:t>Profil Pharmacologique :</w:t>
      </w:r>
      <w:r/>
    </w:p>
    <w:p>
      <w:pPr>
        <w:pStyle w:val="ListBullet"/>
      </w:pPr>
      <w:r>
        <w:t>Indications : hypercholestérolémie familiale hétérozygote (HeFH) adulte et adolescent (≥ 12 ans) non contrôlée par statine forte ± ezetimibe ; hypercholestérolémie familiale homozygote (HoFH) adulte et enfant (≥ 12 ans, en association avec autre traitement hypolipémiant) ; prévention CV secondaire chez le patient coronarien/AVC/AOMI à très haut risque avec LDL-C résiduel &gt; 1,4 mmol/L (55 mg/dL) sous statine forte + ezetimibe à dose maximale tolérée (selon ESC/EAS 2019).</w:t>
      </w:r>
    </w:p>
    <w:p>
      <w:pPr>
        <w:pStyle w:val="ListBullet"/>
      </w:pPr>
      <w:r>
        <w:t>Contre-indications : hypersensibilité à la substance active ou à un excipient.</w:t>
      </w:r>
    </w:p>
    <w:p>
      <w:pPr>
        <w:pStyle w:val="ListBullet"/>
      </w:pPr>
      <w:r>
        <w:t>Effets Indésirables :</w:t>
      </w:r>
    </w:p>
    <w:p>
      <w:pPr>
        <w:pStyle w:val="ListBullet"/>
      </w:pPr>
      <w:r>
        <w:t>Locaux au point d'injection (fréquents, 2,5–7 %) : érythème, douleur, ecchymose.</w:t>
      </w:r>
    </w:p>
    <w:p>
      <w:pPr>
        <w:pStyle w:val="ListBullet"/>
      </w:pPr>
      <w:r>
        <w:t>Rhinopharyngite (5 %), syndrome grippal (4 %).</w:t>
      </w:r>
    </w:p>
    <w:p>
      <w:pPr>
        <w:pStyle w:val="ListBullet"/>
      </w:pPr>
      <w:r>
        <w:t>Digestifs : nausées.</w:t>
      </w:r>
    </w:p>
    <w:p>
      <w:pPr>
        <w:pStyle w:val="ListBullet"/>
      </w:pPr>
      <w:r>
        <w:t>Musculaires : myalgie (3 %), rhabdomyolyse non rapportée (à la différence des statines).</w:t>
      </w:r>
    </w:p>
    <w:p>
      <w:pPr>
        <w:pStyle w:val="ListBullet"/>
      </w:pPr>
      <w:r>
        <w:t>Métaboliques : pas de diabète incident, pas d'effet neurocognitif démontré (étude EBBINGHAUS, 2017, négatif).</w:t>
      </w:r>
    </w:p>
    <w:p>
      <w:pPr>
        <w:pStyle w:val="ListBullet"/>
      </w:pPr>
      <w:r>
        <w:t>Immunogénicité : anticorps anti-médicament peu fréquents (&lt; 1 %), sans impact clinique.</w:t>
      </w:r>
    </w:p>
    <w:p>
      <w:pPr>
        <w:pStyle w:val="ListBullet"/>
      </w:pPr>
      <w:r>
        <w:t>Très rares : réactions d'hypersensibilité (urticaire, angio-œdème).</w:t>
      </w:r>
    </w:p>
    <w:p>
      <w:r/>
      <w:r>
        <w:rPr>
          <w:b/>
        </w:rPr>
        <w:t>Prévention et Gestion des Effets Indésirables :</w:t>
      </w:r>
      <w:r/>
    </w:p>
    <w:p>
      <w:pPr>
        <w:pStyle w:val="ListBullet"/>
      </w:pPr>
      <w:r>
        <w:t>Mesures Préventives : information patient sur le mode d'administration (stylo pré-rempli, injection SC), rotation des sites d'injection (cuisse, abdomen, bras) ; suivi lipidique à 4–8 semaines après initiation ; surveillance CPK si symptômes musculaires ; éducation thérapeutique.</w:t>
      </w:r>
    </w:p>
    <w:p>
      <w:pPr>
        <w:pStyle w:val="ListBullet"/>
      </w:pPr>
      <w:r>
        <w:t>Conduite à Tenir : pour les réactions locales, appliquer de la glace, rotation des sites. Pour les réactions d'hypersensibilité, arrêt et switch vers alirocumab (si disponible). Aucune adaptation hépatique ou rénale nécessaire.</w:t>
      </w:r>
    </w:p>
    <w:p>
      <w:r/>
      <w:r>
        <w:rPr>
          <w:b/>
        </w:rPr>
        <w:t>Interactions Importantes :</w:t>
      </w:r>
      <w:r/>
    </w:p>
    <w:p>
      <w:pPr>
        <w:pStyle w:val="ListBullet"/>
      </w:pPr>
      <w:r/>
      <w:r>
        <w:rPr>
          <w:b/>
        </w:rPr>
        <w:t>Evolocumab + Statines</w:t>
      </w:r>
      <w:r>
        <w:t xml:space="preserve"> : pas d'interaction (mécanismes complémentaires), effet additif. C'est l'association de choix.</w:t>
      </w:r>
    </w:p>
    <w:p>
      <w:pPr>
        <w:pStyle w:val="ListBullet"/>
      </w:pPr>
      <w:r/>
      <w:r>
        <w:rPr>
          <w:b/>
        </w:rPr>
        <w:t>Evolocumab + Ezetimibe</w:t>
      </w:r>
      <w:r>
        <w:t xml:space="preserve"> : pas d'interaction, effet additif. C'est l'escalade thérapeutique de choix (statine forte → + ezetimibe → + evolocumab).</w:t>
      </w:r>
    </w:p>
    <w:p>
      <w:pPr>
        <w:pStyle w:val="ListBullet"/>
      </w:pPr>
      <w:r/>
      <w:r>
        <w:rPr>
          <w:b/>
        </w:rPr>
        <w:t>Evolocumab + Fibrates</w:t>
      </w:r>
      <w:r>
        <w:t xml:space="preserve"> : pas d'interaction.</w:t>
      </w:r>
    </w:p>
    <w:p>
      <w:pPr>
        <w:pStyle w:val="ListBullet"/>
      </w:pPr>
      <w:r/>
      <w:r>
        <w:rPr>
          <w:b/>
        </w:rPr>
        <w:t>Evolocumab + Cyclosporine</w:t>
      </w:r>
      <w:r>
        <w:t xml:space="preserve"> : pas d'interaction cliniquement pertinente.</w:t>
      </w:r>
    </w:p>
    <w:p>
      <w:pPr>
        <w:pStyle w:val="ListBullet"/>
      </w:pPr>
      <w:r/>
      <w:r>
        <w:rPr>
          <w:b/>
        </w:rPr>
        <w:t>Evolocumab + Aucune interaction médicamenteuse significative</w:t>
      </w:r>
      <w:r>
        <w:t xml:space="preserve"> connue à ce jour.</w:t>
      </w:r>
    </w:p>
    <w:p>
      <w:r/>
      <w:r>
        <w:rPr>
          <w:b/>
        </w:rPr>
        <w:t>Grossesse et Allaitement :</w:t>
      </w:r>
      <w:r/>
    </w:p>
    <w:p>
      <w:pPr>
        <w:pStyle w:val="ListBullet"/>
      </w:pPr>
      <w:r>
        <w:t>Grossesse : à éviter par précaution (données limitées chez l'animal, IgG2 traversant partiellement le placenta). Ne pas initier pendant la grossesse ; chez une patiente en cours de traitement, évaluer le bénéfice/risque (FH sévère). En pratique, suspendre pendant la grossesse.</w:t>
      </w:r>
    </w:p>
    <w:p>
      <w:pPr>
        <w:pStyle w:val="ListBullet"/>
      </w:pPr>
      <w:r>
        <w:t>Allaitement : à éviter par précaution (excrétion dans le lait maternel chez l'animal).</w:t>
      </w:r>
    </w:p>
    <w:p>
      <w:pPr>
        <w:pStyle w:val="ListBullet"/>
      </w:pPr>
      <w:r>
        <w:t>Précisions : pas de CI absolue formelle mais principe de précaution.</w:t>
      </w:r>
    </w:p>
    <w:p>
      <w:r/>
      <w:r>
        <w:rPr>
          <w:b/>
        </w:rPr>
        <w:t>Posologie et Mode d'administration (Standard) :</w:t>
      </w:r>
      <w:r/>
    </w:p>
    <w:p>
      <w:pPr>
        <w:pStyle w:val="ListBullet"/>
      </w:pPr>
      <w:r>
        <w:t>Adulte : 140 mg SC toutes les 2 semaines OU 420 mg SC une fois par mois. Les deux schémas sont équivalents en termes d'efficacité.</w:t>
      </w:r>
    </w:p>
    <w:p>
      <w:pPr>
        <w:pStyle w:val="ListBullet"/>
      </w:pPr>
      <w:r>
        <w:t>Sujet âgé : pas d'adaptation.</w:t>
      </w:r>
    </w:p>
    <w:p>
      <w:pPr>
        <w:pStyle w:val="ListBullet"/>
      </w:pPr>
      <w:r>
        <w:t>Insuffisance rénale : pas d'adaptation, y compris dialyse.</w:t>
      </w:r>
    </w:p>
    <w:p>
      <w:pPr>
        <w:pStyle w:val="ListBullet"/>
      </w:pPr>
      <w:r>
        <w:t>Insuffisance hépatique : pas d'adaptation, y compris Child-Pugh C (mais exposition augmentée).</w:t>
      </w:r>
    </w:p>
    <w:p>
      <w:pPr>
        <w:pStyle w:val="ListBullet"/>
      </w:pPr>
      <w:r>
        <w:t>Enfant ≥ 12 ans (HeFH) : 140 mg/2 sem ou 420 mg/mois.</w:t>
      </w:r>
    </w:p>
    <w:p>
      <w:pPr>
        <w:pStyle w:val="ListBullet"/>
      </w:pPr>
      <w:r>
        <w:t>Enfant ≥ 12 ans (HoFH) : 420 mg/2 sem (dose double).</w:t>
      </w:r>
    </w:p>
    <w:p>
      <w:pPr>
        <w:pStyle w:val="ListBullet"/>
      </w:pPr>
      <w:r>
        <w:t>Durée : au long cours, généralement à vie.</w:t>
      </w:r>
    </w:p>
    <w:p>
      <w:pPr>
        <w:pStyle w:val="ListBullet"/>
      </w:pPr>
      <w:r>
        <w:t>Mode d'administration : injection sous-cutanée (abdomen, cuisse, bras) par le patient lui-même ou un aidant. Ne pas injecter dans une zone cutanée lésée, ecchymotique, ou à proximité d'une cicatrice.</w:t>
      </w:r>
    </w:p>
    <w:p>
      <w:r/>
      <w:r>
        <w:rPr>
          <w:b/>
        </w:rPr>
        <w:t>Arbitrage et Bénéfices des Formes Galéniques :</w:t>
      </w:r>
      <w:r/>
    </w:p>
    <w:p>
      <w:r>
        <w:t>Forme stylo pré-rempli 140 mg/mL (1 mL = 1 dose), conditionné en boîte de 2 stylos. Avantage : auto-administration aisée (style injecteur type stylo), conservation 30 jours à température ambiante (&lt; 25 °C) avant utilisation (à conserver au réfrigérateur 2–8 °C sinon). Pas de perfusion IV, pas de passage en milieu hospitalier systématique. Limite : coût élevé, prise en charge conditionnée (FH sévère, prévention secondaire).</w:t>
      </w:r>
    </w:p>
    <w:p>
      <w:r/>
      <w:r>
        <w:rPr>
          <w:b/>
        </w:rPr>
        <w:t>Instructions et Conseils au Patient :</w:t>
      </w:r>
      <w:r/>
    </w:p>
    <w:p>
      <w:pPr>
        <w:pStyle w:val="ListBullet"/>
      </w:pPr>
      <w:r>
        <w:t>Communication au comptoir : « Ce médicament est un anticorps monoclonal qui aide votre corps à éliminer le mauvais cholestérol, en complément de votre statine. Il s'injecte sous la peau (cuisse, ventre ou bras) toutes les 2 semaines (140 mg) ou une fois par mois (420 mg). Conservation au réfrigérateur (2–8 °C), mais peut rester 30 jours à température ambiante. Rotation des sites d'injection. Prévenez votre médecin en cas de rougeur, douleur au point d'injection, syndrome grippal. Ne l'arrêtez pas sans avis. »</w:t>
      </w:r>
    </w:p>
    <w:p>
      <w:pPr>
        <w:pStyle w:val="ListBullet"/>
      </w:pPr>
      <w:r>
        <w:t>Mode d'utilisation pratique : sortie du réfrigérateur 30 min avant l'injection (pour éviter la douleur liée au froid), désinfection du site, injection à 90° dans le tissu sous-cutané, ne pas masser le site après injection.</w:t>
      </w:r>
    </w:p>
    <w:p>
      <w:r/>
      <w:r>
        <w:rPr>
          <w:b/>
        </w:rPr>
        <w:t>Notes, Règles d'Or &amp; Pièges au Comptoir :</w:t>
      </w:r>
      <w:r/>
    </w:p>
    <w:p>
      <w:pPr>
        <w:pStyle w:val="ListBullet"/>
      </w:pPr>
      <w:r>
        <w:t>Piège classique : patient à qui on délivre REPATHA pour la première fois. Éducation à l'auto-administration (stylo), vérification de la prescription (140 mg/2 sem ou 420 mg/mois), vérification de la conservation (réfrigérateur à 2–8 °C).</w:t>
      </w:r>
    </w:p>
    <w:p>
      <w:pPr>
        <w:pStyle w:val="ListBullet"/>
      </w:pPr>
      <w:r>
        <w:t>Piège classique : patient en voyage. Le stylo peut rester 30 jours à température ambiante, ne pas recongeler.</w:t>
      </w:r>
    </w:p>
    <w:p>
      <w:pPr>
        <w:pStyle w:val="ListBullet"/>
      </w:pPr>
      <w:r>
        <w:t>Piège classique : patient non compliant à la statine. L'evolocumab ne remplace pas la statine, mais s'y ajoute (bénéfice maximal en association).</w:t>
      </w:r>
    </w:p>
    <w:p>
      <w:pPr>
        <w:pStyle w:val="ListBullet"/>
      </w:pPr>
      <w:r>
        <w:t>Règle de prise : 1 injection SC toutes les 2 semaines ou 1/mois, à jour fixe.</w:t>
      </w:r>
    </w:p>
    <w:p>
      <w:pPr>
        <w:pStyle w:val="ListBullet"/>
      </w:pPr>
      <w:r>
        <w:t>Préparation et Conservation : réfrigérateur 2–8 °C, à conserver dans l'emballage d'origine, ne pas congeler, ne pas agiter, à protéger de la lumière.</w:t>
      </w:r>
    </w:p>
    <w:p>
      <w:pPr>
        <w:pStyle w:val="ListBullet"/>
      </w:pPr>
      <w:r>
        <w:t>Piège du surdosage / Substitution : pas de substitution possible (un seul anticorps anti-PCSK9 disponible). En cas d'intolérance, switch vers alirocumab (non disponible en Algérie actuellement).</w:t>
      </w:r>
    </w:p>
    <w:p>
      <w:pPr>
        <w:pStyle w:val="Heading2"/>
      </w:pPr>
      <w:r>
        <w:t>38.4 Fiches DCI — Inotropes positifs</w:t>
      </w:r>
    </w:p>
    <w:p>
      <w:pPr>
        <w:pStyle w:val="Heading3"/>
      </w:pPr>
      <w:r>
        <w:t>38.4.1 DCI : Dobutamine (Sympathomimétique β1 — Inotrope positif)</w:t>
      </w:r>
    </w:p>
    <w:p>
      <w:r/>
      <w:r>
        <w:rPr>
          <w:b/>
        </w:rPr>
        <w:t>Liste des Catégories :</w:t>
      </w:r>
      <w:r>
        <w:t xml:space="preserve"> Inotropes positifs — Sympathomimétiques β1 ; Liste I.</w:t>
      </w:r>
    </w:p>
    <w:p>
      <w:r>
        <w:t>La dobutamine est un agoniste β1-adrénergique de synthèse (dérivé de l'isoprénaline), constitué d'un mélange racémique de deux énantiomères : le (+)-isomère est un puissant agoniste β1/β2 (inotrope +, vasodilatateur), le (–)-isomère est un agoniste α1 (vasoconstricteur). Le profil hémodynamique global est celui d'un inotrope positif pur avec vasodilatation périphérique modérée (effet β2 dominant sur l'α1). La dobutamine augmente la contractilité myocardique, le débit cardiaque et le volume d'éjection systolique, avec peu d'effet sur la fréquence cardiaque aux doses usuelles (2,5–10 µg/kg/min). Sa demi-vie d'élimination extrêmement courte (≈ 2 minutes, due à une métabolisation rapide par la COMT hépatique) impose une perfusion IV continue stricte. Indications de choix : choc cardiogénique post-IDM, insuffisance cardiaque aiguë décompensée avec bas débit, épreuve pharmacologique d'effort en échographie de stress (à la place de l'effort physique chez le patient non marchant), support inotrope en post-opératoire de chirurgie cardiaque. Contre-indication absolue : obstruction mécanique à l'éjection (sténose aortique serrée, CMH obstructive, péricardite constrictive).</w:t>
      </w:r>
    </w:p>
    <w:p>
      <w:r/>
      <w:r>
        <w:rPr>
          <w:b/>
        </w:rPr>
        <w:t>Médicaments disponibles en Algérie (Marques, Laboratoires, Formes et Dosages) :</w:t>
      </w:r>
      <w:r/>
    </w:p>
    <w:p>
      <w:pPr>
        <w:pStyle w:val="ListBullet"/>
      </w:pPr>
      <w:r/>
      <w:r>
        <w:rPr>
          <w:b/>
        </w:rPr>
        <w:t>CARDIJECT</w:t>
      </w:r>
      <w:r>
        <w:t xml:space="preserve"> (SUN PHARMACEUTICALS INDUSTRIES LTD) — Lyophilisat pour solution injectable IV 250 mg, B/01 flacon — Statut : Actif</w:t>
      </w:r>
    </w:p>
    <w:p>
      <w:pPr>
        <w:pStyle w:val="ListBullet"/>
      </w:pPr>
      <w:r/>
      <w:r>
        <w:rPr>
          <w:b/>
        </w:rPr>
        <w:t>DOBUJECT</w:t>
      </w:r>
      <w:r>
        <w:t xml:space="preserve"> (SCHERING OY) — Solution injectable pour perfusion 250 mg/20 mL, B/5 ampoules de 5 mL — Statut : Non Renouvelable</w:t>
      </w:r>
    </w:p>
    <w:p>
      <w:pPr>
        <w:pStyle w:val="ListBullet"/>
      </w:pPr>
      <w:r/>
      <w:r>
        <w:rPr>
          <w:b/>
        </w:rPr>
        <w:t>DOBUTAMINE MYLAN</w:t>
      </w:r>
      <w:r>
        <w:t xml:space="preserve"> (MYLAN SAS) — Solution injectable à diluer pour perfusion 12,5 mg/mL (250 mg/20 mL), B/10 ampoules de 20 mL — Statut : Non Renouvelable</w:t>
      </w:r>
    </w:p>
    <w:p>
      <w:pPr>
        <w:pStyle w:val="ListBullet"/>
      </w:pPr>
      <w:r/>
      <w:r>
        <w:rPr>
          <w:b/>
        </w:rPr>
        <w:t>DOBUTAMINE PANPHARMA</w:t>
      </w:r>
      <w:r>
        <w:t xml:space="preserve"> (PANPHARMA) — Solution à diluer pour perfusion 12,5 mg/mL (250 mg/20 mL), B/10 flacons de 20 mL — Statut : Non Renouvelable</w:t>
      </w:r>
    </w:p>
    <w:p>
      <w:pPr>
        <w:pStyle w:val="ListBullet"/>
      </w:pPr>
      <w:r/>
      <w:r>
        <w:rPr>
          <w:b/>
        </w:rPr>
        <w:t>DOBUTAMINE-250</w:t>
      </w:r>
      <w:r>
        <w:t xml:space="preserve"> (LIORAD) — Lyophilisat pour solution pour perfusion IV 250 mg/flacon de poudre, B/20 flacons de poudre — Statut : Non Renouvelable</w:t>
      </w:r>
    </w:p>
    <w:p>
      <w:pPr>
        <w:pStyle w:val="ListBullet"/>
      </w:pPr>
      <w:r/>
      <w:r>
        <w:rPr>
          <w:b/>
        </w:rPr>
        <w:t>DOBUTREX</w:t>
      </w:r>
      <w:r>
        <w:t xml:space="preserve"> (ELI-LILLY) — Solution injectable pour perfusion 250 mg/20 mL, Fl/20 mL — Statut : Retiré (R)</w:t>
      </w:r>
    </w:p>
    <w:p>
      <w:r/>
      <w:r>
        <w:rPr>
          <w:b/>
        </w:rPr>
        <w:t>Sous-classe et Mécanisme d'action :</w:t>
      </w:r>
      <w:r/>
    </w:p>
    <w:p>
      <w:pPr>
        <w:pStyle w:val="ListBullet"/>
      </w:pPr>
      <w:r>
        <w:t>Sous-classe : Sympathomimétique β1-adrénergique (agoniste direct), inotrope positif d'urgence.</w:t>
      </w:r>
    </w:p>
    <w:p>
      <w:pPr>
        <w:pStyle w:val="ListBullet"/>
      </w:pPr>
      <w:r>
        <w:t>Mécanisme d'action : la dobutamine stimule les récepteurs β1-adrénergiques cardiaques (avec un effet β2 modéré et un effet α1 négligeable à dose thérapeutique). Activation de l'adénylate cyclase → production d'AMPc → activation de la protéine kinase A (PKA) → phosphorylation des canaux calciques voltage-dépendants L (Cav1.2) → entrée accrue de Ca²⁺ intra-cellulaire → potentialisation de la contraction (inotropie +). La PKA phosphoryle également le phospholamban (relâche son inhibition de la SERCA2a) → recapture plus rapide du Ca²⁺ dans le réticulum sarcoplasmique → amélioration de la relaxation (lusitropie +). Effet β2 vasculaire → vasodilatation artérielle périphérique modérée → baisse de la post-charge → augmentation du volume d'éjection systolique. Effet β1 rénal → libération de rénine (discrète). Effet β1 bronchique → bronchodilatation discrète.</w:t>
      </w:r>
    </w:p>
    <w:p>
      <w:r/>
      <w:r>
        <w:rPr>
          <w:b/>
        </w:rPr>
        <w:t>Profil Pharmacologique :</w:t>
      </w:r>
      <w:r/>
    </w:p>
    <w:p>
      <w:pPr>
        <w:pStyle w:val="ListBullet"/>
      </w:pPr>
      <w:r>
        <w:t>Indications : choc cardiogénique (post-IDM, post-chirurgie cardiaque, décompensation aiguë d'ICC chronique) ; insuffisance cardiaque aiguë décompensée avec hypoperfusion périphérique et congestion ; support inotrope en post-opératoire de chirurgie cardiaque ; épreuve de stress pharmacologique en échographie cardiaque (à la place de l'effort physique) ; décompensation d'insuffisance cardiaque terminale en attente de transplantation.</w:t>
      </w:r>
    </w:p>
    <w:p>
      <w:pPr>
        <w:pStyle w:val="ListBullet"/>
      </w:pPr>
      <w:r>
        <w:t>Contre-indications : obstruction mécanique à l'éjection VG (sténose aortique serrée, cardiomyopathie hypertrophique obstructive, embolie pulmonaire massive) ; obstruction à l'éjection VD (sténose pulmonaire serrée) ; tachycardie ventriculaire non contrôlée ; hypersensibilité ; association aux IMAO non sélectifs ; phéochromocytome non traité ; tamponnade ; myxome auriculaire gauche.</w:t>
      </w:r>
    </w:p>
    <w:p>
      <w:pPr>
        <w:pStyle w:val="ListBullet"/>
      </w:pPr>
      <w:r>
        <w:t>Effets Indésirables :</w:t>
      </w:r>
    </w:p>
    <w:p>
      <w:pPr>
        <w:pStyle w:val="ListBullet"/>
      </w:pPr>
      <w:r>
        <w:t>Cardiovasculaires (fréquents, dose-dépendants) : tachycardie sinusale, arythmies supraventriculaires et ventriculaires ( ESV, TV, FV), ischémie myocardique (effet inotrope positif majorant la demande en O²), hypotension (effet β2 vasodilatateur), hypertension paradoxicale (à dose élevée, effet α1) .</w:t>
      </w:r>
    </w:p>
    <w:p>
      <w:pPr>
        <w:pStyle w:val="ListBullet"/>
      </w:pPr>
      <w:r>
        <w:t>Digestifs : nausées, vomissements.</w:t>
      </w:r>
    </w:p>
    <w:p>
      <w:pPr>
        <w:pStyle w:val="ListBullet"/>
      </w:pPr>
      <w:r>
        <w:t>Métaboliques : hyperglycémie, hypokaliémie (β2), acidose lactique si hypoperfusion s'aggrave.</w:t>
      </w:r>
    </w:p>
    <w:p>
      <w:pPr>
        <w:pStyle w:val="ListBullet"/>
      </w:pPr>
      <w:r>
        <w:t>Locaux : nécrose tissulaire en cas d'extravasation.</w:t>
      </w:r>
    </w:p>
    <w:p>
      <w:pPr>
        <w:pStyle w:val="ListBullet"/>
      </w:pPr>
      <w:r>
        <w:t>Immunologiques : exceptionnelle éruption maculo-papuleuse après 24–48 h (forme IgA linéaire).</w:t>
      </w:r>
    </w:p>
    <w:p>
      <w:r/>
      <w:r>
        <w:rPr>
          <w:b/>
        </w:rPr>
        <w:t>Prévention et Gestion des Effets Indésirables :</w:t>
      </w:r>
      <w:r/>
    </w:p>
    <w:p>
      <w:pPr>
        <w:pStyle w:val="ListBullet"/>
      </w:pPr>
      <w:r>
        <w:t>Mesures Préventives : monitorage ECG continu (scope), pression artérielle invasive (catéter fémoral ou radial), diurèse horaire, oxymétrie continue, cathéter de Swan-Ganz si nécessaire (mesure débit cardiaque, PAPO, RVP) ; voie veineuse centrale privilégiée (mais perfusion périphérique possible si voie centrale non disponible, avec surveillance du site de perfusion) ; correction préalable des troubles hydro-électrolytiques (K⁺, Mg²⁺), de l'hypovolémie, de l'hypoxie ; éviter l'administration concomitante de β-bloquants (antagonisme) ; surveillance de la troponine en cas de durée prolongée.</w:t>
      </w:r>
    </w:p>
    <w:p>
      <w:pPr>
        <w:pStyle w:val="ListBullet"/>
      </w:pPr>
      <w:r>
        <w:t>Conduite à Tenir :</w:t>
      </w:r>
    </w:p>
    <w:p>
      <w:pPr>
        <w:pStyle w:val="ListBullet"/>
      </w:pPr>
      <w:r>
        <w:t>Tachycardie &gt; 130 bpm ou arythmies : réduire la dose de 50 %, envisager arrêt.</w:t>
      </w:r>
    </w:p>
    <w:p>
      <w:pPr>
        <w:pStyle w:val="ListBullet"/>
      </w:pPr>
      <w:r>
        <w:t>Ischémie myocardique (douleur angineuse, sous-décalage ST) : arrêt immédiat.</w:t>
      </w:r>
    </w:p>
    <w:p>
      <w:pPr>
        <w:pStyle w:val="ListBullet"/>
      </w:pPr>
      <w:r>
        <w:t>Hypotension persistante : associer noradrénaline.</w:t>
      </w:r>
    </w:p>
    <w:p>
      <w:pPr>
        <w:pStyle w:val="ListBullet"/>
      </w:pPr>
      <w:r>
        <w:t>Extravasation : arrêt immédiat, infiltration locale de phentolamine (α-bloquant).</w:t>
      </w:r>
    </w:p>
    <w:p>
      <w:pPr>
        <w:pStyle w:val="ListBullet"/>
      </w:pPr>
      <w:r>
        <w:t>Escape thérapeutique (tachyphylaxie après 48–72 h) : rotation vers milrinone ou lévosimendan.</w:t>
      </w:r>
    </w:p>
    <w:p>
      <w:r/>
      <w:r>
        <w:rPr>
          <w:b/>
        </w:rPr>
        <w:t>Interactions Importantes :</w:t>
      </w:r>
      <w:r/>
    </w:p>
    <w:p>
      <w:pPr>
        <w:pStyle w:val="ListBullet"/>
      </w:pPr>
      <w:r/>
      <w:r>
        <w:rPr>
          <w:b/>
        </w:rPr>
        <w:t>Dobutamine + β-bloquants</w:t>
      </w:r>
      <w:r>
        <w:t xml:space="preserve"> : antagonisme pharmacodynamique (baisse d'efficacité de la dobutamine), mais la dobutamine reste un inotrope de choix chez le patient sous β-bloquant (effet préservé sur le β1, et l'effet α1 peut devenir dominant → hypertension paradoxale). Préférer la milrinone en cas de β-bloquant.</w:t>
      </w:r>
    </w:p>
    <w:p>
      <w:pPr>
        <w:pStyle w:val="ListBullet"/>
      </w:pPr>
      <w:r/>
      <w:r>
        <w:rPr>
          <w:b/>
        </w:rPr>
        <w:t>Dobutamine + IMAO</w:t>
      </w:r>
      <w:r>
        <w:t xml:space="preserve"> : CI absolue (crise hypertensive).</w:t>
      </w:r>
    </w:p>
    <w:p>
      <w:pPr>
        <w:pStyle w:val="ListBullet"/>
      </w:pPr>
      <w:r/>
      <w:r>
        <w:rPr>
          <w:b/>
        </w:rPr>
        <w:t>Dobutamine + Halogénés (halothane, isoflurane)</w:t>
      </w:r>
      <w:r>
        <w:t xml:space="preserve"> : majoration de la sensibilité myocardique aux catécholamines → arythmies.</w:t>
      </w:r>
    </w:p>
    <w:p>
      <w:pPr>
        <w:pStyle w:val="ListBullet"/>
      </w:pPr>
      <w:r/>
      <w:r>
        <w:rPr>
          <w:b/>
        </w:rPr>
        <w:t>Dobutamine + Antidepressifs tricycliques</w:t>
      </w:r>
      <w:r>
        <w:t xml:space="preserve"> : potentialisation sympathomimétique.</w:t>
      </w:r>
    </w:p>
    <w:p>
      <w:pPr>
        <w:pStyle w:val="ListBullet"/>
      </w:pPr>
      <w:r/>
      <w:r>
        <w:rPr>
          <w:b/>
        </w:rPr>
        <w:t>Dobutamine + Oxytocine, Ergométrine</w:t>
      </w:r>
      <w:r>
        <w:t xml:space="preserve"> : risque d'hypertension paradoxicale.</w:t>
      </w:r>
    </w:p>
    <w:p>
      <w:pPr>
        <w:pStyle w:val="ListBullet"/>
      </w:pPr>
      <w:r/>
      <w:r>
        <w:rPr>
          <w:b/>
        </w:rPr>
        <w:t>Dobutamine + Théophylline</w:t>
      </w:r>
      <w:r>
        <w:t xml:space="preserve"> : majoration du risque arythmogène.</w:t>
      </w:r>
    </w:p>
    <w:p>
      <w:pPr>
        <w:pStyle w:val="ListBullet"/>
      </w:pPr>
      <w:r/>
      <w:r>
        <w:rPr>
          <w:b/>
        </w:rPr>
        <w:t>Dobutamine + Insuline</w:t>
      </w:r>
      <w:r>
        <w:t xml:space="preserve"> : discrète antagonisation de l'effet β2 hypokaliémiant.</w:t>
      </w:r>
    </w:p>
    <w:p>
      <w:r/>
      <w:r>
        <w:rPr>
          <w:b/>
        </w:rPr>
        <w:t>Grossesse et Allaitement :</w:t>
      </w:r>
      <w:r/>
    </w:p>
    <w:p>
      <w:pPr>
        <w:pStyle w:val="ListBullet"/>
      </w:pPr>
      <w:r>
        <w:t>Grossesse : utilisable en cas d'urgence vitale maternelle (choc cardiogénique). Pas d'effet tératogène démontré chez l'animal. Les effets β1 sur le cœur fœtal (tachycardie) doivent être surveillés par monitoring fœtal continu. Le bénéfice maternel prime sur le risque fœtal.</w:t>
      </w:r>
    </w:p>
    <w:p>
      <w:pPr>
        <w:pStyle w:val="ListBullet"/>
      </w:pPr>
      <w:r>
        <w:t>Allaitement : à éviter par précaution (données limitées), mais possible si l'urgence le justifie (la dobutamine est rapidement métabolisée et ne passe qu'en quantité minimale dans le lait).</w:t>
      </w:r>
    </w:p>
    <w:p>
      <w:pPr>
        <w:pStyle w:val="ListBullet"/>
      </w:pPr>
      <w:r>
        <w:t>Précisions : médicament de réanimation, utilisé uniquement en milieu hospitalier spécialisé (réanimation, USIC, bloc opératoire).</w:t>
      </w:r>
    </w:p>
    <w:p>
      <w:r/>
      <w:r>
        <w:rPr>
          <w:b/>
        </w:rPr>
        <w:t>Posologie et Mode d'administration (Standard) :</w:t>
      </w:r>
      <w:r/>
    </w:p>
    <w:p>
      <w:pPr>
        <w:pStyle w:val="ListBullet"/>
      </w:pPr>
      <w:r>
        <w:t>Adulte : perfusion IV continue à la seringue électrique, dose initiale 2,5 µg/kg/min, augmentation par paliers de 2,5 µg/kg/min toutes les 10–15 min selon réponse hémodynamique. Dose usuelle 2,5–10 µg/kg/min. Dose maximale 20–40 µg/kg/min (en cas de choc réfractaire).</w:t>
      </w:r>
    </w:p>
    <w:p>
      <w:pPr>
        <w:pStyle w:val="ListBullet"/>
      </w:pPr>
      <w:r>
        <w:t>Sujet âgé : pas d'adaptation posologique systématique, mais prudence en cas de cardiopathie ischémique sous-jacente.</w:t>
      </w:r>
    </w:p>
    <w:p>
      <w:pPr>
        <w:pStyle w:val="ListBullet"/>
      </w:pPr>
      <w:r>
        <w:t>Enfant : 2–20 µg/kg/min.</w:t>
      </w:r>
    </w:p>
    <w:p>
      <w:pPr>
        <w:pStyle w:val="ListBullet"/>
      </w:pPr>
      <w:r>
        <w:t>Insuffisance rénale/hépatique : pas d'adaptation (métabolisme rapide par COMT).</w:t>
      </w:r>
    </w:p>
    <w:p>
      <w:pPr>
        <w:pStyle w:val="ListBullet"/>
      </w:pPr>
      <w:r>
        <w:t>Durée : limitée au strict nécessaire (idéalement &lt; 24–48 h, en raison de la tachyphylaxie et de la toxicité myocardique). En attente de transplantation, perfusion prolongée possible.</w:t>
      </w:r>
    </w:p>
    <w:p>
      <w:pPr>
        <w:pStyle w:val="ListBullet"/>
      </w:pPr>
      <w:r>
        <w:t>Mode d'administration : perfusion IV continue stricte, voie veineuse centrale recommandée, seringue électrique, dilution standardisée (250 mg dans 50 mL de NaCl 0,9 % ou G5%).</w:t>
      </w:r>
    </w:p>
    <w:p>
      <w:pPr>
        <w:pStyle w:val="ListBullet"/>
      </w:pPr>
      <w:r>
        <w:t>Épreuve de stress pharmacologique : protocole spécifique, échelle 5/10/20/30/40 µg/kg/min, 3 min par palier.</w:t>
      </w:r>
    </w:p>
    <w:p>
      <w:r/>
      <w:r>
        <w:rPr>
          <w:b/>
        </w:rPr>
        <w:t>Arbitrage et Bénéfices des Formes Galéniques :</w:t>
      </w:r>
      <w:r/>
    </w:p>
    <w:p>
      <w:r>
        <w:t>Formes disponibles : lyophilisat pour reconstitution (CARDIJECT), solution prête à l'emploi (DOBUTREX, DOBUTAMINE MYLAN, PANPHARMA). Toutes les spécialités sont conditionnées en flacons/ampoules de 250 mg/20 mL, à diluer avant perfusion. Le lyophilisat nécessite une étape de reconstitution supplémentaire (5–10 mL d'EPPI), mais permet un stockage prolongé à température ambiante. Les solutions prêtes à l'emploi sont plus rapides à utiliser en urgence.</w:t>
      </w:r>
    </w:p>
    <w:p>
      <w:r/>
      <w:r>
        <w:rPr>
          <w:b/>
        </w:rPr>
        <w:t>Instructions et Conseils au Patient :</w:t>
      </w:r>
      <w:r/>
    </w:p>
    <w:p>
      <w:pPr>
        <w:pStyle w:val="ListBullet"/>
      </w:pPr>
      <w:r>
        <w:t>Communication au comptoir : réservé à l'usage hospitalier (réanimation, USIC). Le pharmacien d'officine n'est pas concerné par la dispensation directe. Le pharmacien hospitalier doit : vérifier la dose prescrite (µg/kg/min), la dilution, la voie d'administration (IV centrale ou périphérique), le matériel de monitorage associé, l'absence de contre-indication (obstruction mécanique, tachyarythmie non contrôlée).</w:t>
      </w:r>
    </w:p>
    <w:p>
      <w:pPr>
        <w:pStyle w:val="ListBullet"/>
      </w:pPr>
      <w:r>
        <w:t>Mode d'utilisation pratique : dilution 250 mg dans 50 mL de NaCl 0,9 % (concentration 5 mg/mL) ; débit en mL/h selon poids du patient et dose prescrite (formule : Débit = [Poids × Dose × 60] / Concentration) ; seringue électrique, ligne de perfusion protégée de la lumière non indispensable (à la différence de la noradrénaline).</w:t>
      </w:r>
    </w:p>
    <w:p>
      <w:r/>
      <w:r>
        <w:rPr>
          <w:b/>
        </w:rPr>
        <w:t>Notes, Règles d'Or &amp; Pièges au Comptoir :</w:t>
      </w:r>
      <w:r/>
    </w:p>
    <w:p>
      <w:pPr>
        <w:pStyle w:val="ListBullet"/>
      </w:pPr>
      <w:r>
        <w:t>Piège classique : patient sous β-bloquant à qui on administre dobutamine. Effet α1 dominant → hypertension paradoxale. Préférer milrinone.</w:t>
      </w:r>
    </w:p>
    <w:p>
      <w:pPr>
        <w:pStyle w:val="ListBullet"/>
      </w:pPr>
      <w:r>
        <w:t>Piège classique : perfusion prolongée &gt; 72 h → tachyphylaxie (down-régulation des récepteurs β1). Rotation vers milrinone ou lévosimendan.</w:t>
      </w:r>
    </w:p>
    <w:p>
      <w:pPr>
        <w:pStyle w:val="ListBullet"/>
      </w:pPr>
      <w:r>
        <w:t>Piège classique : patient avec sténose aortique serrée. CI absolue (le VG ne peut pas augmenter son débit face à l'obstacle fixe).</w:t>
      </w:r>
    </w:p>
    <w:p>
      <w:pPr>
        <w:pStyle w:val="ListBullet"/>
      </w:pPr>
      <w:r>
        <w:t>Piège classique : association dobutamine + halothane → risque d'arythmies graves.</w:t>
      </w:r>
    </w:p>
    <w:p>
      <w:pPr>
        <w:pStyle w:val="ListBullet"/>
      </w:pPr>
      <w:r>
        <w:t>Règle de prise : perfusion IV continue stricte, en milieu spécialisé.</w:t>
      </w:r>
    </w:p>
    <w:p>
      <w:pPr>
        <w:pStyle w:val="ListBullet"/>
      </w:pPr>
      <w:r>
        <w:t>Préparation et Conservation : conservation &lt; 25 °C, à l'abri de la lumière. Le lyophilisat reconstitué est stable 24 h à température ambiante.</w:t>
      </w:r>
    </w:p>
    <w:p>
      <w:pPr>
        <w:pStyle w:val="ListBullet"/>
      </w:pPr>
      <w:r>
        <w:t>Piège du surdosage / Substitution : le surdosage se manifeste par tachycardie, hypertension, arythmies. Réduction immédiate du débit, surveillance. Substitution CARDIJECT ↔ DOBUTAMINE MYLAN ↔ PANPHARMA possible (équivalence stricte en mg/mL).</w:t>
      </w:r>
    </w:p>
    <w:p>
      <w:pPr>
        <w:pStyle w:val="Heading3"/>
      </w:pPr>
      <w:r>
        <w:t>38.4.2 DCI : Dopamine (Sympathomimétique mixte — Inotrope positif)</w:t>
      </w:r>
    </w:p>
    <w:p>
      <w:r/>
      <w:r>
        <w:rPr>
          <w:b/>
        </w:rPr>
        <w:t>Liste des Catégories :</w:t>
      </w:r>
      <w:r>
        <w:t xml:space="preserve"> Inotropes positifs — Sympathomimétiques mixtes ; Liste I.</w:t>
      </w:r>
    </w:p>
    <w:p>
      <w:r>
        <w:t>La dopamine est le précurseur métabolique immédiat de la noradrénaline (convertie par la dopamine β-hydroxylase). Son profil pharmacodynamique est unique en ce qu'il est dose-dépendant et couvre trois types de récepteurs : (i) à faible dose (1–3 µg/kg/min), prédominance des effets D1 (rénaux, mésentériques, coronaires) → vasodilatation splanchnique, natriurèse, augmentation du débit rénal ; (ii) à dose intermédiaire (3–5 µg/kg/min), prédominance des effets β1 cardiaques → inotropie positive, augmentation du débit cardiaque ; (iii) à forte dose (&gt; 5–10 µg/kg/min), prédominance des effets α1 vasculaires → vasoconstriction artérielle et veineuse, élévation de la pression artérielle, baisse de la perfusion rénale. Cette triple action en fait un inotrope de choix du choc cardiogénique avec hypotension, et un vasopresseur du choc septique. La place de la dopamine a été remise en cause par l'essai SOAP-II (De Backer et al., NEJM 2010) montrant une surmortalité à 28 jours vs noradrénaline chez les cardiogéniques. La dopamine reste néanmoins largement utilisée en Algérie, faute d'alternatives toujours disponibles.</w:t>
      </w:r>
    </w:p>
    <w:p>
      <w:r/>
      <w:r>
        <w:rPr>
          <w:b/>
        </w:rPr>
        <w:t>Médicaments disponibles en Algérie (Marques, Laboratoires, Formes et Dosages) :</w:t>
      </w:r>
      <w:r/>
    </w:p>
    <w:p>
      <w:pPr>
        <w:pStyle w:val="ListBullet"/>
      </w:pPr>
      <w:r/>
      <w:r>
        <w:rPr>
          <w:b/>
        </w:rPr>
        <w:t>DOPAMINE-200</w:t>
      </w:r>
      <w:r>
        <w:t xml:space="preserve"> (EMPRESSA LABORATORIOS AICA) — Solution injectable pour perfusion 40 mg/mL (200 mg/5 mL), B/50 ampoules de 5 mL — Statut : Non Renouvelable</w:t>
      </w:r>
    </w:p>
    <w:p>
      <w:pPr>
        <w:pStyle w:val="ListBullet"/>
      </w:pPr>
      <w:r/>
      <w:r>
        <w:rPr>
          <w:b/>
        </w:rPr>
        <w:t>DOPAMINE</w:t>
      </w:r>
      <w:r>
        <w:t xml:space="preserve"> (PIERRE FABRE) — Solution injectable pour perfusion 50 mg/10 mL, B/50 — Statut : Retiré (R)</w:t>
      </w:r>
    </w:p>
    <w:p>
      <w:pPr>
        <w:pStyle w:val="ListBullet"/>
      </w:pPr>
      <w:r/>
      <w:r>
        <w:rPr>
          <w:b/>
        </w:rPr>
        <w:t>DOPAMINE 200 PIERRE FABRE</w:t>
      </w:r>
      <w:r>
        <w:t xml:space="preserve"> (PIERRE FABRE) — Solution injectable pour perfusion 200 mg/5 mL, B/20 — Statut : Retiré (R)</w:t>
      </w:r>
    </w:p>
    <w:p>
      <w:r/>
      <w:r>
        <w:rPr>
          <w:b/>
        </w:rPr>
        <w:t>Sous-classe et Mécanisme d'action :</w:t>
      </w:r>
      <w:r/>
    </w:p>
    <w:p>
      <w:pPr>
        <w:pStyle w:val="ListBullet"/>
      </w:pPr>
      <w:r>
        <w:t>Sous-classe : Sympathomimétique d'action mixte (D1/β1/α1), dose-dépendant.</w:t>
      </w:r>
    </w:p>
    <w:p>
      <w:pPr>
        <w:pStyle w:val="ListBullet"/>
      </w:pPr>
      <w:r>
        <w:t>Mécanisme d'action : la dopamine agit sur trois types de récepteurs selon la dose administrée :</w:t>
      </w:r>
    </w:p>
    <w:p>
      <w:pPr>
        <w:pStyle w:val="ListBullet"/>
      </w:pPr>
      <w:r>
        <w:t>Doses faibles (1–3 µg/kg/min) : activation des récepteurs dopaminergiques D1 (vasodilatation rénal, mésentérique, coronaire, cérébrale) et D2 (pré-synaptiques, inhibition de la libération de noradrénaline). Effet natriurétique et diurétique (augmentation du débit rénal, de la filtration glomérulaire et de la natriurèse).</w:t>
      </w:r>
    </w:p>
    <w:p>
      <w:pPr>
        <w:pStyle w:val="ListBullet"/>
      </w:pPr>
      <w:r>
        <w:t>Doses intermédiaires (3–5 µg/kg/min) : activation des récepteurs β1 cardiaques → inotropie positive (effet analogue à la dobutamine), augmentation du débit cardiaque, discrète tachycardie. Activation des récepteurs β1 rénaux → libération de rénine.</w:t>
      </w:r>
    </w:p>
    <w:p>
      <w:pPr>
        <w:pStyle w:val="ListBullet"/>
      </w:pPr>
      <w:r>
        <w:t>Doses élevées (&gt; 5–10 µg/kg/min) : activation des récepteurs α1 vasculaires → vasoconstriction artérielle et veineuse → élévation de la pression artérielle systémique et de la précharge, baisse de la perfusion rénale et splanchnique.</w:t>
      </w:r>
    </w:p>
    <w:p>
      <w:pPr>
        <w:pStyle w:val="ListBullet"/>
      </w:pPr>
      <w:r>
        <w:t>Pharmacocinétique : demi-vie très courte (≈ 2 minutes), métabolisme par MAO et COMT hépatique/rénal, élimination urinaire sous forme d'HVA (acide homovanillique). Perfusion continue IV stricte obligatoire.</w:t>
      </w:r>
    </w:p>
    <w:p>
      <w:r/>
      <w:r>
        <w:rPr>
          <w:b/>
        </w:rPr>
        <w:t>Profil Pharmacologique :</w:t>
      </w:r>
      <w:r/>
    </w:p>
    <w:p>
      <w:pPr>
        <w:pStyle w:val="ListBullet"/>
      </w:pPr>
      <w:r>
        <w:t>Indications : choc cardiogénique (post-IDM, post-chirurgie cardiaque) avec hypotension ; choc septique en cas d'échec ou de contre-indication à la noradrénaline ; insuffisance cardiaque aiguë décompensée avec bas débit et hypotension ; exceptionnellement, oligurie réfractaire en réanimation (à très faible dose, indication controversée).</w:t>
      </w:r>
    </w:p>
    <w:p>
      <w:pPr>
        <w:pStyle w:val="ListBullet"/>
      </w:pPr>
      <w:r>
        <w:t>Contre-indications : tachyarythmies ventriculaires non contrôlées ; phéochromocytome ; hypersensibilité ; association aux IMAO non sélectifs ; obstruction mécanique à l'éjection VG ; fibrillation ventriculaire ; patient sous IMAO (libération brutale de noradrénaline → crise hypertensive).</w:t>
      </w:r>
    </w:p>
    <w:p>
      <w:pPr>
        <w:pStyle w:val="ListBullet"/>
      </w:pPr>
      <w:r>
        <w:t>Effets Indésirables :</w:t>
      </w:r>
    </w:p>
    <w:p>
      <w:pPr>
        <w:pStyle w:val="ListBullet"/>
      </w:pPr>
      <w:r>
        <w:t>Cardiovasculaires (fréquents) : tachycardie sinusale, arythmies supraventriculaires et ventriculaires (ESV, TV, FV), ischémie myocardique, vasoconstriction périphérique (à dose élevée) → cyanose des extrémités, nécrose digitale en cas d'extravasation.</w:t>
      </w:r>
    </w:p>
    <w:p>
      <w:pPr>
        <w:pStyle w:val="ListBullet"/>
      </w:pPr>
      <w:r>
        <w:t>Digestifs : nausées, vomissements (effet D2 sur la CTZ).</w:t>
      </w:r>
    </w:p>
    <w:p>
      <w:pPr>
        <w:pStyle w:val="ListBullet"/>
      </w:pPr>
      <w:r>
        <w:t>Endocriniens : inhibition de la prolactine (effet D2 hypothalamo-hypophysaire).</w:t>
      </w:r>
    </w:p>
    <w:p>
      <w:pPr>
        <w:pStyle w:val="ListBullet"/>
      </w:pPr>
      <w:r>
        <w:t>Métaboliques : hyperglycémie (inhibition de l'insuline), hypo- ou hyperglycémie.</w:t>
      </w:r>
    </w:p>
    <w:p>
      <w:pPr>
        <w:pStyle w:val="ListBullet"/>
      </w:pPr>
      <w:r>
        <w:t>Locaux : nécrose tissulaire en cas d'extravasation (à traiter par phentolamine locale).</w:t>
      </w:r>
    </w:p>
    <w:p>
      <w:pPr>
        <w:pStyle w:val="ListBullet"/>
      </w:pPr>
      <w:r>
        <w:t>Neurologiques : exceptionnels mouvements anormaux.</w:t>
      </w:r>
    </w:p>
    <w:p>
      <w:r/>
      <w:r>
        <w:rPr>
          <w:b/>
        </w:rPr>
        <w:t>Prévention et Gestion des Effets Indésirables :</w:t>
      </w:r>
      <w:r/>
    </w:p>
    <w:p>
      <w:pPr>
        <w:pStyle w:val="ListBullet"/>
      </w:pPr>
      <w:r>
        <w:t>Mesures Préventives : monitorage ECG continu (scope), pression artérielle invasive, diurèse horaire, oxymétrie continue ; voie veineuse centrale recommandée ; correction préalable des troubles hydro-électrolytiques (K⁺, Mg²⁺), de l'hypovolémie, de l'hypoxie ; surveillance de la perfusion périphérique (coloration des extrémités).</w:t>
      </w:r>
    </w:p>
    <w:p>
      <w:pPr>
        <w:pStyle w:val="ListBullet"/>
      </w:pPr>
      <w:r>
        <w:t>Conduite à Tenir :</w:t>
      </w:r>
    </w:p>
    <w:p>
      <w:pPr>
        <w:pStyle w:val="ListBullet"/>
      </w:pPr>
      <w:r>
        <w:t>Tachycardie &gt; 130 bpm ou arythmies : réduire la dose de 50 %, envisager arrêt.</w:t>
      </w:r>
    </w:p>
    <w:p>
      <w:pPr>
        <w:pStyle w:val="ListBullet"/>
      </w:pPr>
      <w:r>
        <w:t>Extravasation : arrêt immédiat, infiltration locale de phentolamine (5–10 mg dans 10 mL NaCl 0,9 %).</w:t>
      </w:r>
    </w:p>
    <w:p>
      <w:pPr>
        <w:pStyle w:val="ListBullet"/>
      </w:pPr>
      <w:r>
        <w:t>Ischémie digitale (à dose élevée) : arrêt ou rotation vers noradrénaline.</w:t>
      </w:r>
    </w:p>
    <w:p>
      <w:pPr>
        <w:pStyle w:val="ListBullet"/>
      </w:pPr>
      <w:r>
        <w:t>Escape thérapeutique : rotation vers dobutamine (si choc cardiogénique pur), noradrénaline (si choc septique vasoplégique), milrinone ou lévosimendan.</w:t>
      </w:r>
    </w:p>
    <w:p>
      <w:r/>
      <w:r>
        <w:rPr>
          <w:b/>
        </w:rPr>
        <w:t>Interactions Importantes :</w:t>
      </w:r>
      <w:r/>
    </w:p>
    <w:p>
      <w:pPr>
        <w:pStyle w:val="ListBullet"/>
      </w:pPr>
      <w:r/>
      <w:r>
        <w:rPr>
          <w:b/>
        </w:rPr>
        <w:t>Dopamine + IMAO</w:t>
      </w:r>
      <w:r>
        <w:t xml:space="preserve"> : CI absolue (crise hypertensive).</w:t>
      </w:r>
    </w:p>
    <w:p>
      <w:pPr>
        <w:pStyle w:val="ListBullet"/>
      </w:pPr>
      <w:r/>
      <w:r>
        <w:rPr>
          <w:b/>
        </w:rPr>
        <w:t>Dopamine + β-bloquants</w:t>
      </w:r>
      <w:r>
        <w:t xml:space="preserve"> : antagonisme β1 (baisse d'efficacité inotrope), prédominance α1 → hypertension paradoxale.</w:t>
      </w:r>
    </w:p>
    <w:p>
      <w:pPr>
        <w:pStyle w:val="ListBullet"/>
      </w:pPr>
      <w:r/>
      <w:r>
        <w:rPr>
          <w:b/>
        </w:rPr>
        <w:t>Dopamine + Halogénés</w:t>
      </w:r>
      <w:r>
        <w:t xml:space="preserve"> : majoration de la sensibilité myocardique aux catécholamines → arythmies.</w:t>
      </w:r>
    </w:p>
    <w:p>
      <w:pPr>
        <w:pStyle w:val="ListBullet"/>
      </w:pPr>
      <w:r/>
      <w:r>
        <w:rPr>
          <w:b/>
        </w:rPr>
        <w:t>Dopamine + Antidépresseurs tricycliques</w:t>
      </w:r>
      <w:r>
        <w:t xml:space="preserve"> : potentialisation sympathomimétique.</w:t>
      </w:r>
    </w:p>
    <w:p>
      <w:pPr>
        <w:pStyle w:val="ListBullet"/>
      </w:pPr>
      <w:r/>
      <w:r>
        <w:rPr>
          <w:b/>
        </w:rPr>
        <w:t>Dopamine + Phénytoïne</w:t>
      </w:r>
      <w:r>
        <w:t xml:space="preserve"> : risque d'hypotension sévère et de bradycardie.</w:t>
      </w:r>
    </w:p>
    <w:p>
      <w:pPr>
        <w:pStyle w:val="ListBullet"/>
      </w:pPr>
      <w:r/>
      <w:r>
        <w:rPr>
          <w:b/>
        </w:rPr>
        <w:t>Dopamine + Ergométrine, Oxytocine</w:t>
      </w:r>
      <w:r>
        <w:t xml:space="preserve"> : risque d'hypertension grave.</w:t>
      </w:r>
    </w:p>
    <w:p>
      <w:pPr>
        <w:pStyle w:val="ListBullet"/>
      </w:pPr>
      <w:r/>
      <w:r>
        <w:rPr>
          <w:b/>
        </w:rPr>
        <w:t>Dopamine + Diurétiques</w:t>
      </w:r>
      <w:r>
        <w:t xml:space="preserve"> : effet diurétique potentialisé.</w:t>
      </w:r>
    </w:p>
    <w:p>
      <w:r/>
      <w:r>
        <w:rPr>
          <w:b/>
        </w:rPr>
        <w:t>Grossesse et Allaitement :</w:t>
      </w:r>
      <w:r/>
    </w:p>
    <w:p>
      <w:pPr>
        <w:pStyle w:val="ListBullet"/>
      </w:pPr>
      <w:r>
        <w:t>Grossesse : utilisable en cas d'urgence vitale maternelle. Pas d'effet tératogène démontré. Surveillance de la perfusion utéro-placentaire (à dose élevée, vasoconstriction utérine possible).</w:t>
      </w:r>
    </w:p>
    <w:p>
      <w:pPr>
        <w:pStyle w:val="ListBullet"/>
      </w:pPr>
      <w:r>
        <w:t>Allaitement : à éviter par précaution, mais possible en urgence (la dopamine est rapidement métabolisée).</w:t>
      </w:r>
    </w:p>
    <w:p>
      <w:pPr>
        <w:pStyle w:val="ListBullet"/>
      </w:pPr>
      <w:r>
        <w:t>Précisions : médicament de réanimation, réservé au milieu hospitalier spécialisé.</w:t>
      </w:r>
    </w:p>
    <w:p>
      <w:r/>
      <w:r>
        <w:rPr>
          <w:b/>
        </w:rPr>
        <w:t>Posologie et Mode d'administration (Standard) :</w:t>
      </w:r>
      <w:r/>
    </w:p>
    <w:p>
      <w:pPr>
        <w:pStyle w:val="ListBullet"/>
      </w:pPr>
      <w:r>
        <w:t>Adulte : perfusion IV continue à la seringue électrique.</w:t>
      </w:r>
    </w:p>
    <w:p>
      <w:pPr>
        <w:pStyle w:val="ListBullet"/>
      </w:pPr>
      <w:r>
        <w:t>Dose "dopaminergique" : 1–3 µg/kg/min (effet D1 rénal, natriurèse).</w:t>
      </w:r>
    </w:p>
    <w:p>
      <w:pPr>
        <w:pStyle w:val="ListBullet"/>
      </w:pPr>
      <w:r>
        <w:t>Dose "inotrope" : 3–5 µg/kg/min (effet β1 cardiaque).</w:t>
      </w:r>
    </w:p>
    <w:p>
      <w:pPr>
        <w:pStyle w:val="ListBullet"/>
      </w:pPr>
      <w:r>
        <w:t>Dose "vasopresseur" : 5–20 µg/kg/min (effet α1 vasculaire).</w:t>
      </w:r>
    </w:p>
    <w:p>
      <w:pPr>
        <w:pStyle w:val="ListBullet"/>
      </w:pPr>
      <w:r>
        <w:t>Dose maximale : 20–50 µg/kg/min (en cas de choc réfractaire).</w:t>
      </w:r>
    </w:p>
    <w:p>
      <w:pPr>
        <w:pStyle w:val="ListBullet"/>
      </w:pPr>
      <w:r>
        <w:t>Sujet âgé : pas d'adaptation, prudence.</w:t>
      </w:r>
    </w:p>
    <w:p>
      <w:pPr>
        <w:pStyle w:val="ListBullet"/>
      </w:pPr>
      <w:r>
        <w:t>Enfant : 1–20 µg/kg/min.</w:t>
      </w:r>
    </w:p>
    <w:p>
      <w:pPr>
        <w:pStyle w:val="ListBullet"/>
      </w:pPr>
      <w:r>
        <w:t>Insuffisance rénale/hépatique : pas d'adaptation.</w:t>
      </w:r>
    </w:p>
    <w:p>
      <w:pPr>
        <w:pStyle w:val="ListBullet"/>
      </w:pPr>
      <w:r>
        <w:t>Durée : limitée au strict nécessaire (idéalement &lt; 24 h).</w:t>
      </w:r>
    </w:p>
    <w:p>
      <w:pPr>
        <w:pStyle w:val="ListBullet"/>
      </w:pPr>
      <w:r>
        <w:t>Mode d'administration : perfusion IV continue stricte, voie veineuse centrale recommandée, seringue électrique, dilution standardisée (200 mg dans 50 mL de NaCl 0,9 % ou G5%).</w:t>
      </w:r>
    </w:p>
    <w:p>
      <w:r/>
      <w:r>
        <w:rPr>
          <w:b/>
        </w:rPr>
        <w:t>Arbitrage et Bénéfices des Formes Galéniques :</w:t>
      </w:r>
      <w:r/>
    </w:p>
    <w:p>
      <w:r>
        <w:t>Formes disponibles : solution injectable 40 mg/mL (DOPAMINE-200), 5 mg/mL (DOPAMINE Pierre Fabre), 40 mg/mL (DOPAMINE 200 Pierre Fabre). Conditionnements en ampoules de 5 ou 10 mL, en boîtes de 20 ou 50. La concentration 40 mg/mL (DOPAMINE-200) permet une dilution simplifiée (1 ampoule de 5 mL = 200 mg, à diluer dans 25 mL de NaCl 0,9 % → 8 mg/mL). Toutes les spécialités sont retirées ou non renouvelées en Algérie à avril 2026 — la dopamine n'est plus disponible en routine, ce qui impose un approvisionnement par importation ou un switch vers la noradrénaline ou la dobutamine selon le contexte.</w:t>
      </w:r>
    </w:p>
    <w:p>
      <w:r/>
      <w:r>
        <w:rPr>
          <w:b/>
        </w:rPr>
        <w:t>Instructions et Conseils au Patient :</w:t>
      </w:r>
      <w:r/>
    </w:p>
    <w:p>
      <w:pPr>
        <w:pStyle w:val="ListBullet"/>
      </w:pPr>
      <w:r>
        <w:t>Communication au comptoir : réservé à l'usage hospitalier (réanimation, USIC, bloc opératoire). Le pharmacien hospitalier doit : vérifier la dose prescrite (µg/kg/min), la dilution, la voie d'administration, le matériel de monitorage associé, l'absence de contre-indication (tachyarythmie, phéochromocytome, IMAO).</w:t>
      </w:r>
    </w:p>
    <w:p>
      <w:pPr>
        <w:pStyle w:val="ListBullet"/>
      </w:pPr>
      <w:r>
        <w:t>Mode d'utilisation pratique : dilution 200 mg dans 50 mL de NaCl 0,9 % (concentration 4 mg/mL) ; débit en mL/h selon poids et dose prescrite ; seringue électrique ; surveillance stricte.</w:t>
      </w:r>
    </w:p>
    <w:p>
      <w:r/>
      <w:r>
        <w:rPr>
          <w:b/>
        </w:rPr>
        <w:t>Notes, Règles d'Or &amp; Pièges au Comptoir :</w:t>
      </w:r>
      <w:r/>
    </w:p>
    <w:p>
      <w:pPr>
        <w:pStyle w:val="ListBullet"/>
      </w:pPr>
      <w:r>
        <w:t>Piège classique : patient sous β-bloquant à qui on administre dopamine. Effet α1 dominant → hypertension paradoxale.</w:t>
      </w:r>
    </w:p>
    <w:p>
      <w:pPr>
        <w:pStyle w:val="ListBullet"/>
      </w:pPr>
      <w:r>
        <w:t>Piège classique : patient sous IMAO. CI absolue (crise hypertensive).</w:t>
      </w:r>
    </w:p>
    <w:p>
      <w:pPr>
        <w:pStyle w:val="ListBullet"/>
      </w:pPr>
      <w:r>
        <w:t>Piège classique : perfusion à forte dose &gt; 10 µg/kg/min. Risque d'ischémie digitale, de nécrose tissulaire en cas d'extravasation.</w:t>
      </w:r>
    </w:p>
    <w:p>
      <w:pPr>
        <w:pStyle w:val="ListBullet"/>
      </w:pPr>
      <w:r>
        <w:t>Piège classique : la dopamine à faible dose (1–3 µg/kg/min) « rénorprotectrice » est un mythe réfuté par les études modernes (SOAP-II, ROSE-AK). À éviter en routine.</w:t>
      </w:r>
    </w:p>
    <w:p>
      <w:pPr>
        <w:pStyle w:val="ListBullet"/>
      </w:pPr>
      <w:r>
        <w:t>Règle de prise : perfusion IV continue stricte, en milieu spécialisé.</w:t>
      </w:r>
    </w:p>
    <w:p>
      <w:pPr>
        <w:pStyle w:val="ListBullet"/>
      </w:pPr>
      <w:r>
        <w:t>Préparation et Conservation : conservation &lt; 25 °C, à l'abri de la lumière. Solution diluée stable 24 h.</w:t>
      </w:r>
    </w:p>
    <w:p>
      <w:pPr>
        <w:pStyle w:val="ListBullet"/>
      </w:pPr>
      <w:r>
        <w:t>Piège du surdosage / Substitution : le surdosage se manifeste par vasoconstriction extrême, hypertension, arythmies. Réduction immédiate du débit, surveillance. En cas d'indisponibilité, switch vers noradrénaline (choc vasoplégique) ou dobutamine (choc cardiogénique pur).</w:t>
      </w:r>
    </w:p>
    <w:p>
      <w:pPr>
        <w:pStyle w:val="Heading3"/>
      </w:pPr>
      <w:r>
        <w:t>38.4.3 DCI : Milrinone (Inhibiteur de la PDE3 — Inotrope positif)</w:t>
      </w:r>
    </w:p>
    <w:p>
      <w:r/>
      <w:r>
        <w:rPr>
          <w:b/>
        </w:rPr>
        <w:t>Liste des Catégories :</w:t>
      </w:r>
      <w:r>
        <w:t xml:space="preserve"> Inotropes positifs — Inhibiteurs de la PDE3 ; Liste I.</w:t>
      </w:r>
    </w:p>
    <w:p>
      <w:r>
        <w:t>La milrinone est un inhibiteur sélectif de la phosphodiestérase de type 3 (PDE3), enzyme responsable de la dégradation de l'AMPc intracellulaire dans les cardiomyocytes et les cellules musculaires vasculaires. En inhibant la PDE3, la milrinone augmente la concentration intra-cellulaire d'AMPc, ce qui potentialise l'entrée de Ca²⁺ via les canaux L (Cav1.2) phosphorylés par la PKA (effet inotrope +) et la recapture du Ca²⁺ par la SERCA2a dans le réticulum sarcoplasmique (effet lusitrope +, amélioration du remplissage diastolique). Dans les cellules musculaires vasculaires, l'AMPc augmente provoque une vasodilatation artérielle et veineuse → effet inodilatateur. La milrinone a une demi-vie d'environ 2–3 heures (plus longue que la dobutamine), élimination rénale (80 % sous forme inchangée), nécessitant adaptation posologique en cas d'insuffisance rénale. Avantage majeur : son effet inotrope n'est pas médié par les récepteurs β1, donc non antagonisé par les β-bloquants — c'est l'inotrope de choix chez le patient sous β-bloquant. Indications : insuffisance cardiaque aiguë sévère en attente de transplantation, pont vers chirurgie cardiaque, ICC terminale réfractaire, choc cardiogénique post-chirurgie.</w:t>
      </w:r>
    </w:p>
    <w:p>
      <w:r/>
      <w:r>
        <w:rPr>
          <w:b/>
        </w:rPr>
        <w:t>Médicaments disponibles en Algérie (Marques, Laboratoires, Formes et Dosages) :</w:t>
      </w:r>
      <w:r/>
    </w:p>
    <w:p>
      <w:pPr>
        <w:pStyle w:val="ListBullet"/>
      </w:pPr>
      <w:r/>
      <w:r>
        <w:rPr>
          <w:b/>
        </w:rPr>
        <w:t>MILRINONE STRAGEN</w:t>
      </w:r>
      <w:r>
        <w:t xml:space="preserve"> (STRAGEN UK LIMITED) — Solution à diluer pour perfusion 10 mg/10 mL (1 mg/mL), B/10 ampoules de 10 mL — Statut : Actif</w:t>
      </w:r>
    </w:p>
    <w:p>
      <w:r/>
      <w:r>
        <w:rPr>
          <w:b/>
        </w:rPr>
        <w:t>Sous-classe et Mécanisme d'action :</w:t>
      </w:r>
      <w:r/>
    </w:p>
    <w:p>
      <w:pPr>
        <w:pStyle w:val="ListBullet"/>
      </w:pPr>
      <w:r>
        <w:t>Sous-classe : Inhibiteur de la phosphodiestérase de type 3 (PDE3), inotrope positif non-catécholaminergique.</w:t>
      </w:r>
    </w:p>
    <w:p>
      <w:pPr>
        <w:pStyle w:val="ListBullet"/>
      </w:pPr>
      <w:r>
        <w:t>Mécanisme d'action : la milrinone inhibe sélectivement la PDE3, isoenzyme localisée dans les cardiomyocytes, les cellules musculaires vasculaires et les plaquettes. La PDE3 hydrolyse l'AMPc en AMP inactive. En bloquant cette hydrolyse, la milrinone augmente la concentration intra-cellulaire d'AMPc. Conséquences :</w:t>
      </w:r>
    </w:p>
    <w:p>
      <w:pPr>
        <w:pStyle w:val="ListBullet"/>
      </w:pPr>
      <w:r>
        <w:t>Cardiaque (inotrope +) : l'AMPc active la PKA qui phosphoryle les canaux calciques L (Cav1.2), augmentant l'entrée de Ca²⁺ dans la cellule lors du potentiel d'action → potentialisation de la contraction. La PKA phosphoryle également le phospholamban, levant son inhibition sur la SERCA2a → recapture plus rapide du Ca²⁺ dans le réticulum sarcoplasmique → amélioration de la relaxation (lusitropie +).</w:t>
      </w:r>
    </w:p>
    <w:p>
      <w:pPr>
        <w:pStyle w:val="ListBullet"/>
      </w:pPr>
      <w:r>
        <w:t>Vasculaire (inodilatateur) : dans les cellules musculaires lisses vasculaires, l'AMPc augmente provoque une vasodilatation artérielle et veineuse → baisse de la post-charge et de la pré-charge → augmentation du volume d'éjection systolique et du débit cardiaque.</w:t>
      </w:r>
    </w:p>
    <w:p>
      <w:pPr>
        <w:pStyle w:val="ListBullet"/>
      </w:pPr>
      <w:r>
        <w:t>Plaque : inhibition de l'agrégation plaquettaire (effet anti-thrombotique mineur).</w:t>
      </w:r>
    </w:p>
    <w:p>
      <w:pPr>
        <w:pStyle w:val="ListBullet"/>
      </w:pPr>
      <w:r>
        <w:t>Pharmacocinétique : demi-vie ≈ 2–3 heures (plus longue que la dobutamine), métabolisme hépatique minimal (12 %), élimination rénale prédominante (80 % inchangée). Adaptation posologique nécessaire en cas d'insuffisance rénale.</w:t>
      </w:r>
    </w:p>
    <w:p>
      <w:r/>
      <w:r>
        <w:rPr>
          <w:b/>
        </w:rPr>
        <w:t>Profil Pharmacologique :</w:t>
      </w:r>
      <w:r/>
    </w:p>
    <w:p>
      <w:pPr>
        <w:pStyle w:val="ListBullet"/>
      </w:pPr>
      <w:r>
        <w:t>Indications : insuffisance cardiaque aiguë sévère (FEVG &lt; 25 %) en attente de transplantation cardiaque ; pont vers chirurgie cardiaque ou assistance ventriculaire ; choc cardiogénique post-chirurgie cardiaque (particulièrement en pédiatrie) ; ICC chronique terminale réfractaire ; alternative à la dobutamine en cas de β-bloquant concomitant.</w:t>
      </w:r>
    </w:p>
    <w:p>
      <w:pPr>
        <w:pStyle w:val="ListBullet"/>
      </w:pPr>
      <w:r>
        <w:t>Contre-indications : hypersensibilité ; obstruction mécanique à l'éjection VG (sténose aortique serrée, CMH obstructive) ; tachyarythmies ventriculaires non contrôlées ; insuffisance rénale sévère non dialysée (à adapter) ; IM aiguë récent (&lt; 48 h) en l'absence de choc réfractaire.</w:t>
      </w:r>
    </w:p>
    <w:p>
      <w:pPr>
        <w:pStyle w:val="ListBullet"/>
      </w:pPr>
      <w:r>
        <w:t>Effets Indésirables :</w:t>
      </w:r>
    </w:p>
    <w:p>
      <w:pPr>
        <w:pStyle w:val="ListBullet"/>
      </w:pPr>
      <w:r>
        <w:t>Cardiovasculaires (fréquents, dose-dépendants) : tachycardie sinusale, arythmies supraventriculaires et ventriculaires (ESV, TV, FV), hypotension artérielle (effet vasodilatateur puissant — parfois nécessité d'associer une vasopresseur).</w:t>
      </w:r>
    </w:p>
    <w:p>
      <w:pPr>
        <w:pStyle w:val="ListBullet"/>
      </w:pPr>
      <w:r>
        <w:t>Neurologiques : céphalées (vasodilatation cérébrale).</w:t>
      </w:r>
    </w:p>
    <w:p>
      <w:pPr>
        <w:pStyle w:val="ListBullet"/>
      </w:pPr>
      <w:r>
        <w:t>Métaboliques : hypokaliémie (effet β2-like), hyperglycémie.</w:t>
      </w:r>
    </w:p>
    <w:p>
      <w:pPr>
        <w:pStyle w:val="ListBullet"/>
      </w:pPr>
      <w:r>
        <w:t>Digestifs : nausées.</w:t>
      </w:r>
    </w:p>
    <w:p>
      <w:pPr>
        <w:pStyle w:val="ListBullet"/>
      </w:pPr>
      <w:r>
        <w:t>Plaquettaire : thrombocytopénie (rare, dose-dépendante).</w:t>
      </w:r>
    </w:p>
    <w:p>
      <w:pPr>
        <w:pStyle w:val="ListBullet"/>
      </w:pPr>
      <w:r>
        <w:t>Locaux : nécrose tissulaire en cas d'extravasation.</w:t>
      </w:r>
    </w:p>
    <w:p>
      <w:r/>
      <w:r>
        <w:rPr>
          <w:b/>
        </w:rPr>
        <w:t>Prévention et Gestion des Effets Indésirables :</w:t>
      </w:r>
      <w:r/>
    </w:p>
    <w:p>
      <w:pPr>
        <w:pStyle w:val="ListBullet"/>
      </w:pPr>
      <w:r>
        <w:t>Mesures Préventives : monitorage ECG continu, pression artérielle invasive (hypotension fréquente), diurèse horaire ; surveillance K⁺, glycémie, numération plaquettaire ; voie veineuse centrale ; correction préalable de l'hypovolémie (risque d'hypotension majeure).</w:t>
      </w:r>
    </w:p>
    <w:p>
      <w:pPr>
        <w:pStyle w:val="ListBullet"/>
      </w:pPr>
      <w:r>
        <w:t>Conduite à Tenir :</w:t>
      </w:r>
    </w:p>
    <w:p>
      <w:pPr>
        <w:pStyle w:val="ListBullet"/>
      </w:pPr>
      <w:r>
        <w:t>Hypotension : réduction dose, association avec noradrénaline si nécessaire.</w:t>
      </w:r>
    </w:p>
    <w:p>
      <w:pPr>
        <w:pStyle w:val="ListBullet"/>
      </w:pPr>
      <w:r>
        <w:t>Arythmies : réduction dose, correction K⁺, arrêt si TV/FV.</w:t>
      </w:r>
    </w:p>
    <w:p>
      <w:pPr>
        <w:pStyle w:val="ListBullet"/>
      </w:pPr>
      <w:r>
        <w:t>Thrombocytopénie : surveillance, arrêt si &lt; 100 G/L.</w:t>
      </w:r>
    </w:p>
    <w:p>
      <w:r/>
      <w:r>
        <w:rPr>
          <w:b/>
        </w:rPr>
        <w:t>Interactions Importantes :</w:t>
      </w:r>
      <w:r/>
    </w:p>
    <w:p>
      <w:pPr>
        <w:pStyle w:val="ListBullet"/>
      </w:pPr>
      <w:r/>
      <w:r>
        <w:rPr>
          <w:b/>
        </w:rPr>
        <w:t>Milrinone + Furosémide</w:t>
      </w:r>
      <w:r>
        <w:t xml:space="preserve"> : précipitation physique dans la tubulure (incompatibilité galénique — à ne pas mélanger dans la même voie de perfusion).</w:t>
      </w:r>
    </w:p>
    <w:p>
      <w:pPr>
        <w:pStyle w:val="ListBullet"/>
      </w:pPr>
      <w:r/>
      <w:r>
        <w:rPr>
          <w:b/>
        </w:rPr>
        <w:t>Milrinone + Dobutamine</w:t>
      </w:r>
      <w:r>
        <w:t xml:space="preserve"> : effet additif bénéfique (efficacité renforcée), mais majoration du risque arythmique.</w:t>
      </w:r>
    </w:p>
    <w:p>
      <w:pPr>
        <w:pStyle w:val="ListBullet"/>
      </w:pPr>
      <w:r/>
      <w:r>
        <w:rPr>
          <w:b/>
        </w:rPr>
        <w:t>Milrinone + β-bloquants</w:t>
      </w:r>
      <w:r>
        <w:t xml:space="preserve"> : pas d'antagonisme (avantage majeur vs dobutamine).</w:t>
      </w:r>
    </w:p>
    <w:p>
      <w:pPr>
        <w:pStyle w:val="ListBullet"/>
      </w:pPr>
      <w:r/>
      <w:r>
        <w:rPr>
          <w:b/>
        </w:rPr>
        <w:t>Milrinone + Digoxine</w:t>
      </w:r>
      <w:r>
        <w:t xml:space="preserve"> : pas d'interaction significative.</w:t>
      </w:r>
    </w:p>
    <w:p>
      <w:pPr>
        <w:pStyle w:val="ListBullet"/>
      </w:pPr>
      <w:r/>
      <w:r>
        <w:rPr>
          <w:b/>
        </w:rPr>
        <w:t>Milrinone + Inhibiteurs de l'enzyme de conversion, Diurétiques</w:t>
      </w:r>
      <w:r>
        <w:t xml:space="preserve"> : majoration de l'hypotension (effets additifs).</w:t>
      </w:r>
    </w:p>
    <w:p>
      <w:pPr>
        <w:pStyle w:val="ListBullet"/>
      </w:pPr>
      <w:r/>
      <w:r>
        <w:rPr>
          <w:b/>
        </w:rPr>
        <w:t>Milrinone + Dipyridamole</w:t>
      </w:r>
      <w:r>
        <w:t xml:space="preserve"> : majoration de l'effet vasodilatateur.</w:t>
      </w:r>
    </w:p>
    <w:p>
      <w:r/>
      <w:r>
        <w:rPr>
          <w:b/>
        </w:rPr>
        <w:t>Grossesse et Allaitement :</w:t>
      </w:r>
      <w:r/>
    </w:p>
    <w:p>
      <w:pPr>
        <w:pStyle w:val="ListBullet"/>
      </w:pPr>
      <w:r>
        <w:t>Grossesse : à éviter par précaution (données limitées), mais utilisable en cas d'urgence vitale maternelle. Pas d'effet tératogène démontré chez l'animal.</w:t>
      </w:r>
    </w:p>
    <w:p>
      <w:pPr>
        <w:pStyle w:val="ListBullet"/>
      </w:pPr>
      <w:r>
        <w:t>Allaitement : à éviter par précaution (données limitées).</w:t>
      </w:r>
    </w:p>
    <w:p>
      <w:pPr>
        <w:pStyle w:val="ListBullet"/>
      </w:pPr>
      <w:r>
        <w:t>Précisions : médicament de réanimation, réservé au milieu hospitalier spécialisé.</w:t>
      </w:r>
    </w:p>
    <w:p>
      <w:r/>
      <w:r>
        <w:rPr>
          <w:b/>
        </w:rPr>
        <w:t>Posologie et Mode d'administration (Standard) :</w:t>
      </w:r>
      <w:r/>
    </w:p>
    <w:p>
      <w:pPr>
        <w:pStyle w:val="ListBullet"/>
      </w:pPr>
      <w:r>
        <w:t>Adulte : dose de charge 50 µg/kg IV sur 10 min (optionnel, parfois omise en raison de l'hypotension), suivie d'une perfusion d'entretien de 0,375–0,75 µg/kg/min.</w:t>
      </w:r>
    </w:p>
    <w:p>
      <w:pPr>
        <w:pStyle w:val="ListBullet"/>
      </w:pPr>
      <w:r>
        <w:t>Sujet âgé : pas d'adaptation, prudence en cas d'insuffisance rénale.</w:t>
      </w:r>
    </w:p>
    <w:p>
      <w:pPr>
        <w:pStyle w:val="ListBullet"/>
      </w:pPr>
      <w:r>
        <w:t>Enfant : dose de charge 50–75 µg/kg, perfusion 0,5–0,75 µg/kg/min.</w:t>
      </w:r>
    </w:p>
    <w:p>
      <w:pPr>
        <w:pStyle w:val="ListBullet"/>
      </w:pPr>
      <w:r>
        <w:t>Insuffisance rénale : adaptation posologique obligatoire — ClCr 30–50 : 0,43 µg/kg/min ; ClCr 10–30 : 0,25 µg/kg/min ; ClCr &lt; 10 (dialysé) : 0,1 µg/kg/min.</w:t>
      </w:r>
    </w:p>
    <w:p>
      <w:pPr>
        <w:pStyle w:val="ListBullet"/>
      </w:pPr>
      <w:r>
        <w:t>Durée : limitée au strict nécessaire (idéalement &lt; 48–72 h, en raison du risque arythmique à long terme — étude OPTIME-CHF montrant une surmortalité à 60 jours en utilisation prolongée).</w:t>
      </w:r>
    </w:p>
    <w:p>
      <w:pPr>
        <w:pStyle w:val="ListBullet"/>
      </w:pPr>
      <w:r>
        <w:t>Mode d'administration : perfusion IV continue stricte, voie veineuse centrale, seringue électrique, dilution standardisée (10 mg dans 50 mL de NaCl 0,9 % ou G5% → 0,2 mg/mL).</w:t>
      </w:r>
    </w:p>
    <w:p>
      <w:r/>
      <w:r>
        <w:rPr>
          <w:b/>
        </w:rPr>
        <w:t>Arbitrage et Bénéfices des Formes Galéniques :</w:t>
      </w:r>
      <w:r/>
    </w:p>
    <w:p>
      <w:r>
        <w:t>Forme unique en Algérie : solution à diluer pour perfusion 10 mg/10 mL (MILRINONE STRAGEN). Concentration 1 mg/mL, à diluer avant perfusion. Conditionnement en boîte de 10 ampoules de 10 mL.</w:t>
      </w:r>
    </w:p>
    <w:p>
      <w:r/>
      <w:r>
        <w:rPr>
          <w:b/>
        </w:rPr>
        <w:t>Instructions et Conseils au Patient :</w:t>
      </w:r>
      <w:r/>
    </w:p>
    <w:p>
      <w:pPr>
        <w:pStyle w:val="ListBullet"/>
      </w:pPr>
      <w:r>
        <w:t>Communication au comptoir : réservé à l'usage hospitalier (réanimation, USIC, bloc opératoire). Le pharmacien hospitalier doit : vérifier la dose prescrite (µg/kg/min), la dilution, la voie d'administration, l'absence de mélange avec le furosémide dans la même tubulure, la fonction rénale (adaptation posologique), le statut β-bloquant du patient (indication de choix).</w:t>
      </w:r>
    </w:p>
    <w:p>
      <w:pPr>
        <w:pStyle w:val="ListBullet"/>
      </w:pPr>
      <w:r>
        <w:t>Mode d'utilisation pratique : dilution 10 mg dans 50 mL de NaCl 0,9 % (0,2 mg/mL) ; débit en mL/h selon poids et dose prescrite ; seringue électrique ; surveillance stricte.</w:t>
      </w:r>
    </w:p>
    <w:p>
      <w:r/>
      <w:r>
        <w:rPr>
          <w:b/>
        </w:rPr>
        <w:t>Notes, Règles d'Or &amp; Pièges au Comptoir :</w:t>
      </w:r>
      <w:r/>
    </w:p>
    <w:p>
      <w:pPr>
        <w:pStyle w:val="ListBullet"/>
      </w:pPr>
      <w:r>
        <w:t>Piège classique : mélange milrinone + furosémide dans la même tubulure → précipitation. Voies séparées obligatoires.</w:t>
      </w:r>
    </w:p>
    <w:p>
      <w:pPr>
        <w:pStyle w:val="ListBullet"/>
      </w:pPr>
      <w:r>
        <w:t>Piège classique : perfusion prolongée &gt; 72 h → surmortalité (OPTIME-CHF). Limiter la durée.</w:t>
      </w:r>
    </w:p>
    <w:p>
      <w:pPr>
        <w:pStyle w:val="ListBullet"/>
      </w:pPr>
      <w:r>
        <w:t>Piège classique : patient sous β-bloquant. La milrinone est l'inotrope de choix (effet non antagonisé).</w:t>
      </w:r>
    </w:p>
    <w:p>
      <w:pPr>
        <w:pStyle w:val="ListBullet"/>
      </w:pPr>
      <w:r>
        <w:t>Piège classique : hypotension initiale (effet vasodilatateur). Précharger en fluides avant initiation si possible, associer noradrénaline si nécessaire.</w:t>
      </w:r>
    </w:p>
    <w:p>
      <w:pPr>
        <w:pStyle w:val="ListBullet"/>
      </w:pPr>
      <w:r>
        <w:t>Piège classique : insuffisance rénale non adaptée → surdosage, arythmies.</w:t>
      </w:r>
    </w:p>
    <w:p>
      <w:pPr>
        <w:pStyle w:val="ListBullet"/>
      </w:pPr>
      <w:r>
        <w:t>Règle de prise : perfusion IV continue stricte, en milieu spécialisé.</w:t>
      </w:r>
    </w:p>
    <w:p>
      <w:pPr>
        <w:pStyle w:val="ListBullet"/>
      </w:pPr>
      <w:r>
        <w:t>Préparation et Conservation : conservation &lt; 25 °C, à l'abri de la lumière. Solution diluée stable 24 h.</w:t>
      </w:r>
    </w:p>
    <w:p>
      <w:pPr>
        <w:pStyle w:val="ListBullet"/>
      </w:pPr>
      <w:r>
        <w:t>Piège du surdosage / Substitution : pas d'alternative disponible en Algérie à la milrinone dans sa classe (l'amrinone est retirée). En cas d'indisponibilité, switch vers lévosimendan ou dobutamine.</w:t>
      </w:r>
    </w:p>
    <w:p>
      <w:pPr>
        <w:pStyle w:val="Heading3"/>
      </w:pPr>
      <w:r>
        <w:t>38.4.4 DCI : Lévosimendan (Sensibilisateur calcique — Inotrope positif)</w:t>
      </w:r>
    </w:p>
    <w:p>
      <w:r/>
      <w:r>
        <w:rPr>
          <w:b/>
        </w:rPr>
        <w:t>Liste des Catégories :</w:t>
      </w:r>
      <w:r>
        <w:t xml:space="preserve"> Inotropes positifs — Sensibilisateurs calciques ; Liste I.</w:t>
      </w:r>
    </w:p>
    <w:p>
      <w:r>
        <w:t>Le lévosimendan est le premier représentant d'une classe pharmacologique originale, les sensibilisateurs calciques du myocarde. Son mécanisme d'action est unique : il se fixe de manière calcium-dépendante à la troponine C cardiaque, stabilisant la conformation active du complexe troponine et prolongeant la contraction systolique sans perturber la diastole (le relâchement reste normal car l'effet est sensible au Ca²⁺ — à diastole, le Ca²⁺ intracellulaire baisse, le lévosimendan se détache de la troponine C, autorisant une relaxation normale). Le lévosimendan ouvre également les canaux K-ATP dépendants vasculaires → vasodilatation artérielle, veineuse et coronaire (effet inodilatateur). Enfin, il ouvre les canaux K-ATP mitochondriaux → effet cardioprotecteur (préconditionnement ischémique). Sa demi-vie d'élimination est courte (≈ 1 heure), mais il existe un métabolite actif OR-1896 à très longue demi-vie (≈ 75 heures), expliquant la prolongation des effets hémodynamiques bien au-delà de l'arrêt de la perfusion (généralement 7–10 jours). Indications : insuffisance cardiaque aiguë sévère décompensée avec décompensation, en particulier avec dysfonction VD ou composante ischémique ; pont vers transplantation ; choc cardiogénique réfractaire aux catécholamines. Études pivots : LIDO (2003, supériorité vs dobutamine), SURVIVE (2007, non-infériorité vs dobutamine en mortalité 31 jours), REVIVE (résultat décevant), LEVO-CTS (2017, chirurgie cardiaque). En pédiatrie, indication dans le choc septique pédiatrique avec dysfonction myocardique.</w:t>
      </w:r>
    </w:p>
    <w:p>
      <w:r/>
      <w:r>
        <w:rPr>
          <w:b/>
        </w:rPr>
        <w:t>Médicaments disponibles en Algérie (Marques, Laboratoires, Formes et Dosages) :</w:t>
      </w:r>
      <w:r/>
    </w:p>
    <w:p>
      <w:pPr>
        <w:pStyle w:val="ListBullet"/>
      </w:pPr>
      <w:r/>
      <w:r>
        <w:rPr>
          <w:b/>
        </w:rPr>
        <w:t>SIMDAX</w:t>
      </w:r>
      <w:r>
        <w:t xml:space="preserve"> (ORION CORPORATION, ORION PHARMA) — Concentré pour solution pour perfusion IV 2,5 mg/mL, B/01 flacon de 5 mL — Statut : Actif</w:t>
      </w:r>
    </w:p>
    <w:p>
      <w:r/>
      <w:r>
        <w:rPr>
          <w:b/>
        </w:rPr>
        <w:t>Sous-classe et Mécanisme d'action :</w:t>
      </w:r>
      <w:r/>
    </w:p>
    <w:p>
      <w:pPr>
        <w:pStyle w:val="ListBullet"/>
      </w:pPr>
      <w:r>
        <w:t>Sous-classe : Sensibilisateur calcique du myocarde, inotrope positif de la classe des sensibilisateurs au calcium.</w:t>
      </w:r>
    </w:p>
    <w:p>
      <w:pPr>
        <w:pStyle w:val="ListBullet"/>
      </w:pPr>
      <w:r>
        <w:t>Mécanisme d'action : triple mécanisme.</w:t>
      </w:r>
    </w:p>
    <w:p>
      <w:pPr>
        <w:pStyle w:val="ListBullet"/>
      </w:pPr>
      <w:r>
        <w:t>Sensibilisation calcique : le lévosimendan se fixe à la troponine C cardiaque de manière calcium-dépendante (en se liant au site N-terminal, qui n'est pas le site de fixation du Ca²⁺ mais dont la conformation est modulée par le Ca²⁺). Il stabilise la conformation active du complexe troponine, prolongeant la contraction systolique. À diastole, le Ca²⁺ intracellulaire baisse, le lévosimendan se détache → relaxation normale (pas d'altération de la diastole, à la différence des catécholamines qui augmentent le Ca²⁺ intra-cellulaire et peuvent altérer la relaxation).</w:t>
      </w:r>
    </w:p>
    <w:p>
      <w:pPr>
        <w:pStyle w:val="ListBullet"/>
      </w:pPr>
      <w:r>
        <w:t>Ouverture des canaux K-ATP vasculaires : vasodilatation artérielle systémique, veineuse, coronaire et pulmonaire → baisse de la pré-charge et de la post-charge, augmentation du débit coronaire, baisse de la pression artérielle pulmonaire (intérêt dans la dysfonction VD).</w:t>
      </w:r>
    </w:p>
    <w:p>
      <w:pPr>
        <w:pStyle w:val="ListBullet"/>
      </w:pPr>
      <w:r>
        <w:t>Ouverture des canaux K-ATP mitochondriaux : effet cardioprotecteur (préconditionnement ischémique), anti-apoptotique.</w:t>
      </w:r>
    </w:p>
    <w:p>
      <w:pPr>
        <w:pStyle w:val="ListBullet"/>
      </w:pPr>
      <w:r>
        <w:t>Pharmacocinétique : demi-vie d'élimination ≈ 1 heure ; métabolite actif OR-1896 à très longue demi-vie (≈ 75 heures). Effets hémodynamiques persistant 7–10 jours après l'arrêt de la perfusion.</w:t>
      </w:r>
    </w:p>
    <w:p>
      <w:r/>
      <w:r>
        <w:rPr>
          <w:b/>
        </w:rPr>
        <w:t>Profil Pharmacologique :</w:t>
      </w:r>
      <w:r/>
    </w:p>
    <w:p>
      <w:pPr>
        <w:pStyle w:val="ListBullet"/>
      </w:pPr>
      <w:r>
        <w:t>Indications : insuffisance cardiaque aiguë sévère décompensée (FEVG &lt; 30 %) ne répondant pas au traitement conventionnel (diurétiques IV, vasodilatateurs) ; pont vers transplantation cardiaque ou assistance ventriculaire ; choc cardiogénique réfractaire aux catécholamines ; dysfonction VD (embolie pulmonaire submassive, cœur pulmonaire aigu) ; choc septique avec dysfonction myocardique (en pédiatrie).</w:t>
      </w:r>
    </w:p>
    <w:p>
      <w:pPr>
        <w:pStyle w:val="ListBullet"/>
      </w:pPr>
      <w:r>
        <w:t>Contre-indications : hypersensibilité ; obstruction mécanique à l'éjection VG (sténose aortique serrée, CMH obstructive) ; obstruction à l'éjection VD (sténose pulmonaire) ; insuffisance hépatique sévère ; insuffisance rénale sévère non dialysée ; tachyarythmies ventriculaires non contrôlées ; hypotension sévère non corrigée (PAS &lt; 90 mmHg) avant expansion volémique ; association aux IMAO.</w:t>
      </w:r>
    </w:p>
    <w:p>
      <w:pPr>
        <w:pStyle w:val="ListBullet"/>
      </w:pPr>
      <w:r>
        <w:t>Effets Indésirables :</w:t>
      </w:r>
    </w:p>
    <w:p>
      <w:pPr>
        <w:pStyle w:val="ListBullet"/>
      </w:pPr>
      <w:r>
        <w:t>Cardiovasculaires (fréquents, liés à la vasodilatation) : hypotension artérielle (souvent marquée, nécessitant expansion volémique ou association avec noradrénaline), tachycardie sinusale (compensatrice), flush.</w:t>
      </w:r>
    </w:p>
    <w:p>
      <w:pPr>
        <w:pStyle w:val="ListBullet"/>
      </w:pPr>
      <w:r>
        <w:t>Arythmies : fibrillation atriale (2–5 %), tachycardie ventriculaire, allongement du QT (effet classe, surveillance ECG).</w:t>
      </w:r>
    </w:p>
    <w:p>
      <w:pPr>
        <w:pStyle w:val="ListBullet"/>
      </w:pPr>
      <w:r>
        <w:t>Digestifs : nausées, vomissements.</w:t>
      </w:r>
    </w:p>
    <w:p>
      <w:pPr>
        <w:pStyle w:val="ListBullet"/>
      </w:pPr>
      <w:r>
        <w:t>Métaboliques : hypokaliémie (à corriger avant administration).</w:t>
      </w:r>
    </w:p>
    <w:p>
      <w:pPr>
        <w:pStyle w:val="ListBullet"/>
      </w:pPr>
      <w:r>
        <w:t>Neurologiques : céphalées (vasodilatation cérébrale).</w:t>
      </w:r>
    </w:p>
    <w:p>
      <w:pPr>
        <w:pStyle w:val="ListBullet"/>
      </w:pPr>
      <w:r>
        <w:t>Hématologiques : exceptionnelle thrombocytopénie.</w:t>
      </w:r>
    </w:p>
    <w:p>
      <w:pPr>
        <w:pStyle w:val="ListBullet"/>
      </w:pPr>
      <w:r>
        <w:t>Mécanique : tolérance musculaire squelettique (effet sur les canaux K-ATP).</w:t>
      </w:r>
    </w:p>
    <w:p>
      <w:r/>
      <w:r>
        <w:rPr>
          <w:b/>
        </w:rPr>
        <w:t>Prévention et Gestion des Effets Indésirables :</w:t>
      </w:r>
      <w:r/>
    </w:p>
    <w:p>
      <w:pPr>
        <w:pStyle w:val="ListBullet"/>
      </w:pPr>
      <w:r>
        <w:t>Mesures Préventives : monitorage ECG continu (QT), pression artérielle invasive (risque d'hypotension majeure), diurèse horaire, oxymétrie continue ; correction préalable de l'hypovolémie (expansion volémique obligatoire avant initiation pour limiter l'hypotension), de l'hypokaliémie (K⁺ &gt; 4 mmol/L), des troubles du rythme ; surveillance de la troponine en cas de durée prolongée ; surveillance ECG pendant 7–10 jours après l'arrêt (en raison du métabolite actif à longue demi-vie).</w:t>
      </w:r>
    </w:p>
    <w:p>
      <w:pPr>
        <w:pStyle w:val="ListBullet"/>
      </w:pPr>
      <w:r>
        <w:t>Conduite à Tenir :</w:t>
      </w:r>
    </w:p>
    <w:p>
      <w:pPr>
        <w:pStyle w:val="ListBullet"/>
      </w:pPr>
      <w:r>
        <w:t>Hypotension : expansion volémique, association avec noradrénaline si nécessaire.</w:t>
      </w:r>
    </w:p>
    <w:p>
      <w:pPr>
        <w:pStyle w:val="ListBullet"/>
      </w:pPr>
      <w:r>
        <w:t>Allongement du QT &gt; 500 ms : arrêt ou réduction dose.</w:t>
      </w:r>
    </w:p>
    <w:p>
      <w:pPr>
        <w:pStyle w:val="ListBullet"/>
      </w:pPr>
      <w:r>
        <w:t>Tachyarythmies : arrêt, cardioversion si nécessaire.</w:t>
      </w:r>
    </w:p>
    <w:p>
      <w:pPr>
        <w:pStyle w:val="ListBullet"/>
      </w:pPr>
      <w:r>
        <w:t>Hypokaliémie : correction IV.</w:t>
      </w:r>
    </w:p>
    <w:p>
      <w:r/>
      <w:r>
        <w:rPr>
          <w:b/>
        </w:rPr>
        <w:t>Interactions Importantes :</w:t>
      </w:r>
      <w:r/>
    </w:p>
    <w:p>
      <w:pPr>
        <w:pStyle w:val="ListBullet"/>
      </w:pPr>
      <w:r/>
      <w:r>
        <w:rPr>
          <w:b/>
        </w:rPr>
        <w:t>Lévosimendan + β-bloquants</w:t>
      </w:r>
      <w:r>
        <w:t xml:space="preserve"> : pas d'antagonisme (avantage vs dobutamine).</w:t>
      </w:r>
    </w:p>
    <w:p>
      <w:pPr>
        <w:pStyle w:val="ListBullet"/>
      </w:pPr>
      <w:r/>
      <w:r>
        <w:rPr>
          <w:b/>
        </w:rPr>
        <w:t>Lévosimendan + IEC, ARA2, Diurétiques</w:t>
      </w:r>
      <w:r>
        <w:t xml:space="preserve"> : majoration de l'hypotension (effets additifs vasodilatateurs).</w:t>
      </w:r>
    </w:p>
    <w:p>
      <w:pPr>
        <w:pStyle w:val="ListBullet"/>
      </w:pPr>
      <w:r/>
      <w:r>
        <w:rPr>
          <w:b/>
        </w:rPr>
        <w:t>Lévosimendan + Dobutamine, Milrinone</w:t>
      </w:r>
      <w:r>
        <w:t xml:space="preserve"> : majoration du risque arythmique.</w:t>
      </w:r>
    </w:p>
    <w:p>
      <w:pPr>
        <w:pStyle w:val="ListBullet"/>
      </w:pPr>
      <w:r/>
      <w:r>
        <w:rPr>
          <w:b/>
        </w:rPr>
        <w:t>Lévosimendan + Médicaments allongeant le QT (macrolides, fluoroquinolones, antipsychotiques, antidépresseurs)</w:t>
      </w:r>
      <w:r>
        <w:t xml:space="preserve"> : majoration du QT, surveillance ECG.</w:t>
      </w:r>
    </w:p>
    <w:p>
      <w:pPr>
        <w:pStyle w:val="ListBullet"/>
      </w:pPr>
      <w:r/>
      <w:r>
        <w:rPr>
          <w:b/>
        </w:rPr>
        <w:t>Lévosimendan + IMAO</w:t>
      </w:r>
      <w:r>
        <w:t xml:space="preserve"> : CI absolue.</w:t>
      </w:r>
    </w:p>
    <w:p>
      <w:pPr>
        <w:pStyle w:val="ListBullet"/>
      </w:pPr>
      <w:r/>
      <w:r>
        <w:rPr>
          <w:b/>
        </w:rPr>
        <w:t>Lévosimendan + Dipyridamole</w:t>
      </w:r>
      <w:r>
        <w:t xml:space="preserve"> : potentialisation de l'effet vasodilatateur.</w:t>
      </w:r>
    </w:p>
    <w:p>
      <w:r/>
      <w:r>
        <w:rPr>
          <w:b/>
        </w:rPr>
        <w:t>Grossesse et Allaitement :</w:t>
      </w:r>
      <w:r/>
    </w:p>
    <w:p>
      <w:pPr>
        <w:pStyle w:val="ListBullet"/>
      </w:pPr>
      <w:r>
        <w:t>Grossesse : à éviter par précaution (données limitées chez l'animal). Utilisable en cas d'urgence vitale maternelle.</w:t>
      </w:r>
    </w:p>
    <w:p>
      <w:pPr>
        <w:pStyle w:val="ListBullet"/>
      </w:pPr>
      <w:r>
        <w:t>Allaitement : à éviter par précaution.</w:t>
      </w:r>
    </w:p>
    <w:p>
      <w:pPr>
        <w:pStyle w:val="ListBullet"/>
      </w:pPr>
      <w:r>
        <w:t>Précisions : médicament de réanimation, réservé au milieu hospitalier spécialisé.</w:t>
      </w:r>
    </w:p>
    <w:p>
      <w:r/>
      <w:r>
        <w:rPr>
          <w:b/>
        </w:rPr>
        <w:t>Posologie et Mode d'administration (Standard) :</w:t>
      </w:r>
      <w:r/>
    </w:p>
    <w:p>
      <w:pPr>
        <w:pStyle w:val="ListBullet"/>
      </w:pPr>
      <w:r>
        <w:t>Adulte : dose de charge 6–12 µg/kg IV sur 10 min (souvent omise en cas d'hypotension), suivie d'une perfusion d'entretien de 0,05–0,2 µg/kg/min pendant 24 heures.</w:t>
      </w:r>
    </w:p>
    <w:p>
      <w:pPr>
        <w:pStyle w:val="ListBullet"/>
      </w:pPr>
      <w:r>
        <w:t>Sujet âgé : pas d'adaptation, prudence en cas d'hypotension préexistante.</w:t>
      </w:r>
    </w:p>
    <w:p>
      <w:pPr>
        <w:pStyle w:val="ListBullet"/>
      </w:pPr>
      <w:r>
        <w:t>Enfant (choc septique pédiatrique) : dose de charge 12 µg/kg, perfusion 0,05–0,2 µg/kg/min.</w:t>
      </w:r>
    </w:p>
    <w:p>
      <w:pPr>
        <w:pStyle w:val="ListBullet"/>
      </w:pPr>
      <w:r>
        <w:t>Insuffisance rénale/hépatique modérée : pas d'adaptation (le métabolite OR-1896 peut s'accumuler en cas d'IRC sévère — surveillance).</w:t>
      </w:r>
    </w:p>
    <w:p>
      <w:pPr>
        <w:pStyle w:val="ListBullet"/>
      </w:pPr>
      <w:r>
        <w:t>Durée : perfusion unique de 24 h (suffisante en raison du métabolite actif à longue demi-vie). Pas de perfusion prolongée au-delà de 24 h.</w:t>
      </w:r>
    </w:p>
    <w:p>
      <w:pPr>
        <w:pStyle w:val="ListBullet"/>
      </w:pPr>
      <w:r>
        <w:t>Mode d'administration : perfusion IV continue stricte, voie veineuse centrale, seringue électrique, dilution standardisée (12,5 mg dans 50 mL de NaCl 0,9 % ou G5% → 0,25 mg/mL).</w:t>
      </w:r>
    </w:p>
    <w:p>
      <w:r/>
      <w:r>
        <w:rPr>
          <w:b/>
        </w:rPr>
        <w:t>Arbitrage et Bénéfices des Formes Galéniques :</w:t>
      </w:r>
      <w:r/>
    </w:p>
    <w:p>
      <w:r>
        <w:t>Forme unique en Algérie : concentré pour solution pour perfusion IV 2,5 mg/mL, flacon de 5 mL (12,5 mg par flacon). À diluer avant perfusion. Conditionnement en boîte de 1 flacon de 5 mL (calcul de la dilution selon poids du patient).</w:t>
      </w:r>
    </w:p>
    <w:p>
      <w:r/>
      <w:r>
        <w:rPr>
          <w:b/>
        </w:rPr>
        <w:t>Instructions et Conseils au Patient :</w:t>
      </w:r>
      <w:r/>
    </w:p>
    <w:p>
      <w:pPr>
        <w:pStyle w:val="ListBullet"/>
      </w:pPr>
      <w:r>
        <w:t>Communication au comptoir : réservé à l'usage hospitalier (réanimation, USIC, bloc opératoire). Le pharmacien hospitalier doit : vérifier la dose prescrite (dose de charge + perfusion), la dilution, la voie d'administration, l'absence d'hypotension non corrigée, l'absence d'allongement du QT préexistant, le statut volémique du patient.</w:t>
      </w:r>
    </w:p>
    <w:p>
      <w:pPr>
        <w:pStyle w:val="ListBullet"/>
      </w:pPr>
      <w:r>
        <w:t>Mode d'utilisation pratique : dilution 12,5 mg dans 50 mL de NaCl 0,9 % (0,25 mg/mL) ; débit en mL/h selon poids et dose prescrite ; seringue électrique ; surveillance stricte pendant et 7–10 jours après la perfusion (métabolite actif à longue demi-vie).</w:t>
      </w:r>
    </w:p>
    <w:p>
      <w:r/>
      <w:r>
        <w:rPr>
          <w:b/>
        </w:rPr>
        <w:t>Notes, Règles d'Or &amp; Pièges au Comptoir :</w:t>
      </w:r>
      <w:r/>
    </w:p>
    <w:p>
      <w:pPr>
        <w:pStyle w:val="ListBullet"/>
      </w:pPr>
      <w:r>
        <w:t>Piège classique : administration sans correction préalable de l'hypovolémie → hypotension majeure, collapsus.</w:t>
      </w:r>
    </w:p>
    <w:p>
      <w:pPr>
        <w:pStyle w:val="ListBullet"/>
      </w:pPr>
      <w:r>
        <w:t>Piège classique : association avec médicament allongeant le QT → torsades de pointes.</w:t>
      </w:r>
    </w:p>
    <w:p>
      <w:pPr>
        <w:pStyle w:val="ListBullet"/>
      </w:pPr>
      <w:r>
        <w:t>Piège classique : patient sous β-bloquant. Le lévosimendan est un choix de premier intention (effet préservé).</w:t>
      </w:r>
    </w:p>
    <w:p>
      <w:pPr>
        <w:pStyle w:val="ListBullet"/>
      </w:pPr>
      <w:r>
        <w:t>Piège classique : effet prolongé 7–10 jours après l'arrêt de la perfusion (métabolite actif). Surveillance prolongée nécessaire.</w:t>
      </w:r>
    </w:p>
    <w:p>
      <w:pPr>
        <w:pStyle w:val="ListBullet"/>
      </w:pPr>
      <w:r>
        <w:t>Piège classique : utilisation en dehors de l'urgence vitale (hors AMM en ICC chronique). Risque d'hypotension et d'arythmies.</w:t>
      </w:r>
    </w:p>
    <w:p>
      <w:pPr>
        <w:pStyle w:val="ListBullet"/>
      </w:pPr>
      <w:r>
        <w:t>Règle de prise : perfusion IV continue stricte, en milieu spécialisé, généralement 24 h.</w:t>
      </w:r>
    </w:p>
    <w:p>
      <w:pPr>
        <w:pStyle w:val="ListBullet"/>
      </w:pPr>
      <w:r>
        <w:t>Préparation et Conservation : conservation &lt; 25 °C, à l'abri de la lumière. Solution diluée stable 24 h.</w:t>
      </w:r>
    </w:p>
    <w:p>
      <w:pPr>
        <w:pStyle w:val="ListBullet"/>
      </w:pPr>
      <w:r>
        <w:t>Piège du surdosage / Substitution : pas d'alternative disponible en Algérie dans sa classe. En cas d'indisponibilité, switch vers milrinone ou dobutamine (mais perte du bénéfice spécifique du lévosimendan sur la dysfonction VD et l'effet cardioprotecteur).</w:t>
      </w:r>
    </w:p>
    <w:p>
      <w:pPr>
        <w:pStyle w:val="Heading2"/>
      </w:pPr>
      <w:r>
        <w:t>38.5 Fiches DCI — Associations Cardiovasculaires</w:t>
      </w:r>
    </w:p>
    <w:p>
      <w:pPr>
        <w:pStyle w:val="Heading3"/>
      </w:pPr>
      <w:r>
        <w:t>38.5.1 DCI : Amlodipine + Atorvastatine (ICA + Statine — Association fixe)</w:t>
      </w:r>
    </w:p>
    <w:p>
      <w:r/>
      <w:r>
        <w:rPr>
          <w:b/>
        </w:rPr>
        <w:t>Liste des Catégories :</w:t>
      </w:r>
      <w:r>
        <w:t xml:space="preserve"> ICA + Statine (associations cardiovasculaires) ; Liste I.</w:t>
      </w:r>
    </w:p>
    <w:p>
      <w:r>
        <w:t>L'association fixe amlodipine + atorvastatine (première du genre, initialement commercialisée sous le nom CADUET par Pfizer) combine un inhibiteur calcique dihydropyridinique de longue durée d'action (amlodipine) et une statine hautement puissante (atorvastatine), ciblant simultanément la composante tensionnelle et la composante lipidique du risque cardiovasculaire global. L'objectif est double : améliorer l'observance (un comprimé vs deux) et cibler simultanément deux facteurs de risque majeurs (HTA + dyslipidémie), conformément à l'approche globale du risque cardiovasculaire recommandée par les sociétés savantes. L'amlodipine, par sa longue demi-vie (30–50 h), autorise une prise unique journalière sans oscillation tensionnelle significative. L'atorvastatine, par sa longue demi-vie (14 h), permet également une prise unique à tout moment. L'association est indiquée chez le patient hypertendu avec dyslipidémie associée, en particulier en prévention secondaire (post-IDM, post-AVC). Étude pivot : l'étude AVALON (efficacité et tolérance de l'association fixe). En Algérie, deux spécialités sont disponibles : TORVAPINE (El Kendi) et AMLOVASTE (Saidal, non renouvelée).</w:t>
      </w:r>
    </w:p>
    <w:p>
      <w:r/>
      <w:r>
        <w:rPr>
          <w:b/>
        </w:rPr>
        <w:t>Médicaments disponibles en Algérie (Marques, Laboratoires, Formes et Dosages) :</w:t>
      </w:r>
      <w:r/>
    </w:p>
    <w:p>
      <w:pPr>
        <w:pStyle w:val="ListBullet"/>
      </w:pPr>
      <w:r/>
      <w:r>
        <w:rPr>
          <w:b/>
        </w:rPr>
        <w:t>TORVAPINE</w:t>
      </w:r>
      <w:r>
        <w:t xml:space="preserve"> (EL KENDI INDUSTRIE DU MEDICAMENT) — Comprimé pelliculé 5 mg/10 mg, B/30 — Statut : Actif</w:t>
      </w:r>
    </w:p>
    <w:p>
      <w:pPr>
        <w:pStyle w:val="ListBullet"/>
      </w:pPr>
      <w:r/>
      <w:r>
        <w:rPr>
          <w:b/>
        </w:rPr>
        <w:t>TORVAPINE</w:t>
      </w:r>
      <w:r>
        <w:t xml:space="preserve"> (EL KENDI INDUSTRIE DU MEDICAMENT) — Comprimé pelliculé 10 mg/10 mg, B/30 — Statut : Actif</w:t>
      </w:r>
    </w:p>
    <w:p>
      <w:pPr>
        <w:pStyle w:val="ListBullet"/>
      </w:pPr>
      <w:r/>
      <w:r>
        <w:rPr>
          <w:b/>
        </w:rPr>
        <w:t>AMLOVASTE</w:t>
      </w:r>
      <w:r>
        <w:t xml:space="preserve"> (GROUPE SAIDAL) — Comprimé pelliculé 5 mg/10 mg, B/30 — Statut : Non Renouvelable</w:t>
      </w:r>
    </w:p>
    <w:p>
      <w:r/>
      <w:r>
        <w:rPr>
          <w:b/>
        </w:rPr>
        <w:t>Sous-classe et Mécanisme d'action :</w:t>
      </w:r>
      <w:r/>
    </w:p>
    <w:p>
      <w:pPr>
        <w:pStyle w:val="ListBullet"/>
      </w:pPr>
      <w:r>
        <w:t>Sous-classe : Association fixe d'un inhibiteur calcique dihydropyridinique (amlodipine) et d'une statine hautement puissante (atorvastatine). Cible le risque CV global (PA + LDL).</w:t>
      </w:r>
    </w:p>
    <w:p>
      <w:pPr>
        <w:pStyle w:val="ListBullet"/>
      </w:pPr>
      <w:r>
        <w:t>Mécanisme d'action : double action synergique sur le risque cardiovasculaire.</w:t>
      </w:r>
    </w:p>
    <w:p>
      <w:pPr>
        <w:pStyle w:val="ListBullet"/>
      </w:pPr>
      <w:r>
        <w:t>Amlodipine : antagoniste des canaux calciques voltage-dépendants de type L (Cav1.2) au niveau du muscle vasculaire → inhibition de l'entrée du Ca²⁺ → vasodilatation artérielle périphérique → baisse des résistances vasculaires systémiques → baisse de la PA. Pas d'effet sur la conduction AV ni sur la fonction sinusale.</w:t>
      </w:r>
    </w:p>
    <w:p>
      <w:pPr>
        <w:pStyle w:val="ListBullet"/>
      </w:pPr>
      <w:r>
        <w:t>Atorvastatine : inhibition compétitive de l'HMG-CoA réductase → baisse du cholestérol intrahépatique → up-régulation du LDL-R → augmentation de la clairance du LDL-C circulant. Effets pléiotropes (stabilisation de la plaque, effet anti-inflammatoire, anti-thrombotique).</w:t>
      </w:r>
    </w:p>
    <w:p>
      <w:pPr>
        <w:pStyle w:val="ListBullet"/>
      </w:pPr>
      <w:r>
        <w:t>Synergie : l'amlodipine et l'atorvastatine agissent sur deux facteurs de risque indépendants (HTA et dyslipidémie) mais aussi de manière complémentaire sur la paroi artérielle (statine stabilisatrice de plaque, amlodipine réduisant la contrainte pulsatile).</w:t>
      </w:r>
    </w:p>
    <w:p>
      <w:r/>
      <w:r>
        <w:rPr>
          <w:b/>
        </w:rPr>
        <w:t>Profil Pharmacologique :</w:t>
      </w:r>
      <w:r/>
    </w:p>
    <w:p>
      <w:pPr>
        <w:pStyle w:val="ListBullet"/>
      </w:pPr>
      <w:r>
        <w:t>Indications : patient hypertendu avec dyslipidémie associée, en prévention primaire à haut risque (diabète, ATCD familiaux) ou en prévention secondaire (post-IDM, post-AVC, AOMI) ; objectif : simplification thérapeutique et observance renforcée.</w:t>
      </w:r>
    </w:p>
    <w:p>
      <w:pPr>
        <w:pStyle w:val="ListBullet"/>
      </w:pPr>
      <w:r>
        <w:t>Contre-indications : hépatopathie active (atorvastatine) ; myopathie évolutive ; grossesse, allaitement ; association à itraconazole, kétoconazole, clarithromycine, télithromycine, inhibiteurs de protéase (atorvastatine) ; insuffisance cardiaque sévère (amlodipine relative) ; hypotension sévère ; choc cardiogénique ; hypersensibilité à l'un des composants.</w:t>
      </w:r>
    </w:p>
    <w:p>
      <w:pPr>
        <w:pStyle w:val="ListBullet"/>
      </w:pPr>
      <w:r>
        <w:t>Effets Indésirables :</w:t>
      </w:r>
    </w:p>
    <w:p>
      <w:pPr>
        <w:pStyle w:val="ListBullet"/>
      </w:pPr>
      <w:r>
        <w:t>Amlodipine : œdèmes des membres inférieurs (vasodilatation précapillaire, 5–10 %), flush, céphalées, vertiges, palpitations (tachycardie réflexe), hyperplasie gingivale.</w:t>
      </w:r>
    </w:p>
    <w:p>
      <w:pPr>
        <w:pStyle w:val="ListBullet"/>
      </w:pPr>
      <w:r>
        <w:t>Atorvastatine : myalgie, élévation CPK, rhabdomyolyse rare, élévation transaminases, troubles digestifs, diabète incident.</w:t>
      </w:r>
    </w:p>
    <w:p>
      <w:pPr>
        <w:pStyle w:val="ListBullet"/>
      </w:pPr>
      <w:r>
        <w:t>Combination : hypotension, surtout en cas d'association à d'autres antihypertenseurs.</w:t>
      </w:r>
    </w:p>
    <w:p>
      <w:r/>
      <w:r>
        <w:rPr>
          <w:b/>
        </w:rPr>
        <w:t>Prévention et Gestion des Effets Indésirables :</w:t>
      </w:r>
      <w:r/>
    </w:p>
    <w:p>
      <w:pPr>
        <w:pStyle w:val="ListBullet"/>
      </w:pPr>
      <w:r>
        <w:t>Mesures Préventives : bilan hépatique avant et à 3 mois ; CPK avant traitement et si symptômes ; surveillance PA à l'initiation et à chaque titration (1, 4, 12 semaines) ; information patient sur la myalgie, le pamplemousse, les interactions.</w:t>
      </w:r>
    </w:p>
    <w:p>
      <w:pPr>
        <w:pStyle w:val="ListBullet"/>
      </w:pPr>
      <w:r>
        <w:t>Conduite à Tenir :</w:t>
      </w:r>
    </w:p>
    <w:p>
      <w:pPr>
        <w:pStyle w:val="ListBullet"/>
      </w:pPr>
      <w:r>
        <w:t>Hypotension : réduction dose ou séparation des composants.</w:t>
      </w:r>
    </w:p>
    <w:p>
      <w:pPr>
        <w:pStyle w:val="ListBullet"/>
      </w:pPr>
      <w:r>
        <w:t>Myalgie : arrêt transitoire, switch vers pravastatine + amlodipine séparés.</w:t>
      </w:r>
    </w:p>
    <w:p>
      <w:pPr>
        <w:pStyle w:val="ListBullet"/>
      </w:pPr>
      <w:r>
        <w:t>ALAT &gt; 3 × LSN : arrêt.</w:t>
      </w:r>
    </w:p>
    <w:p>
      <w:pPr>
        <w:pStyle w:val="ListBullet"/>
      </w:pPr>
      <w:r>
        <w:t>Œdèmes des membres inférieurs : switch vers ICA non-DHP (vérapamil), ou association IEC + ICA (effet IEC réduisant les œdèmes des ICA DHP).</w:t>
      </w:r>
    </w:p>
    <w:p>
      <w:r/>
      <w:r>
        <w:rPr>
          <w:b/>
        </w:rPr>
        <w:t>Interactions Importantes :</w:t>
      </w:r>
      <w:r/>
    </w:p>
    <w:p>
      <w:pPr>
        <w:pStyle w:val="ListBullet"/>
      </w:pPr>
      <w:r>
        <w:t>Toutes les interactions de l'atorvastatine s'appliquent (CYP3A4) : azolés, macrolides, inhibiteurs protéase, pamplemousse, cyclosporine.</w:t>
      </w:r>
    </w:p>
    <w:p>
      <w:pPr>
        <w:pStyle w:val="ListBullet"/>
      </w:pPr>
      <w:r/>
      <w:r>
        <w:rPr>
          <w:b/>
        </w:rPr>
        <w:t>Amlodipine + Atorvastatine + Inhibiteurs puissants du CYP3A4</w:t>
      </w:r>
      <w:r>
        <w:t xml:space="preserve"> : majoration de l'ASC de l'atorvastatine → risque myotoxique.</w:t>
      </w:r>
    </w:p>
    <w:p>
      <w:pPr>
        <w:pStyle w:val="ListBullet"/>
      </w:pPr>
      <w:r/>
      <w:r>
        <w:rPr>
          <w:b/>
        </w:rPr>
        <w:t>Amlodipine + Atorvastatine + Simvastatine</w:t>
      </w:r>
      <w:r>
        <w:t xml:space="preserve"> : pas d'association recommandée (limite simvastatine à 20 mg/j sous amlodipine).</w:t>
      </w:r>
    </w:p>
    <w:p>
      <w:pPr>
        <w:pStyle w:val="ListBullet"/>
      </w:pPr>
      <w:r/>
      <w:r>
        <w:rPr>
          <w:b/>
        </w:rPr>
        <w:t>Amlodipine + Atorvastatine + Warfarine</w:t>
      </w:r>
      <w:r>
        <w:t xml:space="preserve"> : majoration INR (atorvastatine), surveillance.</w:t>
      </w:r>
    </w:p>
    <w:p>
      <w:pPr>
        <w:pStyle w:val="ListBullet"/>
      </w:pPr>
      <w:r/>
      <w:r>
        <w:rPr>
          <w:b/>
        </w:rPr>
        <w:t>Amlodipine + Atorvastatine + Digoxine</w:t>
      </w:r>
      <w:r>
        <w:t xml:space="preserve"> : augmentation discrète de la digoxinémie.</w:t>
      </w:r>
    </w:p>
    <w:p>
      <w:pPr>
        <w:pStyle w:val="ListBullet"/>
      </w:pPr>
      <w:r/>
      <w:r>
        <w:rPr>
          <w:b/>
        </w:rPr>
        <w:t>Amlodipine + Atorvastatine + Jus de pamplemousse</w:t>
      </w:r>
      <w:r>
        <w:t xml:space="preserve"> : à proscrire.</w:t>
      </w:r>
    </w:p>
    <w:p>
      <w:r/>
      <w:r>
        <w:rPr>
          <w:b/>
        </w:rPr>
        <w:t>Grossesse et Allaitement :</w:t>
      </w:r>
      <w:r/>
    </w:p>
    <w:p>
      <w:pPr>
        <w:pStyle w:val="ListBullet"/>
      </w:pPr>
      <w:r>
        <w:t>Grossesse : CI absolue (atorvastatine tératogène). Contraception efficace indispensable.</w:t>
      </w:r>
    </w:p>
    <w:p>
      <w:pPr>
        <w:pStyle w:val="ListBullet"/>
      </w:pPr>
      <w:r>
        <w:t>Allaitement : CI absolue.</w:t>
      </w:r>
    </w:p>
    <w:p>
      <w:pPr>
        <w:pStyle w:val="ListBullet"/>
      </w:pPr>
      <w:r>
        <w:t>Précisions : chez la femme en âge de procréer, prescription uniquement sous contraception fiable.</w:t>
      </w:r>
    </w:p>
    <w:p>
      <w:r/>
      <w:r>
        <w:rPr>
          <w:b/>
        </w:rPr>
        <w:t>Posologie et Mode d'administration (Standard) :</w:t>
      </w:r>
      <w:r/>
    </w:p>
    <w:p>
      <w:pPr>
        <w:pStyle w:val="ListBullet"/>
      </w:pPr>
      <w:r>
        <w:t>Adulte : dose initiale 5 mg/10 mg (1 cp/j), dose usuelle 5 mg/10 mg à 10 mg/10 mg/j, dose maximale 10 mg/80 mg/j (non disponible en association fixe en Algérie — recourir à prises séparées).</w:t>
      </w:r>
    </w:p>
    <w:p>
      <w:pPr>
        <w:pStyle w:val="ListBullet"/>
      </w:pPr>
      <w:r>
        <w:t>Sujet âgé : dose initiale réduite à 5 mg/10 mg.</w:t>
      </w:r>
    </w:p>
    <w:p>
      <w:pPr>
        <w:pStyle w:val="ListBullet"/>
      </w:pPr>
      <w:r>
        <w:t>Insuffisance rénale : pas d'adaptation (atorvastatine non rénale, amlodipine peu modifiée).</w:t>
      </w:r>
    </w:p>
    <w:p>
      <w:pPr>
        <w:pStyle w:val="ListBullet"/>
      </w:pPr>
      <w:r>
        <w:t>Insuffisance hépatique : CI si hépatopathie active. Child-Pugh A : prudence.</w:t>
      </w:r>
    </w:p>
    <w:p>
      <w:pPr>
        <w:pStyle w:val="ListBullet"/>
      </w:pPr>
      <w:r>
        <w:t>Durée : au long cours, à vie.</w:t>
      </w:r>
    </w:p>
    <w:p>
      <w:pPr>
        <w:pStyle w:val="ListBullet"/>
      </w:pPr>
      <w:r>
        <w:t>Moment de prise : à tout moment, à heure fixe. Le soir souvent préféré pour inclure le moment de synthèse hépatique du cholestérol (mais l'atorvastatine peut être prise à tout moment).</w:t>
      </w:r>
    </w:p>
    <w:p>
      <w:r/>
      <w:r>
        <w:rPr>
          <w:b/>
        </w:rPr>
        <w:t>Arbitrage et Bénéfices des Formes Galéniques :</w:t>
      </w:r>
      <w:r/>
    </w:p>
    <w:p>
      <w:r>
        <w:t>Forme comprimé pelliculé 5 mg/10 mg et 10 mg/10 mg. Avantage : simplification de l'observance (1 cp/j au lieu de 2), couverture simultanée de deux facteurs de risque CV. Inconvénient : moindre flexibilité d'ajustement posologique (pas de titration indépendante des deux composants). Les dosages algériens disponibles sont limités (5/10 et 10/10) — pour atteindre la cible LDL-C, il peut être nécessaire d'ajouter l'atorvastatine en monothérapie ou de passer à prises séparées.</w:t>
      </w:r>
    </w:p>
    <w:p>
      <w:r/>
      <w:r>
        <w:rPr>
          <w:b/>
        </w:rPr>
        <w:t>Instructions et Conseils au Patient :</w:t>
      </w:r>
      <w:r/>
    </w:p>
    <w:p>
      <w:pPr>
        <w:pStyle w:val="ListBullet"/>
      </w:pPr>
      <w:r>
        <w:t>Communication au comptoir : « Ce médicament combine un antihypertenseur (amlodipine) et un hypolipémiant (atorvastatine) en un seul comprimé. Prenez-le une fois par jour à heure fixe. Évitez le pamplemousse. Prévenez votre médecin en cas de douleurs musculaires, urines foncées, jaunisse, fatigue, œdèmes des jambes. Faites vos bilans sanguins régulièrement. Ne l'arrêtez pas sans avis. »</w:t>
      </w:r>
    </w:p>
    <w:p>
      <w:pPr>
        <w:pStyle w:val="ListBullet"/>
      </w:pPr>
      <w:r>
        <w:t>Mode d'utilisation pratique : avaler avec un verre d'eau, à heure fixe, ne pas écraser. Oubli : ne pas doubler.</w:t>
      </w:r>
    </w:p>
    <w:p>
      <w:r/>
      <w:r>
        <w:rPr>
          <w:b/>
        </w:rPr>
        <w:t>Notes, Règles d'Or &amp; Pièges au Comptoir :</w:t>
      </w:r>
      <w:r/>
    </w:p>
    <w:p>
      <w:pPr>
        <w:pStyle w:val="ListBullet"/>
      </w:pPr>
      <w:r>
        <w:t>Piège classique : patient à qui on délivre clarithromycine ou itraconazole. Suspendre la statine pendant l'antibiothérapie.</w:t>
      </w:r>
    </w:p>
    <w:p>
      <w:pPr>
        <w:pStyle w:val="ListBullet"/>
      </w:pPr>
      <w:r>
        <w:t>Piège classique : patient avec œdèmes des jambes. Évoquer l'amlodipine — envisager switch vers association IEC + ICA non-DHP.</w:t>
      </w:r>
    </w:p>
    <w:p>
      <w:pPr>
        <w:pStyle w:val="ListBullet"/>
      </w:pPr>
      <w:r>
        <w:t>Piège classique : grossesse. CI absolue (statine).</w:t>
      </w:r>
    </w:p>
    <w:p>
      <w:pPr>
        <w:pStyle w:val="ListBullet"/>
      </w:pPr>
      <w:r>
        <w:t>Règle de prise : une prise/j à heure fixe.</w:t>
      </w:r>
    </w:p>
    <w:p>
      <w:pPr>
        <w:pStyle w:val="ListBullet"/>
      </w:pPr>
      <w:r>
        <w:t>Préparation et Conservation : &lt; 25 °C, à l'abri de l'humidité.</w:t>
      </w:r>
    </w:p>
    <w:p>
      <w:pPr>
        <w:pStyle w:val="ListBullet"/>
      </w:pPr>
      <w:r>
        <w:t>Piège du surdosage / Substitution : en cas de retrait de TORVAPINE, substituer par amlodipine + atorvastatine en comprimés séparés, à posologie équivalente.</w:t>
      </w:r>
    </w:p>
    <w:p>
      <w:pPr>
        <w:pStyle w:val="Heading3"/>
      </w:pPr>
      <w:r>
        <w:t>38.5.2 DCI : Amlodipine + Valsartan + Hydrochlorothiazide (Association triple antihypertensive)</w:t>
      </w:r>
    </w:p>
    <w:p>
      <w:r/>
      <w:r>
        <w:rPr>
          <w:b/>
        </w:rPr>
        <w:t>Liste des Catégories :</w:t>
      </w:r>
      <w:r>
        <w:t xml:space="preserve"> Antihypertenseurs — Associations triples ; Liste I.</w:t>
      </w:r>
    </w:p>
    <w:p>
      <w:r>
        <w:t>L'association triple fixe amlodipine + valsartan + hydrochlorothiazide combine trois classes antihypertensives : (i) un inhibiteur calcique dihydropyridinique (amlodipine) qui bloque les canaux calciques voltage-dépendants de type L au niveau du muscle vasculaire, induisant une vasodilatation artérielle périphérique ; (ii) un antagoniste des récepteurs de l'angiotensine II (valsartan) qui bloque sélectivement les récepteurs AT1, empêchant les effets vasoconstricteur, aldostéronosécréteur et trophique de l'angiotensine II ; (iii) un diurétique thiazidique (hydrochlorothiazide) qui inhibe le cotransporteur NaCl (NCC) dans le tube contourné distal, induisant une natriurèse et une réduction de la volémie. Cette triple action bloque simultanément le système rénine-angiotensine-aldostérone (SRAA), l'influx calcique vasculaire et la volémie, ciblant les trois mécanismes physiopathologiques principaux de l'HTA. L'association triple est indiquée dans l'HTA résistante (PA non contrôlée sous bithérapie à doses optimales, définie par ESH/ESC 2023), en particulier chez le patient avec atteinte d'organe cible. La combinaison valsartan + amlodipine + HCTZ est commercialisée en Algérie sous la marque CO EXVAL (El Kendi) à un dosage unique 10/320/25 mg. La variante LOTEVAN PLUS (Tabuk) propose des dosages variables avec valsartan 160 mg.</w:t>
      </w:r>
    </w:p>
    <w:p>
      <w:r/>
      <w:r>
        <w:rPr>
          <w:b/>
        </w:rPr>
        <w:t>Médicaments disponibles en Algérie (Marques, Laboratoires, Formes et Dosages) :</w:t>
      </w:r>
      <w:r/>
    </w:p>
    <w:p>
      <w:pPr>
        <w:pStyle w:val="ListBullet"/>
      </w:pPr>
      <w:r/>
      <w:r>
        <w:rPr>
          <w:b/>
        </w:rPr>
        <w:t>CO EXVAL</w:t>
      </w:r>
      <w:r>
        <w:t xml:space="preserve"> (EL KENDI INDUSTRIE DU MEDICAMENT) — Comprimé pelliculé 10 mg/320 mg/25 mg (Amlodipine/Valsartan/HCTZ), B/30 — Statut : Actif</w:t>
      </w:r>
    </w:p>
    <w:p>
      <w:r/>
      <w:r>
        <w:rPr>
          <w:b/>
        </w:rPr>
        <w:t>Sous-classe et Mécanisme d'action :</w:t>
      </w:r>
      <w:r/>
    </w:p>
    <w:p>
      <w:pPr>
        <w:pStyle w:val="ListBullet"/>
      </w:pPr>
      <w:r>
        <w:t>Sous-classe : Association triple antihypertensive (ARA2 + ICA DHP + thiazidique).</w:t>
      </w:r>
    </w:p>
    <w:p>
      <w:pPr>
        <w:pStyle w:val="ListBullet"/>
      </w:pPr>
      <w:r>
        <w:t>Mécanisme d'action : triple action synergique sur les trois axes physiopathologiques de l'HTA.</w:t>
      </w:r>
    </w:p>
    <w:p>
      <w:pPr>
        <w:pStyle w:val="ListBullet"/>
      </w:pPr>
      <w:r>
        <w:t>Amlodipine : antagoniste des canaux calciques voltage-dépendants de type L (Cav1.2) au niveau du muscle vasculaire lisse → inhibition de l'entrée du Ca²⁺ → vasodilatation artérielle périphérique → baisse des résistances vasculaires systémiques. Pas d'effet sur la conduction AV ni sur la fonction sinusale. Longue demi-vie (30–50 h) permettant une prise unique journalière sans oscillation tensionnelle.</w:t>
      </w:r>
    </w:p>
    <w:p>
      <w:pPr>
        <w:pStyle w:val="ListBullet"/>
      </w:pPr>
      <w:r>
        <w:t>Valsartan : antagoniste sélectif des récepteurs AT1 de l'angiotensine II → blocage des effets vasoconstricteur, aldostéronosécréteur, sympatho-activateur et trophique de l'angiotensine II. Pas d'effet sur la dégradation de la bradykinine (à la différence des IEC) → moindre risque de toux et d'angio-œdème. Demi-vie d'environ 6 h, mais durée d'action 24 h.</w:t>
      </w:r>
    </w:p>
    <w:p>
      <w:pPr>
        <w:pStyle w:val="ListBullet"/>
      </w:pPr>
      <w:r>
        <w:t>Hydrochlorothiazide : diurétique thiazidique inhibant le cotransporteur Na-Cl (NCC) au niveau du tube contourné distal → natriurèse, baisse de la volémie, baisse de la sensibilité vasculaire aux catécholamines. Synergie avec l'ARA2 : la baisse de la volémie active le SRAA, mais le valsartan bloque cette compensation. Le thiazidique prévient l'hyperkaliémie induite par l'ARA2.</w:t>
      </w:r>
    </w:p>
    <w:p>
      <w:pPr>
        <w:pStyle w:val="ListBullet"/>
      </w:pPr>
      <w:r>
        <w:t>Synergie : la triple action bloque simultanément le SRAA, l'influx calcique et la volémie, permettant un contrôle tensionnel optimal à dose modérée de chaque composant, limitant ainsi les effets indésirables dose-dépendants de chaque classe.</w:t>
      </w:r>
    </w:p>
    <w:p>
      <w:r/>
      <w:r>
        <w:rPr>
          <w:b/>
        </w:rPr>
        <w:t>Profil Pharmacologique :</w:t>
      </w:r>
      <w:r/>
    </w:p>
    <w:p>
      <w:pPr>
        <w:pStyle w:val="ListBullet"/>
      </w:pPr>
      <w:r>
        <w:t>Indications : HTA essentielle non contrôlée par une bithérapie (amlodipine + valsartan, ou valsartan + HCTZ, ou amlodipine + HCTZ) à doses optimales pendant au moins 4 semaines ; HTA résistante définie par PA non contrôlée sous 3 antihypertenseurs (dont un diurétique) à doses optimales (ESH/ESC 2023) ; HTA sévère avec atteinte d'organe cible (HVG, microalbuminurie, IRC) en escalade thérapeutique.</w:t>
      </w:r>
    </w:p>
    <w:p>
      <w:pPr>
        <w:pStyle w:val="ListBullet"/>
      </w:pPr>
      <w:r>
        <w:t>Contre-indications : hypersensibilité à l'un des composants ; insuffisance rénale sévère (ClCr &lt; 30) ; anurie ; angio-œdème sous IEC ou ARA2 ; sténose bilatérale des artères rénales ; grossesse (2e et 3e trimestres : fœtotoxicité ARA2) ; allaitement ; hypokaliémie, hyponatrémie non corrigées ; hyperuricémie symptomatique (goutte) ; association à lithium, à aliskirène (chez diabétique ou IRC).</w:t>
      </w:r>
    </w:p>
    <w:p>
      <w:pPr>
        <w:pStyle w:val="ListBullet"/>
      </w:pPr>
      <w:r>
        <w:t>Effets Indésirables :</w:t>
      </w:r>
    </w:p>
    <w:p>
      <w:pPr>
        <w:pStyle w:val="ListBullet"/>
      </w:pPr>
      <w:r>
        <w:t>Amlodipine : œdèmes des membres inférieurs (5–10 %), flush, céphalées, palpitations.</w:t>
      </w:r>
    </w:p>
    <w:p>
      <w:pPr>
        <w:pStyle w:val="ListBullet"/>
      </w:pPr>
      <w:r>
        <w:t>Valsartan : hypotension, hyperkaliémie, IR aiguë (surtout si sténose artère rénale, déplétion volémique), angio-œdème rare.</w:t>
      </w:r>
    </w:p>
    <w:p>
      <w:pPr>
        <w:pStyle w:val="ListBullet"/>
      </w:pPr>
      <w:r>
        <w:t>HCTZ : hypokaliémie, hyponatrémie, hyperuricémie, hyperglycémie, hypercalcémie, photosensibilité.</w:t>
      </w:r>
    </w:p>
    <w:p>
      <w:pPr>
        <w:pStyle w:val="ListBullet"/>
      </w:pPr>
      <w:r>
        <w:t>Combination : hypotension, surtout en cas d'association à d'autres antihypertenseurs, déshydratation, IR aiguë.</w:t>
      </w:r>
    </w:p>
    <w:p>
      <w:r/>
      <w:r>
        <w:rPr>
          <w:b/>
        </w:rPr>
        <w:t>Prévention et Gestion des Effets Indésirables :</w:t>
      </w:r>
      <w:r/>
    </w:p>
    <w:p>
      <w:pPr>
        <w:pStyle w:val="ListBullet"/>
      </w:pPr>
      <w:r>
        <w:t>Mesures Préventives : surveillance PA à l'initiation et à chaque titration (1, 4, 12 semaines) ; bilan rénal (créatinine, urée) et ionogramme (K⁺, Na⁺) avant traitement, à 2 semaines, à 1 mois puis tous les 6 mois ; contrôle de l'uricémie (surtout si antécédents de goutte) ; surveillance glycémie (effet diabétogène du thiazidique) ; information patient sur les signes d'hypotension (vertiges, surtout au lever), l'hyponatrémie (asthénie, confusion), l'hypokaliémie (crampes, palpitations).</w:t>
      </w:r>
    </w:p>
    <w:p>
      <w:pPr>
        <w:pStyle w:val="ListBullet"/>
      </w:pPr>
      <w:r>
        <w:t>Conduite à Tenir :</w:t>
      </w:r>
    </w:p>
    <w:p>
      <w:pPr>
        <w:pStyle w:val="ListBullet"/>
      </w:pPr>
      <w:r>
        <w:t>Hypotension : réduction dose ou séparation des composants.</w:t>
      </w:r>
    </w:p>
    <w:p>
      <w:pPr>
        <w:pStyle w:val="ListBullet"/>
      </w:pPr>
      <w:r>
        <w:t>IR aiguë : arrêt transitoire, réhydratation, réintroduction à dose réduite.</w:t>
      </w:r>
    </w:p>
    <w:p>
      <w:pPr>
        <w:pStyle w:val="ListBullet"/>
      </w:pPr>
      <w:r>
        <w:t>Hyperkaliémie &gt; 5,5 mmol/L : arrêt de l'ARA2, surveillance.</w:t>
      </w:r>
    </w:p>
    <w:p>
      <w:pPr>
        <w:pStyle w:val="ListBullet"/>
      </w:pPr>
      <w:r>
        <w:t>Hypokaliémie &lt; 3,5 mmol/L : supplémentation potassique ou switch vers IEC + ICA + diurétique épargneur de K⁺.</w:t>
      </w:r>
    </w:p>
    <w:p>
      <w:pPr>
        <w:pStyle w:val="ListBullet"/>
      </w:pPr>
      <w:r>
        <w:t>Hyperuricémie symptomatique : switch vers un diurétique non thiazidique.</w:t>
      </w:r>
    </w:p>
    <w:p>
      <w:r/>
      <w:r>
        <w:rPr>
          <w:b/>
        </w:rPr>
        <w:t>Interactions Importantes :</w:t>
      </w:r>
      <w:r/>
    </w:p>
    <w:p>
      <w:pPr>
        <w:pStyle w:val="ListBullet"/>
      </w:pPr>
      <w:r/>
      <w:r>
        <w:rPr>
          <w:b/>
        </w:rPr>
        <w:t>Association + IEC</w:t>
      </w:r>
      <w:r>
        <w:t xml:space="preserve"> : CI absolue (double blocage du SRAA, risque d'hyperkaliémie, IR aiguë).</w:t>
      </w:r>
    </w:p>
    <w:p>
      <w:pPr>
        <w:pStyle w:val="ListBullet"/>
      </w:pPr>
      <w:r/>
      <w:r>
        <w:rPr>
          <w:b/>
        </w:rPr>
        <w:t>Association + Aliskirène</w:t>
      </w:r>
      <w:r>
        <w:t xml:space="preserve"> : CI absolue chez diabétique ou IRC.</w:t>
      </w:r>
    </w:p>
    <w:p>
      <w:pPr>
        <w:pStyle w:val="ListBullet"/>
      </w:pPr>
      <w:r/>
      <w:r>
        <w:rPr>
          <w:b/>
        </w:rPr>
        <w:t>Association + Lithium</w:t>
      </w:r>
      <w:r>
        <w:t xml:space="preserve"> : augmentation de la lithémie (thiazidique), surveillance.</w:t>
      </w:r>
    </w:p>
    <w:p>
      <w:pPr>
        <w:pStyle w:val="ListBullet"/>
      </w:pPr>
      <w:r/>
      <w:r>
        <w:rPr>
          <w:b/>
        </w:rPr>
        <w:t>Association + AINS</w:t>
      </w:r>
      <w:r>
        <w:t xml:space="preserve"> : baisse de l'effet antihypertenseur, risque d'IR aiguë.</w:t>
      </w:r>
    </w:p>
    <w:p>
      <w:pPr>
        <w:pStyle w:val="ListBullet"/>
      </w:pPr>
      <w:r/>
      <w:r>
        <w:rPr>
          <w:b/>
        </w:rPr>
        <w:t>Association + K⁺ épargneurs (spironolactone, amiloride)</w:t>
      </w:r>
      <w:r>
        <w:t xml:space="preserve"> : risque d'hyperkaliémie.</w:t>
      </w:r>
    </w:p>
    <w:p>
      <w:pPr>
        <w:pStyle w:val="ListBullet"/>
      </w:pPr>
      <w:r/>
      <w:r>
        <w:rPr>
          <w:b/>
        </w:rPr>
        <w:t>Association + Digoxine</w:t>
      </w:r>
      <w:r>
        <w:t xml:space="preserve"> : surveillance (HCTZ → hypokaliémie favorisant la toxicité digoxinique).</w:t>
      </w:r>
    </w:p>
    <w:p>
      <w:pPr>
        <w:pStyle w:val="ListBullet"/>
      </w:pPr>
      <w:r/>
      <w:r>
        <w:rPr>
          <w:b/>
        </w:rPr>
        <w:t>Association + Statines</w:t>
      </w:r>
      <w:r>
        <w:t xml:space="preserve"> : pas d'interaction médicamenteuse significative, association utile (TORVAPINE pour le profil lipidique).</w:t>
      </w:r>
    </w:p>
    <w:p>
      <w:r/>
      <w:r>
        <w:rPr>
          <w:b/>
        </w:rPr>
        <w:t>Grossesse et Allaitement :</w:t>
      </w:r>
      <w:r/>
    </w:p>
    <w:p>
      <w:pPr>
        <w:pStyle w:val="ListBullet"/>
      </w:pPr>
      <w:r>
        <w:t>Grossesse : CI absolue à partir du 2e trimestre (fœtotoxicité ARA2 — oligoamnios, anurie fœtale, hypoplasie pulmonaire). Au 1er trimestre, à éviter par précaution. En cas de découverte fortuite d'une grossesse sous traitement, arrêter immédiatement et remplacer par un antihypertenseur compatible (labetalol, nicardipine, méthyldopa).</w:t>
      </w:r>
    </w:p>
    <w:p>
      <w:pPr>
        <w:pStyle w:val="ListBullet"/>
      </w:pPr>
      <w:r>
        <w:t>Allaitement : à éviter (HCTZ passe dans le lait, suppression de la lactation possible).</w:t>
      </w:r>
    </w:p>
    <w:p>
      <w:pPr>
        <w:pStyle w:val="ListBullet"/>
      </w:pPr>
      <w:r>
        <w:t>Précisions : chez la femme en âge de procréer, prescription sous contraception efficace.</w:t>
      </w:r>
    </w:p>
    <w:p>
      <w:r/>
      <w:r>
        <w:rPr>
          <w:b/>
        </w:rPr>
        <w:t>Posologie et Mode d'administration (Standard) :</w:t>
      </w:r>
      <w:r/>
    </w:p>
    <w:p>
      <w:pPr>
        <w:pStyle w:val="ListBullet"/>
      </w:pPr>
      <w:r>
        <w:t>Adulte : dose unique 10 mg/320 mg/25 mg (1 cp/j) le matin.</w:t>
      </w:r>
    </w:p>
    <w:p>
      <w:pPr>
        <w:pStyle w:val="ListBullet"/>
      </w:pPr>
      <w:r>
        <w:t>Sujet âgé : prudence, initier à dose réduite si possible (par prises séparées pour titration).</w:t>
      </w:r>
    </w:p>
    <w:p>
      <w:pPr>
        <w:pStyle w:val="ListBullet"/>
      </w:pPr>
      <w:r>
        <w:t>Insuffisance rénale modérée (ClCr 30–60) : surveillance créatinine et K⁺, adaptation si nécessaire.</w:t>
      </w:r>
    </w:p>
    <w:p>
      <w:pPr>
        <w:pStyle w:val="ListBullet"/>
      </w:pPr>
      <w:r>
        <w:t>Insuffisance rénale sévère (ClCr &lt; 30) : CI.</w:t>
      </w:r>
    </w:p>
    <w:p>
      <w:pPr>
        <w:pStyle w:val="ListBullet"/>
      </w:pPr>
      <w:r>
        <w:t>Insuffisance hépatique : CI si sévère.</w:t>
      </w:r>
    </w:p>
    <w:p>
      <w:pPr>
        <w:pStyle w:val="ListBullet"/>
      </w:pPr>
      <w:r>
        <w:t>Durée : au long cours.</w:t>
      </w:r>
    </w:p>
    <w:p>
      <w:pPr>
        <w:pStyle w:val="ListBullet"/>
      </w:pPr>
      <w:r>
        <w:t>Moment de prise : le matin, à heure fixe.</w:t>
      </w:r>
    </w:p>
    <w:p>
      <w:r/>
      <w:r>
        <w:rPr>
          <w:b/>
        </w:rPr>
        <w:t>Arbitrage et Bénéfices des Formes Galéniques :</w:t>
      </w:r>
      <w:r/>
    </w:p>
    <w:p>
      <w:r>
        <w:t>Forme unique disponible en Algérie : comprimé pelliculé 10 mg/320 mg/25 mg (CO EXVAL). Avantage : simplification de l'observance (1 cp/j au lieu de 3), synergie antihypertensive maximale, contrôle des HTA résistantes. Inconvénient : pas de titration indépendante des composants (nécessité de prises séparées en cas d'ajustement). La dose unique proposée correspond à la dose maximale usuelle, à réserver aux patients déjà stabilisés à ces posologies.</w:t>
      </w:r>
    </w:p>
    <w:p>
      <w:r/>
      <w:r>
        <w:rPr>
          <w:b/>
        </w:rPr>
        <w:t>Instructions et Conseils au Patient :</w:t>
      </w:r>
      <w:r/>
    </w:p>
    <w:p>
      <w:pPr>
        <w:pStyle w:val="ListBullet"/>
      </w:pPr>
      <w:r>
        <w:t>Communication au comptoir : « Ce médicament combine trois antihypertenseurs en un seul comprimé : un diurétique (HCTZ), un antagoniste de l'angiotensine (valsartan) et un inhibiteur calcique (amlodipine). Prenez-le le matin, à heure fixe. Prévenez votre médecin en cas de vertiges (surtout au lever), crampes, palpitations, œdèmes des jambes. Buvez normalement. Faites vos bilans sanguins (rénal, ionogramme) régulièrement. Ne l'arrêtez pas seul, surtout pas brutalement. »</w:t>
      </w:r>
    </w:p>
    <w:p>
      <w:pPr>
        <w:pStyle w:val="ListBullet"/>
      </w:pPr>
      <w:r>
        <w:t>Mode d'utilisation pratique : avaler avec un verre d'eau le matin. Oubli : ne pas doubler. Pas d'automédication AINS (ibuprofène) sans avis médical.</w:t>
      </w:r>
    </w:p>
    <w:p>
      <w:r/>
      <w:r>
        <w:rPr>
          <w:b/>
        </w:rPr>
        <w:t>Notes, Règles d'Or &amp; Pièges au Comptoir :</w:t>
      </w:r>
      <w:r/>
    </w:p>
    <w:p>
      <w:pPr>
        <w:pStyle w:val="ListBullet"/>
      </w:pPr>
      <w:r>
        <w:t>Piège classique : patient à qui on délivre un AINS (ibuprofène, naproxène). Baisse de l'effet antihypertenseur, risque d'IR aiguë.</w:t>
      </w:r>
    </w:p>
    <w:p>
      <w:pPr>
        <w:pStyle w:val="ListBullet"/>
      </w:pPr>
      <w:r>
        <w:t>Piège classique : femme enceinte. CI absolue (ARA2 fœtotoxique).</w:t>
      </w:r>
    </w:p>
    <w:p>
      <w:pPr>
        <w:pStyle w:val="ListBullet"/>
      </w:pPr>
      <w:r>
        <w:t>Piège classique : patient sous potassium (substitution). Risque d'hyperkaliémie.</w:t>
      </w:r>
    </w:p>
    <w:p>
      <w:pPr>
        <w:pStyle w:val="ListBullet"/>
      </w:pPr>
      <w:r>
        <w:t>Piège classique : patient diabétique sous metformine + cette association. Surveillance glycémie (HCTZ peut majorer l'hyperglycémie), fonction rénale (IR peut favoriser l'acidose lactique à la metformine).</w:t>
      </w:r>
    </w:p>
    <w:p>
      <w:pPr>
        <w:pStyle w:val="ListBullet"/>
      </w:pPr>
      <w:r>
        <w:t>Règle de prise : une prise/j le matin, à heure fixe.</w:t>
      </w:r>
    </w:p>
    <w:p>
      <w:pPr>
        <w:pStyle w:val="ListBullet"/>
      </w:pPr>
      <w:r>
        <w:t>Préparation et Conservation : &lt; 25 °C, à l'abri de l'humidité.</w:t>
      </w:r>
    </w:p>
    <w:p>
      <w:pPr>
        <w:pStyle w:val="ListBullet"/>
      </w:pPr>
      <w:r>
        <w:t>Piège du surdosage / Substitution : en cas d'indisponibilité, substituer par les 3 composants en prises séparées à posologie équivalente. Vérifier la tolérance et l'efficacité à 4 semaines.</w:t>
      </w:r>
    </w:p>
    <w:p>
      <w:pPr>
        <w:pStyle w:val="Heading3"/>
      </w:pPr>
      <w:r>
        <w:t>38.5.3 DCI : Périndopril + Indapamide + Amlodipine (Association triple antihypertensive)</w:t>
      </w:r>
    </w:p>
    <w:p>
      <w:r/>
      <w:r>
        <w:rPr>
          <w:b/>
        </w:rPr>
        <w:t>Liste des Catégories :</w:t>
      </w:r>
      <w:r>
        <w:t xml:space="preserve"> Antihypertenseurs — Associations triples ; Liste I.</w:t>
      </w:r>
    </w:p>
    <w:p>
      <w:r>
        <w:t>L'association fixe périndopril + indapamide + amlodipine combine trois classes antihypertensives : (i) un inhibiteur de l'enzyme de conversion (périndopril), qui bloque la conversion de l'angiotensine I en angiotensine II et la dégradation de la bradykinine → vasodilatation et baisse de l'aldostérone ; (ii) un diurétique thiazidique-like (indapamide), qui inhibe le cotransporteur NCC au niveau du tube contourné distal et présente également un effet vasodilatateur direct via l'ouverture des canaux potassiques ; (iii) un inhibiteur calcique dihydropyridinique (amlodipine), qui bloque les canaux calciques voltage-dépendants de type L au niveau du muscle vasculaire. La combinaison IEC + diurétique est l'une des associations de référence (études ADVANCE, HYVET, PROGRESS), avec bénéfice CV et rénal démontrés, notamment chez le diabétique et le sujet âgé. L'ajout d'un ICA renforce la baisse tensionnelle par un mécanisme complémentaire. Cette triple combinaison a été validée par l'étude TRINITY (efficacité supérieure de la triple association fixe vs bithérapies en termes de contrôle tensionnel). En Algérie, elle est disponible sous la marque PRATIMA TRIO (Hikma) en 4 dosages.</w:t>
      </w:r>
    </w:p>
    <w:p>
      <w:r/>
      <w:r>
        <w:rPr>
          <w:b/>
        </w:rPr>
        <w:t>Médicaments disponibles en Algérie (Marques, Laboratoires, Formes et Dosages) :</w:t>
      </w:r>
      <w:r/>
    </w:p>
    <w:p>
      <w:pPr>
        <w:pStyle w:val="ListBullet"/>
      </w:pPr>
      <w:r/>
      <w:r>
        <w:rPr>
          <w:b/>
        </w:rPr>
        <w:t>PRATIMA TRIO</w:t>
      </w:r>
      <w:r>
        <w:t xml:space="preserve"> (HIKMA PHARMA ALGERIA) — Comprimé pelliculé 5 mg/1,25 mg/5 mg (Périndopril/Indapamide/Amlodipine), B/30 — Statut : Actif</w:t>
      </w:r>
    </w:p>
    <w:p>
      <w:pPr>
        <w:pStyle w:val="ListBullet"/>
      </w:pPr>
      <w:r/>
      <w:r>
        <w:rPr>
          <w:b/>
        </w:rPr>
        <w:t>PRATIMA TRIO</w:t>
      </w:r>
      <w:r>
        <w:t xml:space="preserve"> (HIKMA PHARMA ALGERIA) — Comprimé pelliculé 5 mg/1,25 mg/10 mg, B/30 — Statut : Actif</w:t>
      </w:r>
    </w:p>
    <w:p>
      <w:pPr>
        <w:pStyle w:val="ListBullet"/>
      </w:pPr>
      <w:r/>
      <w:r>
        <w:rPr>
          <w:b/>
        </w:rPr>
        <w:t>PRATIMA TRIO</w:t>
      </w:r>
      <w:r>
        <w:t xml:space="preserve"> (HIKMA PHARMA ALGERIA) — Comprimé pelliculé 10 mg/2,5 mg/5 mg, B/30 — Statut : Actif</w:t>
      </w:r>
    </w:p>
    <w:p>
      <w:pPr>
        <w:pStyle w:val="ListBullet"/>
      </w:pPr>
      <w:r/>
      <w:r>
        <w:rPr>
          <w:b/>
        </w:rPr>
        <w:t>PRATIMA TRIO</w:t>
      </w:r>
      <w:r>
        <w:t xml:space="preserve"> (HIKMA PHARMA ALGERIA) — Comprimé pelliculé 10 mg/2,5 mg/10 mg, B/30 — Statut : Actif</w:t>
      </w:r>
    </w:p>
    <w:p>
      <w:r/>
      <w:r>
        <w:rPr>
          <w:b/>
        </w:rPr>
        <w:t>Sous-classe et Mécanisme d'action :</w:t>
      </w:r>
      <w:r/>
    </w:p>
    <w:p>
      <w:pPr>
        <w:pStyle w:val="ListBullet"/>
      </w:pPr>
      <w:r>
        <w:t>Sous-classe : Association triple antihypertensive (IEC + thiazidique-like + ICA DHP).</w:t>
      </w:r>
    </w:p>
    <w:p>
      <w:pPr>
        <w:pStyle w:val="ListBullet"/>
      </w:pPr>
      <w:r>
        <w:t>Mécanisme d'action : triple action synergique.</w:t>
      </w:r>
    </w:p>
    <w:p>
      <w:pPr>
        <w:pStyle w:val="ListBullet"/>
      </w:pPr>
      <w:r>
        <w:t>Périndopril (prodrogue → périndoprilate actif) : inhibition de l'enzyme de conversion de l'angiotensine (ECA) → blocage de la conversion angiotensine I → angiotensine II (vasoconstricteur puissant) et de la dégradation de la bradykinine (vasodilatateur) → vasodilatation veineuse et artérielle, baisse de l'aldostérone (réduction de la réabsorption tubulaire de Na⁺ et de l'excrétion de K⁺). Effet cardioprotecteur (régression de l'HVG, anti-fibrotique), néphroprotecteur (réduction de la protéinurie).</w:t>
      </w:r>
    </w:p>
    <w:p>
      <w:pPr>
        <w:pStyle w:val="ListBullet"/>
      </w:pPr>
      <w:r>
        <w:t>Indapamide : diurétique thiazidique-like (sulfonamide) inhibant le cotransporteur Na-Cl (NCC) au niveau du tube contourné distal. Effet natriurétique et déplétion volémique modérés. Effet vasodilatateur direct (ouverture des canaux K+ calcium-dépendants). Métabolisme hépatique, longue demi-vie (14–18 h).</w:t>
      </w:r>
    </w:p>
    <w:p>
      <w:pPr>
        <w:pStyle w:val="ListBullet"/>
      </w:pPr>
      <w:r>
        <w:t>Amlodipine : antagoniste des canaux calciques voltage-dépendants de type L au niveau du muscle vasculaire → vasodilatation artérielle périphérique. Longue demi-vie (30–50 h).</w:t>
      </w:r>
    </w:p>
    <w:p>
      <w:pPr>
        <w:pStyle w:val="ListBullet"/>
      </w:pPr>
      <w:r>
        <w:t>Synergie : l'IEC bloque l'activation compensatoire du SRAA induite par le diurétique ; l'IEC prévient l'hypokaliémie induite par le diurétique ; l'ICA majore la vasodilatation par un mécanisme indépendant.</w:t>
      </w:r>
    </w:p>
    <w:p>
      <w:r/>
      <w:r>
        <w:rPr>
          <w:b/>
        </w:rPr>
        <w:t>Profil Pharmacologique :</w:t>
      </w:r>
      <w:r/>
    </w:p>
    <w:p>
      <w:pPr>
        <w:pStyle w:val="ListBullet"/>
      </w:pPr>
      <w:r>
        <w:t>Indications : HTA essentielle non contrôlée par bithérapie (IEC + diurétique, ou IEC + ICA, ou diurétique + ICA) à doses optimales ; HTA résistante ; HTA avec atteinte d'organe cible (HVG, microalbuminurie, IRC diabétique) ; diabète de type 2 avec HTA (bénéfice néphroprotecteur démontré).</w:t>
      </w:r>
    </w:p>
    <w:p>
      <w:pPr>
        <w:pStyle w:val="ListBullet"/>
      </w:pPr>
      <w:r>
        <w:t>Contre-indications : hypersensibilité ; antécédent d'angio-œdème sous IEC ; insuffisance rénale sévère (ClCr &lt; 30) ; anurie ; sténose bilatérale des artères rénales ; grossesse (2e et 3e trimestres) ; allaitement ; hypokaliémie, hyponatrémie non corrigées ; association à lithium, aliskirène (chez diabétique ou IRC) ; diabète sous aliskirène.</w:t>
      </w:r>
    </w:p>
    <w:p>
      <w:pPr>
        <w:pStyle w:val="ListBullet"/>
      </w:pPr>
      <w:r>
        <w:t>Effets Indésirables :</w:t>
      </w:r>
    </w:p>
    <w:p>
      <w:pPr>
        <w:pStyle w:val="ListBullet"/>
      </w:pPr>
      <w:r>
        <w:t>Périndopril : toux sèche (5–10 %), hypotension, hyperkaliémie, IR aiguë, angio-œdème rare mais grave.</w:t>
      </w:r>
    </w:p>
    <w:p>
      <w:pPr>
        <w:pStyle w:val="ListBullet"/>
      </w:pPr>
      <w:r>
        <w:t>Indapamide : hypokaliémie, hyponatrémie, hyperuricémie, hyperglycémie, hypercalcémie, photosensibilité.</w:t>
      </w:r>
    </w:p>
    <w:p>
      <w:pPr>
        <w:pStyle w:val="ListBullet"/>
      </w:pPr>
      <w:r>
        <w:t>Amlodipine : œdèmes des membres inférieurs, flush, céphalées, palpitations.</w:t>
      </w:r>
    </w:p>
    <w:p>
      <w:pPr>
        <w:pStyle w:val="ListBullet"/>
      </w:pPr>
      <w:r>
        <w:t>Combination : hypotension (surtout à l'initiation), IR aiguë (surtout si déplétion volémique, sténose artère rénale).</w:t>
      </w:r>
    </w:p>
    <w:p>
      <w:r/>
      <w:r>
        <w:rPr>
          <w:b/>
        </w:rPr>
        <w:t>Prévention et Gestion des Effets Indésirables :</w:t>
      </w:r>
      <w:r/>
    </w:p>
    <w:p>
      <w:pPr>
        <w:pStyle w:val="ListBullet"/>
      </w:pPr>
      <w:r>
        <w:t>Mesures Préventives : surveillance PA (1, 4, 12 semaines) ; bilan rénal et ionogramme avant, à 2 sem, 1 mois puis 6 mois ; contrôle de l'uricémie (surtout si goutte) ; surveillance glycémie (effet diabétogène de l'indapamide, moindre que HCTZ) ; information patient sur les signes d'hypotension, l'angio-œdème (difficulté à respirer, œdème du visage — urgence).</w:t>
      </w:r>
    </w:p>
    <w:p>
      <w:pPr>
        <w:pStyle w:val="ListBullet"/>
      </w:pPr>
      <w:r>
        <w:t>Conduite à Tenir :</w:t>
      </w:r>
    </w:p>
    <w:p>
      <w:pPr>
        <w:pStyle w:val="ListBullet"/>
      </w:pPr>
      <w:r>
        <w:t>Hypotension : réduction dose, séparation des composants.</w:t>
      </w:r>
    </w:p>
    <w:p>
      <w:pPr>
        <w:pStyle w:val="ListBullet"/>
      </w:pPr>
      <w:r>
        <w:t>Toux sèche : switch vers ARA2 + diurétique + ICA.</w:t>
      </w:r>
    </w:p>
    <w:p>
      <w:pPr>
        <w:pStyle w:val="ListBullet"/>
      </w:pPr>
      <w:r>
        <w:t>Angio-œdème : arrêt définitif de l'IEC, switch vers ARA2.</w:t>
      </w:r>
    </w:p>
    <w:p>
      <w:pPr>
        <w:pStyle w:val="ListBullet"/>
      </w:pPr>
      <w:r>
        <w:t>IR aiguë : arrêt transitoire, réhydratation, réintroduction à dose réduite.</w:t>
      </w:r>
    </w:p>
    <w:p>
      <w:r/>
      <w:r>
        <w:rPr>
          <w:b/>
        </w:rPr>
        <w:t>Interactions Importantes :</w:t>
      </w:r>
      <w:r/>
    </w:p>
    <w:p>
      <w:pPr>
        <w:pStyle w:val="ListBullet"/>
      </w:pPr>
      <w:r/>
      <w:r>
        <w:rPr>
          <w:b/>
        </w:rPr>
        <w:t>Association + ARA2</w:t>
      </w:r>
      <w:r>
        <w:t xml:space="preserve"> : CI absolue (double blocage du SRAA).</w:t>
      </w:r>
    </w:p>
    <w:p>
      <w:pPr>
        <w:pStyle w:val="ListBullet"/>
      </w:pPr>
      <w:r/>
      <w:r>
        <w:rPr>
          <w:b/>
        </w:rPr>
        <w:t>Association + Aliskirène</w:t>
      </w:r>
      <w:r>
        <w:t xml:space="preserve"> : CI absolue chez diabétique ou IRC.</w:t>
      </w:r>
    </w:p>
    <w:p>
      <w:pPr>
        <w:pStyle w:val="ListBullet"/>
      </w:pPr>
      <w:r/>
      <w:r>
        <w:rPr>
          <w:b/>
        </w:rPr>
        <w:t>Association + Lithium</w:t>
      </w:r>
      <w:r>
        <w:t xml:space="preserve"> : majoration lithémie.</w:t>
      </w:r>
    </w:p>
    <w:p>
      <w:pPr>
        <w:pStyle w:val="ListBullet"/>
      </w:pPr>
      <w:r/>
      <w:r>
        <w:rPr>
          <w:b/>
        </w:rPr>
        <w:t>Association + AINS</w:t>
      </w:r>
      <w:r>
        <w:t xml:space="preserve"> : baisse effet, risque IR aiguë.</w:t>
      </w:r>
    </w:p>
    <w:p>
      <w:pPr>
        <w:pStyle w:val="ListBullet"/>
      </w:pPr>
      <w:r/>
      <w:r>
        <w:rPr>
          <w:b/>
        </w:rPr>
        <w:t>Association + K⁺ épargneurs</w:t>
      </w:r>
      <w:r>
        <w:t xml:space="preserve"> : risque d'hyperkaliémie.</w:t>
      </w:r>
    </w:p>
    <w:p>
      <w:pPr>
        <w:pStyle w:val="ListBullet"/>
      </w:pPr>
      <w:r/>
      <w:r>
        <w:rPr>
          <w:b/>
        </w:rPr>
        <w:t>Association + Digoxine</w:t>
      </w:r>
      <w:r>
        <w:t xml:space="preserve"> : surveillance (HCTZ → hypokaliémie favorisant toxicité digoxinique).</w:t>
      </w:r>
    </w:p>
    <w:p>
      <w:pPr>
        <w:pStyle w:val="ListBullet"/>
      </w:pPr>
      <w:r/>
      <w:r>
        <w:rPr>
          <w:b/>
        </w:rPr>
        <w:t>Association + Statines</w:t>
      </w:r>
      <w:r>
        <w:t xml:space="preserve"> : pas d'interaction significative.</w:t>
      </w:r>
    </w:p>
    <w:p>
      <w:r/>
      <w:r>
        <w:rPr>
          <w:b/>
        </w:rPr>
        <w:t>Grossesse et Allaitement :</w:t>
      </w:r>
      <w:r/>
    </w:p>
    <w:p>
      <w:pPr>
        <w:pStyle w:val="ListBullet"/>
      </w:pPr>
      <w:r>
        <w:t>Grossesse : CI absolue à partir du 2e trimestre (IEC fœtotoxique — oligoamnios, anurie fœtale, hypoplasie pulmonaire, malformations crâniennes). Au 1er trimestre, à éviter par précaution.</w:t>
      </w:r>
    </w:p>
    <w:p>
      <w:pPr>
        <w:pStyle w:val="ListBullet"/>
      </w:pPr>
      <w:r>
        <w:t>Allaitement : à éviter (indapamide passe dans le lait).</w:t>
      </w:r>
    </w:p>
    <w:p>
      <w:pPr>
        <w:pStyle w:val="ListBullet"/>
      </w:pPr>
      <w:r>
        <w:t>Précisions : chez la femme en âge de procréer, prescription sous contraception efficace. En cas de découverte fortuite d'une grossesse, arrêter immédiatement et remplacer par labetalol, nicardipine, méthyldopa.</w:t>
      </w:r>
    </w:p>
    <w:p>
      <w:r/>
      <w:r>
        <w:rPr>
          <w:b/>
        </w:rPr>
        <w:t>Posologie et Mode d'administration (Standard) :</w:t>
      </w:r>
      <w:r/>
    </w:p>
    <w:p>
      <w:pPr>
        <w:pStyle w:val="ListBullet"/>
      </w:pPr>
      <w:r>
        <w:t>Adulte : dose initiale 5 mg/1,25 mg/5 mg (1 cp/j le matin), dose usuelle 5/1,25/10 mg, 10/2,5/5 mg, dose maximale 10 mg/2,5 mg/10 mg/j.</w:t>
      </w:r>
    </w:p>
    <w:p>
      <w:pPr>
        <w:pStyle w:val="ListBullet"/>
      </w:pPr>
      <w:r>
        <w:t>Sujet âgé : dose initiale réduite à 5/1,25/5 mg, surveillance PA et fonction rénale.</w:t>
      </w:r>
    </w:p>
    <w:p>
      <w:pPr>
        <w:pStyle w:val="ListBullet"/>
      </w:pPr>
      <w:r>
        <w:t>Insuffisance rénale modérée (ClCr 30–60) : surveillance. Sévère (ClCr &lt; 30) : CI.</w:t>
      </w:r>
    </w:p>
    <w:p>
      <w:pPr>
        <w:pStyle w:val="ListBullet"/>
      </w:pPr>
      <w:r>
        <w:t>Insuffisance hépatique : CI si sévère.</w:t>
      </w:r>
    </w:p>
    <w:p>
      <w:pPr>
        <w:pStyle w:val="ListBullet"/>
      </w:pPr>
      <w:r>
        <w:t>Durée : au long cours.</w:t>
      </w:r>
    </w:p>
    <w:p>
      <w:pPr>
        <w:pStyle w:val="ListBullet"/>
      </w:pPr>
      <w:r>
        <w:t>Moment de prise : le matin, à heure fixe, de préférence avant le repas.</w:t>
      </w:r>
    </w:p>
    <w:p>
      <w:r/>
      <w:r>
        <w:rPr>
          <w:b/>
        </w:rPr>
        <w:t>Arbitrage et Bénéfices des Formes Galéniques :</w:t>
      </w:r>
      <w:r/>
    </w:p>
    <w:p>
      <w:r>
        <w:t>Forme comprimé pelliculé en 4 dosages (5/1,25/5, 5/1,25/10, 10/2,5/5, 10/2,5/10), permettant une escalade thérapeutique progressive. Avantage : simplicité d'observance, synergie antihypertensive maximale, bénéfice CV et rénal démontrés (PROGRESS, ADVANCE, HYVET). Inconvénient : moindre flexibilité d'ajustement indépendant des composants. La disponibilité de 4 dosages permet une titration par paliers.</w:t>
      </w:r>
    </w:p>
    <w:p>
      <w:r/>
      <w:r>
        <w:rPr>
          <w:b/>
        </w:rPr>
        <w:t>Instructions et Conseils au Patient :</w:t>
      </w:r>
      <w:r/>
    </w:p>
    <w:p>
      <w:pPr>
        <w:pStyle w:val="ListBullet"/>
      </w:pPr>
      <w:r>
        <w:t>Communication au comptoir : « Ce médicament combine trois antihypertenseurs en un seul comprimé : un IEC (périndopril), un diurétique (indapamide) et un inhibiteur calcique (amlodipine). Prenez-le le matin, à heure fixe, de préférence avant le repas. Prévenez votre médecin en cas de vertiges, toux sèche persistante, œdèmes des jambes, crampes, palpitations. Faites vos bilans sanguins régulièrement. Ne l'arrêtez pas seul. »</w:t>
      </w:r>
    </w:p>
    <w:p>
      <w:pPr>
        <w:pStyle w:val="ListBullet"/>
      </w:pPr>
      <w:r>
        <w:t>Mode d'utilisation pratique : avaler avec un verre d'eau le matin. Oubli : ne pas doubler. Pas d'automédication ANS sans avis médical.</w:t>
      </w:r>
    </w:p>
    <w:p>
      <w:r/>
      <w:r>
        <w:rPr>
          <w:b/>
        </w:rPr>
        <w:t>Notes, Règles d'Or &amp; Pièges au Comptoir :</w:t>
      </w:r>
      <w:r/>
    </w:p>
    <w:p>
      <w:pPr>
        <w:pStyle w:val="ListBullet"/>
      </w:pPr>
      <w:r>
        <w:t>Piège classique : toux sèche persistante chez patient sous IEC. Évoquer l'effet IEC, envisager switch vers association ARA2 + diurétique + ICA (CO EXVAL).</w:t>
      </w:r>
    </w:p>
    <w:p>
      <w:pPr>
        <w:pStyle w:val="ListBullet"/>
      </w:pPr>
      <w:r>
        <w:t>Piège classique : femme enceinte. CI absolue.</w:t>
      </w:r>
    </w:p>
    <w:p>
      <w:pPr>
        <w:pStyle w:val="ListBullet"/>
      </w:pPr>
      <w:r>
        <w:t>Piège classique : patient sous AINS au long cours. Risque IR aiguë.</w:t>
      </w:r>
    </w:p>
    <w:p>
      <w:pPr>
        <w:pStyle w:val="ListBullet"/>
      </w:pPr>
      <w:r>
        <w:t>Règle de prise : une prise/j le matin, à heure fixe.</w:t>
      </w:r>
    </w:p>
    <w:p>
      <w:pPr>
        <w:pStyle w:val="ListBullet"/>
      </w:pPr>
      <w:r>
        <w:t>Préparation et Conservation : &lt; 25 °C, à l'abri de l'humidité.</w:t>
      </w:r>
    </w:p>
    <w:p>
      <w:pPr>
        <w:pStyle w:val="ListBullet"/>
      </w:pPr>
      <w:r>
        <w:t>Piège du surdosage / Substitution : les 4 dosages permettent une titration progressive. Substitution possible vers les composants séparés si indisponibilité.</w:t>
      </w:r>
    </w:p>
    <w:p>
      <w:pPr>
        <w:pStyle w:val="Heading3"/>
      </w:pPr>
      <w:r>
        <w:t>38.5.4 DCI : Valsartan + Amlodipine + Hydrochlorothiazide (Association triple antihypertensive)</w:t>
      </w:r>
    </w:p>
    <w:p>
      <w:r/>
      <w:r>
        <w:rPr>
          <w:b/>
        </w:rPr>
        <w:t>Liste des Catégories :</w:t>
      </w:r>
      <w:r>
        <w:t xml:space="preserve"> Antihypertenseurs — Associations triples ; Liste I.</w:t>
      </w:r>
    </w:p>
    <w:p>
      <w:r>
        <w:t>L'association triple valsartan + amlodipine + hydrochlorothiazide (LOTEVAN PLUS, Tabuk) est équivalente pharmacologiquement à l'association amlodipine + valsartan + HCTZ (CO EXVAL) décrite plus haut, mais propose des dosages différents avec valsartan 160 mg (au lieu de 320 mg) et des combinaisons variables d'amlodipine (5 ou 10 mg) et d'HCTZ (12,5 ou 25 mg). Cette variété de dosages permet une escalade thérapeutique progressive et une meilleure adaptation aux profils tensionnels individuels. Le mécanisme d'action est identique : ARA2 (valsartan) + ICA DHP (amlodipine) + thiazidique (HCTZ), ciblant simultanément le SRAA, l'influx calcique vasculaire et la volémie. La diversité des dosages (4 combinaisons disponibles) permet de traiter l'HTA modérée à sévère, en escalade thérapeutique depuis la bithérapie valsartan + amlodipine (LOTEVAN) ou valsartan + HCTZ.</w:t>
      </w:r>
    </w:p>
    <w:p>
      <w:r/>
      <w:r>
        <w:rPr>
          <w:b/>
        </w:rPr>
        <w:t>Médicaments disponibles en Algérie (Marques, Laboratoires, Formes et Dosages) :</w:t>
      </w:r>
      <w:r/>
    </w:p>
    <w:p>
      <w:pPr>
        <w:pStyle w:val="ListBullet"/>
      </w:pPr>
      <w:r/>
      <w:r>
        <w:rPr>
          <w:b/>
        </w:rPr>
        <w:t>LOTEVAN PLUS</w:t>
      </w:r>
      <w:r>
        <w:t xml:space="preserve"> (TABUK ALGERIE) — Comprimé pelliculé 160 mg/5 mg/12,5 mg (Valsartan/Amlodipine/HCTZ), B/30 — Statut : Actif</w:t>
      </w:r>
    </w:p>
    <w:p>
      <w:pPr>
        <w:pStyle w:val="ListBullet"/>
      </w:pPr>
      <w:r/>
      <w:r>
        <w:rPr>
          <w:b/>
        </w:rPr>
        <w:t>LOTEVAN PLUS</w:t>
      </w:r>
      <w:r>
        <w:t xml:space="preserve"> (TABUK ALGERIE) — Comprimé pelliculé 160 mg/5 mg/25 mg, Boîte de 30 — Statut : Actif</w:t>
      </w:r>
    </w:p>
    <w:p>
      <w:pPr>
        <w:pStyle w:val="ListBullet"/>
      </w:pPr>
      <w:r/>
      <w:r>
        <w:rPr>
          <w:b/>
        </w:rPr>
        <w:t>LOTEVAN PLUS</w:t>
      </w:r>
      <w:r>
        <w:t xml:space="preserve"> (TABUK ALGERIE) — Comprimé pelliculé 160 mg/10 mg/12,5 mg, B/30 — Statut : Actif</w:t>
      </w:r>
    </w:p>
    <w:p>
      <w:pPr>
        <w:pStyle w:val="ListBullet"/>
      </w:pPr>
      <w:r/>
      <w:r>
        <w:rPr>
          <w:b/>
        </w:rPr>
        <w:t>LOTEVAN PLUS</w:t>
      </w:r>
      <w:r>
        <w:t xml:space="preserve"> (TABUK ALGERIE) — Comprimé pelliculé 160 mg/10 mg/25 mg, B/30 — Statut : Actif</w:t>
      </w:r>
    </w:p>
    <w:p>
      <w:r/>
      <w:r>
        <w:rPr>
          <w:b/>
        </w:rPr>
        <w:t>Sous-classe et Mécanisme d'action :</w:t>
      </w:r>
      <w:r/>
    </w:p>
    <w:p>
      <w:pPr>
        <w:pStyle w:val="ListBullet"/>
      </w:pPr>
      <w:r>
        <w:t>Sous-classe : Association triple antihypertensive (ARA2 + ICA DHP + thiazidique). Identique à CO EXVAL.</w:t>
      </w:r>
    </w:p>
    <w:p>
      <w:pPr>
        <w:pStyle w:val="ListBullet"/>
      </w:pPr>
      <w:r>
        <w:t>Mécanisme d'action : voir section 38.5.2. Triple action synergique sur les trois axes physiopathologiques de l'HTA : blocage du SRAA (valsartan), vasodilatation artérielle (amlodipine), réduction de volémie (HCTZ). Le valsartan bloque les récepteurs AT1, empêchant les effets de l'angiotensine II. L'amlodipine bloque les canaux calciques L vasculaires. L'HCTZ inhibe le cotransporteur NCC au niveau du tube contourné distal.</w:t>
      </w:r>
    </w:p>
    <w:p>
      <w:r/>
      <w:r>
        <w:rPr>
          <w:b/>
        </w:rPr>
        <w:t>Profil Pharmacologique :</w:t>
      </w:r>
      <w:r/>
    </w:p>
    <w:p>
      <w:pPr>
        <w:pStyle w:val="ListBullet"/>
      </w:pPr>
      <w:r>
        <w:t>Indications : HTA essentielle non contrôlée par bithérapie (valsartan + amlodipine, ou valsartan + HCTZ, ou amlodipine + HCTZ) à doses optimales ; HTA résistante ; HTA modérée à sévère avec indication d'une trithérapie d'emblée.</w:t>
      </w:r>
    </w:p>
    <w:p>
      <w:pPr>
        <w:pStyle w:val="ListBullet"/>
      </w:pPr>
      <w:r>
        <w:t>Contre-indications : identiques à CO EXVAL (hypersensibilité ; IRC sévère ; anurie ; angio-œdème ; sténose bilatérale des artères rénales ; grossesse 2e/3e trimestres ; allaitement ; hypokaliémie/hyponatrémie non corrigées ; association à lithium, aliskirène).</w:t>
      </w:r>
    </w:p>
    <w:p>
      <w:pPr>
        <w:pStyle w:val="ListBullet"/>
      </w:pPr>
      <w:r>
        <w:t>Effets Indésirables : identiques à CO EXVAL. Profil de tolérance du valsartan supérieur à celui des IEC (moins de toux, moins d'angio-œdème). Œdèmes des ICA plus marqués à 10 mg vs 5 mg.</w:t>
      </w:r>
    </w:p>
    <w:p>
      <w:r/>
      <w:r>
        <w:rPr>
          <w:b/>
        </w:rPr>
        <w:t>Prévention et Gestion des Effets Indésirables :</w:t>
      </w:r>
      <w:r/>
    </w:p>
    <w:p>
      <w:pPr>
        <w:pStyle w:val="ListBullet"/>
      </w:pPr>
      <w:r>
        <w:t>Identiques à CO EXVAL. Surveillance PA, bilan rénal et ionogramme, uricémie, glycémie. Adaptation posologique selon la tolérance.</w:t>
      </w:r>
    </w:p>
    <w:p>
      <w:r/>
      <w:r>
        <w:rPr>
          <w:b/>
        </w:rPr>
        <w:t>Interactions Importantes :</w:t>
      </w:r>
      <w:r/>
    </w:p>
    <w:p>
      <w:pPr>
        <w:pStyle w:val="ListBullet"/>
      </w:pPr>
      <w:r>
        <w:t>Identiques à CO EXVAL. CI absolue : association à IEC, aliskirène (chez diabétique ou IRC), lithium. Surveillance : AINS, digoxine, potassium épargneurs.</w:t>
      </w:r>
    </w:p>
    <w:p>
      <w:r/>
      <w:r>
        <w:rPr>
          <w:b/>
        </w:rPr>
        <w:t>Grossesse et Allaitement :</w:t>
      </w:r>
      <w:r/>
    </w:p>
    <w:p>
      <w:pPr>
        <w:pStyle w:val="ListBullet"/>
      </w:pPr>
      <w:r>
        <w:t>Identiques à CO EXVAL. CI absolue à partir du 2e trimestre (ARA2 fœtotoxique). À éviter au 1er trimestre.</w:t>
      </w:r>
    </w:p>
    <w:p>
      <w:r/>
      <w:r>
        <w:rPr>
          <w:b/>
        </w:rPr>
        <w:t>Posologie et Mode d'administration (Standard) :</w:t>
      </w:r>
      <w:r/>
    </w:p>
    <w:p>
      <w:pPr>
        <w:pStyle w:val="ListBullet"/>
      </w:pPr>
      <w:r>
        <w:t>Adulte : dose initiale 160 mg/5 mg/12,5 mg (1 cp/j le matin), escalade à 160/5/25 mg, 160/10/12,5 mg, dose maximale 160 mg/10 mg/25 mg/j.</w:t>
      </w:r>
    </w:p>
    <w:p>
      <w:pPr>
        <w:pStyle w:val="ListBullet"/>
      </w:pPr>
      <w:r>
        <w:t>Sujet âgé : initier à dose réduite 160/5/12,5 mg.</w:t>
      </w:r>
    </w:p>
    <w:p>
      <w:pPr>
        <w:pStyle w:val="ListBullet"/>
      </w:pPr>
      <w:r>
        <w:t>Insuffisance rénale modérée : surveillance. Sévère (ClCr &lt; 30) : CI.</w:t>
      </w:r>
    </w:p>
    <w:p>
      <w:pPr>
        <w:pStyle w:val="ListBullet"/>
      </w:pPr>
      <w:r>
        <w:t>Durée : au long cours.</w:t>
      </w:r>
    </w:p>
    <w:p>
      <w:pPr>
        <w:pStyle w:val="ListBullet"/>
      </w:pPr>
      <w:r>
        <w:t>Moment de prise : le matin, à heure fixe.</w:t>
      </w:r>
    </w:p>
    <w:p>
      <w:r/>
      <w:r>
        <w:rPr>
          <w:b/>
        </w:rPr>
        <w:t>Arbitrage et Bénéfices des Formes Galéniques :</w:t>
      </w:r>
      <w:r/>
    </w:p>
    <w:p>
      <w:r>
        <w:t>4 dosages disponibles (160/5/12,5 ; 160/5/25 ; 160/10/12,5 ; 160/10/25), permettant une titration progressive. Avantage vs CO EXVAL : flexibilité d'adaptation supérieure, dosage de valsartan (160 mg) adapté à la majorité des patients (vs 320 mg qui correspond à la dose maximale). Inconvénient : 4 comprimés distincts à reconnaître au comptoir.</w:t>
      </w:r>
    </w:p>
    <w:p>
      <w:r/>
      <w:r>
        <w:rPr>
          <w:b/>
        </w:rPr>
        <w:t>Instructions et Conseils au Patient :</w:t>
      </w:r>
      <w:r/>
    </w:p>
    <w:p>
      <w:pPr>
        <w:pStyle w:val="ListBullet"/>
      </w:pPr>
      <w:r>
        <w:t>Identiques à CO EXVAL. Prévenir vertiges, crampes, palpitations, œdèmes. Pas d'AINS sans avis. Surveillance régulière.</w:t>
      </w:r>
    </w:p>
    <w:p>
      <w:r/>
      <w:r>
        <w:rPr>
          <w:b/>
        </w:rPr>
        <w:t>Notes, Règles d'Or &amp; Pièges au Comptoir :</w:t>
      </w:r>
      <w:r/>
    </w:p>
    <w:p>
      <w:pPr>
        <w:pStyle w:val="ListBullet"/>
      </w:pPr>
      <w:r>
        <w:t>Identiques à CO EXVAL.</w:t>
      </w:r>
    </w:p>
    <w:p>
      <w:pPr>
        <w:pStyle w:val="ListBullet"/>
      </w:pPr>
      <w:r>
        <w:t>Particularité : LOTEVAN PLUS propose 4 dosages vs un seul pour CO EXVAL — meilleure flexibilité thérapeutique.</w:t>
      </w:r>
    </w:p>
    <w:p>
      <w:pPr>
        <w:pStyle w:val="ListBullet"/>
      </w:pPr>
      <w:r>
        <w:t>Règle de prise : une prise/j le matin.</w:t>
      </w:r>
    </w:p>
    <w:p>
      <w:pPr>
        <w:pStyle w:val="ListBullet"/>
      </w:pPr>
      <w:r>
        <w:t>Préparation et Conservation : &lt; 25 °C.</w:t>
      </w:r>
    </w:p>
    <w:p>
      <w:pPr>
        <w:pStyle w:val="Heading3"/>
      </w:pPr>
      <w:r>
        <w:t>38.5.5 DCI : Amlodipine + Périndopril (IEC + ICA — Association fixe)</w:t>
      </w:r>
    </w:p>
    <w:p>
      <w:r/>
      <w:r>
        <w:rPr>
          <w:b/>
        </w:rPr>
        <w:t>Liste des Catégories :</w:t>
      </w:r>
      <w:r>
        <w:t xml:space="preserve"> IEC + Inhibiteurs calciques (associations) ; Liste I.</w:t>
      </w:r>
    </w:p>
    <w:p>
      <w:r>
        <w:t>L'association fixe amlodipine + périndopril est l'une des bithérapies antihypertensives de référence, validée par l'étude pivots ASCOT-BPLA (2005, supériorité de l'association périndopril + amlodipine vs atenolol + bendroflumethiazide en termes de morbidité et mortalité CV). Elle combine un inhibiteur calcique dihydropyridinique (amlodipine) et un inhibiteur de l'enzyme de conversion (périndopril), ciblant deux mécanismes physiopathologiques complémentaires de l'HTA : la vasodilatation artérielle et le blocage du SRAA. La synergie se traduit également par une neutralisation réciproque des effets indésirables : l'amlodipine peut induire une tachycardie réflexe et des œdèmes des membres inférieurs (vasodilatation précapillaire) ; le périndopril, par son effet vasodilatateur veineux et son action sur le SRAA, réduit ces effets indésirables. En Algérie, deux spécialités disponibles : COVERAM (Servier) et PRATIMA AM (Hikma), en 4 dosages distincts permettant une titration progressive.</w:t>
      </w:r>
    </w:p>
    <w:p>
      <w:r/>
      <w:r>
        <w:rPr>
          <w:b/>
        </w:rPr>
        <w:t>Médicaments disponibles en Algérie (Marques, Laboratoires, Formes et Dosages) :</w:t>
      </w:r>
      <w:r/>
    </w:p>
    <w:p>
      <w:pPr>
        <w:pStyle w:val="ListBullet"/>
      </w:pPr>
      <w:r/>
      <w:r>
        <w:rPr>
          <w:b/>
        </w:rPr>
        <w:t>COVERAM</w:t>
      </w:r>
      <w:r>
        <w:t xml:space="preserve"> (LES LABORATOIRES SERVIER) — Comprimé 5 mg/5 mg (Amlodipine/Périndopril), B/30 — Statut : Actif</w:t>
      </w:r>
    </w:p>
    <w:p>
      <w:pPr>
        <w:pStyle w:val="ListBullet"/>
      </w:pPr>
      <w:r/>
      <w:r>
        <w:rPr>
          <w:b/>
        </w:rPr>
        <w:t>COVERAM</w:t>
      </w:r>
      <w:r>
        <w:t xml:space="preserve"> (LES LABORATOIRES SERVIER) — Comprimé 10 mg/10 mg, B/30 — Statut : Actif</w:t>
      </w:r>
    </w:p>
    <w:p>
      <w:pPr>
        <w:pStyle w:val="ListBullet"/>
      </w:pPr>
      <w:r/>
      <w:r>
        <w:rPr>
          <w:b/>
        </w:rPr>
        <w:t>PRATIMA AM</w:t>
      </w:r>
      <w:r>
        <w:t xml:space="preserve"> (HIKMA PHARMA ALGERIA) — Comprimé 5 mg/5 mg, B/30 — Statut : Actif</w:t>
      </w:r>
    </w:p>
    <w:p>
      <w:pPr>
        <w:pStyle w:val="ListBullet"/>
      </w:pPr>
      <w:r/>
      <w:r>
        <w:rPr>
          <w:b/>
        </w:rPr>
        <w:t>PRATIMA AM</w:t>
      </w:r>
      <w:r>
        <w:t xml:space="preserve"> (HIKMA PHARMA ALGERIA) — Comprimé 10 mg/10 mg, B/30 — Statut : Actif</w:t>
      </w:r>
    </w:p>
    <w:p>
      <w:r/>
      <w:r>
        <w:rPr>
          <w:b/>
        </w:rPr>
        <w:t>Sous-classe et Mécanisme d'action :</w:t>
      </w:r>
      <w:r/>
    </w:p>
    <w:p>
      <w:pPr>
        <w:pStyle w:val="ListBullet"/>
      </w:pPr>
      <w:r>
        <w:t>Sous-classe : Association fixe IEC + ICA DHP.</w:t>
      </w:r>
    </w:p>
    <w:p>
      <w:pPr>
        <w:pStyle w:val="ListBullet"/>
      </w:pPr>
      <w:r>
        <w:t>Mécanisme d'action : double action synergique.</w:t>
      </w:r>
    </w:p>
    <w:p>
      <w:pPr>
        <w:pStyle w:val="ListBullet"/>
      </w:pPr>
      <w:r>
        <w:t>Amlodipine : antagoniste des canaux calciques voltage-dépendants de type L (Cav1.2) au niveau du muscle vasculaire → vasodilatation artérielle périphérique → baisse des résistances vasculaires systémiques → baisse de la PA. Longue demi-vie (30–50 h).</w:t>
      </w:r>
    </w:p>
    <w:p>
      <w:pPr>
        <w:pStyle w:val="ListBullet"/>
      </w:pPr>
      <w:r>
        <w:t>Périndopril (prodrogue → périndoprilate actif) : inhibition de l'enzyme de conversion de l'angiotensine (ECA) → blocage de la conversion angiotensine I → angiotensine II et de la dégradation de la bradykinine → vasodilatation veineuse et artérielle, baisse de l'aldostérone. Effets cardioprotecteur (régression de l'HVG, anti-fibrotique), néphroprotecteur (réduction de la protéinurie).</w:t>
      </w:r>
    </w:p>
    <w:p>
      <w:pPr>
        <w:pStyle w:val="ListBullet"/>
      </w:pPr>
      <w:r>
        <w:t>Synergie : l'IEC bloque l'activation compensatoire du SRAA induite par la vasodilatation de l'ICA ; l'IEC réduit les œdèmes des membres inférieurs induits par l'ICA (vasodilatation veineuse). La combinaison est plus efficace que chaque composant seul à dose équivalente.</w:t>
      </w:r>
    </w:p>
    <w:p>
      <w:r/>
      <w:r>
        <w:rPr>
          <w:b/>
        </w:rPr>
        <w:t>Profil Pharmacologique :</w:t>
      </w:r>
      <w:r/>
    </w:p>
    <w:p>
      <w:pPr>
        <w:pStyle w:val="ListBullet"/>
      </w:pPr>
      <w:r>
        <w:t>Indications : HTA essentielle non contrôlée par monothérapie ; HTA avec atteinte d'organe cible (HVG, microalbuminurie, IRC diabétique) ; prévention CV secondaire (post-IDM, post-AVC, AOMI) ; diabète type 2 avec HTA.</w:t>
      </w:r>
    </w:p>
    <w:p>
      <w:pPr>
        <w:pStyle w:val="ListBullet"/>
      </w:pPr>
      <w:r>
        <w:t>Contre-indications : hypersensibilité ; antécédent d'angio-œdème sous IEC ; insuffisance rénale sévère (ClCr &lt; 30) ; anurie ; sténose bilatérale des artères rénales ; grossesse (2e et 3e trimestres) ; allaitement ; association à lithium, aliskirène (chez diabétique ou IRC) ; choc cardiogénique ; insuffisance cardiaque sévère avec obstruction à l'éjection (sténose aortique serrée).</w:t>
      </w:r>
    </w:p>
    <w:p>
      <w:pPr>
        <w:pStyle w:val="ListBullet"/>
      </w:pPr>
      <w:r>
        <w:t>Effets Indésirables :</w:t>
      </w:r>
    </w:p>
    <w:p>
      <w:pPr>
        <w:pStyle w:val="ListBullet"/>
      </w:pPr>
      <w:r>
        <w:t>Amlodipine : œdèmes des membres inférieurs (5–10 %), flush, céphalées, palpitations.</w:t>
      </w:r>
    </w:p>
    <w:p>
      <w:pPr>
        <w:pStyle w:val="ListBullet"/>
      </w:pPr>
      <w:r>
        <w:t>Périndopril : toux sèche (5–10 %), hypotension, hyperkaliémie, IR aiguë, angio-œdème rare mais grave.</w:t>
      </w:r>
    </w:p>
    <w:p>
      <w:pPr>
        <w:pStyle w:val="ListBullet"/>
      </w:pPr>
      <w:r>
        <w:t>Combination : hypotension (surtout à l'initiation ou en cas de déplétion volémique).</w:t>
      </w:r>
    </w:p>
    <w:p>
      <w:r/>
      <w:r>
        <w:rPr>
          <w:b/>
        </w:rPr>
        <w:t>Prévention et Gestion des Effets Indésirables :</w:t>
      </w:r>
      <w:r/>
    </w:p>
    <w:p>
      <w:pPr>
        <w:pStyle w:val="ListBullet"/>
      </w:pPr>
      <w:r>
        <w:t>Mesures Préventives : surveillance PA (1, 4, 12 semaines) ; bilan rénal et ionogramme avant, à 2 sem, 1 mois puis 6 mois ; information patient sur les signes d'hypotension, l'angio-œdème, la toux.</w:t>
      </w:r>
    </w:p>
    <w:p>
      <w:pPr>
        <w:pStyle w:val="ListBullet"/>
      </w:pPr>
      <w:r>
        <w:t>Conduite à Tenir :</w:t>
      </w:r>
    </w:p>
    <w:p>
      <w:pPr>
        <w:pStyle w:val="ListBullet"/>
      </w:pPr>
      <w:r>
        <w:t>Toux sèche : switch vers ARA2 + ICA.</w:t>
      </w:r>
    </w:p>
    <w:p>
      <w:pPr>
        <w:pStyle w:val="ListBullet"/>
      </w:pPr>
      <w:r>
        <w:t>Angio-œdème : arrêt définitif de l'IEC, switch vers ARA2.</w:t>
      </w:r>
    </w:p>
    <w:p>
      <w:pPr>
        <w:pStyle w:val="ListBullet"/>
      </w:pPr>
      <w:r>
        <w:t>Hypotension : réduction dose ou séparation des composants.</w:t>
      </w:r>
    </w:p>
    <w:p>
      <w:r/>
      <w:r>
        <w:rPr>
          <w:b/>
        </w:rPr>
        <w:t>Interactions Importantes :</w:t>
      </w:r>
      <w:r/>
    </w:p>
    <w:p>
      <w:pPr>
        <w:pStyle w:val="ListBullet"/>
      </w:pPr>
      <w:r/>
      <w:r>
        <w:rPr>
          <w:b/>
        </w:rPr>
        <w:t>Association + ARA2</w:t>
      </w:r>
      <w:r>
        <w:t xml:space="preserve"> : CI absolue (double blocage du SRAA).</w:t>
      </w:r>
    </w:p>
    <w:p>
      <w:pPr>
        <w:pStyle w:val="ListBullet"/>
      </w:pPr>
      <w:r/>
      <w:r>
        <w:rPr>
          <w:b/>
        </w:rPr>
        <w:t>Association + Aliskirène</w:t>
      </w:r>
      <w:r>
        <w:t xml:space="preserve"> : CI absolue chez diabétique ou IRC.</w:t>
      </w:r>
    </w:p>
    <w:p>
      <w:pPr>
        <w:pStyle w:val="ListBullet"/>
      </w:pPr>
      <w:r/>
      <w:r>
        <w:rPr>
          <w:b/>
        </w:rPr>
        <w:t>Association + Lithium</w:t>
      </w:r>
      <w:r>
        <w:t xml:space="preserve"> : majoration lithémie.</w:t>
      </w:r>
    </w:p>
    <w:p>
      <w:pPr>
        <w:pStyle w:val="ListBullet"/>
      </w:pPr>
      <w:r/>
      <w:r>
        <w:rPr>
          <w:b/>
        </w:rPr>
        <w:t>Association + AINS</w:t>
      </w:r>
      <w:r>
        <w:t xml:space="preserve"> : baisse effet, risque IR aiguë.</w:t>
      </w:r>
    </w:p>
    <w:p>
      <w:pPr>
        <w:pStyle w:val="ListBullet"/>
      </w:pPr>
      <w:r/>
      <w:r>
        <w:rPr>
          <w:b/>
        </w:rPr>
        <w:t>Association + K⁺ épargneurs</w:t>
      </w:r>
      <w:r>
        <w:t xml:space="preserve"> : risque d'hyperkaliémie.</w:t>
      </w:r>
    </w:p>
    <w:p>
      <w:pPr>
        <w:pStyle w:val="ListBullet"/>
      </w:pPr>
      <w:r/>
      <w:r>
        <w:rPr>
          <w:b/>
        </w:rPr>
        <w:t>Association + Statines</w:t>
      </w:r>
      <w:r>
        <w:t xml:space="preserve"> : pas d'interaction significative. Si statine nécessaire, éviter la simvastatine à dose &gt; 10 mg/j (limite liée à l'amlodipine) ; préférer atorvastatine, rosuvastatine, pravastatine.</w:t>
      </w:r>
    </w:p>
    <w:p>
      <w:r/>
      <w:r>
        <w:rPr>
          <w:b/>
        </w:rPr>
        <w:t>Grossesse et Allaitement :</w:t>
      </w:r>
      <w:r/>
    </w:p>
    <w:p>
      <w:pPr>
        <w:pStyle w:val="ListBullet"/>
      </w:pPr>
      <w:r>
        <w:t>Grossesse : CI absolue à partir du 2e trimestre (IEC fœtotoxique). À éviter au 1er trimestre.</w:t>
      </w:r>
    </w:p>
    <w:p>
      <w:pPr>
        <w:pStyle w:val="ListBullet"/>
      </w:pPr>
      <w:r>
        <w:t>Allaitement : à éviter (périndopril passe dans le lait en petite quantité).</w:t>
      </w:r>
    </w:p>
    <w:p>
      <w:pPr>
        <w:pStyle w:val="ListBullet"/>
      </w:pPr>
      <w:r>
        <w:t>Précisions : chez la femme en âge de procréer, prescription sous contraception.</w:t>
      </w:r>
    </w:p>
    <w:p>
      <w:r/>
      <w:r>
        <w:rPr>
          <w:b/>
        </w:rPr>
        <w:t>Posologie et Mode d'administration (Standard) :</w:t>
      </w:r>
      <w:r/>
    </w:p>
    <w:p>
      <w:pPr>
        <w:pStyle w:val="ListBullet"/>
      </w:pPr>
      <w:r>
        <w:t>Adulte : dose initiale 5 mg/5 mg/j, dose usuelle 5/5 à 10/10 mg/j, dose maximale 10 mg/10 mg/j. L'escalade se fait par paliers de 4 semaines.</w:t>
      </w:r>
    </w:p>
    <w:p>
      <w:pPr>
        <w:pStyle w:val="ListBullet"/>
      </w:pPr>
      <w:r>
        <w:t>Sujet âgé : dose initiale réduite à 5/5 mg, surveillance PA et fonction rénale.</w:t>
      </w:r>
    </w:p>
    <w:p>
      <w:pPr>
        <w:pStyle w:val="ListBullet"/>
      </w:pPr>
      <w:r>
        <w:t>Insuffisance rénale modérée (ClCr 30–60) : dose réduite à 5/5 mg, surveillance. Sévère (ClCr &lt; 30) : CI.</w:t>
      </w:r>
    </w:p>
    <w:p>
      <w:pPr>
        <w:pStyle w:val="ListBullet"/>
      </w:pPr>
      <w:r>
        <w:t>Insuffisance hépatique : CI si sévère.</w:t>
      </w:r>
    </w:p>
    <w:p>
      <w:pPr>
        <w:pStyle w:val="ListBullet"/>
      </w:pPr>
      <w:r>
        <w:t>Durée : au long cours.</w:t>
      </w:r>
    </w:p>
    <w:p>
      <w:pPr>
        <w:pStyle w:val="ListBullet"/>
      </w:pPr>
      <w:r>
        <w:t>Moment de prise : le matin, à heure fixe, de préférence avant le repas.</w:t>
      </w:r>
    </w:p>
    <w:p>
      <w:r/>
      <w:r>
        <w:rPr>
          <w:b/>
        </w:rPr>
        <w:t>Arbitrage et Bénéfices des Formes Galéniques :</w:t>
      </w:r>
      <w:r/>
    </w:p>
    <w:p>
      <w:r>
        <w:t>Forme comprimé en 2 dosages (5/5 et 10/10), permettant une titration par paliers. Avantage : simplification de l'observance (1 cp/j vs 2), synergie antihypertensive et neutralisation réciproque des effets indésirables (œdèmes des ICA réduits par l'IEC). Inconvénient : pas de titration indépendante des composants ; pas de dosage intermédiaire (5/10 ou 10/5) — recourir à prises séparées si nécessaire.</w:t>
      </w:r>
    </w:p>
    <w:p>
      <w:r/>
      <w:r>
        <w:rPr>
          <w:b/>
        </w:rPr>
        <w:t>Instructions et Conseils au Patient :</w:t>
      </w:r>
      <w:r/>
    </w:p>
    <w:p>
      <w:pPr>
        <w:pStyle w:val="ListBullet"/>
      </w:pPr>
      <w:r>
        <w:t>Communication au comptoir : « Ce médicament combine un IEC (périndopril) et un inhibiteur calcique (amlodipine) en un seul comprimé. Prenez-le le matin, à heure fixe, de préférence avant le repas. Prévenez votre médecin en cas de vertiges (surtout au lever), toux sèche persistante, œdèmes des jambes, palpitations, ou difficulté à respirer (angio-œdème — urgence). Faites vos bilans sanguins régulièrement. Ne l'arrêtez pas seul. »</w:t>
      </w:r>
    </w:p>
    <w:p>
      <w:pPr>
        <w:pStyle w:val="ListBullet"/>
      </w:pPr>
      <w:r>
        <w:t>Mode d'utilisation pratique : avaler avec un verre d'eau le matin. Oubli : ne pas doubler.</w:t>
      </w:r>
    </w:p>
    <w:p>
      <w:r/>
      <w:r>
        <w:rPr>
          <w:b/>
        </w:rPr>
        <w:t>Notes, Règles d'Or &amp; Pièges au Comptoir :</w:t>
      </w:r>
      <w:r/>
    </w:p>
    <w:p>
      <w:pPr>
        <w:pStyle w:val="ListBullet"/>
      </w:pPr>
      <w:r>
        <w:t>Piège classique : toux sèche persistante. Évoquer l'IEC, envisager switch vers ARA2 + ICA.</w:t>
      </w:r>
    </w:p>
    <w:p>
      <w:pPr>
        <w:pStyle w:val="ListBullet"/>
      </w:pPr>
      <w:r>
        <w:t>Piège classique : femme enceinte. CI absolue.</w:t>
      </w:r>
    </w:p>
    <w:p>
      <w:pPr>
        <w:pStyle w:val="ListBullet"/>
      </w:pPr>
      <w:r>
        <w:t>Piège classique : patient sous AINS au long cours. Risque IR aiguë.</w:t>
      </w:r>
    </w:p>
    <w:p>
      <w:pPr>
        <w:pStyle w:val="ListBullet"/>
      </w:pPr>
      <w:r>
        <w:t>Piège classique : patient sous simvastatine. Limiter la simvastatine à 10 mg/j (interaction amlodipine-simvastatine).</w:t>
      </w:r>
    </w:p>
    <w:p>
      <w:pPr>
        <w:pStyle w:val="ListBullet"/>
      </w:pPr>
      <w:r>
        <w:t>Règle de prise : une prise/j le matin.</w:t>
      </w:r>
    </w:p>
    <w:p>
      <w:pPr>
        <w:pStyle w:val="ListBullet"/>
      </w:pPr>
      <w:r>
        <w:t>Préparation et Conservation : &lt; 25 °C, à l'abri de l'humidité.</w:t>
      </w:r>
    </w:p>
    <w:p>
      <w:pPr>
        <w:pStyle w:val="ListBullet"/>
      </w:pPr>
      <w:r>
        <w:t>Piège du surdosage / Substitution : COVERAM ↔ PRATIMA AM (équivalence stricte). Substitution possible vers les composants séparés si indisponibilité.</w:t>
      </w:r>
    </w:p>
    <w:p>
      <w:pPr>
        <w:pStyle w:val="Heading3"/>
      </w:pPr>
      <w:r>
        <w:t>38.5.6 DCI : Périndopril + Amlodipine (IEC + ICA — Association fixe)</w:t>
      </w:r>
    </w:p>
    <w:p>
      <w:r/>
      <w:r>
        <w:rPr>
          <w:b/>
        </w:rPr>
        <w:t>Liste des Catégories :</w:t>
      </w:r>
      <w:r>
        <w:t xml:space="preserve"> IEC + Inhibiteurs calciques (associations) ; Liste I.</w:t>
      </w:r>
    </w:p>
    <w:p>
      <w:r>
        <w:t>L'association périndopril + amlodipine est strictement identique pharmacologiquement à l'association amlodipine + périndopril (section 38.5.5). La distinction dans la nomenclature algérienne provient de l'ordre d'énonciation des DCI, mais le contenu actif est identique : inhibiteur de l'enzyme de conversion (périndopril) + inhibiteur calcique dihydropyridinique (amlodipine). Les marques COVERAM (Servier) et PRATIMA AM (Hikma) proposent en complément des dosages intermédiaires (10 mg/5 mg et 5 mg/10 mg) qui permettent une titration plus fine que les seuls 5/5 et 10/10. Cette diversité de dosages facilite l'escalade thérapeutique indépendante : par exemple, maintenir le périndopril à 10 mg tout en augmentant l'amlodipine de 5 à 10 mg (en cas d'œdèmes tolérés mais PAS non contrôlée), ou inversement.</w:t>
      </w:r>
    </w:p>
    <w:p>
      <w:r/>
      <w:r>
        <w:rPr>
          <w:b/>
        </w:rPr>
        <w:t>Médicaments disponibles en Algérie (Marques, Laboratoires, Formes et Dosages) :</w:t>
      </w:r>
      <w:r/>
    </w:p>
    <w:p>
      <w:pPr>
        <w:pStyle w:val="ListBullet"/>
      </w:pPr>
      <w:r/>
      <w:r>
        <w:rPr>
          <w:b/>
        </w:rPr>
        <w:t>COVERAM</w:t>
      </w:r>
      <w:r>
        <w:t xml:space="preserve"> (LES LABORATOIRES SERVIER) — Comprimé 10 mg/5 mg (Périndopril/Amlodipine), B/30 — Statut : Actif</w:t>
      </w:r>
    </w:p>
    <w:p>
      <w:pPr>
        <w:pStyle w:val="ListBullet"/>
      </w:pPr>
      <w:r/>
      <w:r>
        <w:rPr>
          <w:b/>
        </w:rPr>
        <w:t>COVERAM</w:t>
      </w:r>
      <w:r>
        <w:t xml:space="preserve"> (LES LABORATOIRES SERVIER) — Comprimé 5 mg/10 mg, B/30 — Statut : Actif</w:t>
      </w:r>
    </w:p>
    <w:p>
      <w:pPr>
        <w:pStyle w:val="ListBullet"/>
      </w:pPr>
      <w:r/>
      <w:r>
        <w:rPr>
          <w:b/>
        </w:rPr>
        <w:t>PRATIMA AM</w:t>
      </w:r>
      <w:r>
        <w:t xml:space="preserve"> (HIKMA PHARMA ALGERIA) — Comprimé 10 mg/5 mg, B/30 — Statut : Actif</w:t>
      </w:r>
    </w:p>
    <w:p>
      <w:pPr>
        <w:pStyle w:val="ListBullet"/>
      </w:pPr>
      <w:r/>
      <w:r>
        <w:rPr>
          <w:b/>
        </w:rPr>
        <w:t>PRATIMA AM</w:t>
      </w:r>
      <w:r>
        <w:t xml:space="preserve"> (HIKMA PHARMA ALGERIA) — Comprimé 5 mg/10 mg, B/30 — Statut : Actif</w:t>
      </w:r>
    </w:p>
    <w:p>
      <w:r/>
      <w:r>
        <w:rPr>
          <w:b/>
        </w:rPr>
        <w:t>Sous-classe et Mécanisme d'action :</w:t>
      </w:r>
      <w:r/>
    </w:p>
    <w:p>
      <w:pPr>
        <w:pStyle w:val="ListBullet"/>
      </w:pPr>
      <w:r>
        <w:t>Sous-classe : Association fixe IEC + ICA DHP (identique à section 38.5.5).</w:t>
      </w:r>
    </w:p>
    <w:p>
      <w:pPr>
        <w:pStyle w:val="ListBullet"/>
      </w:pPr>
      <w:r>
        <w:t>Mécanisme d'action : voir section 38.5.5. Double action synergique sur le SRAA (périndopril) et l'influx calcique vasculaire (amlodipine).</w:t>
      </w:r>
    </w:p>
    <w:p>
      <w:r/>
      <w:r>
        <w:rPr>
          <w:b/>
        </w:rPr>
        <w:t>Profil Pharmacologique :</w:t>
      </w:r>
      <w:r/>
    </w:p>
    <w:p>
      <w:pPr>
        <w:pStyle w:val="ListBullet"/>
      </w:pPr>
      <w:r>
        <w:t>Indications : identiques à section 38.5.5. HTA non contrôlée par monothérapie, prévention CV secondaire, HTA avec atteinte d'organe cible.</w:t>
      </w:r>
    </w:p>
    <w:p>
      <w:pPr>
        <w:pStyle w:val="ListBullet"/>
      </w:pPr>
      <w:r>
        <w:t>Contre-indications : identiques.</w:t>
      </w:r>
    </w:p>
    <w:p>
      <w:pPr>
        <w:pStyle w:val="ListBullet"/>
      </w:pPr>
      <w:r>
        <w:t>Effets Indésirables : identiques.</w:t>
      </w:r>
    </w:p>
    <w:p>
      <w:r/>
      <w:r>
        <w:rPr>
          <w:b/>
        </w:rPr>
        <w:t>Prévention et Gestion des Effets Indésirables :</w:t>
      </w:r>
      <w:r/>
    </w:p>
    <w:p>
      <w:pPr>
        <w:pStyle w:val="ListBullet"/>
      </w:pPr>
      <w:r>
        <w:t>Identiques à section 38.5.5.</w:t>
      </w:r>
    </w:p>
    <w:p>
      <w:r/>
      <w:r>
        <w:rPr>
          <w:b/>
        </w:rPr>
        <w:t>Interactions Importantes :</w:t>
      </w:r>
      <w:r/>
    </w:p>
    <w:p>
      <w:pPr>
        <w:pStyle w:val="ListBullet"/>
      </w:pPr>
      <w:r>
        <w:t>Identiques à section 38.5.5.</w:t>
      </w:r>
    </w:p>
    <w:p>
      <w:r/>
      <w:r>
        <w:rPr>
          <w:b/>
        </w:rPr>
        <w:t>Grossesse et Allaitement :</w:t>
      </w:r>
      <w:r/>
    </w:p>
    <w:p>
      <w:pPr>
        <w:pStyle w:val="ListBullet"/>
      </w:pPr>
      <w:r>
        <w:t>Identiques à section 38.5.5.</w:t>
      </w:r>
    </w:p>
    <w:p>
      <w:r/>
      <w:r>
        <w:rPr>
          <w:b/>
        </w:rPr>
        <w:t>Posologie et Mode d'administration (Standard) :</w:t>
      </w:r>
      <w:r/>
    </w:p>
    <w:p>
      <w:pPr>
        <w:pStyle w:val="ListBullet"/>
      </w:pPr>
      <w:r>
        <w:t>Adulte : dose usuelle 10 mg/5 mg/j ou 5 mg/10 mg/j, en fonction de la dominance tensionnelle et de la tolérance (œdèmes plus marqués à amlodipine 10 mg). Dose maximale 10/10 mg/j (en utilisant les dosages 5/10 + 10/5 par exemple, ou en passant par les comprimés 10/10 disponibles dans la section 38.5.5).</w:t>
      </w:r>
    </w:p>
    <w:p>
      <w:pPr>
        <w:pStyle w:val="ListBullet"/>
      </w:pPr>
      <w:r>
        <w:t>Sujet âgé : prudence, surveillance PA et fonction rénale.</w:t>
      </w:r>
    </w:p>
    <w:p>
      <w:pPr>
        <w:pStyle w:val="ListBullet"/>
      </w:pPr>
      <w:r>
        <w:t>Insuffisance rénale : identique à section 38.5.5.</w:t>
      </w:r>
    </w:p>
    <w:p>
      <w:pPr>
        <w:pStyle w:val="ListBullet"/>
      </w:pPr>
      <w:r>
        <w:t>Durée : au long cours.</w:t>
      </w:r>
    </w:p>
    <w:p>
      <w:pPr>
        <w:pStyle w:val="ListBullet"/>
      </w:pPr>
      <w:r>
        <w:t>Moment de prise : le matin, à heure fixe, de préférence avant le repas.</w:t>
      </w:r>
    </w:p>
    <w:p>
      <w:r/>
      <w:r>
        <w:rPr>
          <w:b/>
        </w:rPr>
        <w:t>Arbitrage et Bénéfices des Formes Galéniques :</w:t>
      </w:r>
      <w:r/>
    </w:p>
    <w:p>
      <w:r>
        <w:t>Forme comprimé en 2 dosages intermédiaires (10/5 et 5/10), complétant les dosages 5/5 et 10/10 disponibles dans la section 38.5.5. L'ensemble des 4 dosages (5/5, 5/10, 10/5, 10/10) permet une titration fine et indépendante des deux composants, ce qui est un avantage majeur vs d'autres associations fixes à dosage unique. Le choix du dosage dépend du profil tensionnel (PAS vs PAD), de la tolérance (œdèmes plus marqués à amlodipine 10 mg), et de la fonction rénale (périndopril à adapter en cas d'IRC).</w:t>
      </w:r>
    </w:p>
    <w:p>
      <w:r/>
      <w:r>
        <w:rPr>
          <w:b/>
        </w:rPr>
        <w:t>Instructions et Conseils au Patient :</w:t>
      </w:r>
      <w:r/>
    </w:p>
    <w:p>
      <w:pPr>
        <w:pStyle w:val="ListBullet"/>
      </w:pPr>
      <w:r>
        <w:t>Identiques à section 38.5.5. Information patient sur les dosages distincts, la prise matinale, les signes d'alerte (vertiges, toux, œdèmes, angio-œdème).</w:t>
      </w:r>
    </w:p>
    <w:p>
      <w:r/>
      <w:r>
        <w:rPr>
          <w:b/>
        </w:rPr>
        <w:t>Notes, Règles d'Or &amp; Pièges au Comptoir :</w:t>
      </w:r>
      <w:r/>
    </w:p>
    <w:p>
      <w:pPr>
        <w:pStyle w:val="ListBullet"/>
      </w:pPr>
      <w:r>
        <w:t>Identiques à section 38.5.5.</w:t>
      </w:r>
    </w:p>
    <w:p>
      <w:pPr>
        <w:pStyle w:val="ListBullet"/>
      </w:pPr>
      <w:r>
        <w:t>Piège classique : ne pas confondre les dosages 10/5 et 5/10 (inversion des composants). Toujours vérifier l'ordre d'énonciation sur l'ordonnance : Périndopril + Amlodipine (10/5 = périndopril 10, amlodipine 5).</w:t>
      </w:r>
    </w:p>
    <w:p>
      <w:pPr>
        <w:pStyle w:val="ListBullet"/>
      </w:pPr>
      <w:r>
        <w:t>Piège classique : association à simvastatine. Limiter la simvastatine à 10 mg/j (interaction avec l'amlodipine).</w:t>
      </w:r>
    </w:p>
    <w:p>
      <w:pPr>
        <w:pStyle w:val="ListBullet"/>
      </w:pPr>
      <w:r>
        <w:t>Règle de prise : une prise/j le matin, à heure fixe.</w:t>
      </w:r>
    </w:p>
    <w:p>
      <w:pPr>
        <w:pStyle w:val="ListBullet"/>
      </w:pPr>
      <w:r>
        <w:t>Préparation et Conservation : &lt; 25 °C, à l'abri de l'humidité.</w:t>
      </w:r>
    </w:p>
    <w:p>
      <w:pPr>
        <w:pStyle w:val="ListBullet"/>
      </w:pPr>
      <w:r>
        <w:t>Piège du surdosage / Substitution : COVERAM ↔ PRATIMA AM (équivalence stricte). La diversité des dosages permet une substitution précise.</w:t>
      </w:r>
    </w:p>
    <w:p>
      <w:pPr>
        <w:pStyle w:val="Heading3"/>
      </w:pPr>
      <w:r>
        <w:t>38.5.7 DCI : Ramipril + Félodipine (IEC + ICA — Association fixe)</w:t>
      </w:r>
    </w:p>
    <w:p>
      <w:r/>
      <w:r>
        <w:rPr>
          <w:b/>
        </w:rPr>
        <w:t>Liste des Catégories :</w:t>
      </w:r>
      <w:r>
        <w:t xml:space="preserve"> IEC + Inhibiteurs calciques (associations) ; Liste I.</w:t>
      </w:r>
    </w:p>
    <w:p>
      <w:r>
        <w:t>L'association ramipril + félodipine combine un inhibiteur de l'enzyme de conversion (ramipril) et un inhibiteur calcique dihydropyridinique de seconde génération (félodipine). Le félodipine est plus vasosélectif que l'amlodipine (rapport vasculaire/cardiaque supérieur), avec une longue demi-vie (≈ 11–16 h) et un métabolisme hépatique par CYP3A4 (interactions avec le pamplemousse, les azolés, les macrolides). Le ramipril (prodrogue → ramiprilate) a démontré un bénéfice CV et néphroprotecteur majeur dans les études HOPE (prévention CV secondaire, 2000) et MICRO-HOPE (diabète, 2000), DIABHYCAR (néphroprotection diabète, 2004), et RAMIPRIL (post-IDM). L'association ramipril + félodipine a été évaluée dans l'étude HOT (Hypertension Optimal Treatment, 1998) qui a démontré le bénéfice d'un contrôle tensionnel strict (PA cible &lt; 130/80 mmHg chez le diabétique). En Algérie, la spécialité TRIACOR (Aventis Pharma Deutschland) est disponible mais non renouvelée, ce qui impose le recours aux composants séparés ou aux alternatives (COVERAM = amlodipine + périndopril).</w:t>
      </w:r>
    </w:p>
    <w:p>
      <w:r/>
      <w:r>
        <w:rPr>
          <w:b/>
        </w:rPr>
        <w:t>Médicaments disponibles en Algérie (Marques, Laboratoires, Formes et Dosages) :</w:t>
      </w:r>
      <w:r/>
    </w:p>
    <w:p>
      <w:pPr>
        <w:pStyle w:val="ListBullet"/>
      </w:pPr>
      <w:r/>
      <w:r>
        <w:rPr>
          <w:b/>
        </w:rPr>
        <w:t>TRIACOR</w:t>
      </w:r>
      <w:r>
        <w:t xml:space="preserve"> (AVENTIS PHARMA DEUTSCHLAND GMBH) — Comprimé pelliculé 2,5 mg/2,5 mg (Ramipril/Félodipine), B/30 — Statut : Non Renouvelable</w:t>
      </w:r>
    </w:p>
    <w:p>
      <w:r/>
      <w:r>
        <w:rPr>
          <w:b/>
        </w:rPr>
        <w:t>Sous-classe et Mécanisme d'action :</w:t>
      </w:r>
      <w:r/>
    </w:p>
    <w:p>
      <w:pPr>
        <w:pStyle w:val="ListBullet"/>
      </w:pPr>
      <w:r>
        <w:t>Sous-classe : Association fixe IEC + ICA DHP (félodipine).</w:t>
      </w:r>
    </w:p>
    <w:p>
      <w:pPr>
        <w:pStyle w:val="ListBullet"/>
      </w:pPr>
      <w:r>
        <w:t>Mécanisme d'action : double action synergique.</w:t>
      </w:r>
    </w:p>
    <w:p>
      <w:pPr>
        <w:pStyle w:val="ListBullet"/>
      </w:pPr>
      <w:r>
        <w:t>Ramipril (prodrogue → ramiprilate actif) : inhibition de l'enzyme de conversion de l'angiotensine (ECA) → blocage de la conversion angiotensine I → angiotensine II et de la dégradation de la bradykinine → vasodilatation veineuse et artérielle, baisse de l'aldostérone. Effets cardioprotecteur, néphroprotecteur (réduction de la protéinurie), anti-athérogène. Longue demi-vie effective (≈ 24 h) permettant une prise unique.</w:t>
      </w:r>
    </w:p>
    <w:p>
      <w:pPr>
        <w:pStyle w:val="ListBullet"/>
      </w:pPr>
      <w:r>
        <w:t>Félodipine : antagoniste des canaux calciques voltage-dépendants de type L (Cav1.2) au niveau du muscle vasculaire lisse (vasosélectivité supérieure à l'amlodipine) → vasodilatation artérielle périphérique → baisse des résistances vasculaires systémiques. Métabolisme hépatique par CYP3A4. Forme LP (libération prolongée) permettant une prise unique.</w:t>
      </w:r>
    </w:p>
    <w:p>
      <w:pPr>
        <w:pStyle w:val="ListBullet"/>
      </w:pPr>
      <w:r>
        <w:t>Synergie : similaire à l'association périndopril + amlodipine (blocage SRAA + vasodilatation directe, neutralisation réciproque des effets indésirables).</w:t>
      </w:r>
    </w:p>
    <w:p>
      <w:r/>
      <w:r>
        <w:rPr>
          <w:b/>
        </w:rPr>
        <w:t>Profil Pharmacologique :</w:t>
      </w:r>
      <w:r/>
    </w:p>
    <w:p>
      <w:pPr>
        <w:pStyle w:val="ListBullet"/>
      </w:pPr>
      <w:r>
        <w:t>Indications : HTA essentielle non contrôlée par monothérapie ; prévention CV secondaire (post-IDM, AOMI, post-AVC) ; diabète avec HTA ; néphroprotection (diabète, IRC avec protéinurie).</w:t>
      </w:r>
    </w:p>
    <w:p>
      <w:pPr>
        <w:pStyle w:val="ListBullet"/>
      </w:pPr>
      <w:r>
        <w:t>Contre-indications : hypersensibilité ; antécédent d'angio-œdème sous IEC ; insuffisance rénale sévère ; anurie ; sténose bilatérale des artères rénales ; grossesse (2e et 3e trimestres) ; allaitement ; association à lithium, aliskirène (chez diabétique ou IRC) ; choc cardiogénique ; insuffisance cardiaque sévère avec obstruction à l'éjection.</w:t>
      </w:r>
    </w:p>
    <w:p>
      <w:pPr>
        <w:pStyle w:val="ListBullet"/>
      </w:pPr>
      <w:r>
        <w:t>Effets Indésirables :</w:t>
      </w:r>
    </w:p>
    <w:p>
      <w:pPr>
        <w:pStyle w:val="ListBullet"/>
      </w:pPr>
      <w:r>
        <w:t>Ramipril : toux sèche (5–10 %), hypotension, hyperkaliémie, IR aiguë, angio-œdème.</w:t>
      </w:r>
    </w:p>
    <w:p>
      <w:pPr>
        <w:pStyle w:val="ListBullet"/>
      </w:pPr>
      <w:r>
        <w:t>Félodipine : œdèmes des membres inférieurs (plus marqués qu'avec l'amlodipine à dose équivalente), flush, céphalées, palpitations, hyperplasie gingivale.</w:t>
      </w:r>
    </w:p>
    <w:p>
      <w:pPr>
        <w:pStyle w:val="ListBullet"/>
      </w:pPr>
      <w:r>
        <w:t>Combination : hypotension (surtout à l'initiation).</w:t>
      </w:r>
    </w:p>
    <w:p>
      <w:r/>
      <w:r>
        <w:rPr>
          <w:b/>
        </w:rPr>
        <w:t>Prévention et Gestion des Effets Indésirables :</w:t>
      </w:r>
      <w:r/>
    </w:p>
    <w:p>
      <w:pPr>
        <w:pStyle w:val="ListBullet"/>
      </w:pPr>
      <w:r>
        <w:t>Identiques à l'association périndopril + amlodipine. Surveillance PA, bilan rénal et ionogramme. Information patient sur la toux, l'angio-œdème, les œdèmes.</w:t>
      </w:r>
    </w:p>
    <w:p>
      <w:r/>
      <w:r>
        <w:rPr>
          <w:b/>
        </w:rPr>
        <w:t>Interactions Importantes :</w:t>
      </w:r>
      <w:r/>
    </w:p>
    <w:p>
      <w:pPr>
        <w:pStyle w:val="ListBullet"/>
      </w:pPr>
      <w:r/>
      <w:r>
        <w:rPr>
          <w:b/>
        </w:rPr>
        <w:t>Félodipine + CYP3A4 inhibiteurs</w:t>
      </w:r>
      <w:r>
        <w:t xml:space="preserve"> (azolés, macrolides, inhibiteurs protéase, pamplemousse) : majoration de l'ASC de la félodipine → hypotension sévère, œdèmes marqués. CI ou surveillance stricte.</w:t>
      </w:r>
    </w:p>
    <w:p>
      <w:pPr>
        <w:pStyle w:val="ListBullet"/>
      </w:pPr>
      <w:r/>
      <w:r>
        <w:rPr>
          <w:b/>
        </w:rPr>
        <w:t>Félodipine + Inducteurs CYP3A4</w:t>
      </w:r>
      <w:r>
        <w:t xml:space="preserve"> (rifampicine, phénytoïne, carbamazépine, millepertuis) : baisse d'efficacité.</w:t>
      </w:r>
    </w:p>
    <w:p>
      <w:pPr>
        <w:pStyle w:val="ListBullet"/>
      </w:pPr>
      <w:r/>
      <w:r>
        <w:rPr>
          <w:b/>
        </w:rPr>
        <w:t>Ramipril + ARA2</w:t>
      </w:r>
      <w:r>
        <w:t xml:space="preserve"> : CI absolue.</w:t>
      </w:r>
    </w:p>
    <w:p>
      <w:pPr>
        <w:pStyle w:val="ListBullet"/>
      </w:pPr>
      <w:r/>
      <w:r>
        <w:rPr>
          <w:b/>
        </w:rPr>
        <w:t>Ramipril + Aliskirène</w:t>
      </w:r>
      <w:r>
        <w:t xml:space="preserve"> : CI absolue chez diabétique ou IRC.</w:t>
      </w:r>
    </w:p>
    <w:p>
      <w:pPr>
        <w:pStyle w:val="ListBullet"/>
      </w:pPr>
      <w:r/>
      <w:r>
        <w:rPr>
          <w:b/>
        </w:rPr>
        <w:t>Ramipril + Lithium</w:t>
      </w:r>
      <w:r>
        <w:t xml:space="preserve"> : majoration lithémie.</w:t>
      </w:r>
    </w:p>
    <w:p>
      <w:pPr>
        <w:pStyle w:val="ListBullet"/>
      </w:pPr>
      <w:r/>
      <w:r>
        <w:rPr>
          <w:b/>
        </w:rPr>
        <w:t>Ramipril + AINS</w:t>
      </w:r>
      <w:r>
        <w:t xml:space="preserve"> : baisse effet, risque IR aiguë.</w:t>
      </w:r>
    </w:p>
    <w:p>
      <w:pPr>
        <w:pStyle w:val="ListBullet"/>
      </w:pPr>
      <w:r/>
      <w:r>
        <w:rPr>
          <w:b/>
        </w:rPr>
        <w:t>Ramipril + K⁺ épargneurs</w:t>
      </w:r>
      <w:r>
        <w:t xml:space="preserve"> : risque d'hyperkaliémie.</w:t>
      </w:r>
    </w:p>
    <w:p>
      <w:r/>
      <w:r>
        <w:rPr>
          <w:b/>
        </w:rPr>
        <w:t>Grossesse et Allaitement :</w:t>
      </w:r>
      <w:r/>
    </w:p>
    <w:p>
      <w:pPr>
        <w:pStyle w:val="ListBullet"/>
      </w:pPr>
      <w:r>
        <w:t>Identiques à l'association périndopril + amlodipine. CI absolue à partir du 2e trimestre (IEC fœtotoxique).</w:t>
      </w:r>
    </w:p>
    <w:p>
      <w:r/>
      <w:r>
        <w:rPr>
          <w:b/>
        </w:rPr>
        <w:t>Posologie et Mode d'administration (Standard) :</w:t>
      </w:r>
      <w:r/>
    </w:p>
    <w:p>
      <w:pPr>
        <w:pStyle w:val="ListBullet"/>
      </w:pPr>
      <w:r>
        <w:t>Adulte : dose usuelle 2,5 mg/2,5 mg/j, dose maximale 5 mg/10 mg/j (recourir aux composants séparés au-delà de 2,5/2,5).</w:t>
      </w:r>
    </w:p>
    <w:p>
      <w:pPr>
        <w:pStyle w:val="ListBullet"/>
      </w:pPr>
      <w:r>
        <w:t>Sujet âgé : dose initiale réduite.</w:t>
      </w:r>
    </w:p>
    <w:p>
      <w:pPr>
        <w:pStyle w:val="ListBullet"/>
      </w:pPr>
      <w:r>
        <w:t>Insuffisance rénale modérée : surveillance. Sévère (ClCr &lt; 30) : CI.</w:t>
      </w:r>
    </w:p>
    <w:p>
      <w:pPr>
        <w:pStyle w:val="ListBullet"/>
      </w:pPr>
      <w:r>
        <w:t>Durée : au long cours.</w:t>
      </w:r>
    </w:p>
    <w:p>
      <w:pPr>
        <w:pStyle w:val="ListBullet"/>
      </w:pPr>
      <w:r>
        <w:t>Moment de prise : le matin, à heure fixe. La félodipine LP ne doit pas être prise avec du pamplemousse.</w:t>
      </w:r>
    </w:p>
    <w:p>
      <w:r/>
      <w:r>
        <w:rPr>
          <w:b/>
        </w:rPr>
        <w:t>Arbitrage et Bénéfices des Formes Galéniques :</w:t>
      </w:r>
      <w:r/>
    </w:p>
    <w:p>
      <w:r>
        <w:t>Forme comprimé pelliculé LP 2,5 mg/2,5 mg. Avantage : combinaison de deux molécules de référence (ramipril HOPE, félodipine HOT). Inconvénient : dosage unique disponible en Algérie, posologie limitée pour l'escalade thérapeutique. Spécialité TRIACOR actuellement non renouvelée — substitution par ramipril + félodipine en comprimés séparés, ou par COVERAM (périndopril + amlodipine) en alternative.</w:t>
      </w:r>
    </w:p>
    <w:p>
      <w:r/>
      <w:r>
        <w:rPr>
          <w:b/>
        </w:rPr>
        <w:t>Instructions et Conseils au Patient :</w:t>
      </w:r>
      <w:r/>
    </w:p>
    <w:p>
      <w:pPr>
        <w:pStyle w:val="ListBullet"/>
      </w:pPr>
      <w:r>
        <w:t>Communication au comptoir : « Ce médicament combine un IEC (ramipril) et un inhibiteur calcique (félodipine). Prenez-le le matin, à heure fixe. Évitez le pamplemousse (interagit avec la félodipine). Prévenez votre médecin en cas de vertiges, toux sèche, œdèmes des jambes. Faites vos bilans sanguins régulièrement. Ne l'arrêtez pas seul. »</w:t>
      </w:r>
    </w:p>
    <w:p>
      <w:pPr>
        <w:pStyle w:val="ListBullet"/>
      </w:pPr>
      <w:r>
        <w:t>Mode d'utilisation pratique : avaler avec un verre d'eau le matin. Ne pas écraser ni croquer (forme LP). Oubli : ne pas doubler.</w:t>
      </w:r>
    </w:p>
    <w:p>
      <w:r/>
      <w:r>
        <w:rPr>
          <w:b/>
        </w:rPr>
        <w:t>Notes, Règles d'Or &amp; Pièges au Comptoir :</w:t>
      </w:r>
      <w:r/>
    </w:p>
    <w:p>
      <w:pPr>
        <w:pStyle w:val="ListBullet"/>
      </w:pPr>
      <w:r>
        <w:t>Piège classique : patient qui consomme du pamplemousse. Majoration de la félodipine → hypotension sévère, œdèmes marqués.</w:t>
      </w:r>
    </w:p>
    <w:p>
      <w:pPr>
        <w:pStyle w:val="ListBullet"/>
      </w:pPr>
      <w:r>
        <w:t>Piège classique : toux sèche persistante. Évoquer l'IEC.</w:t>
      </w:r>
    </w:p>
    <w:p>
      <w:pPr>
        <w:pStyle w:val="ListBullet"/>
      </w:pPr>
      <w:r>
        <w:t>Piège classique : femme enceinte. CI absolue.</w:t>
      </w:r>
    </w:p>
    <w:p>
      <w:pPr>
        <w:pStyle w:val="ListBullet"/>
      </w:pPr>
      <w:r>
        <w:t>Règle de prise : une prise/j le matin, à heure fixe.</w:t>
      </w:r>
    </w:p>
    <w:p>
      <w:pPr>
        <w:pStyle w:val="ListBullet"/>
      </w:pPr>
      <w:r>
        <w:t>Préparation et Conservation : &lt; 25 °C, à l'abri de l'humidité et de la lumière. Forme LP : ne pas écraser.</w:t>
      </w:r>
    </w:p>
    <w:p>
      <w:pPr>
        <w:pStyle w:val="ListBullet"/>
      </w:pPr>
      <w:r>
        <w:t>Piège du surdosage / Substitution : TRIACOR étant non renouvelé, substitution par ramipril + félodipine en comprimés séparés à posologie équivalente (2,5/2,5 mg), ou switch vers COVERAM (périndopril + amlodipine) avec adaptation posologique.</w:t>
      </w:r>
    </w:p>
    <w:p>
      <w:pPr>
        <w:pStyle w:val="Heading3"/>
      </w:pPr>
      <w:r>
        <w:t>38.5.8 DCI : Amlodipine + Irbesartan (ARA2 + ICA — Association fixe)</w:t>
      </w:r>
    </w:p>
    <w:p>
      <w:r/>
      <w:r>
        <w:rPr>
          <w:b/>
        </w:rPr>
        <w:t>Liste des Catégories :</w:t>
      </w:r>
      <w:r>
        <w:t xml:space="preserve"> ARA2 + Inhibiteurs calciques (associations) ; Liste I.</w:t>
      </w:r>
    </w:p>
    <w:p>
      <w:r>
        <w:t>L'association amlodipine + irbesartan combine un inhibiteur calcique dihydropyridinique (amlodipine) et un antagoniste des récepteurs AT1 de l'angiotensine II (irbesartan). L'irbesartan a démontré un bénéfice néphroprotecteur majeur dans les études IDNT (diabète type 2 avec néphropathie, 2001) et IRMA-2 (microalbuminurie diabétique, 2001). L'association avec l'amlodipine a été évaluée dans l'étude INCLUSIVE (2007) montrant un contrôle tensionnel supérieur vs monothérapie. Le profil de tolérance de l'irbesartan est supérieur à celui des IEC (absence de toux, moindre risque d'angio-œdème). En Algérie, cette association est largement représentée sous 6 marques (AMLESAR, APRODEX, APROVASC, EXIRB, GIZLAN DUO, VASCOVEL), en 3 dosages distincts (5/150, 5/300 mg/mL), reflétant l'importance de la prescription.</w:t>
      </w:r>
    </w:p>
    <w:p>
      <w:r/>
      <w:r>
        <w:rPr>
          <w:b/>
        </w:rPr>
        <w:t>Médicaments disponibles en Algérie (Marques, Laboratoires, Formes et Dosages) :</w:t>
      </w:r>
      <w:r/>
    </w:p>
    <w:p>
      <w:r>
        <w:t>Dosage 5 mg/150 mg :</w:t>
      </w:r>
    </w:p>
    <w:p>
      <w:pPr>
        <w:pStyle w:val="ListBullet"/>
      </w:pPr>
      <w:r/>
      <w:r>
        <w:rPr>
          <w:b/>
        </w:rPr>
        <w:t>AMLESAR</w:t>
      </w:r>
      <w:r>
        <w:t xml:space="preserve"> (SARL GROUPE SANTE) — Comprimé pelliculé 5 mg/150 mg, B/30 — Statut : Actif</w:t>
      </w:r>
    </w:p>
    <w:p>
      <w:pPr>
        <w:pStyle w:val="ListBullet"/>
      </w:pPr>
      <w:r/>
      <w:r>
        <w:rPr>
          <w:b/>
        </w:rPr>
        <w:t>APRODEX</w:t>
      </w:r>
      <w:r>
        <w:t xml:space="preserve"> (PHARMALLIANCE) — Comprimé pelliculé 5 mg/150 mg, B/30 — Statut : Actif</w:t>
      </w:r>
    </w:p>
    <w:p>
      <w:pPr>
        <w:pStyle w:val="ListBullet"/>
      </w:pPr>
      <w:r/>
      <w:r>
        <w:rPr>
          <w:b/>
        </w:rPr>
        <w:t>APROVASC</w:t>
      </w:r>
      <w:r>
        <w:t xml:space="preserve"> (SANOFI AVENTIS ALGERIE) — Comprimé pelliculé 5 mg/150 mg, B/30 — Statut : Actif</w:t>
      </w:r>
    </w:p>
    <w:p>
      <w:pPr>
        <w:pStyle w:val="ListBullet"/>
      </w:pPr>
      <w:r/>
      <w:r>
        <w:rPr>
          <w:b/>
        </w:rPr>
        <w:t>EXIRB</w:t>
      </w:r>
      <w:r>
        <w:t xml:space="preserve"> (EL KENDI INDUSTRIE DU MEDICAMENT) — Comprimé pelliculé 5 mg/150 mg, B/30 — Statut : Actif</w:t>
      </w:r>
    </w:p>
    <w:p>
      <w:pPr>
        <w:pStyle w:val="ListBullet"/>
      </w:pPr>
      <w:r/>
      <w:r>
        <w:rPr>
          <w:b/>
        </w:rPr>
        <w:t>GIZLAN DUO</w:t>
      </w:r>
      <w:r>
        <w:t xml:space="preserve"> (DAR AL DAWA) — Comprimé pelliculé 5 mg/150 mg, B/30 — Statut : Actif</w:t>
      </w:r>
    </w:p>
    <w:p>
      <w:pPr>
        <w:pStyle w:val="ListBullet"/>
      </w:pPr>
      <w:r/>
      <w:r>
        <w:rPr>
          <w:b/>
        </w:rPr>
        <w:t>VASCOVEL</w:t>
      </w:r>
      <w:r>
        <w:t xml:space="preserve"> (TABUK ALGERIE) — Comprimé pelliculé 5 mg/150 mg, B/30 — Statut : Actif</w:t>
      </w:r>
    </w:p>
    <w:p>
      <w:r>
        <w:t>Dosage 5 mg/300 mg :</w:t>
      </w:r>
    </w:p>
    <w:p>
      <w:pPr>
        <w:pStyle w:val="ListBullet"/>
      </w:pPr>
      <w:r/>
      <w:r>
        <w:rPr>
          <w:b/>
        </w:rPr>
        <w:t>APRODEX</w:t>
      </w:r>
      <w:r>
        <w:t xml:space="preserve"> (PHARMALLIANCE), </w:t>
      </w:r>
      <w:r>
        <w:rPr>
          <w:b/>
        </w:rPr>
        <w:t>APROVASC</w:t>
      </w:r>
      <w:r>
        <w:t xml:space="preserve"> (SANOFI), </w:t>
      </w:r>
      <w:r>
        <w:rPr>
          <w:b/>
        </w:rPr>
        <w:t>EXIRB</w:t>
      </w:r>
      <w:r>
        <w:t xml:space="preserve"> (EL KENDI), </w:t>
      </w:r>
      <w:r>
        <w:rPr>
          <w:b/>
        </w:rPr>
        <w:t>GIZLAN DUO</w:t>
      </w:r>
      <w:r>
        <w:t xml:space="preserve"> (DAR AL DAWA), </w:t>
      </w:r>
      <w:r>
        <w:rPr>
          <w:b/>
        </w:rPr>
        <w:t>VASCOVEL</w:t>
      </w:r>
      <w:r>
        <w:t xml:space="preserve"> (TABUK) — Comprimé pelliculé 5 mg/300 mg, B/30 — Statut : Actif</w:t>
      </w:r>
    </w:p>
    <w:p>
      <w:r/>
      <w:r>
        <w:rPr>
          <w:b/>
        </w:rPr>
        <w:t>Sous-classe et Mécanisme d'action :</w:t>
      </w:r>
      <w:r/>
    </w:p>
    <w:p>
      <w:pPr>
        <w:pStyle w:val="ListBullet"/>
      </w:pPr>
      <w:r>
        <w:t>Sous-classe : Association fixe ARA2 + ICA DHP.</w:t>
      </w:r>
    </w:p>
    <w:p>
      <w:pPr>
        <w:pStyle w:val="ListBullet"/>
      </w:pPr>
      <w:r>
        <w:t>Mécanisme d'action : double action synergique.</w:t>
      </w:r>
    </w:p>
    <w:p>
      <w:pPr>
        <w:pStyle w:val="ListBullet"/>
      </w:pPr>
      <w:r>
        <w:t>Amlodipine : antagoniste des canaux calciques voltage-dépendants de type L (Cav1.2) au niveau du muscle vasculaire lisse → vasodilatation artérielle périphérique.</w:t>
      </w:r>
    </w:p>
    <w:p>
      <w:pPr>
        <w:pStyle w:val="ListBullet"/>
      </w:pPr>
      <w:r>
        <w:t>Irbesartan : antagoniste sélectif des récepteurs AT1 de l'angiotensine II → blocage des effets vasoconstricteur, aldostéronosécréteur, sympatho-activateur et trophique de l'angiotensine II. Effet néphroprotecteur indépendant de la baisse tensionnelle (réduction de la protéinurie, ralentissement de l'évolution vers l'IRC terminale chez le diabétique).</w:t>
      </w:r>
    </w:p>
    <w:p>
      <w:pPr>
        <w:pStyle w:val="ListBullet"/>
      </w:pPr>
      <w:r>
        <w:t>Synergie : blocage du SRAA + vasodilatation directe, neutralisation réciproque des effets indésirables (l'ARA2 réduit les œdèmes des ICA).</w:t>
      </w:r>
    </w:p>
    <w:p>
      <w:r/>
      <w:r>
        <w:rPr>
          <w:b/>
        </w:rPr>
        <w:t>Profil Pharmacologique :</w:t>
      </w:r>
      <w:r/>
    </w:p>
    <w:p>
      <w:pPr>
        <w:pStyle w:val="ListBullet"/>
      </w:pPr>
      <w:r>
        <w:t>Indications : HTA essentielle non contrôlée par monothérapie ; HTA avec atteinte d'organe cible (HVG, microalbuminurie) ; diabète type 2 avec néphropathie (irbesartan bénéfique) ; alternative à l'IEC en cas d'intolérance (toux).</w:t>
      </w:r>
    </w:p>
    <w:p>
      <w:pPr>
        <w:pStyle w:val="ListBullet"/>
      </w:pPr>
      <w:r>
        <w:t>Contre-indications : hypersensibilité ; insuffisance rénale sévère (ClCr &lt; 30) ; anurie ; angio-œdème sous IEC ou ARA2 ; sténose bilatérale des artères rénales ; grossesse (2e et 3e trimestres) ; allaitement ; association à lithium, aliskirène (chez diabétique ou IRC).</w:t>
      </w:r>
    </w:p>
    <w:p>
      <w:pPr>
        <w:pStyle w:val="ListBullet"/>
      </w:pPr>
      <w:r>
        <w:t>Effets Indésirables :</w:t>
      </w:r>
    </w:p>
    <w:p>
      <w:pPr>
        <w:pStyle w:val="ListBullet"/>
      </w:pPr>
      <w:r>
        <w:t>Amlodipine : œdèmes des membres inférieurs (5–10 %), flush, céphalées, palpitations.</w:t>
      </w:r>
    </w:p>
    <w:p>
      <w:pPr>
        <w:pStyle w:val="ListBullet"/>
      </w:pPr>
      <w:r>
        <w:t>Irbesartan : hypotension, hyperkaliémie, IR aiguë (surtout si sténose artère rénale, déplétion volémique), angio-œdème rare.</w:t>
      </w:r>
    </w:p>
    <w:p>
      <w:pPr>
        <w:pStyle w:val="ListBullet"/>
      </w:pPr>
      <w:r>
        <w:t>Combination : hypotension (surtout à l'initiation).</w:t>
      </w:r>
    </w:p>
    <w:p>
      <w:r/>
      <w:r>
        <w:rPr>
          <w:b/>
        </w:rPr>
        <w:t>Prévention et Gestion des Effets Indésirables :</w:t>
      </w:r>
      <w:r/>
    </w:p>
    <w:p>
      <w:pPr>
        <w:pStyle w:val="ListBullet"/>
      </w:pPr>
      <w:r>
        <w:t>Identiques à l'association amlodipine + valsartan. Surveillance PA, bilan rénal, ionogramme. Information patient sur les signes d'hypotension, l'angio-œdème (rare mais grave).</w:t>
      </w:r>
    </w:p>
    <w:p>
      <w:r/>
      <w:r>
        <w:rPr>
          <w:b/>
        </w:rPr>
        <w:t>Interactions Importantes :</w:t>
      </w:r>
      <w:r/>
    </w:p>
    <w:p>
      <w:pPr>
        <w:pStyle w:val="ListBullet"/>
      </w:pPr>
      <w:r/>
      <w:r>
        <w:rPr>
          <w:b/>
        </w:rPr>
        <w:t>Association + IEC</w:t>
      </w:r>
      <w:r>
        <w:t xml:space="preserve"> : CI absolue (double blocage du SRAA).</w:t>
      </w:r>
    </w:p>
    <w:p>
      <w:pPr>
        <w:pStyle w:val="ListBullet"/>
      </w:pPr>
      <w:r/>
      <w:r>
        <w:rPr>
          <w:b/>
        </w:rPr>
        <w:t>Association + Aliskirène</w:t>
      </w:r>
      <w:r>
        <w:t xml:space="preserve"> : CI absolue chez diabétique ou IRC.</w:t>
      </w:r>
    </w:p>
    <w:p>
      <w:pPr>
        <w:pStyle w:val="ListBullet"/>
      </w:pPr>
      <w:r/>
      <w:r>
        <w:rPr>
          <w:b/>
        </w:rPr>
        <w:t>Association + Lithium</w:t>
      </w:r>
      <w:r>
        <w:t xml:space="preserve"> : majoration lithémie.</w:t>
      </w:r>
    </w:p>
    <w:p>
      <w:pPr>
        <w:pStyle w:val="ListBullet"/>
      </w:pPr>
      <w:r/>
      <w:r>
        <w:rPr>
          <w:b/>
        </w:rPr>
        <w:t>Association + AINS</w:t>
      </w:r>
      <w:r>
        <w:t xml:space="preserve"> : baisse effet, risque IR aiguë.</w:t>
      </w:r>
    </w:p>
    <w:p>
      <w:pPr>
        <w:pStyle w:val="ListBullet"/>
      </w:pPr>
      <w:r/>
      <w:r>
        <w:rPr>
          <w:b/>
        </w:rPr>
        <w:t>Association + K⁺ épargneurs</w:t>
      </w:r>
      <w:r>
        <w:t xml:space="preserve"> : risque d'hyperkaliémie.</w:t>
      </w:r>
    </w:p>
    <w:p>
      <w:r/>
      <w:r>
        <w:rPr>
          <w:b/>
        </w:rPr>
        <w:t>Grossesse et Allaitement :</w:t>
      </w:r>
      <w:r/>
    </w:p>
    <w:p>
      <w:pPr>
        <w:pStyle w:val="ListBullet"/>
      </w:pPr>
      <w:r>
        <w:t>Identiques à l'association amlodipine + valsartan. CI absolue à partir du 2e trimestre (ARA2 fœtotoxique).</w:t>
      </w:r>
    </w:p>
    <w:p>
      <w:r/>
      <w:r>
        <w:rPr>
          <w:b/>
        </w:rPr>
        <w:t>Posologie et Mode d'administration (Standard) :</w:t>
      </w:r>
      <w:r/>
    </w:p>
    <w:p>
      <w:pPr>
        <w:pStyle w:val="ListBullet"/>
      </w:pPr>
      <w:r>
        <w:t>Adulte : dose initiale 5 mg/150 mg/j, dose usuelle 5/150 à 5/300 mg/j, dose maximale 10 mg/300 mg/j (recourir à la forme Irbesartan + Amlodipine 300 mg/10 mg, voir section 38.5.10).</w:t>
      </w:r>
    </w:p>
    <w:p>
      <w:pPr>
        <w:pStyle w:val="ListBullet"/>
      </w:pPr>
      <w:r>
        <w:t>Sujet âgé : initier à 5/150 mg.</w:t>
      </w:r>
    </w:p>
    <w:p>
      <w:pPr>
        <w:pStyle w:val="ListBullet"/>
      </w:pPr>
      <w:r>
        <w:t>Insuffisance rénale modérée : surveillance. Sévère (ClCr &lt; 30) : CI.</w:t>
      </w:r>
    </w:p>
    <w:p>
      <w:pPr>
        <w:pStyle w:val="ListBullet"/>
      </w:pPr>
      <w:r>
        <w:t>Insuffisance hépatique : CI si sévère.</w:t>
      </w:r>
    </w:p>
    <w:p>
      <w:pPr>
        <w:pStyle w:val="ListBullet"/>
      </w:pPr>
      <w:r>
        <w:t>Durée : au long cours.</w:t>
      </w:r>
    </w:p>
    <w:p>
      <w:pPr>
        <w:pStyle w:val="ListBullet"/>
      </w:pPr>
      <w:r>
        <w:t>Moment de prise : à tout moment, à heure fixe.</w:t>
      </w:r>
    </w:p>
    <w:p>
      <w:r/>
      <w:r>
        <w:rPr>
          <w:b/>
        </w:rPr>
        <w:t>Arbitrage et Bénéfices des Formes Galéniques :</w:t>
      </w:r>
      <w:r/>
    </w:p>
    <w:p>
      <w:r>
        <w:t>Forme comprimé pelliculé en 2 dosages (5/150 et 5/300 mg), disponibles sous 6 marques. Avantage : large disponibilité, choix entre plusieurs génériques et princeps (APROVASC Sanofi). Inconvénient : pas de dosage 10 mg/300 mg en association directe — recourir à la forme « Irbesartan + Amlodipine » 300/10 mg (section 38.5.10, qui est identique pharmacologiquement mais avec dosage différent).</w:t>
      </w:r>
    </w:p>
    <w:p>
      <w:r/>
      <w:r>
        <w:rPr>
          <w:b/>
        </w:rPr>
        <w:t>Instructions et Conseils au Patient :</w:t>
      </w:r>
      <w:r/>
    </w:p>
    <w:p>
      <w:pPr>
        <w:pStyle w:val="ListBullet"/>
      </w:pPr>
      <w:r>
        <w:t>Communication au comptoir : « Ce médicament combine un ARA2 (irbesartan) et un inhibiteur calcique (amlodipine). Prenez-le une fois par jour à heure fixe. Prévenez votre médecin en cas de vertiges, œdèmes des jambes, palpitations. Faites vos bilans sanguins régulièrement. Ne l'arrêtez pas seul. »</w:t>
      </w:r>
    </w:p>
    <w:p>
      <w:pPr>
        <w:pStyle w:val="ListBullet"/>
      </w:pPr>
      <w:r>
        <w:t>Mode d'utilisation pratique : avaler avec un verre d'eau. Oubli : ne pas doubler.</w:t>
      </w:r>
    </w:p>
    <w:p>
      <w:r/>
      <w:r>
        <w:rPr>
          <w:b/>
        </w:rPr>
        <w:t>Notes, Règles d'Or &amp; Pièges au Comptoir :</w:t>
      </w:r>
      <w:r/>
    </w:p>
    <w:p>
      <w:pPr>
        <w:pStyle w:val="ListBullet"/>
      </w:pPr>
      <w:r>
        <w:t>Identiques à l'association amlodipine + valsartan.</w:t>
      </w:r>
    </w:p>
    <w:p>
      <w:pPr>
        <w:pStyle w:val="ListBullet"/>
      </w:pPr>
      <w:r>
        <w:t>Règle de prise : une prise/j à heure fixe.</w:t>
      </w:r>
    </w:p>
    <w:p>
      <w:pPr>
        <w:pStyle w:val="ListBullet"/>
      </w:pPr>
      <w:r>
        <w:t>Préparation et Conservation : &lt; 25 °C, à l'abri de l'humidité.</w:t>
      </w:r>
    </w:p>
    <w:p>
      <w:pPr>
        <w:pStyle w:val="ListBullet"/>
      </w:pPr>
      <w:r>
        <w:t>Piège du surdosage / Substitution : les 6 marques sont équivalentes (AMLESAR, APRODEX, APROVASC, EXIRB, GIZLAN DUO, VASCOVEL). Substitution possible entre elles. Le dosage 10/300 mg se trouve sous la forme "Irbesartan + Amlodipine" 300/10 mg (même composition, ordre inversé).</w:t>
      </w:r>
    </w:p>
    <w:p>
      <w:pPr>
        <w:pStyle w:val="Heading3"/>
      </w:pPr>
      <w:r>
        <w:t>38.5.9 DCI : Amlodipine + Valsartan (ARA2 + ICA — Association fixe)</w:t>
      </w:r>
    </w:p>
    <w:p>
      <w:r/>
      <w:r>
        <w:rPr>
          <w:b/>
        </w:rPr>
        <w:t>Liste des Catégories :</w:t>
      </w:r>
      <w:r>
        <w:t xml:space="preserve"> ARA2 + Inhibiteurs calciques (associations) ; Liste I.</w:t>
      </w:r>
    </w:p>
    <w:p>
      <w:r>
        <w:t>L'association amlodipine + valsartan (première ARA2 + ICA disponible, EXFORGE Novartis) est l'une des bithérapies antihypertensives de référence, validée par l'étude pivots EXFAST (efficacité et tolérance). Elle combine un inhibiteur calcique dihydropyridinique (amlodipine) et un antagoniste des récepteurs AT1 de l'angiotensine II (valsartan). Le profil de tolérance est supérieur à celui d'une association IEC + ICA (absence de toux, moindre risque d'angio-œdème). L'étude ACCOMPLISH (2008) a démontré la supériorité de l'association IEC + ICA vs IEC + diurétique en termes de morbidité et mortalité CV ; l'association ARA2 + ICA est considérée comme équivalente. En Algérie, cette association est largement disponible sous ≈ 11 marques (EXFORGE princeps, BIOFORGE, DARTIX, EXBITAN, EXFORGE, EXFORMEDIC, EXSART, EXVAL, LOTEVAN, MIBRAVAL, VESTAMOL, AMPLID, ANGIOSAR, VALAMLO ALEMBIC), en 3 dosages distincts (5/80, 5/160, 10/160 mg), reflétant l'importance de la prescription.</w:t>
      </w:r>
    </w:p>
    <w:p>
      <w:r/>
      <w:r>
        <w:rPr>
          <w:b/>
        </w:rPr>
        <w:t>Médicaments disponibles en Algérie (Marques, Laboratoires, Formes et Dosages) :</w:t>
      </w:r>
      <w:r/>
    </w:p>
    <w:p>
      <w:r>
        <w:t>Dosage 5 mg/80 mg :</w:t>
      </w:r>
    </w:p>
    <w:p>
      <w:pPr>
        <w:pStyle w:val="ListBullet"/>
      </w:pPr>
      <w:r/>
      <w:r>
        <w:rPr>
          <w:b/>
        </w:rPr>
        <w:t>AMLODIPINE+VALSARTAN LDM</w:t>
      </w:r>
      <w:r>
        <w:t xml:space="preserve"> (LDM), </w:t>
      </w:r>
      <w:r>
        <w:rPr>
          <w:b/>
        </w:rPr>
        <w:t>BIOFORGE</w:t>
      </w:r>
      <w:r>
        <w:t xml:space="preserve"> (BIOCARE), </w:t>
      </w:r>
      <w:r>
        <w:rPr>
          <w:b/>
        </w:rPr>
        <w:t>DARTIX</w:t>
      </w:r>
      <w:r>
        <w:t xml:space="preserve"> (LABORATOIRES BEKER), </w:t>
      </w:r>
      <w:r>
        <w:rPr>
          <w:b/>
        </w:rPr>
        <w:t>EXBITAN</w:t>
      </w:r>
      <w:r>
        <w:t xml:space="preserve"> (HIKMA), </w:t>
      </w:r>
      <w:r>
        <w:rPr>
          <w:b/>
        </w:rPr>
        <w:t>EXFORGE</w:t>
      </w:r>
      <w:r>
        <w:t xml:space="preserve"> (NOVARTIS PHARMA SCHWEIZ), </w:t>
      </w:r>
      <w:r>
        <w:rPr>
          <w:b/>
        </w:rPr>
        <w:t>EXFORMEDIC</w:t>
      </w:r>
      <w:r>
        <w:t xml:space="preserve"> (NEOMEDIC), </w:t>
      </w:r>
      <w:r>
        <w:rPr>
          <w:b/>
        </w:rPr>
        <w:t>EXSART</w:t>
      </w:r>
      <w:r>
        <w:t xml:space="preserve"> (PHARMALLIANCE), </w:t>
      </w:r>
      <w:r>
        <w:rPr>
          <w:b/>
        </w:rPr>
        <w:t>EXVAL</w:t>
      </w:r>
      <w:r>
        <w:t xml:space="preserve"> (EL KENDI), </w:t>
      </w:r>
      <w:r>
        <w:rPr>
          <w:b/>
        </w:rPr>
        <w:t>LOTEVAN</w:t>
      </w:r>
      <w:r>
        <w:t xml:space="preserve"> (TABUK), </w:t>
      </w:r>
      <w:r>
        <w:rPr>
          <w:b/>
        </w:rPr>
        <w:t>VESTAMOL</w:t>
      </w:r>
      <w:r>
        <w:t xml:space="preserve"> (LABORATOIRES MM), </w:t>
      </w:r>
      <w:r>
        <w:rPr>
          <w:b/>
        </w:rPr>
        <w:t>AMLOVAL</w:t>
      </w:r>
      <w:r>
        <w:t xml:space="preserve"> (SOPHAL) [R] — Comprimé pelliculé 5 mg/80 mg, B/30 ou B/28 — Statut : Actif (sauf AMLOVAL R).</w:t>
      </w:r>
    </w:p>
    <w:p>
      <w:r>
        <w:t>Dosage 5 mg/160 mg :</w:t>
      </w:r>
    </w:p>
    <w:p>
      <w:pPr>
        <w:pStyle w:val="ListBullet"/>
      </w:pPr>
      <w:r/>
      <w:r>
        <w:rPr>
          <w:b/>
        </w:rPr>
        <w:t>AMPLID</w:t>
      </w:r>
      <w:r>
        <w:t xml:space="preserve"> (NADPHARMADIC), </w:t>
      </w:r>
      <w:r>
        <w:rPr>
          <w:b/>
        </w:rPr>
        <w:t>ANGIOSAR</w:t>
      </w:r>
      <w:r>
        <w:t xml:space="preserve"> (DAR AL DAWA), </w:t>
      </w:r>
      <w:r>
        <w:rPr>
          <w:b/>
        </w:rPr>
        <w:t>BIOFORGE</w:t>
      </w:r>
      <w:r>
        <w:t xml:space="preserve"> (BIOCARE), </w:t>
      </w:r>
      <w:r>
        <w:rPr>
          <w:b/>
        </w:rPr>
        <w:t>DARTIX</w:t>
      </w:r>
      <w:r>
        <w:t xml:space="preserve"> (LABORATOIRES BEKER), </w:t>
      </w:r>
      <w:r>
        <w:rPr>
          <w:b/>
        </w:rPr>
        <w:t>EXBITAN</w:t>
      </w:r>
      <w:r>
        <w:t xml:space="preserve"> (HIKMA), </w:t>
      </w:r>
      <w:r>
        <w:rPr>
          <w:b/>
        </w:rPr>
        <w:t>EXFORGE</w:t>
      </w:r>
      <w:r>
        <w:t xml:space="preserve"> (NOVARTIS), </w:t>
      </w:r>
      <w:r>
        <w:rPr>
          <w:b/>
        </w:rPr>
        <w:t>EXFORMEDIC</w:t>
      </w:r>
      <w:r>
        <w:t xml:space="preserve"> (NEOMEDIC), </w:t>
      </w:r>
      <w:r>
        <w:rPr>
          <w:b/>
        </w:rPr>
        <w:t>EXSART</w:t>
      </w:r>
      <w:r>
        <w:t xml:space="preserve"> (PHARMALLIANCE), </w:t>
      </w:r>
      <w:r>
        <w:rPr>
          <w:b/>
        </w:rPr>
        <w:t>EXVAL</w:t>
      </w:r>
      <w:r>
        <w:t xml:space="preserve"> (EL KENDI), </w:t>
      </w:r>
      <w:r>
        <w:rPr>
          <w:b/>
        </w:rPr>
        <w:t>LOTEVAN</w:t>
      </w:r>
      <w:r>
        <w:t xml:space="preserve"> (TABUK), </w:t>
      </w:r>
      <w:r>
        <w:rPr>
          <w:b/>
        </w:rPr>
        <w:t>VALAMLO ALEMBIC MAMI</w:t>
      </w:r>
      <w:r>
        <w:t xml:space="preserve"> (ALEMBIC), </w:t>
      </w:r>
      <w:r>
        <w:rPr>
          <w:b/>
        </w:rPr>
        <w:t>VESTAMOL</w:t>
      </w:r>
      <w:r>
        <w:t xml:space="preserve"> (MM), </w:t>
      </w:r>
      <w:r>
        <w:rPr>
          <w:b/>
        </w:rPr>
        <w:t>AMLOVAL</w:t>
      </w:r>
      <w:r>
        <w:t xml:space="preserve"> (SOPHAL) [R] — Comprimé pelliculé 5 mg/160 mg — Statut : Actif (sauf AMLOVAL R).</w:t>
      </w:r>
    </w:p>
    <w:p>
      <w:r>
        <w:t>Dosage 10 mg/160 mg :</w:t>
      </w:r>
    </w:p>
    <w:p>
      <w:pPr>
        <w:pStyle w:val="ListBullet"/>
      </w:pPr>
      <w:r/>
      <w:r>
        <w:rPr>
          <w:b/>
        </w:rPr>
        <w:t>AMPLID</w:t>
      </w:r>
      <w:r>
        <w:t xml:space="preserve"> (NADPHARMADIC), </w:t>
      </w:r>
      <w:r>
        <w:rPr>
          <w:b/>
        </w:rPr>
        <w:t>ANGIOSAR</w:t>
      </w:r>
      <w:r>
        <w:t xml:space="preserve"> (DAR AL DAWA), </w:t>
      </w:r>
      <w:r>
        <w:rPr>
          <w:b/>
        </w:rPr>
        <w:t>BIOFORGE</w:t>
      </w:r>
      <w:r>
        <w:t xml:space="preserve"> (BIOCARE) [aussi gélule], </w:t>
      </w:r>
      <w:r>
        <w:rPr>
          <w:b/>
        </w:rPr>
        <w:t>DARTIX</w:t>
      </w:r>
      <w:r>
        <w:t xml:space="preserve"> (LABORATOIRES BEKER), </w:t>
      </w:r>
      <w:r>
        <w:rPr>
          <w:b/>
        </w:rPr>
        <w:t>EXBITAN</w:t>
      </w:r>
      <w:r>
        <w:t xml:space="preserve"> (HIKMA), </w:t>
      </w:r>
      <w:r>
        <w:rPr>
          <w:b/>
        </w:rPr>
        <w:t>EXFORGE</w:t>
      </w:r>
      <w:r>
        <w:t xml:space="preserve"> (NOVARTIS), </w:t>
      </w:r>
      <w:r>
        <w:rPr>
          <w:b/>
        </w:rPr>
        <w:t>EXFORMEDIC</w:t>
      </w:r>
      <w:r>
        <w:t xml:space="preserve"> (NEOMEDIC), </w:t>
      </w:r>
      <w:r>
        <w:rPr>
          <w:b/>
        </w:rPr>
        <w:t>EXSART</w:t>
      </w:r>
      <w:r>
        <w:t xml:space="preserve"> (PHARMALLIANCE), </w:t>
      </w:r>
      <w:r>
        <w:rPr>
          <w:b/>
        </w:rPr>
        <w:t>EXVAL</w:t>
      </w:r>
      <w:r>
        <w:t xml:space="preserve"> (EL KENDI), </w:t>
      </w:r>
      <w:r>
        <w:rPr>
          <w:b/>
        </w:rPr>
        <w:t>LOTEVAN</w:t>
      </w:r>
      <w:r>
        <w:t xml:space="preserve"> (TABUK), </w:t>
      </w:r>
      <w:r>
        <w:rPr>
          <w:b/>
        </w:rPr>
        <w:t>MIBRAVAL</w:t>
      </w:r>
      <w:r>
        <w:t xml:space="preserve"> (LDM), </w:t>
      </w:r>
      <w:r>
        <w:rPr>
          <w:b/>
        </w:rPr>
        <w:t>VESTAMOL</w:t>
      </w:r>
      <w:r>
        <w:t xml:space="preserve"> (MM), </w:t>
      </w:r>
      <w:r>
        <w:rPr>
          <w:b/>
        </w:rPr>
        <w:t>AMLOVAL</w:t>
      </w:r>
      <w:r>
        <w:t xml:space="preserve"> (SOPHAL) [R] — Comprimé pelliculé 10 mg/160 mg — Statut : Actif (sauf AMLOVAL R).</w:t>
      </w:r>
    </w:p>
    <w:p>
      <w:r/>
      <w:r>
        <w:rPr>
          <w:b/>
        </w:rPr>
        <w:t>Sous-classe et Mécanisme d'action :</w:t>
      </w:r>
      <w:r/>
    </w:p>
    <w:p>
      <w:pPr>
        <w:pStyle w:val="ListBullet"/>
      </w:pPr>
      <w:r>
        <w:t>Sous-classe : Association fixe ARA2 + ICA DHP.</w:t>
      </w:r>
    </w:p>
    <w:p>
      <w:pPr>
        <w:pStyle w:val="ListBullet"/>
      </w:pPr>
      <w:r>
        <w:t>Mécanisme d'action : double action synergique. Amlodipine (antagoniste canaux calciques L vasculaires → vasodilatation artérielle) + Valsartan (antagoniste sélectif AT1 → blocage du SRAA). Synergie : l'ARA2 prévient l'activation compensatoire du SRAA induite par l'ICA ; l'ARA2 réduit les œdèmes des ICA.</w:t>
      </w:r>
    </w:p>
    <w:p>
      <w:r/>
      <w:r>
        <w:rPr>
          <w:b/>
        </w:rPr>
        <w:t>Profil Pharmacologique :</w:t>
      </w:r>
      <w:r/>
    </w:p>
    <w:p>
      <w:pPr>
        <w:pStyle w:val="ListBullet"/>
      </w:pPr>
      <w:r>
        <w:t>Indications : HTA essentielle non contrôlée par monothérapie ; HTA avec atteinte d'organe cible ; alternative à l'IEC en cas d'intolérance (toux).</w:t>
      </w:r>
    </w:p>
    <w:p>
      <w:pPr>
        <w:pStyle w:val="ListBullet"/>
      </w:pPr>
      <w:r>
        <w:t>Contre-indications : identiques à l'association amlodipine + irbesartan.</w:t>
      </w:r>
    </w:p>
    <w:p>
      <w:pPr>
        <w:pStyle w:val="ListBullet"/>
      </w:pPr>
      <w:r>
        <w:t>Effets Indésirables : identiques.</w:t>
      </w:r>
    </w:p>
    <w:p>
      <w:r/>
      <w:r>
        <w:rPr>
          <w:b/>
        </w:rPr>
        <w:t>Prévention et Gestion des Effets Indésirables :</w:t>
      </w:r>
      <w:r/>
    </w:p>
    <w:p>
      <w:pPr>
        <w:pStyle w:val="ListBullet"/>
      </w:pPr>
      <w:r>
        <w:t>Identiques.</w:t>
      </w:r>
    </w:p>
    <w:p>
      <w:r/>
      <w:r>
        <w:rPr>
          <w:b/>
        </w:rPr>
        <w:t>Interactions Importantes :</w:t>
      </w:r>
      <w:r/>
    </w:p>
    <w:p>
      <w:pPr>
        <w:pStyle w:val="ListBullet"/>
      </w:pPr>
      <w:r>
        <w:t>Identiques à l'association amlodipine + irbesartan.</w:t>
      </w:r>
    </w:p>
    <w:p>
      <w:r/>
      <w:r>
        <w:rPr>
          <w:b/>
        </w:rPr>
        <w:t>Grossesse et Allaitement :</w:t>
      </w:r>
      <w:r/>
    </w:p>
    <w:p>
      <w:pPr>
        <w:pStyle w:val="ListBullet"/>
      </w:pPr>
      <w:r>
        <w:t>Identiques.</w:t>
      </w:r>
    </w:p>
    <w:p>
      <w:r/>
      <w:r>
        <w:rPr>
          <w:b/>
        </w:rPr>
        <w:t>Posologie et Mode d'administration (Standard) :</w:t>
      </w:r>
      <w:r/>
    </w:p>
    <w:p>
      <w:pPr>
        <w:pStyle w:val="ListBullet"/>
      </w:pPr>
      <w:r>
        <w:t>Adulte : dose initiale 5 mg/80 mg/j, dose usuelle 5/160 mg/j, dose maximale 10/320 mg/j (recourir à la forme Amlodipine + Valsartan + HCTZ si nécessité d'ajouter un diurétique).</w:t>
      </w:r>
    </w:p>
    <w:p>
      <w:pPr>
        <w:pStyle w:val="ListBullet"/>
      </w:pPr>
      <w:r>
        <w:t>Sujet âgé : initier à 5/80 mg.</w:t>
      </w:r>
    </w:p>
    <w:p>
      <w:pPr>
        <w:pStyle w:val="ListBullet"/>
      </w:pPr>
      <w:r>
        <w:t>Insuffisance rénale modérée : surveillance. Sévère (ClCr &lt; 30) : CI.</w:t>
      </w:r>
    </w:p>
    <w:p>
      <w:pPr>
        <w:pStyle w:val="ListBullet"/>
      </w:pPr>
      <w:r>
        <w:t>Insuffisance hépatique : CI si sévère.</w:t>
      </w:r>
    </w:p>
    <w:p>
      <w:pPr>
        <w:pStyle w:val="ListBullet"/>
      </w:pPr>
      <w:r>
        <w:t>Durée : au long cours.</w:t>
      </w:r>
    </w:p>
    <w:p>
      <w:pPr>
        <w:pStyle w:val="ListBullet"/>
      </w:pPr>
      <w:r>
        <w:t>Moment de prise : à tout moment, à heure fixe.</w:t>
      </w:r>
    </w:p>
    <w:p>
      <w:r/>
      <w:r>
        <w:rPr>
          <w:b/>
        </w:rPr>
        <w:t>Arbitrage et Bénéfices des Formes Galéniques :</w:t>
      </w:r>
      <w:r/>
    </w:p>
    <w:p>
      <w:r>
        <w:t>Forme comprimé pelliculé en 3 dosages (5/80, 5/160, 10/160 mg), disponibles sous ≈ 11 marques. Avantage : large disponibilité, choix entre génériques (BIOFORGE, DARTIX, EXBITAN, EXSART, EXVAL, VESTAMOL, etc.) et princeps (EXFORGE Novartis), titration progressive. Inconvénient : pas de dosage 10/320 mg en association directe — recourir à la forme Amlodipine + Valsartan + HCTZ (CO EXVAL, LOTEVAN PLUS) si besoin d'ajouter un diurétique.</w:t>
      </w:r>
    </w:p>
    <w:p>
      <w:r/>
      <w:r>
        <w:rPr>
          <w:b/>
        </w:rPr>
        <w:t>Instructions et Conseils au Patient :</w:t>
      </w:r>
      <w:r/>
    </w:p>
    <w:p>
      <w:pPr>
        <w:pStyle w:val="ListBullet"/>
      </w:pPr>
      <w:r>
        <w:t>Communication au comptoir : « Ce médicament combine un ARA2 (valsartan) et un inhibiteur calcique (amlodipine). Prenez-le une fois par jour à heure fixe. Prévenez votre médecin en cas de vertiges (surtout au lever), œdèmes des jambes, palpitations. Faites vos bilans sanguins régulièrement. Ne l'arrêtez pas seul. »</w:t>
      </w:r>
    </w:p>
    <w:p>
      <w:pPr>
        <w:pStyle w:val="ListBullet"/>
      </w:pPr>
      <w:r>
        <w:t>Mode d'utilisation pratique : avaler avec un verre d'eau. Oubli : ne pas doubler.</w:t>
      </w:r>
    </w:p>
    <w:p>
      <w:r/>
      <w:r>
        <w:rPr>
          <w:b/>
        </w:rPr>
        <w:t>Notes, Règles d'Or &amp; Pièges au Comptoir :</w:t>
      </w:r>
      <w:r/>
    </w:p>
    <w:p>
      <w:pPr>
        <w:pStyle w:val="ListBullet"/>
      </w:pPr>
      <w:r>
        <w:t>Piège classique : femme enceinte. CI absolue.</w:t>
      </w:r>
    </w:p>
    <w:p>
      <w:pPr>
        <w:pStyle w:val="ListBullet"/>
      </w:pPr>
      <w:r>
        <w:t>Piège classique : patient sous AINS au long cours. Risque IR aiguë.</w:t>
      </w:r>
    </w:p>
    <w:p>
      <w:pPr>
        <w:pStyle w:val="ListBullet"/>
      </w:pPr>
      <w:r>
        <w:t>Piège classique : patient sous potassium (substitution). Risque d'hyperkaliémie.</w:t>
      </w:r>
    </w:p>
    <w:p>
      <w:pPr>
        <w:pStyle w:val="ListBullet"/>
      </w:pPr>
      <w:r>
        <w:t>Piège classique : patient avec œdèmes des jambes marqués. Réduction dose d'amlodipine ou séparation.</w:t>
      </w:r>
    </w:p>
    <w:p>
      <w:pPr>
        <w:pStyle w:val="ListBullet"/>
      </w:pPr>
      <w:r>
        <w:t>Règle de prise : une prise/j à heure fixe.</w:t>
      </w:r>
    </w:p>
    <w:p>
      <w:pPr>
        <w:pStyle w:val="ListBullet"/>
      </w:pPr>
      <w:r>
        <w:t>Préparation et Conservation : &lt; 25 °C, à l'abri de l'humidité.</w:t>
      </w:r>
    </w:p>
    <w:p>
      <w:pPr>
        <w:pStyle w:val="ListBullet"/>
      </w:pPr>
      <w:r>
        <w:t>Piège du surdosage / Substitution : les ≈ 11 marques sont équivalentes. Substitution possible entre elles (sauf AMLOVAL retirée).</w:t>
      </w:r>
    </w:p>
    <w:p>
      <w:pPr>
        <w:pStyle w:val="Heading3"/>
      </w:pPr>
      <w:r>
        <w:t>38.5.10 DCI : Irbesartan + Amlodipine (ARA2 + ICA — Association fixe)</w:t>
      </w:r>
    </w:p>
    <w:p>
      <w:r/>
      <w:r>
        <w:rPr>
          <w:b/>
        </w:rPr>
        <w:t>Liste des Catégories :</w:t>
      </w:r>
      <w:r>
        <w:t xml:space="preserve"> ARA2 + Inhibiteurs calciques (associations) ; Liste I.</w:t>
      </w:r>
    </w:p>
    <w:p>
      <w:r>
        <w:t>L'association irbesartan + amlodipine est strictement identique pharmacologiquement à l'association amlodipine + irbesartan (section 38.5.8). La distinction dans la nomenclature algérienne provient de l'ordre d'énonciation des DCI et des dosages disponibles (300/10 mg, 150/10 mg vs 5/150 et 5/300). Le contenu actif est identique : antagoniste des récepteurs AT1 (irbesartan) + inhibiteur calcique dihydropyridinique (amlodipine). Les marques (APRODEX, APROVASC, EXIRB, GIZLAN DUO, VASCOVEL) proposent les dosages supérieurs à 10 mg d'amlodipine, complétant la gamme des dosages disponibles dans la section 38.5.8.</w:t>
      </w:r>
    </w:p>
    <w:p>
      <w:r/>
      <w:r>
        <w:rPr>
          <w:b/>
        </w:rPr>
        <w:t>Médicaments disponibles en Algérie (Marques, Laboratoires, Formes et Dosages) :</w:t>
      </w:r>
      <w:r/>
    </w:p>
    <w:p>
      <w:r>
        <w:t>Dosage 300 mg/10 mg :</w:t>
      </w:r>
    </w:p>
    <w:p>
      <w:pPr>
        <w:pStyle w:val="ListBullet"/>
      </w:pPr>
      <w:r/>
      <w:r>
        <w:rPr>
          <w:b/>
        </w:rPr>
        <w:t>APRODEX</w:t>
      </w:r>
      <w:r>
        <w:t xml:space="preserve"> (PHARMALLIANCE), </w:t>
      </w:r>
      <w:r>
        <w:rPr>
          <w:b/>
        </w:rPr>
        <w:t>APROVASC</w:t>
      </w:r>
      <w:r>
        <w:t xml:space="preserve"> (SANOFI AVENTIS ALGERIE), </w:t>
      </w:r>
      <w:r>
        <w:rPr>
          <w:b/>
        </w:rPr>
        <w:t>EXIRB</w:t>
      </w:r>
      <w:r>
        <w:t xml:space="preserve"> (EL KENDI), </w:t>
      </w:r>
      <w:r>
        <w:rPr>
          <w:b/>
        </w:rPr>
        <w:t>GIZLAN DUO</w:t>
      </w:r>
      <w:r>
        <w:t xml:space="preserve"> (DAR AL DAWA), </w:t>
      </w:r>
      <w:r>
        <w:rPr>
          <w:b/>
        </w:rPr>
        <w:t>VASCOVEL</w:t>
      </w:r>
      <w:r>
        <w:t xml:space="preserve"> (TABUK ALGERIE) — Comprimé pelliculé (sécable selon marque) 300 mg/10 mg, B/30 — Statut : Actif.</w:t>
      </w:r>
    </w:p>
    <w:p>
      <w:r>
        <w:t>Dosage 150 mg/10 mg :</w:t>
      </w:r>
    </w:p>
    <w:p>
      <w:pPr>
        <w:pStyle w:val="ListBullet"/>
      </w:pPr>
      <w:r/>
      <w:r>
        <w:rPr>
          <w:b/>
        </w:rPr>
        <w:t>APRODEX</w:t>
      </w:r>
      <w:r>
        <w:t xml:space="preserve"> (PHARMALLIANCE), </w:t>
      </w:r>
      <w:r>
        <w:rPr>
          <w:b/>
        </w:rPr>
        <w:t>APROVASC</w:t>
      </w:r>
      <w:r>
        <w:t xml:space="preserve"> (SANOFI AVENTIS ALGERIE), </w:t>
      </w:r>
      <w:r>
        <w:rPr>
          <w:b/>
        </w:rPr>
        <w:t>GIZLAN DUO</w:t>
      </w:r>
      <w:r>
        <w:t xml:space="preserve"> (DAR AL DAWA) — Comprimé pelliculé 150 mg/10 mg, B/30 — Statut : Actif.</w:t>
      </w:r>
    </w:p>
    <w:p>
      <w:r/>
      <w:r>
        <w:rPr>
          <w:b/>
        </w:rPr>
        <w:t>Sous-classe et Mécanisme d'action :</w:t>
      </w:r>
      <w:r/>
    </w:p>
    <w:p>
      <w:pPr>
        <w:pStyle w:val="ListBullet"/>
      </w:pPr>
      <w:r>
        <w:t>Sous-classe : Association fixe ARA2 + ICA DHP (identique à section 38.5.8).</w:t>
      </w:r>
    </w:p>
    <w:p>
      <w:pPr>
        <w:pStyle w:val="ListBullet"/>
      </w:pPr>
      <w:r>
        <w:t>Mécanisme d'action : voir section 38.5.8.</w:t>
      </w:r>
    </w:p>
    <w:p>
      <w:r/>
      <w:r>
        <w:rPr>
          <w:b/>
        </w:rPr>
        <w:t>Profil Pharmacologique :</w:t>
      </w:r>
      <w:r/>
    </w:p>
    <w:p>
      <w:pPr>
        <w:pStyle w:val="ListBullet"/>
      </w:pPr>
      <w:r>
        <w:t>Indications : identiques à section 38.5.8. HTA non contrôlée par monothérapie, alternative à l'IEC.</w:t>
      </w:r>
    </w:p>
    <w:p>
      <w:pPr>
        <w:pStyle w:val="ListBullet"/>
      </w:pPr>
      <w:r>
        <w:t>Contre-indications : identiques.</w:t>
      </w:r>
    </w:p>
    <w:p>
      <w:pPr>
        <w:pStyle w:val="ListBullet"/>
      </w:pPr>
      <w:r>
        <w:t>Effets Indésirables : identiques. Œdèmes plus marqués à amlodipine 10 mg.</w:t>
      </w:r>
    </w:p>
    <w:p>
      <w:r/>
      <w:r>
        <w:rPr>
          <w:b/>
        </w:rPr>
        <w:t>Prévention et Gestion des Effets Indésirables :</w:t>
      </w:r>
      <w:r/>
    </w:p>
    <w:p>
      <w:pPr>
        <w:pStyle w:val="ListBullet"/>
      </w:pPr>
      <w:r>
        <w:t>Identiques à section 38.5.8.</w:t>
      </w:r>
    </w:p>
    <w:p>
      <w:r/>
      <w:r>
        <w:rPr>
          <w:b/>
        </w:rPr>
        <w:t>Interactions Importantes :</w:t>
      </w:r>
      <w:r/>
    </w:p>
    <w:p>
      <w:pPr>
        <w:pStyle w:val="ListBullet"/>
      </w:pPr>
      <w:r>
        <w:t>Identiques à section 38.5.8.</w:t>
      </w:r>
    </w:p>
    <w:p>
      <w:r/>
      <w:r>
        <w:rPr>
          <w:b/>
        </w:rPr>
        <w:t>Grossesse et Allaitement :</w:t>
      </w:r>
      <w:r/>
    </w:p>
    <w:p>
      <w:pPr>
        <w:pStyle w:val="ListBullet"/>
      </w:pPr>
      <w:r>
        <w:t>Identiques.</w:t>
      </w:r>
    </w:p>
    <w:p>
      <w:r/>
      <w:r>
        <w:rPr>
          <w:b/>
        </w:rPr>
        <w:t>Posologie et Mode d'administration (Standard) :</w:t>
      </w:r>
      <w:r/>
    </w:p>
    <w:p>
      <w:pPr>
        <w:pStyle w:val="ListBullet"/>
      </w:pPr>
      <w:r>
        <w:t>Adulte : dose usuelle 150 mg/10 mg/j, dose maximale 300 mg/10 mg/j (irbesartan dose max 300 mg, amlodipine dose max 10 mg).</w:t>
      </w:r>
    </w:p>
    <w:p>
      <w:pPr>
        <w:pStyle w:val="ListBullet"/>
      </w:pPr>
      <w:r>
        <w:t>Sujet âgé : prudence, surveillance PA.</w:t>
      </w:r>
    </w:p>
    <w:p>
      <w:pPr>
        <w:pStyle w:val="ListBullet"/>
      </w:pPr>
      <w:r>
        <w:t>Insuffisance rénale : identique à section 38.5.8.</w:t>
      </w:r>
    </w:p>
    <w:p>
      <w:pPr>
        <w:pStyle w:val="ListBullet"/>
      </w:pPr>
      <w:r>
        <w:t>Durée : au long cours.</w:t>
      </w:r>
    </w:p>
    <w:p>
      <w:pPr>
        <w:pStyle w:val="ListBullet"/>
      </w:pPr>
      <w:r>
        <w:t>Moment de prise : à tout moment, à heure fixe.</w:t>
      </w:r>
    </w:p>
    <w:p>
      <w:r/>
      <w:r>
        <w:rPr>
          <w:b/>
        </w:rPr>
        <w:t>Arbitrage et Bénéfices des Formes Galéniques :</w:t>
      </w:r>
      <w:r/>
    </w:p>
    <w:p>
      <w:r>
        <w:t>Forme comprimé pelliculé en 2 dosages (150/10 et 300/10 mg), disponibles sous 5 marques. Complète la gamme des dosages de la section 38.5.8 (5/150, 5/300 mg) en proposant le palier supérieur d'amlodipine (10 mg). Avantage : titration indépendante des deux composants (irbesartan de 150 à 300 mg, amlodipine de 5 à 10 mg). Inconvénient : 5 marques à reconnaître au comptoir, risque de confusion entre dosages.</w:t>
      </w:r>
    </w:p>
    <w:p>
      <w:r/>
      <w:r>
        <w:rPr>
          <w:b/>
        </w:rPr>
        <w:t>Instructions et Conseils au Patient :</w:t>
      </w:r>
      <w:r/>
    </w:p>
    <w:p>
      <w:pPr>
        <w:pStyle w:val="ListBullet"/>
      </w:pPr>
      <w:r>
        <w:t>Identiques à section 38.5.8.</w:t>
      </w:r>
    </w:p>
    <w:p>
      <w:r/>
      <w:r>
        <w:rPr>
          <w:b/>
        </w:rPr>
        <w:t>Notes, Règles d'Or &amp; Pièges au Comptoir :</w:t>
      </w:r>
      <w:r/>
    </w:p>
    <w:p>
      <w:pPr>
        <w:pStyle w:val="ListBullet"/>
      </w:pPr>
      <w:r>
        <w:t>Identiques à section 38.5.8.</w:t>
      </w:r>
    </w:p>
    <w:p>
      <w:pPr>
        <w:pStyle w:val="ListBullet"/>
      </w:pPr>
      <w:r>
        <w:t>Piège classique : ne pas confondre les dosages 150/10 et 300/10 (inversion possible si ordonnance ambiguë). Toujours vérifier l'ordre d'énonciation sur l'ordonnance : Irbesartan + Amlodipine (300/10 = irbesartan 300, amlodipine 10).</w:t>
      </w:r>
    </w:p>
    <w:p>
      <w:pPr>
        <w:pStyle w:val="ListBullet"/>
      </w:pPr>
      <w:r>
        <w:t>Règle de prise : une prise/j à heure fixe.</w:t>
      </w:r>
    </w:p>
    <w:p>
      <w:pPr>
        <w:pStyle w:val="ListBullet"/>
      </w:pPr>
      <w:r>
        <w:t>Préparation et Conservation : &lt; 25 °C, à l'abri de l'humidité.</w:t>
      </w:r>
    </w:p>
    <w:p>
      <w:pPr>
        <w:pStyle w:val="ListBullet"/>
      </w:pPr>
      <w:r>
        <w:t>Piège du surdosage / Substitution : les 5 marques sont équivalentes. Substitution possible entre elles.</w:t>
      </w:r>
    </w:p>
    <w:p>
      <w:pPr>
        <w:pStyle w:val="Heading3"/>
      </w:pPr>
      <w:r>
        <w:t>38.5.11 DCI : Telmisartan + Amlodipine (ARA2 + ICA — Association fixe)</w:t>
      </w:r>
    </w:p>
    <w:p>
      <w:r/>
      <w:r>
        <w:rPr>
          <w:b/>
        </w:rPr>
        <w:t>Liste des Catégories :</w:t>
      </w:r>
      <w:r>
        <w:t xml:space="preserve"> ARA2 + Inhibiteurs calciques (associations) ; Liste I.</w:t>
      </w:r>
    </w:p>
    <w:p>
      <w:r>
        <w:t>L'association telmisartan + amlodipine combine un antagoniste des récepteurs AT1 de l'angiotensine II (telmisartan) et un inhibiteur calcique dihydropyridinique (amlodipine). Le telmisartan possède la particularité d'avoir la plus longue demi-vie de la classe des ARA2 (≈ 24 h), avec une durée d'action tensionnelle de 24 h confirmée par mesure de la PAS des dernières 6 heures du nycthémère (étude PRISMA I/II). Il présente également un effet agoniste partiel PPAR-γ, à l'origine d'un effet métabolique favorable (amélioration de l'insulinosensibilité, baisse des triglycérides), utile chez le diabétique ou le patient syndrome métabolique. Le telmisartan a démontré un bénéfice CV dans l'étude ONTARGET (2008, non-infériorité vs ramipril) et PRoFESS (post-AVC, 2008). L'association avec l'amlodipine a été évaluée dans l'étude TALENT (efficacité supérieure vs monothérapie). En Algérie, deux spécialités disponibles : EXTEL (El Kendi) et TEMISAL (Sophal).</w:t>
      </w:r>
    </w:p>
    <w:p>
      <w:r/>
      <w:r>
        <w:rPr>
          <w:b/>
        </w:rPr>
        <w:t>Médicaments disponibles en Algérie (Marques, Laboratoires, Formes et Dosages) :</w:t>
      </w:r>
      <w:r/>
    </w:p>
    <w:p>
      <w:pPr>
        <w:pStyle w:val="ListBullet"/>
      </w:pPr>
      <w:r/>
      <w:r>
        <w:rPr>
          <w:b/>
        </w:rPr>
        <w:t>EXTEL</w:t>
      </w:r>
      <w:r>
        <w:t xml:space="preserve"> (EL KENDI INDUSTRIE DU MEDICAMENT) — Comprimé 40 mg/5 mg (Telmisartan/Amlodipine), Boîte de 30 — Statut : Actif</w:t>
      </w:r>
    </w:p>
    <w:p>
      <w:pPr>
        <w:pStyle w:val="ListBullet"/>
      </w:pPr>
      <w:r/>
      <w:r>
        <w:rPr>
          <w:b/>
        </w:rPr>
        <w:t>EXTEL</w:t>
      </w:r>
      <w:r>
        <w:t xml:space="preserve"> (EL KENDI INDUSTRIE DU MEDICAMENT) — Comprimé 80 mg/5 mg, Boîte de 30 — Statut : Actif</w:t>
      </w:r>
    </w:p>
    <w:p>
      <w:pPr>
        <w:pStyle w:val="ListBullet"/>
      </w:pPr>
      <w:r/>
      <w:r>
        <w:rPr>
          <w:b/>
        </w:rPr>
        <w:t>EXTEL</w:t>
      </w:r>
      <w:r>
        <w:t xml:space="preserve"> (EL KENDI INDUSTRIE DU MEDICAMENT) — Comprimé 80 mg/10 mg, Boîte de 30 — Statut : Actif</w:t>
      </w:r>
    </w:p>
    <w:p>
      <w:pPr>
        <w:pStyle w:val="ListBullet"/>
      </w:pPr>
      <w:r/>
      <w:r>
        <w:rPr>
          <w:b/>
        </w:rPr>
        <w:t>TEMISAL</w:t>
      </w:r>
      <w:r>
        <w:t xml:space="preserve"> (SOCIETE PHARMACEUTIQUE ALGERIENNE SOPHAL) — Comprimé 40 mg/5 mg, Boîte de 30 — Statut : Actif</w:t>
      </w:r>
    </w:p>
    <w:p>
      <w:pPr>
        <w:pStyle w:val="ListBullet"/>
      </w:pPr>
      <w:r/>
      <w:r>
        <w:rPr>
          <w:b/>
        </w:rPr>
        <w:t>TEMISAL</w:t>
      </w:r>
      <w:r>
        <w:t xml:space="preserve"> (SOCIETE PHARMACEUTIQUE ALGERIENNE SOPHAL) — Comprimé 80 mg/10 mg, Boîte de 30 — Statut : Actif</w:t>
      </w:r>
    </w:p>
    <w:p>
      <w:r/>
      <w:r>
        <w:rPr>
          <w:b/>
        </w:rPr>
        <w:t>Sous-classe et Mécanisme d'action :</w:t>
      </w:r>
      <w:r/>
    </w:p>
    <w:p>
      <w:pPr>
        <w:pStyle w:val="ListBullet"/>
      </w:pPr>
      <w:r>
        <w:t>Sous-classe : Association fixe ARA2 + ICA DHP.</w:t>
      </w:r>
    </w:p>
    <w:p>
      <w:pPr>
        <w:pStyle w:val="ListBullet"/>
      </w:pPr>
      <w:r>
        <w:t>Mécanisme d'action : double action synergique.</w:t>
      </w:r>
    </w:p>
    <w:p>
      <w:pPr>
        <w:pStyle w:val="ListBullet"/>
      </w:pPr>
      <w:r>
        <w:t>Telmisartan : antagoniste sélectif des récepteurs AT1 de l'angiotensine II, avec une longue durée d'action (24 h, demi-vie ≈ 24 h). Effet agoniste partiel PPAR-γ (unique dans la classe des ARA2), à l'origine d'un effet métabolique favorable (amélioration de l'insulinosensibilité, baisse des triglycérides).</w:t>
      </w:r>
    </w:p>
    <w:p>
      <w:pPr>
        <w:pStyle w:val="ListBullet"/>
      </w:pPr>
      <w:r>
        <w:t>Amlodipine : antagoniste des canaux calciques voltage-dépendants de type L (Cav1.2) au niveau du muscle vasculaire → vasodilatation artérielle périphérique.</w:t>
      </w:r>
    </w:p>
    <w:p>
      <w:pPr>
        <w:pStyle w:val="ListBullet"/>
      </w:pPr>
      <w:r>
        <w:t>Synergie : blocage du SRAA + vasodilatation directe.</w:t>
      </w:r>
    </w:p>
    <w:p>
      <w:r/>
      <w:r>
        <w:rPr>
          <w:b/>
        </w:rPr>
        <w:t>Profil Pharmacologique :</w:t>
      </w:r>
      <w:r/>
    </w:p>
    <w:p>
      <w:pPr>
        <w:pStyle w:val="ListBullet"/>
      </w:pPr>
      <w:r>
        <w:t>Indications : HTA essentielle non contrôlée par monothérapie ; HTA avec atteinte d'organe cible ; diabète type 2 avec HTA (effet PPAR-γ du telmisartan) ; syndrome métabolique.</w:t>
      </w:r>
    </w:p>
    <w:p>
      <w:pPr>
        <w:pStyle w:val="ListBullet"/>
      </w:pPr>
      <w:r>
        <w:t>Contre-indications : identiques à l'association amlodipine + valsartan. Hypersensibilité, IRC sévère, anurie, angio-œdème, sténose bilatérale des artères rénales, grossesse (2e et 3e trimestres), allaitement.</w:t>
      </w:r>
    </w:p>
    <w:p>
      <w:pPr>
        <w:pStyle w:val="ListBullet"/>
      </w:pPr>
      <w:r>
        <w:t>Effets Indésirables :</w:t>
      </w:r>
    </w:p>
    <w:p>
      <w:pPr>
        <w:pStyle w:val="ListBullet"/>
      </w:pPr>
      <w:r>
        <w:t>Telmisartan : hypotension, hyperkaliémie, IR aiguë, angio-œdème rare. Profil métabolique favorable.</w:t>
      </w:r>
    </w:p>
    <w:p>
      <w:pPr>
        <w:pStyle w:val="ListBullet"/>
      </w:pPr>
      <w:r>
        <w:t>Amlodipine : œdèmes des membres inférieurs (5–10 %), flush, céphalées, palpitations.</w:t>
      </w:r>
    </w:p>
    <w:p>
      <w:pPr>
        <w:pStyle w:val="ListBullet"/>
      </w:pPr>
      <w:r>
        <w:t>Combination : hypotension (surtout à l'initiation).</w:t>
      </w:r>
    </w:p>
    <w:p>
      <w:r/>
      <w:r>
        <w:rPr>
          <w:b/>
        </w:rPr>
        <w:t>Prévention et Gestion des Effets Indésirables :</w:t>
      </w:r>
      <w:r/>
    </w:p>
    <w:p>
      <w:pPr>
        <w:pStyle w:val="ListBullet"/>
      </w:pPr>
      <w:r>
        <w:t>Identiques à l'association amlodipine + valsartan.</w:t>
      </w:r>
    </w:p>
    <w:p>
      <w:r/>
      <w:r>
        <w:rPr>
          <w:b/>
        </w:rPr>
        <w:t>Interactions Importantes :</w:t>
      </w:r>
      <w:r/>
    </w:p>
    <w:p>
      <w:pPr>
        <w:pStyle w:val="ListBullet"/>
      </w:pPr>
      <w:r>
        <w:t>Identiques à l'association amlodipine + valsartan.</w:t>
      </w:r>
    </w:p>
    <w:p>
      <w:pPr>
        <w:pStyle w:val="ListBullet"/>
      </w:pPr>
      <w:r/>
      <w:r>
        <w:rPr>
          <w:b/>
        </w:rPr>
        <w:t>Telmisartan + Digoxine</w:t>
      </w:r>
      <w:r>
        <w:t xml:space="preserve"> : augmentation discrète de la digoxinémie, surveillance.</w:t>
      </w:r>
    </w:p>
    <w:p>
      <w:pPr>
        <w:pStyle w:val="ListBullet"/>
      </w:pPr>
      <w:r/>
      <w:r>
        <w:rPr>
          <w:b/>
        </w:rPr>
        <w:t>Telmisartan + Warfarine</w:t>
      </w:r>
      <w:r>
        <w:t xml:space="preserve"> : pas d'interaction significative.</w:t>
      </w:r>
    </w:p>
    <w:p>
      <w:r/>
      <w:r>
        <w:rPr>
          <w:b/>
        </w:rPr>
        <w:t>Grossesse et Allaitement :</w:t>
      </w:r>
      <w:r/>
    </w:p>
    <w:p>
      <w:pPr>
        <w:pStyle w:val="ListBullet"/>
      </w:pPr>
      <w:r>
        <w:t>Identiques à l'association amlodipine + valsartan. CI absolue à partir du 2e trimestre.</w:t>
      </w:r>
    </w:p>
    <w:p>
      <w:r/>
      <w:r>
        <w:rPr>
          <w:b/>
        </w:rPr>
        <w:t>Posologie et Mode d'administration (Standard) :</w:t>
      </w:r>
      <w:r/>
    </w:p>
    <w:p>
      <w:pPr>
        <w:pStyle w:val="ListBullet"/>
      </w:pPr>
      <w:r>
        <w:t>Adulte : dose initiale 40 mg/5 mg/j, dose usuelle 80/5 mg/j à 80/10 mg/j, dose maximale 80 mg/10 mg/j.</w:t>
      </w:r>
    </w:p>
    <w:p>
      <w:pPr>
        <w:pStyle w:val="ListBullet"/>
      </w:pPr>
      <w:r>
        <w:t>Sujet âgé : initier à 40/5 mg.</w:t>
      </w:r>
    </w:p>
    <w:p>
      <w:pPr>
        <w:pStyle w:val="ListBullet"/>
      </w:pPr>
      <w:r>
        <w:t>Insuffisance rénale modérée : surveillance. Sévère (ClCr &lt; 30) : CI.</w:t>
      </w:r>
    </w:p>
    <w:p>
      <w:pPr>
        <w:pStyle w:val="ListBullet"/>
      </w:pPr>
      <w:r>
        <w:t>Insuffisance hépatique modérée : dose max telmisartan 40 mg. Sévère : CI.</w:t>
      </w:r>
    </w:p>
    <w:p>
      <w:pPr>
        <w:pStyle w:val="ListBullet"/>
      </w:pPr>
      <w:r>
        <w:t>Durée : au long cours.</w:t>
      </w:r>
    </w:p>
    <w:p>
      <w:pPr>
        <w:pStyle w:val="ListBullet"/>
      </w:pPr>
      <w:r>
        <w:t>Moment de prise : à tout moment, à heure fixe.</w:t>
      </w:r>
    </w:p>
    <w:p>
      <w:r/>
      <w:r>
        <w:rPr>
          <w:b/>
        </w:rPr>
        <w:t>Arbitrage et Bénéfices des Formes Galéniques :</w:t>
      </w:r>
      <w:r/>
    </w:p>
    <w:p>
      <w:r>
        <w:t>Forme comprimé en 3 dosages (40/5, 80/5, 80/10 mg), disponibles sous 2 marques (EXTEL El Kendi, TEMISAL Sophal). Avantage : longue durée d'action du telmisartan (24 h), effet métabolique favorable (PPAR-γ), profil de tolérance supérieur. Inconvénient : pas de dosage 40/10 mg — recourir à prises séparées si nécessaire.</w:t>
      </w:r>
    </w:p>
    <w:p>
      <w:r/>
      <w:r>
        <w:rPr>
          <w:b/>
        </w:rPr>
        <w:t>Instructions et Conseils au Patient :</w:t>
      </w:r>
      <w:r/>
    </w:p>
    <w:p>
      <w:pPr>
        <w:pStyle w:val="ListBullet"/>
      </w:pPr>
      <w:r>
        <w:t>Communication au comptoir : « Ce médicament combine un ARA2 (telmisartan, à longue durée d'action) et un inhibiteur calcique (amlodipine). Prenez-le une fois par jour à heure fixe. Prévenez votre médecin en cas de vertiges, œdèmes des jambes, palpitations. Faites vos bilans sanguins régulièrement. Ne l'arrêtez pas seul. »</w:t>
      </w:r>
    </w:p>
    <w:p>
      <w:pPr>
        <w:pStyle w:val="ListBullet"/>
      </w:pPr>
      <w:r>
        <w:t>Mode d'utilisation pratique : avaler avec un verre d'eau. Oubli : ne pas doubler.</w:t>
      </w:r>
    </w:p>
    <w:p>
      <w:r/>
      <w:r>
        <w:rPr>
          <w:b/>
        </w:rPr>
        <w:t>Notes, Règles d'Or &amp; Pièges au Comptoir :</w:t>
      </w:r>
      <w:r/>
    </w:p>
    <w:p>
      <w:pPr>
        <w:pStyle w:val="ListBullet"/>
      </w:pPr>
      <w:r>
        <w:t>Identiques à l'association amlodipine + valsartan.</w:t>
      </w:r>
    </w:p>
    <w:p>
      <w:pPr>
        <w:pStyle w:val="ListBullet"/>
      </w:pPr>
      <w:r>
        <w:t>Particularité : le telmisartan est l'ARA2 de choix chez le diabétique ou le patient syndrome métabolique (effet PPAR-γ).</w:t>
      </w:r>
    </w:p>
    <w:p>
      <w:pPr>
        <w:pStyle w:val="ListBullet"/>
      </w:pPr>
      <w:r>
        <w:t>Règle de prise : une prise/j à heure fixe.</w:t>
      </w:r>
    </w:p>
    <w:p>
      <w:pPr>
        <w:pStyle w:val="ListBullet"/>
      </w:pPr>
      <w:r>
        <w:t>Préparation et Conservation : &lt; 25 °C, à l'abri de l'humidité.</w:t>
      </w:r>
    </w:p>
    <w:p>
      <w:pPr>
        <w:pStyle w:val="ListBullet"/>
      </w:pPr>
      <w:r>
        <w:t>Piège du surdosage / Substitution : EXTEL ↔ TEMISAL (équivalence stricte). Substitution possible entre elles. Le dosage 80/5 mg est commun aux 2 marques. Le dosage 80/10 mg est commun. Le dosage 40/5 mg est disponible chez les 2 marques. Le dosage 40/10 mg n'existe pas en association fixe — recourir à prises séparées si nécessaire.</w:t>
      </w:r>
    </w:p>
    <w:p>
      <w:pPr>
        <w:pStyle w:val="Heading2"/>
      </w:pPr>
      <w:r>
        <w:t>38.6 Tableau comparatif synthétique des 25 DCI</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N°</w:t>
            </w:r>
          </w:p>
        </w:tc>
        <w:tc>
          <w:tcPr>
            <w:tcW w:type="dxa" w:w="1039"/>
          </w:tcPr>
          <w:p>
            <w:r>
              <w:rPr>
                <w:b/>
                <w:sz w:val="20"/>
              </w:rPr>
              <w:t>DCI</w:t>
            </w:r>
          </w:p>
        </w:tc>
        <w:tc>
          <w:tcPr>
            <w:tcW w:type="dxa" w:w="1039"/>
          </w:tcPr>
          <w:p>
            <w:r>
              <w:rPr>
                <w:b/>
                <w:sz w:val="20"/>
              </w:rPr>
              <w:t>Sous-classe</w:t>
            </w:r>
          </w:p>
        </w:tc>
        <w:tc>
          <w:tcPr>
            <w:tcW w:type="dxa" w:w="1039"/>
          </w:tcPr>
          <w:p>
            <w:r>
              <w:rPr>
                <w:b/>
                <w:sz w:val="20"/>
              </w:rPr>
              <w:t>Mécanisme</w:t>
            </w:r>
          </w:p>
        </w:tc>
        <w:tc>
          <w:tcPr>
            <w:tcW w:type="dxa" w:w="1039"/>
          </w:tcPr>
          <w:p>
            <w:r>
              <w:rPr>
                <w:b/>
                <w:sz w:val="20"/>
              </w:rPr>
              <w:t>Demi-vie</w:t>
            </w:r>
          </w:p>
        </w:tc>
        <w:tc>
          <w:tcPr>
            <w:tcW w:type="dxa" w:w="1039"/>
          </w:tcPr>
          <w:p>
            <w:r>
              <w:rPr>
                <w:b/>
                <w:sz w:val="20"/>
              </w:rPr>
              <w:t>Posologie adulte</w:t>
            </w:r>
          </w:p>
        </w:tc>
        <w:tc>
          <w:tcPr>
            <w:tcW w:type="dxa" w:w="1039"/>
          </w:tcPr>
          <w:p>
            <w:r>
              <w:rPr>
                <w:b/>
                <w:sz w:val="20"/>
              </w:rPr>
              <w:t>EI majeur</w:t>
            </w:r>
          </w:p>
        </w:tc>
        <w:tc>
          <w:tcPr>
            <w:tcW w:type="dxa" w:w="1039"/>
          </w:tcPr>
          <w:p>
            <w:r>
              <w:rPr>
                <w:b/>
                <w:sz w:val="20"/>
              </w:rPr>
              <w:t>Grossesse</w:t>
            </w:r>
          </w:p>
        </w:tc>
        <w:tc>
          <w:tcPr>
            <w:tcW w:type="dxa" w:w="1039"/>
          </w:tcPr>
          <w:p>
            <w:r>
              <w:rPr>
                <w:b/>
                <w:sz w:val="20"/>
              </w:rPr>
              <w:t>Interactions clés</w:t>
            </w:r>
          </w:p>
        </w:tc>
      </w:tr>
      <w:tr>
        <w:tc>
          <w:tcPr>
            <w:tcW w:type="dxa" w:w="1039"/>
          </w:tcPr>
          <w:p>
            <w:r>
              <w:rPr>
                <w:sz w:val="20"/>
              </w:rPr>
              <w:t>1</w:t>
            </w:r>
          </w:p>
        </w:tc>
        <w:tc>
          <w:tcPr>
            <w:tcW w:type="dxa" w:w="1039"/>
          </w:tcPr>
          <w:p>
            <w:r>
              <w:rPr>
                <w:sz w:val="20"/>
              </w:rPr>
              <w:t>Simvastatine</w:t>
            </w:r>
          </w:p>
        </w:tc>
        <w:tc>
          <w:tcPr>
            <w:tcW w:type="dxa" w:w="1039"/>
          </w:tcPr>
          <w:p>
            <w:r>
              <w:rPr>
                <w:sz w:val="20"/>
              </w:rPr>
              <w:t>Statine lipophile</w:t>
            </w:r>
          </w:p>
        </w:tc>
        <w:tc>
          <w:tcPr>
            <w:tcW w:type="dxa" w:w="1039"/>
          </w:tcPr>
          <w:p>
            <w:r>
              <w:rPr>
                <w:sz w:val="20"/>
              </w:rPr>
              <w:t>Inhibition HMG-CoA réductase (CYP3A4)</w:t>
            </w:r>
          </w:p>
        </w:tc>
        <w:tc>
          <w:tcPr>
            <w:tcW w:type="dxa" w:w="1039"/>
          </w:tcPr>
          <w:p>
            <w:r>
              <w:rPr>
                <w:sz w:val="20"/>
              </w:rPr>
              <w:t>2–3 h</w:t>
            </w:r>
          </w:p>
        </w:tc>
        <w:tc>
          <w:tcPr>
            <w:tcW w:type="dxa" w:w="1039"/>
          </w:tcPr>
          <w:p>
            <w:r>
              <w:rPr>
                <w:sz w:val="20"/>
              </w:rPr>
              <w:t>10–40 mg/j (max 80) le soir</w:t>
            </w:r>
          </w:p>
        </w:tc>
        <w:tc>
          <w:tcPr>
            <w:tcW w:type="dxa" w:w="1039"/>
          </w:tcPr>
          <w:p>
            <w:r>
              <w:rPr>
                <w:sz w:val="20"/>
              </w:rPr>
              <w:t>Myalgie, rhabdomyolyse, hépatotoxicité</w:t>
            </w:r>
          </w:p>
        </w:tc>
        <w:tc>
          <w:tcPr>
            <w:tcW w:type="dxa" w:w="1039"/>
          </w:tcPr>
          <w:p>
            <w:r>
              <w:rPr>
                <w:sz w:val="20"/>
              </w:rPr>
              <w:t>CI absolue (cat. X)</w:t>
            </w:r>
          </w:p>
        </w:tc>
        <w:tc>
          <w:tcPr>
            <w:tcW w:type="dxa" w:w="1039"/>
          </w:tcPr>
          <w:p>
            <w:r>
              <w:rPr>
                <w:sz w:val="20"/>
              </w:rPr>
              <w:t>CYP3A4 (azolés, macrolides, pamplemousse, amiodarone/vérapamil limitent à 20 mg/j)</w:t>
            </w:r>
          </w:p>
        </w:tc>
      </w:tr>
      <w:tr>
        <w:tc>
          <w:tcPr>
            <w:tcW w:type="dxa" w:w="1039"/>
          </w:tcPr>
          <w:p>
            <w:r>
              <w:rPr>
                <w:sz w:val="20"/>
              </w:rPr>
              <w:t>2</w:t>
            </w:r>
          </w:p>
        </w:tc>
        <w:tc>
          <w:tcPr>
            <w:tcW w:type="dxa" w:w="1039"/>
          </w:tcPr>
          <w:p>
            <w:r>
              <w:rPr>
                <w:sz w:val="20"/>
              </w:rPr>
              <w:t>Atorvastatine</w:t>
            </w:r>
          </w:p>
        </w:tc>
        <w:tc>
          <w:tcPr>
            <w:tcW w:type="dxa" w:w="1039"/>
          </w:tcPr>
          <w:p>
            <w:r>
              <w:rPr>
                <w:sz w:val="20"/>
              </w:rPr>
              <w:t>Statine puissante (CYP3A4)</w:t>
            </w:r>
          </w:p>
        </w:tc>
        <w:tc>
          <w:tcPr>
            <w:tcW w:type="dxa" w:w="1039"/>
          </w:tcPr>
          <w:p>
            <w:r>
              <w:rPr>
                <w:sz w:val="20"/>
              </w:rPr>
              <w:t>Inhibition HMG-CoA réductase</w:t>
            </w:r>
          </w:p>
        </w:tc>
        <w:tc>
          <w:tcPr>
            <w:tcW w:type="dxa" w:w="1039"/>
          </w:tcPr>
          <w:p>
            <w:r>
              <w:rPr>
                <w:sz w:val="20"/>
              </w:rPr>
              <w:t>14 h (métabolites actifs 20–30 h)</w:t>
            </w:r>
          </w:p>
        </w:tc>
        <w:tc>
          <w:tcPr>
            <w:tcW w:type="dxa" w:w="1039"/>
          </w:tcPr>
          <w:p>
            <w:r>
              <w:rPr>
                <w:sz w:val="20"/>
              </w:rPr>
              <w:t>10–80 mg/j à tout moment</w:t>
            </w:r>
          </w:p>
        </w:tc>
        <w:tc>
          <w:tcPr>
            <w:tcW w:type="dxa" w:w="1039"/>
          </w:tcPr>
          <w:p>
            <w:r>
              <w:rPr>
                <w:sz w:val="20"/>
              </w:rPr>
              <w:t>Myalgie, rhabdomyolyse, diabète incident</w:t>
            </w:r>
          </w:p>
        </w:tc>
        <w:tc>
          <w:tcPr>
            <w:tcW w:type="dxa" w:w="1039"/>
          </w:tcPr>
          <w:p>
            <w:r>
              <w:rPr>
                <w:sz w:val="20"/>
              </w:rPr>
              <w:t>CI absolue (cat. X)</w:t>
            </w:r>
          </w:p>
        </w:tc>
        <w:tc>
          <w:tcPr>
            <w:tcW w:type="dxa" w:w="1039"/>
          </w:tcPr>
          <w:p>
            <w:r>
              <w:rPr>
                <w:sz w:val="20"/>
              </w:rPr>
              <w:t>CYP3A4 (azolés, macrolides, cyclosporine)</w:t>
            </w:r>
          </w:p>
        </w:tc>
      </w:tr>
      <w:tr>
        <w:tc>
          <w:tcPr>
            <w:tcW w:type="dxa" w:w="1039"/>
          </w:tcPr>
          <w:p>
            <w:r>
              <w:rPr>
                <w:sz w:val="20"/>
              </w:rPr>
              <w:t>3</w:t>
            </w:r>
          </w:p>
        </w:tc>
        <w:tc>
          <w:tcPr>
            <w:tcW w:type="dxa" w:w="1039"/>
          </w:tcPr>
          <w:p>
            <w:r>
              <w:rPr>
                <w:sz w:val="20"/>
              </w:rPr>
              <w:t>Rosuvastatine</w:t>
            </w:r>
          </w:p>
        </w:tc>
        <w:tc>
          <w:tcPr>
            <w:tcW w:type="dxa" w:w="1039"/>
          </w:tcPr>
          <w:p>
            <w:r>
              <w:rPr>
                <w:sz w:val="20"/>
              </w:rPr>
              <w:t>Statine la plus puissante (CYP2C9)</w:t>
            </w:r>
          </w:p>
        </w:tc>
        <w:tc>
          <w:tcPr>
            <w:tcW w:type="dxa" w:w="1039"/>
          </w:tcPr>
          <w:p>
            <w:r>
              <w:rPr>
                <w:sz w:val="20"/>
              </w:rPr>
              <w:t>Inhibition HMG-CoA réductase</w:t>
            </w:r>
          </w:p>
        </w:tc>
        <w:tc>
          <w:tcPr>
            <w:tcW w:type="dxa" w:w="1039"/>
          </w:tcPr>
          <w:p>
            <w:r>
              <w:rPr>
                <w:sz w:val="20"/>
              </w:rPr>
              <w:t>19 h</w:t>
            </w:r>
          </w:p>
        </w:tc>
        <w:tc>
          <w:tcPr>
            <w:tcW w:type="dxa" w:w="1039"/>
          </w:tcPr>
          <w:p>
            <w:r>
              <w:rPr>
                <w:sz w:val="20"/>
              </w:rPr>
              <w:t>5–40 mg/j à tout moment</w:t>
            </w:r>
          </w:p>
        </w:tc>
        <w:tc>
          <w:tcPr>
            <w:tcW w:type="dxa" w:w="1039"/>
          </w:tcPr>
          <w:p>
            <w:r>
              <w:rPr>
                <w:sz w:val="20"/>
              </w:rPr>
              <w:t>Myalgie, protéinurie, rhabdomyolyse</w:t>
            </w:r>
          </w:p>
        </w:tc>
        <w:tc>
          <w:tcPr>
            <w:tcW w:type="dxa" w:w="1039"/>
          </w:tcPr>
          <w:p>
            <w:r>
              <w:rPr>
                <w:sz w:val="20"/>
              </w:rPr>
              <w:t>CI absolue (cat. X)</w:t>
            </w:r>
          </w:p>
        </w:tc>
        <w:tc>
          <w:tcPr>
            <w:tcW w:type="dxa" w:w="1039"/>
          </w:tcPr>
          <w:p>
            <w:r>
              <w:rPr>
                <w:sz w:val="20"/>
              </w:rPr>
              <w:t>Cyclosporine CI, gemfibrozil CI, peu d'interactions</w:t>
            </w:r>
          </w:p>
        </w:tc>
      </w:tr>
      <w:tr>
        <w:tc>
          <w:tcPr>
            <w:tcW w:type="dxa" w:w="1039"/>
          </w:tcPr>
          <w:p>
            <w:r>
              <w:rPr>
                <w:sz w:val="20"/>
              </w:rPr>
              <w:t>4</w:t>
            </w:r>
          </w:p>
        </w:tc>
        <w:tc>
          <w:tcPr>
            <w:tcW w:type="dxa" w:w="1039"/>
          </w:tcPr>
          <w:p>
            <w:r>
              <w:rPr>
                <w:sz w:val="20"/>
              </w:rPr>
              <w:t>Pravastatine</w:t>
            </w:r>
          </w:p>
        </w:tc>
        <w:tc>
          <w:tcPr>
            <w:tcW w:type="dxa" w:w="1039"/>
          </w:tcPr>
          <w:p>
            <w:r>
              <w:rPr>
                <w:sz w:val="20"/>
              </w:rPr>
              <w:t>Statine hydrophile (non CYP3A4)</w:t>
            </w:r>
          </w:p>
        </w:tc>
        <w:tc>
          <w:tcPr>
            <w:tcW w:type="dxa" w:w="1039"/>
          </w:tcPr>
          <w:p>
            <w:r>
              <w:rPr>
                <w:sz w:val="20"/>
              </w:rPr>
              <w:t>Inhibition HMG-CoA réductase</w:t>
            </w:r>
          </w:p>
        </w:tc>
        <w:tc>
          <w:tcPr>
            <w:tcW w:type="dxa" w:w="1039"/>
          </w:tcPr>
          <w:p>
            <w:r>
              <w:rPr>
                <w:sz w:val="20"/>
              </w:rPr>
              <w:t>1,8 h</w:t>
            </w:r>
          </w:p>
        </w:tc>
        <w:tc>
          <w:tcPr>
            <w:tcW w:type="dxa" w:w="1039"/>
          </w:tcPr>
          <w:p>
            <w:r>
              <w:rPr>
                <w:sz w:val="20"/>
              </w:rPr>
              <w:t>10–40 mg/j le soir</w:t>
            </w:r>
          </w:p>
        </w:tc>
        <w:tc>
          <w:tcPr>
            <w:tcW w:type="dxa" w:w="1039"/>
          </w:tcPr>
          <w:p>
            <w:r>
              <w:rPr>
                <w:sz w:val="20"/>
              </w:rPr>
              <w:t>Profil de tolérance excellent</w:t>
            </w:r>
          </w:p>
        </w:tc>
        <w:tc>
          <w:tcPr>
            <w:tcW w:type="dxa" w:w="1039"/>
          </w:tcPr>
          <w:p>
            <w:r>
              <w:rPr>
                <w:sz w:val="20"/>
              </w:rPr>
              <w:t>CI absolue (cat. X)</w:t>
            </w:r>
          </w:p>
        </w:tc>
        <w:tc>
          <w:tcPr>
            <w:tcW w:type="dxa" w:w="1039"/>
          </w:tcPr>
          <w:p>
            <w:r>
              <w:rPr>
                <w:sz w:val="20"/>
              </w:rPr>
              <w:t>Peu d'interactions (macrolides, azolés OK)</w:t>
            </w:r>
          </w:p>
        </w:tc>
      </w:tr>
      <w:tr>
        <w:tc>
          <w:tcPr>
            <w:tcW w:type="dxa" w:w="1039"/>
          </w:tcPr>
          <w:p>
            <w:r>
              <w:rPr>
                <w:sz w:val="20"/>
              </w:rPr>
              <w:t>5</w:t>
            </w:r>
          </w:p>
        </w:tc>
        <w:tc>
          <w:tcPr>
            <w:tcW w:type="dxa" w:w="1039"/>
          </w:tcPr>
          <w:p>
            <w:r>
              <w:rPr>
                <w:sz w:val="20"/>
              </w:rPr>
              <w:t>Fluvastatine</w:t>
            </w:r>
          </w:p>
        </w:tc>
        <w:tc>
          <w:tcPr>
            <w:tcW w:type="dxa" w:w="1039"/>
          </w:tcPr>
          <w:p>
            <w:r>
              <w:rPr>
                <w:sz w:val="20"/>
              </w:rPr>
              <w:t>Statine peu puissante (CYP2C9)</w:t>
            </w:r>
          </w:p>
        </w:tc>
        <w:tc>
          <w:tcPr>
            <w:tcW w:type="dxa" w:w="1039"/>
          </w:tcPr>
          <w:p>
            <w:r>
              <w:rPr>
                <w:sz w:val="20"/>
              </w:rPr>
              <w:t>Inhibition HMG-CoA réductase</w:t>
            </w:r>
          </w:p>
        </w:tc>
        <w:tc>
          <w:tcPr>
            <w:tcW w:type="dxa" w:w="1039"/>
          </w:tcPr>
          <w:p>
            <w:r>
              <w:rPr>
                <w:sz w:val="20"/>
              </w:rPr>
              <w:t>1,2 h (LP : 4–9 h)</w:t>
            </w:r>
          </w:p>
        </w:tc>
        <w:tc>
          <w:tcPr>
            <w:tcW w:type="dxa" w:w="1039"/>
          </w:tcPr>
          <w:p>
            <w:r>
              <w:rPr>
                <w:sz w:val="20"/>
              </w:rPr>
              <w:t>20–40 mg/j ou 80 mg LP le soir</w:t>
            </w:r>
          </w:p>
        </w:tc>
        <w:tc>
          <w:tcPr>
            <w:tcW w:type="dxa" w:w="1039"/>
          </w:tcPr>
          <w:p>
            <w:r>
              <w:rPr>
                <w:sz w:val="20"/>
              </w:rPr>
              <w:t>Excellent profil de tolérance</w:t>
            </w:r>
          </w:p>
        </w:tc>
        <w:tc>
          <w:tcPr>
            <w:tcW w:type="dxa" w:w="1039"/>
          </w:tcPr>
          <w:p>
            <w:r>
              <w:rPr>
                <w:sz w:val="20"/>
              </w:rPr>
              <w:t>CI absolue (cat. X)</w:t>
            </w:r>
          </w:p>
        </w:tc>
        <w:tc>
          <w:tcPr>
            <w:tcW w:type="dxa" w:w="1039"/>
          </w:tcPr>
          <w:p>
            <w:r>
              <w:rPr>
                <w:sz w:val="20"/>
              </w:rPr>
              <w:t>Peu d'interactions, warfarine (CYP2C9)</w:t>
            </w:r>
          </w:p>
        </w:tc>
      </w:tr>
      <w:tr>
        <w:tc>
          <w:tcPr>
            <w:tcW w:type="dxa" w:w="1039"/>
          </w:tcPr>
          <w:p>
            <w:r>
              <w:rPr>
                <w:sz w:val="20"/>
              </w:rPr>
              <w:t>6</w:t>
            </w:r>
          </w:p>
        </w:tc>
        <w:tc>
          <w:tcPr>
            <w:tcW w:type="dxa" w:w="1039"/>
          </w:tcPr>
          <w:p>
            <w:r>
              <w:rPr>
                <w:sz w:val="20"/>
              </w:rPr>
              <w:t>Ezetimibe</w:t>
            </w:r>
          </w:p>
        </w:tc>
        <w:tc>
          <w:tcPr>
            <w:tcW w:type="dxa" w:w="1039"/>
          </w:tcPr>
          <w:p>
            <w:r>
              <w:rPr>
                <w:sz w:val="20"/>
              </w:rPr>
              <w:t>Inhibiteur NPC1L1</w:t>
            </w:r>
          </w:p>
        </w:tc>
        <w:tc>
          <w:tcPr>
            <w:tcW w:type="dxa" w:w="1039"/>
          </w:tcPr>
          <w:p>
            <w:r>
              <w:rPr>
                <w:sz w:val="20"/>
              </w:rPr>
              <w:t>Blocage absorption intestinale cholestérol</w:t>
            </w:r>
          </w:p>
        </w:tc>
        <w:tc>
          <w:tcPr>
            <w:tcW w:type="dxa" w:w="1039"/>
          </w:tcPr>
          <w:p>
            <w:r>
              <w:rPr>
                <w:sz w:val="20"/>
              </w:rPr>
              <w:t>22 h</w:t>
            </w:r>
          </w:p>
        </w:tc>
        <w:tc>
          <w:tcPr>
            <w:tcW w:type="dxa" w:w="1039"/>
          </w:tcPr>
          <w:p>
            <w:r>
              <w:rPr>
                <w:sz w:val="20"/>
              </w:rPr>
              <w:t>10 mg/j à tout moment</w:t>
            </w:r>
          </w:p>
        </w:tc>
        <w:tc>
          <w:tcPr>
            <w:tcW w:type="dxa" w:w="1039"/>
          </w:tcPr>
          <w:p>
            <w:r>
              <w:rPr>
                <w:sz w:val="20"/>
              </w:rPr>
              <w:t>Diarrhée, peu d'EI</w:t>
            </w:r>
          </w:p>
        </w:tc>
        <w:tc>
          <w:tcPr>
            <w:tcW w:type="dxa" w:w="1039"/>
          </w:tcPr>
          <w:p>
            <w:r>
              <w:rPr>
                <w:sz w:val="20"/>
              </w:rPr>
              <w:t>À éviter</w:t>
            </w:r>
          </w:p>
        </w:tc>
        <w:tc>
          <w:tcPr>
            <w:tcW w:type="dxa" w:w="1039"/>
          </w:tcPr>
          <w:p>
            <w:r>
              <w:rPr>
                <w:sz w:val="20"/>
              </w:rPr>
              <w:t>Cyclosporine (ASC ×3–12), cholestyramine (séparer de 2 h)</w:t>
            </w:r>
          </w:p>
        </w:tc>
      </w:tr>
      <w:tr>
        <w:tc>
          <w:tcPr>
            <w:tcW w:type="dxa" w:w="1039"/>
          </w:tcPr>
          <w:p>
            <w:r>
              <w:rPr>
                <w:sz w:val="20"/>
              </w:rPr>
              <w:t>7</w:t>
            </w:r>
          </w:p>
        </w:tc>
        <w:tc>
          <w:tcPr>
            <w:tcW w:type="dxa" w:w="1039"/>
          </w:tcPr>
          <w:p>
            <w:r>
              <w:rPr>
                <w:sz w:val="20"/>
              </w:rPr>
              <w:t>Ezetimibe + Simvastatine</w:t>
            </w:r>
          </w:p>
        </w:tc>
        <w:tc>
          <w:tcPr>
            <w:tcW w:type="dxa" w:w="1039"/>
          </w:tcPr>
          <w:p>
            <w:r>
              <w:rPr>
                <w:sz w:val="20"/>
              </w:rPr>
              <w:t>Statine + Inhib. absorption</w:t>
            </w:r>
          </w:p>
        </w:tc>
        <w:tc>
          <w:tcPr>
            <w:tcW w:type="dxa" w:w="1039"/>
          </w:tcPr>
          <w:p>
            <w:r>
              <w:rPr>
                <w:sz w:val="20"/>
              </w:rPr>
              <w:t>Double inhibition synthèse + absorption</w:t>
            </w:r>
          </w:p>
        </w:tc>
        <w:tc>
          <w:tcPr>
            <w:tcW w:type="dxa" w:w="1039"/>
          </w:tcPr>
          <w:p>
            <w:r>
              <w:rPr>
                <w:sz w:val="20"/>
              </w:rPr>
              <w:t>22 h</w:t>
            </w:r>
          </w:p>
        </w:tc>
        <w:tc>
          <w:tcPr>
            <w:tcW w:type="dxa" w:w="1039"/>
          </w:tcPr>
          <w:p>
            <w:r>
              <w:rPr>
                <w:sz w:val="20"/>
              </w:rPr>
              <w:t>10/20 mg à 10/80 mg le soir</w:t>
            </w:r>
          </w:p>
        </w:tc>
        <w:tc>
          <w:tcPr>
            <w:tcW w:type="dxa" w:w="1039"/>
          </w:tcPr>
          <w:p>
            <w:r>
              <w:rPr>
                <w:sz w:val="20"/>
              </w:rPr>
              <w:t>Myalgie, hépatotoxicité</w:t>
            </w:r>
          </w:p>
        </w:tc>
        <w:tc>
          <w:tcPr>
            <w:tcW w:type="dxa" w:w="1039"/>
          </w:tcPr>
          <w:p>
            <w:r>
              <w:rPr>
                <w:sz w:val="20"/>
              </w:rPr>
              <w:t>CI absolue</w:t>
            </w:r>
          </w:p>
        </w:tc>
        <w:tc>
          <w:tcPr>
            <w:tcW w:type="dxa" w:w="1039"/>
          </w:tcPr>
          <w:p>
            <w:r>
              <w:rPr>
                <w:sz w:val="20"/>
              </w:rPr>
              <w:t>CYP3A4 (simvastatine) — amiodarone/vérapamil limitent à 10/20</w:t>
            </w:r>
          </w:p>
        </w:tc>
      </w:tr>
      <w:tr>
        <w:tc>
          <w:tcPr>
            <w:tcW w:type="dxa" w:w="1039"/>
          </w:tcPr>
          <w:p>
            <w:r>
              <w:rPr>
                <w:sz w:val="20"/>
              </w:rPr>
              <w:t>8</w:t>
            </w:r>
          </w:p>
        </w:tc>
        <w:tc>
          <w:tcPr>
            <w:tcW w:type="dxa" w:w="1039"/>
          </w:tcPr>
          <w:p>
            <w:r>
              <w:rPr>
                <w:sz w:val="20"/>
              </w:rPr>
              <w:t>Fénofibrate</w:t>
            </w:r>
          </w:p>
        </w:tc>
        <w:tc>
          <w:tcPr>
            <w:tcW w:type="dxa" w:w="1039"/>
          </w:tcPr>
          <w:p>
            <w:r>
              <w:rPr>
                <w:sz w:val="20"/>
              </w:rPr>
              <w:t>Fibrate (PPAR-α)</w:t>
            </w:r>
          </w:p>
        </w:tc>
        <w:tc>
          <w:tcPr>
            <w:tcW w:type="dxa" w:w="1039"/>
          </w:tcPr>
          <w:p>
            <w:r>
              <w:rPr>
                <w:sz w:val="20"/>
              </w:rPr>
              <w:t>Activation PPAR-α → ↑LPL, ↓apoC-III</w:t>
            </w:r>
          </w:p>
        </w:tc>
        <w:tc>
          <w:tcPr>
            <w:tcW w:type="dxa" w:w="1039"/>
          </w:tcPr>
          <w:p>
            <w:r>
              <w:rPr>
                <w:sz w:val="20"/>
              </w:rPr>
              <w:t>20 h</w:t>
            </w:r>
          </w:p>
        </w:tc>
        <w:tc>
          <w:tcPr>
            <w:tcW w:type="dxa" w:w="1039"/>
          </w:tcPr>
          <w:p>
            <w:r>
              <w:rPr>
                <w:sz w:val="20"/>
              </w:rPr>
              <w:t>200 mg (gélule) ou 160 mg (comprimé) pdt repas</w:t>
            </w:r>
          </w:p>
        </w:tc>
        <w:tc>
          <w:tcPr>
            <w:tcW w:type="dxa" w:w="1039"/>
          </w:tcPr>
          <w:p>
            <w:r>
              <w:rPr>
                <w:sz w:val="20"/>
              </w:rPr>
              <w:t>Myalgie, lithiase, IR, photosensibilité</w:t>
            </w:r>
          </w:p>
        </w:tc>
        <w:tc>
          <w:tcPr>
            <w:tcW w:type="dxa" w:w="1039"/>
          </w:tcPr>
          <w:p>
            <w:r>
              <w:rPr>
                <w:sz w:val="20"/>
              </w:rPr>
              <w:t>CI absolue</w:t>
            </w:r>
          </w:p>
        </w:tc>
        <w:tc>
          <w:tcPr>
            <w:tcW w:type="dxa" w:w="1039"/>
          </w:tcPr>
          <w:p>
            <w:r>
              <w:rPr>
                <w:sz w:val="20"/>
              </w:rPr>
              <w:t>Statines (risque rhabdomyolyse), AVK (↑INR), ciclosporine</w:t>
            </w:r>
          </w:p>
        </w:tc>
      </w:tr>
      <w:tr>
        <w:tc>
          <w:tcPr>
            <w:tcW w:type="dxa" w:w="1039"/>
          </w:tcPr>
          <w:p>
            <w:r>
              <w:rPr>
                <w:sz w:val="20"/>
              </w:rPr>
              <w:t>9</w:t>
            </w:r>
          </w:p>
        </w:tc>
        <w:tc>
          <w:tcPr>
            <w:tcW w:type="dxa" w:w="1039"/>
          </w:tcPr>
          <w:p>
            <w:r>
              <w:rPr>
                <w:sz w:val="20"/>
              </w:rPr>
              <w:t>Cholestyramine</w:t>
            </w:r>
          </w:p>
        </w:tc>
        <w:tc>
          <w:tcPr>
            <w:tcW w:type="dxa" w:w="1039"/>
          </w:tcPr>
          <w:p>
            <w:r>
              <w:rPr>
                <w:sz w:val="20"/>
              </w:rPr>
              <w:t>Séquestrant biliaire</w:t>
            </w:r>
          </w:p>
        </w:tc>
        <w:tc>
          <w:tcPr>
            <w:tcW w:type="dxa" w:w="1039"/>
          </w:tcPr>
          <w:p>
            <w:r>
              <w:rPr>
                <w:sz w:val="20"/>
              </w:rPr>
              <w:t>Liaison acides biliaires → ↑ conversion cholesterol</w:t>
            </w:r>
          </w:p>
        </w:tc>
        <w:tc>
          <w:tcPr>
            <w:tcW w:type="dxa" w:w="1039"/>
          </w:tcPr>
          <w:p>
            <w:r>
              <w:rPr>
                <w:sz w:val="20"/>
              </w:rPr>
              <w:t>0 (non absorbé)</w:t>
            </w:r>
          </w:p>
        </w:tc>
        <w:tc>
          <w:tcPr>
            <w:tcW w:type="dxa" w:w="1039"/>
          </w:tcPr>
          <w:p>
            <w:r>
              <w:rPr>
                <w:sz w:val="20"/>
              </w:rPr>
              <w:t>4–24 g/j en 2–3 prises</w:t>
            </w:r>
          </w:p>
        </w:tc>
        <w:tc>
          <w:tcPr>
            <w:tcW w:type="dxa" w:w="1039"/>
          </w:tcPr>
          <w:p>
            <w:r>
              <w:rPr>
                <w:sz w:val="20"/>
              </w:rPr>
              <w:t>Constipation, carences vit. liposolubles</w:t>
            </w:r>
          </w:p>
        </w:tc>
        <w:tc>
          <w:tcPr>
            <w:tcW w:type="dxa" w:w="1039"/>
          </w:tcPr>
          <w:p>
            <w:r>
              <w:rPr>
                <w:sz w:val="20"/>
              </w:rPr>
              <w:t>Autorisé</w:t>
            </w:r>
          </w:p>
        </w:tc>
        <w:tc>
          <w:tcPr>
            <w:tcW w:type="dxa" w:w="1039"/>
          </w:tcPr>
          <w:p>
            <w:r>
              <w:rPr>
                <w:sz w:val="20"/>
              </w:rPr>
              <w:t>Tous médicaments (séparer de 1–4 h)</w:t>
            </w:r>
          </w:p>
        </w:tc>
      </w:tr>
      <w:tr>
        <w:tc>
          <w:tcPr>
            <w:tcW w:type="dxa" w:w="1039"/>
          </w:tcPr>
          <w:p>
            <w:r>
              <w:rPr>
                <w:sz w:val="20"/>
              </w:rPr>
              <w:t>10</w:t>
            </w:r>
          </w:p>
        </w:tc>
        <w:tc>
          <w:tcPr>
            <w:tcW w:type="dxa" w:w="1039"/>
          </w:tcPr>
          <w:p>
            <w:r>
              <w:rPr>
                <w:sz w:val="20"/>
              </w:rPr>
              <w:t>Evolocumab</w:t>
            </w:r>
          </w:p>
        </w:tc>
        <w:tc>
          <w:tcPr>
            <w:tcW w:type="dxa" w:w="1039"/>
          </w:tcPr>
          <w:p>
            <w:r>
              <w:rPr>
                <w:sz w:val="20"/>
              </w:rPr>
              <w:t>Anticorps anti-PCSK9</w:t>
            </w:r>
          </w:p>
        </w:tc>
        <w:tc>
          <w:tcPr>
            <w:tcW w:type="dxa" w:w="1039"/>
          </w:tcPr>
          <w:p>
            <w:r>
              <w:rPr>
                <w:sz w:val="20"/>
              </w:rPr>
              <w:t>Neutralisation PCSK9 → ↑ LDL-R</w:t>
            </w:r>
          </w:p>
        </w:tc>
        <w:tc>
          <w:tcPr>
            <w:tcW w:type="dxa" w:w="1039"/>
          </w:tcPr>
          <w:p>
            <w:r>
              <w:rPr>
                <w:sz w:val="20"/>
              </w:rPr>
              <w:t>11–17 j</w:t>
            </w:r>
          </w:p>
        </w:tc>
        <w:tc>
          <w:tcPr>
            <w:tcW w:type="dxa" w:w="1039"/>
          </w:tcPr>
          <w:p>
            <w:r>
              <w:rPr>
                <w:sz w:val="20"/>
              </w:rPr>
              <w:t>140 mg SC/2 sem ou 420 mg/mois</w:t>
            </w:r>
          </w:p>
        </w:tc>
        <w:tc>
          <w:tcPr>
            <w:tcW w:type="dxa" w:w="1039"/>
          </w:tcPr>
          <w:p>
            <w:r>
              <w:rPr>
                <w:sz w:val="20"/>
              </w:rPr>
              <w:t>Réaction site injection, syndrome grippal</w:t>
            </w:r>
          </w:p>
        </w:tc>
        <w:tc>
          <w:tcPr>
            <w:tcW w:type="dxa" w:w="1039"/>
          </w:tcPr>
          <w:p>
            <w:r>
              <w:rPr>
                <w:sz w:val="20"/>
              </w:rPr>
              <w:t>À éviter</w:t>
            </w:r>
          </w:p>
        </w:tc>
        <w:tc>
          <w:tcPr>
            <w:tcW w:type="dxa" w:w="1039"/>
          </w:tcPr>
          <w:p>
            <w:r>
              <w:rPr>
                <w:sz w:val="20"/>
              </w:rPr>
              <w:t>Aucune interaction significative</w:t>
            </w:r>
          </w:p>
        </w:tc>
      </w:tr>
      <w:tr>
        <w:tc>
          <w:tcPr>
            <w:tcW w:type="dxa" w:w="1039"/>
          </w:tcPr>
          <w:p>
            <w:r>
              <w:rPr>
                <w:sz w:val="20"/>
              </w:rPr>
              <w:t>11</w:t>
            </w:r>
          </w:p>
        </w:tc>
        <w:tc>
          <w:tcPr>
            <w:tcW w:type="dxa" w:w="1039"/>
          </w:tcPr>
          <w:p>
            <w:r>
              <w:rPr>
                <w:sz w:val="20"/>
              </w:rPr>
              <w:t>Dobutamine</w:t>
            </w:r>
          </w:p>
        </w:tc>
        <w:tc>
          <w:tcPr>
            <w:tcW w:type="dxa" w:w="1039"/>
          </w:tcPr>
          <w:p>
            <w:r>
              <w:rPr>
                <w:sz w:val="20"/>
              </w:rPr>
              <w:t>Sympathomimétique β1</w:t>
            </w:r>
          </w:p>
        </w:tc>
        <w:tc>
          <w:tcPr>
            <w:tcW w:type="dxa" w:w="1039"/>
          </w:tcPr>
          <w:p>
            <w:r>
              <w:rPr>
                <w:sz w:val="20"/>
              </w:rPr>
              <w:t>Activation β1 → AMPc → Ca²⁺</w:t>
            </w:r>
          </w:p>
        </w:tc>
        <w:tc>
          <w:tcPr>
            <w:tcW w:type="dxa" w:w="1039"/>
          </w:tcPr>
          <w:p>
            <w:r>
              <w:rPr>
                <w:sz w:val="20"/>
              </w:rPr>
              <w:t>2 min</w:t>
            </w:r>
          </w:p>
        </w:tc>
        <w:tc>
          <w:tcPr>
            <w:tcW w:type="dxa" w:w="1039"/>
          </w:tcPr>
          <w:p>
            <w:r>
              <w:rPr>
                <w:sz w:val="20"/>
              </w:rPr>
              <w:t>2,5–10 µg/kg/min IV (max 20–40)</w:t>
            </w:r>
          </w:p>
        </w:tc>
        <w:tc>
          <w:tcPr>
            <w:tcW w:type="dxa" w:w="1039"/>
          </w:tcPr>
          <w:p>
            <w:r>
              <w:rPr>
                <w:sz w:val="20"/>
              </w:rPr>
              <w:t>Tachycardie, ischémie, arythmies</w:t>
            </w:r>
          </w:p>
        </w:tc>
        <w:tc>
          <w:tcPr>
            <w:tcW w:type="dxa" w:w="1039"/>
          </w:tcPr>
          <w:p>
            <w:r>
              <w:rPr>
                <w:sz w:val="20"/>
              </w:rPr>
              <w:t>Si urgence vitale</w:t>
            </w:r>
          </w:p>
        </w:tc>
        <w:tc>
          <w:tcPr>
            <w:tcW w:type="dxa" w:w="1039"/>
          </w:tcPr>
          <w:p>
            <w:r>
              <w:rPr>
                <w:sz w:val="20"/>
              </w:rPr>
              <w:t>β-bloquants (effet α1 dominant), IMAO CI, halogénés</w:t>
            </w:r>
          </w:p>
        </w:tc>
      </w:tr>
      <w:tr>
        <w:tc>
          <w:tcPr>
            <w:tcW w:type="dxa" w:w="1039"/>
          </w:tcPr>
          <w:p>
            <w:r>
              <w:rPr>
                <w:sz w:val="20"/>
              </w:rPr>
              <w:t>12</w:t>
            </w:r>
          </w:p>
        </w:tc>
        <w:tc>
          <w:tcPr>
            <w:tcW w:type="dxa" w:w="1039"/>
          </w:tcPr>
          <w:p>
            <w:r>
              <w:rPr>
                <w:sz w:val="20"/>
              </w:rPr>
              <w:t>Dopamine</w:t>
            </w:r>
          </w:p>
        </w:tc>
        <w:tc>
          <w:tcPr>
            <w:tcW w:type="dxa" w:w="1039"/>
          </w:tcPr>
          <w:p>
            <w:r>
              <w:rPr>
                <w:sz w:val="20"/>
              </w:rPr>
              <w:t>Sympathomimétique mixte</w:t>
            </w:r>
          </w:p>
        </w:tc>
        <w:tc>
          <w:tcPr>
            <w:tcW w:type="dxa" w:w="1039"/>
          </w:tcPr>
          <w:p>
            <w:r>
              <w:rPr>
                <w:sz w:val="20"/>
              </w:rPr>
              <w:t>D1/β1/α1 selon dose</w:t>
            </w:r>
          </w:p>
        </w:tc>
        <w:tc>
          <w:tcPr>
            <w:tcW w:type="dxa" w:w="1039"/>
          </w:tcPr>
          <w:p>
            <w:r>
              <w:rPr>
                <w:sz w:val="20"/>
              </w:rPr>
              <w:t>2 min</w:t>
            </w:r>
          </w:p>
        </w:tc>
        <w:tc>
          <w:tcPr>
            <w:tcW w:type="dxa" w:w="1039"/>
          </w:tcPr>
          <w:p>
            <w:r>
              <w:rPr>
                <w:sz w:val="20"/>
              </w:rPr>
              <w:t>1–20 µg/kg/min IV (max 50)</w:t>
            </w:r>
          </w:p>
        </w:tc>
        <w:tc>
          <w:tcPr>
            <w:tcW w:type="dxa" w:w="1039"/>
          </w:tcPr>
          <w:p>
            <w:r>
              <w:rPr>
                <w:sz w:val="20"/>
              </w:rPr>
              <w:t>Tachycardie, arythmies, ischémie digitale</w:t>
            </w:r>
          </w:p>
        </w:tc>
        <w:tc>
          <w:tcPr>
            <w:tcW w:type="dxa" w:w="1039"/>
          </w:tcPr>
          <w:p>
            <w:r>
              <w:rPr>
                <w:sz w:val="20"/>
              </w:rPr>
              <w:t>Si urgence vitale</w:t>
            </w:r>
          </w:p>
        </w:tc>
        <w:tc>
          <w:tcPr>
            <w:tcW w:type="dxa" w:w="1039"/>
          </w:tcPr>
          <w:p>
            <w:r>
              <w:rPr>
                <w:sz w:val="20"/>
              </w:rPr>
              <w:t>IMAO CI, β-bloquants, halogénés</w:t>
            </w:r>
          </w:p>
        </w:tc>
      </w:tr>
      <w:tr>
        <w:tc>
          <w:tcPr>
            <w:tcW w:type="dxa" w:w="1039"/>
          </w:tcPr>
          <w:p>
            <w:r>
              <w:rPr>
                <w:sz w:val="20"/>
              </w:rPr>
              <w:t>13</w:t>
            </w:r>
          </w:p>
        </w:tc>
        <w:tc>
          <w:tcPr>
            <w:tcW w:type="dxa" w:w="1039"/>
          </w:tcPr>
          <w:p>
            <w:r>
              <w:rPr>
                <w:sz w:val="20"/>
              </w:rPr>
              <w:t>Milrinone</w:t>
            </w:r>
          </w:p>
        </w:tc>
        <w:tc>
          <w:tcPr>
            <w:tcW w:type="dxa" w:w="1039"/>
          </w:tcPr>
          <w:p>
            <w:r>
              <w:rPr>
                <w:sz w:val="20"/>
              </w:rPr>
              <w:t>Inhibiteur PDE3</w:t>
            </w:r>
          </w:p>
        </w:tc>
        <w:tc>
          <w:tcPr>
            <w:tcW w:type="dxa" w:w="1039"/>
          </w:tcPr>
          <w:p>
            <w:r>
              <w:rPr>
                <w:sz w:val="20"/>
              </w:rPr>
              <w:t>↑AMPc intracellulaire → inotropie + lusitropie</w:t>
            </w:r>
          </w:p>
        </w:tc>
        <w:tc>
          <w:tcPr>
            <w:tcW w:type="dxa" w:w="1039"/>
          </w:tcPr>
          <w:p>
            <w:r>
              <w:rPr>
                <w:sz w:val="20"/>
              </w:rPr>
              <w:t>2–3 h</w:t>
            </w:r>
          </w:p>
        </w:tc>
        <w:tc>
          <w:tcPr>
            <w:tcW w:type="dxa" w:w="1039"/>
          </w:tcPr>
          <w:p>
            <w:r>
              <w:rPr>
                <w:sz w:val="20"/>
              </w:rPr>
              <w:t>0,375–0,75 µg/kg/min IV</w:t>
            </w:r>
          </w:p>
        </w:tc>
        <w:tc>
          <w:tcPr>
            <w:tcW w:type="dxa" w:w="1039"/>
          </w:tcPr>
          <w:p>
            <w:r>
              <w:rPr>
                <w:sz w:val="20"/>
              </w:rPr>
              <w:t>Hypotension, arythmies, thrombocytopénie</w:t>
            </w:r>
          </w:p>
        </w:tc>
        <w:tc>
          <w:tcPr>
            <w:tcW w:type="dxa" w:w="1039"/>
          </w:tcPr>
          <w:p>
            <w:r>
              <w:rPr>
                <w:sz w:val="20"/>
              </w:rPr>
              <w:t>À éviter</w:t>
            </w:r>
          </w:p>
        </w:tc>
        <w:tc>
          <w:tcPr>
            <w:tcW w:type="dxa" w:w="1039"/>
          </w:tcPr>
          <w:p>
            <w:r>
              <w:rPr>
                <w:sz w:val="20"/>
              </w:rPr>
              <w:t>Furosémide (incompatible), pas d'antagonisme β-bloquants</w:t>
            </w:r>
          </w:p>
        </w:tc>
      </w:tr>
      <w:tr>
        <w:tc>
          <w:tcPr>
            <w:tcW w:type="dxa" w:w="1039"/>
          </w:tcPr>
          <w:p>
            <w:r>
              <w:rPr>
                <w:sz w:val="20"/>
              </w:rPr>
              <w:t>14</w:t>
            </w:r>
          </w:p>
        </w:tc>
        <w:tc>
          <w:tcPr>
            <w:tcW w:type="dxa" w:w="1039"/>
          </w:tcPr>
          <w:p>
            <w:r>
              <w:rPr>
                <w:sz w:val="20"/>
              </w:rPr>
              <w:t>Lévosimendan</w:t>
            </w:r>
          </w:p>
        </w:tc>
        <w:tc>
          <w:tcPr>
            <w:tcW w:type="dxa" w:w="1039"/>
          </w:tcPr>
          <w:p>
            <w:r>
              <w:rPr>
                <w:sz w:val="20"/>
              </w:rPr>
              <w:t>Sensibilisateur calcique</w:t>
            </w:r>
          </w:p>
        </w:tc>
        <w:tc>
          <w:tcPr>
            <w:tcW w:type="dxa" w:w="1039"/>
          </w:tcPr>
          <w:p>
            <w:r>
              <w:rPr>
                <w:sz w:val="20"/>
              </w:rPr>
              <w:t>Fixation Ca²+-dépendante troponine C + K-ATP</w:t>
            </w:r>
          </w:p>
        </w:tc>
        <w:tc>
          <w:tcPr>
            <w:tcW w:type="dxa" w:w="1039"/>
          </w:tcPr>
          <w:p>
            <w:r>
              <w:rPr>
                <w:sz w:val="20"/>
              </w:rPr>
              <w:t>1 h (OR-1896 : 75 h)</w:t>
            </w:r>
          </w:p>
        </w:tc>
        <w:tc>
          <w:tcPr>
            <w:tcW w:type="dxa" w:w="1039"/>
          </w:tcPr>
          <w:p>
            <w:r>
              <w:rPr>
                <w:sz w:val="20"/>
              </w:rPr>
              <w:t>0,05–0,2 µg/kg/min IV 24 h</w:t>
            </w:r>
          </w:p>
        </w:tc>
        <w:tc>
          <w:tcPr>
            <w:tcW w:type="dxa" w:w="1039"/>
          </w:tcPr>
          <w:p>
            <w:r>
              <w:rPr>
                <w:sz w:val="20"/>
              </w:rPr>
              <w:t>Hypotension, QT long, FA</w:t>
            </w:r>
          </w:p>
        </w:tc>
        <w:tc>
          <w:tcPr>
            <w:tcW w:type="dxa" w:w="1039"/>
          </w:tcPr>
          <w:p>
            <w:r>
              <w:rPr>
                <w:sz w:val="20"/>
              </w:rPr>
              <w:t>À éviter</w:t>
            </w:r>
          </w:p>
        </w:tc>
        <w:tc>
          <w:tcPr>
            <w:tcW w:type="dxa" w:w="1039"/>
          </w:tcPr>
          <w:p>
            <w:r>
              <w:rPr>
                <w:sz w:val="20"/>
              </w:rPr>
              <w:t>Médicaments allongeant QT, IMAO CI</w:t>
            </w:r>
          </w:p>
        </w:tc>
      </w:tr>
      <w:tr>
        <w:tc>
          <w:tcPr>
            <w:tcW w:type="dxa" w:w="1039"/>
          </w:tcPr>
          <w:p>
            <w:r>
              <w:rPr>
                <w:sz w:val="20"/>
              </w:rPr>
              <w:t>15</w:t>
            </w:r>
          </w:p>
        </w:tc>
        <w:tc>
          <w:tcPr>
            <w:tcW w:type="dxa" w:w="1039"/>
          </w:tcPr>
          <w:p>
            <w:r>
              <w:rPr>
                <w:sz w:val="20"/>
              </w:rPr>
              <w:t>Amlodipine + Atorvastatine</w:t>
            </w:r>
          </w:p>
        </w:tc>
        <w:tc>
          <w:tcPr>
            <w:tcW w:type="dxa" w:w="1039"/>
          </w:tcPr>
          <w:p>
            <w:r>
              <w:rPr>
                <w:sz w:val="20"/>
              </w:rPr>
              <w:t>ICA + Statine</w:t>
            </w:r>
          </w:p>
        </w:tc>
        <w:tc>
          <w:tcPr>
            <w:tcW w:type="dxa" w:w="1039"/>
          </w:tcPr>
          <w:p>
            <w:r>
              <w:rPr>
                <w:sz w:val="20"/>
              </w:rPr>
              <w:t>Vasodilatation + HMG-CoA inhib</w:t>
            </w:r>
          </w:p>
        </w:tc>
        <w:tc>
          <w:tcPr>
            <w:tcW w:type="dxa" w:w="1039"/>
          </w:tcPr>
          <w:p>
            <w:r>
              <w:rPr>
                <w:sz w:val="20"/>
              </w:rPr>
              <w:t>30–50 h / 14 h</w:t>
            </w:r>
          </w:p>
        </w:tc>
        <w:tc>
          <w:tcPr>
            <w:tcW w:type="dxa" w:w="1039"/>
          </w:tcPr>
          <w:p>
            <w:r>
              <w:rPr>
                <w:sz w:val="20"/>
              </w:rPr>
              <w:t>5/10 à 10/10 mg/j à tout moment</w:t>
            </w:r>
          </w:p>
        </w:tc>
        <w:tc>
          <w:tcPr>
            <w:tcW w:type="dxa" w:w="1039"/>
          </w:tcPr>
          <w:p>
            <w:r>
              <w:rPr>
                <w:sz w:val="20"/>
              </w:rPr>
              <w:t>Œdèmes, myalgie</w:t>
            </w:r>
          </w:p>
        </w:tc>
        <w:tc>
          <w:tcPr>
            <w:tcW w:type="dxa" w:w="1039"/>
          </w:tcPr>
          <w:p>
            <w:r>
              <w:rPr>
                <w:sz w:val="20"/>
              </w:rPr>
              <w:t>CI absolue (statine)</w:t>
            </w:r>
          </w:p>
        </w:tc>
        <w:tc>
          <w:tcPr>
            <w:tcW w:type="dxa" w:w="1039"/>
          </w:tcPr>
          <w:p>
            <w:r>
              <w:rPr>
                <w:sz w:val="20"/>
              </w:rPr>
              <w:t>CYP3A4 (atorvastatine)</w:t>
            </w:r>
          </w:p>
        </w:tc>
      </w:tr>
      <w:tr>
        <w:tc>
          <w:tcPr>
            <w:tcW w:type="dxa" w:w="1039"/>
          </w:tcPr>
          <w:p>
            <w:r>
              <w:rPr>
                <w:sz w:val="20"/>
              </w:rPr>
              <w:t>16</w:t>
            </w:r>
          </w:p>
        </w:tc>
        <w:tc>
          <w:tcPr>
            <w:tcW w:type="dxa" w:w="1039"/>
          </w:tcPr>
          <w:p>
            <w:r>
              <w:rPr>
                <w:sz w:val="20"/>
              </w:rPr>
              <w:t>Amlodipine + Valsartan + HCTZ</w:t>
            </w:r>
          </w:p>
        </w:tc>
        <w:tc>
          <w:tcPr>
            <w:tcW w:type="dxa" w:w="1039"/>
          </w:tcPr>
          <w:p>
            <w:r>
              <w:rPr>
                <w:sz w:val="20"/>
              </w:rPr>
              <w:t>Association triple</w:t>
            </w:r>
          </w:p>
        </w:tc>
        <w:tc>
          <w:tcPr>
            <w:tcW w:type="dxa" w:w="1039"/>
          </w:tcPr>
          <w:p>
            <w:r>
              <w:rPr>
                <w:sz w:val="20"/>
              </w:rPr>
              <w:t>Triple action SRAA + ICA + diurétique</w:t>
            </w:r>
          </w:p>
        </w:tc>
        <w:tc>
          <w:tcPr>
            <w:tcW w:type="dxa" w:w="1039"/>
          </w:tcPr>
          <w:p>
            <w:r>
              <w:rPr>
                <w:sz w:val="20"/>
              </w:rPr>
              <w:t>30–50 h / 6 h / 8 h</w:t>
            </w:r>
          </w:p>
        </w:tc>
        <w:tc>
          <w:tcPr>
            <w:tcW w:type="dxa" w:w="1039"/>
          </w:tcPr>
          <w:p>
            <w:r>
              <w:rPr>
                <w:sz w:val="20"/>
              </w:rPr>
              <w:t>10/320/25 mg/j le matin</w:t>
            </w:r>
          </w:p>
        </w:tc>
        <w:tc>
          <w:tcPr>
            <w:tcW w:type="dxa" w:w="1039"/>
          </w:tcPr>
          <w:p>
            <w:r>
              <w:rPr>
                <w:sz w:val="20"/>
              </w:rPr>
              <w:t>Hypotension, hypokaliémie, hyperuricémie</w:t>
            </w:r>
          </w:p>
        </w:tc>
        <w:tc>
          <w:tcPr>
            <w:tcW w:type="dxa" w:w="1039"/>
          </w:tcPr>
          <w:p>
            <w:r>
              <w:rPr>
                <w:sz w:val="20"/>
              </w:rPr>
              <w:t>CI absolue (ARA2)</w:t>
            </w:r>
          </w:p>
        </w:tc>
        <w:tc>
          <w:tcPr>
            <w:tcW w:type="dxa" w:w="1039"/>
          </w:tcPr>
          <w:p>
            <w:r>
              <w:rPr>
                <w:sz w:val="20"/>
              </w:rPr>
              <w:t>IEC CI, AINS, lithium, K épargneurs</w:t>
            </w:r>
          </w:p>
        </w:tc>
      </w:tr>
      <w:tr>
        <w:tc>
          <w:tcPr>
            <w:tcW w:type="dxa" w:w="1039"/>
          </w:tcPr>
          <w:p>
            <w:r>
              <w:rPr>
                <w:sz w:val="20"/>
              </w:rPr>
              <w:t>17</w:t>
            </w:r>
          </w:p>
        </w:tc>
        <w:tc>
          <w:tcPr>
            <w:tcW w:type="dxa" w:w="1039"/>
          </w:tcPr>
          <w:p>
            <w:r>
              <w:rPr>
                <w:sz w:val="20"/>
              </w:rPr>
              <w:t>Périndopril + Indapamide + Amlodipine</w:t>
            </w:r>
          </w:p>
        </w:tc>
        <w:tc>
          <w:tcPr>
            <w:tcW w:type="dxa" w:w="1039"/>
          </w:tcPr>
          <w:p>
            <w:r>
              <w:rPr>
                <w:sz w:val="20"/>
              </w:rPr>
              <w:t>Association triple</w:t>
            </w:r>
          </w:p>
        </w:tc>
        <w:tc>
          <w:tcPr>
            <w:tcW w:type="dxa" w:w="1039"/>
          </w:tcPr>
          <w:p>
            <w:r>
              <w:rPr>
                <w:sz w:val="20"/>
              </w:rPr>
              <w:t>Triple action IEC + thiaz-like + ICA</w:t>
            </w:r>
          </w:p>
        </w:tc>
        <w:tc>
          <w:tcPr>
            <w:tcW w:type="dxa" w:w="1039"/>
          </w:tcPr>
          <w:p>
            <w:r>
              <w:rPr>
                <w:sz w:val="20"/>
              </w:rPr>
              <w:t>25 h / 14 h / 30–50 h</w:t>
            </w:r>
          </w:p>
        </w:tc>
        <w:tc>
          <w:tcPr>
            <w:tcW w:type="dxa" w:w="1039"/>
          </w:tcPr>
          <w:p>
            <w:r>
              <w:rPr>
                <w:sz w:val="20"/>
              </w:rPr>
              <w:t>5/1,25/5 à 10/2,5/10 mg/j le matin</w:t>
            </w:r>
          </w:p>
        </w:tc>
        <w:tc>
          <w:tcPr>
            <w:tcW w:type="dxa" w:w="1039"/>
          </w:tcPr>
          <w:p>
            <w:r>
              <w:rPr>
                <w:sz w:val="20"/>
              </w:rPr>
              <w:t>Toux, hypokaliémie, œdèmes</w:t>
            </w:r>
          </w:p>
        </w:tc>
        <w:tc>
          <w:tcPr>
            <w:tcW w:type="dxa" w:w="1039"/>
          </w:tcPr>
          <w:p>
            <w:r>
              <w:rPr>
                <w:sz w:val="20"/>
              </w:rPr>
              <w:t>CI absolue (IEC)</w:t>
            </w:r>
          </w:p>
        </w:tc>
        <w:tc>
          <w:tcPr>
            <w:tcW w:type="dxa" w:w="1039"/>
          </w:tcPr>
          <w:p>
            <w:r>
              <w:rPr>
                <w:sz w:val="20"/>
              </w:rPr>
              <w:t>ARA2 CI, AINS, lithium</w:t>
            </w:r>
          </w:p>
        </w:tc>
      </w:tr>
      <w:tr>
        <w:tc>
          <w:tcPr>
            <w:tcW w:type="dxa" w:w="1039"/>
          </w:tcPr>
          <w:p>
            <w:r>
              <w:rPr>
                <w:sz w:val="20"/>
              </w:rPr>
              <w:t>18</w:t>
            </w:r>
          </w:p>
        </w:tc>
        <w:tc>
          <w:tcPr>
            <w:tcW w:type="dxa" w:w="1039"/>
          </w:tcPr>
          <w:p>
            <w:r>
              <w:rPr>
                <w:sz w:val="20"/>
              </w:rPr>
              <w:t>Valsartan + Amlodipine + HCTZ</w:t>
            </w:r>
          </w:p>
        </w:tc>
        <w:tc>
          <w:tcPr>
            <w:tcW w:type="dxa" w:w="1039"/>
          </w:tcPr>
          <w:p>
            <w:r>
              <w:rPr>
                <w:sz w:val="20"/>
              </w:rPr>
              <w:t>Association triple</w:t>
            </w:r>
          </w:p>
        </w:tc>
        <w:tc>
          <w:tcPr>
            <w:tcW w:type="dxa" w:w="1039"/>
          </w:tcPr>
          <w:p>
            <w:r>
              <w:rPr>
                <w:sz w:val="20"/>
              </w:rPr>
              <w:t>Identique 16 (dosages variés)</w:t>
            </w:r>
          </w:p>
        </w:tc>
        <w:tc>
          <w:tcPr>
            <w:tcW w:type="dxa" w:w="1039"/>
          </w:tcPr>
          <w:p>
            <w:r>
              <w:rPr>
                <w:sz w:val="20"/>
              </w:rPr>
              <w:t>idem</w:t>
            </w:r>
          </w:p>
        </w:tc>
        <w:tc>
          <w:tcPr>
            <w:tcW w:type="dxa" w:w="1039"/>
          </w:tcPr>
          <w:p>
            <w:r>
              <w:rPr>
                <w:sz w:val="20"/>
              </w:rPr>
              <w:t>160/5/12,5 à 160/10/25 mg/j le matin</w:t>
            </w:r>
          </w:p>
        </w:tc>
        <w:tc>
          <w:tcPr>
            <w:tcW w:type="dxa" w:w="1039"/>
          </w:tcPr>
          <w:p>
            <w:r>
              <w:rPr>
                <w:sz w:val="20"/>
              </w:rPr>
              <w:t>Hypotension, hypokaliémie</w:t>
            </w:r>
          </w:p>
        </w:tc>
        <w:tc>
          <w:tcPr>
            <w:tcW w:type="dxa" w:w="1039"/>
          </w:tcPr>
          <w:p>
            <w:r>
              <w:rPr>
                <w:sz w:val="20"/>
              </w:rPr>
              <w:t>CI absolue (ARA2)</w:t>
            </w:r>
          </w:p>
        </w:tc>
        <w:tc>
          <w:tcPr>
            <w:tcW w:type="dxa" w:w="1039"/>
          </w:tcPr>
          <w:p>
            <w:r>
              <w:rPr>
                <w:sz w:val="20"/>
              </w:rPr>
              <w:t>IEC CI, AINS, lithium</w:t>
            </w:r>
          </w:p>
        </w:tc>
      </w:tr>
      <w:tr>
        <w:tc>
          <w:tcPr>
            <w:tcW w:type="dxa" w:w="1039"/>
          </w:tcPr>
          <w:p>
            <w:r>
              <w:rPr>
                <w:sz w:val="20"/>
              </w:rPr>
              <w:t>19</w:t>
            </w:r>
          </w:p>
        </w:tc>
        <w:tc>
          <w:tcPr>
            <w:tcW w:type="dxa" w:w="1039"/>
          </w:tcPr>
          <w:p>
            <w:r>
              <w:rPr>
                <w:sz w:val="20"/>
              </w:rPr>
              <w:t>Amlodipine + Périndopril</w:t>
            </w:r>
          </w:p>
        </w:tc>
        <w:tc>
          <w:tcPr>
            <w:tcW w:type="dxa" w:w="1039"/>
          </w:tcPr>
          <w:p>
            <w:r>
              <w:rPr>
                <w:sz w:val="20"/>
              </w:rPr>
              <w:t>IEC + ICA</w:t>
            </w:r>
          </w:p>
        </w:tc>
        <w:tc>
          <w:tcPr>
            <w:tcW w:type="dxa" w:w="1039"/>
          </w:tcPr>
          <w:p>
            <w:r>
              <w:rPr>
                <w:sz w:val="20"/>
              </w:rPr>
              <w:t>Vasodilatation + SRAA</w:t>
            </w:r>
          </w:p>
        </w:tc>
        <w:tc>
          <w:tcPr>
            <w:tcW w:type="dxa" w:w="1039"/>
          </w:tcPr>
          <w:p>
            <w:r>
              <w:rPr>
                <w:sz w:val="20"/>
              </w:rPr>
              <w:t>30–50 h / 25 h</w:t>
            </w:r>
          </w:p>
        </w:tc>
        <w:tc>
          <w:tcPr>
            <w:tcW w:type="dxa" w:w="1039"/>
          </w:tcPr>
          <w:p>
            <w:r>
              <w:rPr>
                <w:sz w:val="20"/>
              </w:rPr>
              <w:t>5/5 à 10/10 mg/j le matin</w:t>
            </w:r>
          </w:p>
        </w:tc>
        <w:tc>
          <w:tcPr>
            <w:tcW w:type="dxa" w:w="1039"/>
          </w:tcPr>
          <w:p>
            <w:r>
              <w:rPr>
                <w:sz w:val="20"/>
              </w:rPr>
              <w:t>Toux, œdèmes</w:t>
            </w:r>
          </w:p>
        </w:tc>
        <w:tc>
          <w:tcPr>
            <w:tcW w:type="dxa" w:w="1039"/>
          </w:tcPr>
          <w:p>
            <w:r>
              <w:rPr>
                <w:sz w:val="20"/>
              </w:rPr>
              <w:t>CI absolue (IEC)</w:t>
            </w:r>
          </w:p>
        </w:tc>
        <w:tc>
          <w:tcPr>
            <w:tcW w:type="dxa" w:w="1039"/>
          </w:tcPr>
          <w:p>
            <w:r>
              <w:rPr>
                <w:sz w:val="20"/>
              </w:rPr>
              <w:t>ARA2 CI, AINS, lithium, simvastatine (limite 10 mg/j)</w:t>
            </w:r>
          </w:p>
        </w:tc>
      </w:tr>
      <w:tr>
        <w:tc>
          <w:tcPr>
            <w:tcW w:type="dxa" w:w="1039"/>
          </w:tcPr>
          <w:p>
            <w:r>
              <w:rPr>
                <w:sz w:val="20"/>
              </w:rPr>
              <w:t>20</w:t>
            </w:r>
          </w:p>
        </w:tc>
        <w:tc>
          <w:tcPr>
            <w:tcW w:type="dxa" w:w="1039"/>
          </w:tcPr>
          <w:p>
            <w:r>
              <w:rPr>
                <w:sz w:val="20"/>
              </w:rPr>
              <w:t>Périndopril + Amlodipine</w:t>
            </w:r>
          </w:p>
        </w:tc>
        <w:tc>
          <w:tcPr>
            <w:tcW w:type="dxa" w:w="1039"/>
          </w:tcPr>
          <w:p>
            <w:r>
              <w:rPr>
                <w:sz w:val="20"/>
              </w:rPr>
              <w:t>IEC + ICA</w:t>
            </w:r>
          </w:p>
        </w:tc>
        <w:tc>
          <w:tcPr>
            <w:tcW w:type="dxa" w:w="1039"/>
          </w:tcPr>
          <w:p>
            <w:r>
              <w:rPr>
                <w:sz w:val="20"/>
              </w:rPr>
              <w:t>Identique 19 (dosages inversés)</w:t>
            </w:r>
          </w:p>
        </w:tc>
        <w:tc>
          <w:tcPr>
            <w:tcW w:type="dxa" w:w="1039"/>
          </w:tcPr>
          <w:p>
            <w:r>
              <w:rPr>
                <w:sz w:val="20"/>
              </w:rPr>
              <w:t>idem</w:t>
            </w:r>
          </w:p>
        </w:tc>
        <w:tc>
          <w:tcPr>
            <w:tcW w:type="dxa" w:w="1039"/>
          </w:tcPr>
          <w:p>
            <w:r>
              <w:rPr>
                <w:sz w:val="20"/>
              </w:rPr>
              <w:t>10/5 ou 5/10 mg/j le matin</w:t>
            </w:r>
          </w:p>
        </w:tc>
        <w:tc>
          <w:tcPr>
            <w:tcW w:type="dxa" w:w="1039"/>
          </w:tcPr>
          <w:p>
            <w:r>
              <w:rPr>
                <w:sz w:val="20"/>
              </w:rPr>
              <w:t>Toux, œdèmes</w:t>
            </w:r>
          </w:p>
        </w:tc>
        <w:tc>
          <w:tcPr>
            <w:tcW w:type="dxa" w:w="1039"/>
          </w:tcPr>
          <w:p>
            <w:r>
              <w:rPr>
                <w:sz w:val="20"/>
              </w:rPr>
              <w:t>CI absolue (IEC)</w:t>
            </w:r>
          </w:p>
        </w:tc>
        <w:tc>
          <w:tcPr>
            <w:tcW w:type="dxa" w:w="1039"/>
          </w:tcPr>
          <w:p>
            <w:r>
              <w:rPr>
                <w:sz w:val="20"/>
              </w:rPr>
              <w:t>idem 19</w:t>
            </w:r>
          </w:p>
        </w:tc>
      </w:tr>
      <w:tr>
        <w:tc>
          <w:tcPr>
            <w:tcW w:type="dxa" w:w="1039"/>
          </w:tcPr>
          <w:p>
            <w:r>
              <w:rPr>
                <w:sz w:val="20"/>
              </w:rPr>
              <w:t>21</w:t>
            </w:r>
          </w:p>
        </w:tc>
        <w:tc>
          <w:tcPr>
            <w:tcW w:type="dxa" w:w="1039"/>
          </w:tcPr>
          <w:p>
            <w:r>
              <w:rPr>
                <w:sz w:val="20"/>
              </w:rPr>
              <w:t>Ramipril + Félodipine</w:t>
            </w:r>
          </w:p>
        </w:tc>
        <w:tc>
          <w:tcPr>
            <w:tcW w:type="dxa" w:w="1039"/>
          </w:tcPr>
          <w:p>
            <w:r>
              <w:rPr>
                <w:sz w:val="20"/>
              </w:rPr>
              <w:t>IEC + ICA</w:t>
            </w:r>
          </w:p>
        </w:tc>
        <w:tc>
          <w:tcPr>
            <w:tcW w:type="dxa" w:w="1039"/>
          </w:tcPr>
          <w:p>
            <w:r>
              <w:rPr>
                <w:sz w:val="20"/>
              </w:rPr>
              <w:t>Vasodilatation + SRAA</w:t>
            </w:r>
          </w:p>
        </w:tc>
        <w:tc>
          <w:tcPr>
            <w:tcW w:type="dxa" w:w="1039"/>
          </w:tcPr>
          <w:p>
            <w:r>
              <w:rPr>
                <w:sz w:val="20"/>
              </w:rPr>
              <w:t>24 h / 11–16 h</w:t>
            </w:r>
          </w:p>
        </w:tc>
        <w:tc>
          <w:tcPr>
            <w:tcW w:type="dxa" w:w="1039"/>
          </w:tcPr>
          <w:p>
            <w:r>
              <w:rPr>
                <w:sz w:val="20"/>
              </w:rPr>
              <w:t>2,5/2,5 mg/j le matin</w:t>
            </w:r>
          </w:p>
        </w:tc>
        <w:tc>
          <w:tcPr>
            <w:tcW w:type="dxa" w:w="1039"/>
          </w:tcPr>
          <w:p>
            <w:r>
              <w:rPr>
                <w:sz w:val="20"/>
              </w:rPr>
              <w:t>Toux, œdèmes</w:t>
            </w:r>
          </w:p>
        </w:tc>
        <w:tc>
          <w:tcPr>
            <w:tcW w:type="dxa" w:w="1039"/>
          </w:tcPr>
          <w:p>
            <w:r>
              <w:rPr>
                <w:sz w:val="20"/>
              </w:rPr>
              <w:t>CI absolue (IEC)</w:t>
            </w:r>
          </w:p>
        </w:tc>
        <w:tc>
          <w:tcPr>
            <w:tcW w:type="dxa" w:w="1039"/>
          </w:tcPr>
          <w:p>
            <w:r>
              <w:rPr>
                <w:sz w:val="20"/>
              </w:rPr>
              <w:t>Félodipine + pamplemousse (CI), ARA2 CI</w:t>
            </w:r>
          </w:p>
        </w:tc>
      </w:tr>
      <w:tr>
        <w:tc>
          <w:tcPr>
            <w:tcW w:type="dxa" w:w="1039"/>
          </w:tcPr>
          <w:p>
            <w:r>
              <w:rPr>
                <w:sz w:val="20"/>
              </w:rPr>
              <w:t>22</w:t>
            </w:r>
          </w:p>
        </w:tc>
        <w:tc>
          <w:tcPr>
            <w:tcW w:type="dxa" w:w="1039"/>
          </w:tcPr>
          <w:p>
            <w:r>
              <w:rPr>
                <w:sz w:val="20"/>
              </w:rPr>
              <w:t>Amlodipine + Irbesartan</w:t>
            </w:r>
          </w:p>
        </w:tc>
        <w:tc>
          <w:tcPr>
            <w:tcW w:type="dxa" w:w="1039"/>
          </w:tcPr>
          <w:p>
            <w:r>
              <w:rPr>
                <w:sz w:val="20"/>
              </w:rPr>
              <w:t>ARA2 + ICA</w:t>
            </w:r>
          </w:p>
        </w:tc>
        <w:tc>
          <w:tcPr>
            <w:tcW w:type="dxa" w:w="1039"/>
          </w:tcPr>
          <w:p>
            <w:r>
              <w:rPr>
                <w:sz w:val="20"/>
              </w:rPr>
              <w:t>SRAA + ICA</w:t>
            </w:r>
          </w:p>
        </w:tc>
        <w:tc>
          <w:tcPr>
            <w:tcW w:type="dxa" w:w="1039"/>
          </w:tcPr>
          <w:p>
            <w:r>
              <w:rPr>
                <w:sz w:val="20"/>
              </w:rPr>
              <w:t>30–50 h / 11–15 h</w:t>
            </w:r>
          </w:p>
        </w:tc>
        <w:tc>
          <w:tcPr>
            <w:tcW w:type="dxa" w:w="1039"/>
          </w:tcPr>
          <w:p>
            <w:r>
              <w:rPr>
                <w:sz w:val="20"/>
              </w:rPr>
              <w:t>5/150 à 5/300 mg/j à tout moment</w:t>
            </w:r>
          </w:p>
        </w:tc>
        <w:tc>
          <w:tcPr>
            <w:tcW w:type="dxa" w:w="1039"/>
          </w:tcPr>
          <w:p>
            <w:r>
              <w:rPr>
                <w:sz w:val="20"/>
              </w:rPr>
              <w:t>Hypotension, œdèmes</w:t>
            </w:r>
          </w:p>
        </w:tc>
        <w:tc>
          <w:tcPr>
            <w:tcW w:type="dxa" w:w="1039"/>
          </w:tcPr>
          <w:p>
            <w:r>
              <w:rPr>
                <w:sz w:val="20"/>
              </w:rPr>
              <w:t>CI absolue (ARA2)</w:t>
            </w:r>
          </w:p>
        </w:tc>
        <w:tc>
          <w:tcPr>
            <w:tcW w:type="dxa" w:w="1039"/>
          </w:tcPr>
          <w:p>
            <w:r>
              <w:rPr>
                <w:sz w:val="20"/>
              </w:rPr>
              <w:t>IEC CI, AINS, lithium</w:t>
            </w:r>
          </w:p>
        </w:tc>
      </w:tr>
      <w:tr>
        <w:tc>
          <w:tcPr>
            <w:tcW w:type="dxa" w:w="1039"/>
          </w:tcPr>
          <w:p>
            <w:r>
              <w:rPr>
                <w:sz w:val="20"/>
              </w:rPr>
              <w:t>23</w:t>
            </w:r>
          </w:p>
        </w:tc>
        <w:tc>
          <w:tcPr>
            <w:tcW w:type="dxa" w:w="1039"/>
          </w:tcPr>
          <w:p>
            <w:r>
              <w:rPr>
                <w:sz w:val="20"/>
              </w:rPr>
              <w:t>Amlodipine + Valsartan</w:t>
            </w:r>
          </w:p>
        </w:tc>
        <w:tc>
          <w:tcPr>
            <w:tcW w:type="dxa" w:w="1039"/>
          </w:tcPr>
          <w:p>
            <w:r>
              <w:rPr>
                <w:sz w:val="20"/>
              </w:rPr>
              <w:t>ARA2 + ICA</w:t>
            </w:r>
          </w:p>
        </w:tc>
        <w:tc>
          <w:tcPr>
            <w:tcW w:type="dxa" w:w="1039"/>
          </w:tcPr>
          <w:p>
            <w:r>
              <w:rPr>
                <w:sz w:val="20"/>
              </w:rPr>
              <w:t>SRAA + ICA</w:t>
            </w:r>
          </w:p>
        </w:tc>
        <w:tc>
          <w:tcPr>
            <w:tcW w:type="dxa" w:w="1039"/>
          </w:tcPr>
          <w:p>
            <w:r>
              <w:rPr>
                <w:sz w:val="20"/>
              </w:rPr>
              <w:t>30–50 h / 6 h</w:t>
            </w:r>
          </w:p>
        </w:tc>
        <w:tc>
          <w:tcPr>
            <w:tcW w:type="dxa" w:w="1039"/>
          </w:tcPr>
          <w:p>
            <w:r>
              <w:rPr>
                <w:sz w:val="20"/>
              </w:rPr>
              <w:t>5/80 à 10/160 mg/j à tout moment</w:t>
            </w:r>
          </w:p>
        </w:tc>
        <w:tc>
          <w:tcPr>
            <w:tcW w:type="dxa" w:w="1039"/>
          </w:tcPr>
          <w:p>
            <w:r>
              <w:rPr>
                <w:sz w:val="20"/>
              </w:rPr>
              <w:t>Hypotension, œdèmes</w:t>
            </w:r>
          </w:p>
        </w:tc>
        <w:tc>
          <w:tcPr>
            <w:tcW w:type="dxa" w:w="1039"/>
          </w:tcPr>
          <w:p>
            <w:r>
              <w:rPr>
                <w:sz w:val="20"/>
              </w:rPr>
              <w:t>CI absolue (ARA2)</w:t>
            </w:r>
          </w:p>
        </w:tc>
        <w:tc>
          <w:tcPr>
            <w:tcW w:type="dxa" w:w="1039"/>
          </w:tcPr>
          <w:p>
            <w:r>
              <w:rPr>
                <w:sz w:val="20"/>
              </w:rPr>
              <w:t>IEC CI, AINS, lithium</w:t>
            </w:r>
          </w:p>
        </w:tc>
      </w:tr>
      <w:tr>
        <w:tc>
          <w:tcPr>
            <w:tcW w:type="dxa" w:w="1039"/>
          </w:tcPr>
          <w:p>
            <w:r>
              <w:rPr>
                <w:sz w:val="20"/>
              </w:rPr>
              <w:t>24</w:t>
            </w:r>
          </w:p>
        </w:tc>
        <w:tc>
          <w:tcPr>
            <w:tcW w:type="dxa" w:w="1039"/>
          </w:tcPr>
          <w:p>
            <w:r>
              <w:rPr>
                <w:sz w:val="20"/>
              </w:rPr>
              <w:t>Irbesartan + Amlodipine</w:t>
            </w:r>
          </w:p>
        </w:tc>
        <w:tc>
          <w:tcPr>
            <w:tcW w:type="dxa" w:w="1039"/>
          </w:tcPr>
          <w:p>
            <w:r>
              <w:rPr>
                <w:sz w:val="20"/>
              </w:rPr>
              <w:t>ARA2 + ICA</w:t>
            </w:r>
          </w:p>
        </w:tc>
        <w:tc>
          <w:tcPr>
            <w:tcW w:type="dxa" w:w="1039"/>
          </w:tcPr>
          <w:p>
            <w:r>
              <w:rPr>
                <w:sz w:val="20"/>
              </w:rPr>
              <w:t>Identique 22 (dosages inversés)</w:t>
            </w:r>
          </w:p>
        </w:tc>
        <w:tc>
          <w:tcPr>
            <w:tcW w:type="dxa" w:w="1039"/>
          </w:tcPr>
          <w:p>
            <w:r>
              <w:rPr>
                <w:sz w:val="20"/>
              </w:rPr>
              <w:t>idem</w:t>
            </w:r>
          </w:p>
        </w:tc>
        <w:tc>
          <w:tcPr>
            <w:tcW w:type="dxa" w:w="1039"/>
          </w:tcPr>
          <w:p>
            <w:r>
              <w:rPr>
                <w:sz w:val="20"/>
              </w:rPr>
              <w:t>150/10 ou 300/10 mg/j à tout moment</w:t>
            </w:r>
          </w:p>
        </w:tc>
        <w:tc>
          <w:tcPr>
            <w:tcW w:type="dxa" w:w="1039"/>
          </w:tcPr>
          <w:p>
            <w:r>
              <w:rPr>
                <w:sz w:val="20"/>
              </w:rPr>
              <w:t>Hypotension, œdèmes</w:t>
            </w:r>
          </w:p>
        </w:tc>
        <w:tc>
          <w:tcPr>
            <w:tcW w:type="dxa" w:w="1039"/>
          </w:tcPr>
          <w:p>
            <w:r>
              <w:rPr>
                <w:sz w:val="20"/>
              </w:rPr>
              <w:t>CI absolue (ARA2)</w:t>
            </w:r>
          </w:p>
        </w:tc>
        <w:tc>
          <w:tcPr>
            <w:tcW w:type="dxa" w:w="1039"/>
          </w:tcPr>
          <w:p>
            <w:r>
              <w:rPr>
                <w:sz w:val="20"/>
              </w:rPr>
              <w:t>idem 22</w:t>
            </w:r>
          </w:p>
        </w:tc>
      </w:tr>
      <w:tr>
        <w:tc>
          <w:tcPr>
            <w:tcW w:type="dxa" w:w="1039"/>
          </w:tcPr>
          <w:p>
            <w:r>
              <w:rPr>
                <w:sz w:val="20"/>
              </w:rPr>
              <w:t>25</w:t>
            </w:r>
          </w:p>
        </w:tc>
        <w:tc>
          <w:tcPr>
            <w:tcW w:type="dxa" w:w="1039"/>
          </w:tcPr>
          <w:p>
            <w:r>
              <w:rPr>
                <w:sz w:val="20"/>
              </w:rPr>
              <w:t>Telmisartan + Amlodipine</w:t>
            </w:r>
          </w:p>
        </w:tc>
        <w:tc>
          <w:tcPr>
            <w:tcW w:type="dxa" w:w="1039"/>
          </w:tcPr>
          <w:p>
            <w:r>
              <w:rPr>
                <w:sz w:val="20"/>
              </w:rPr>
              <w:t>ARA2 + ICA</w:t>
            </w:r>
          </w:p>
        </w:tc>
        <w:tc>
          <w:tcPr>
            <w:tcW w:type="dxa" w:w="1039"/>
          </w:tcPr>
          <w:p>
            <w:r>
              <w:rPr>
                <w:sz w:val="20"/>
              </w:rPr>
              <w:t>SRAA (longue durée) + ICA</w:t>
            </w:r>
          </w:p>
        </w:tc>
        <w:tc>
          <w:tcPr>
            <w:tcW w:type="dxa" w:w="1039"/>
          </w:tcPr>
          <w:p>
            <w:r>
              <w:rPr>
                <w:sz w:val="20"/>
              </w:rPr>
              <w:t>24 h / 30–50 h</w:t>
            </w:r>
          </w:p>
        </w:tc>
        <w:tc>
          <w:tcPr>
            <w:tcW w:type="dxa" w:w="1039"/>
          </w:tcPr>
          <w:p>
            <w:r>
              <w:rPr>
                <w:sz w:val="20"/>
              </w:rPr>
              <w:t>40/5 à 80/10 mg/j à tout moment</w:t>
            </w:r>
          </w:p>
        </w:tc>
        <w:tc>
          <w:tcPr>
            <w:tcW w:type="dxa" w:w="1039"/>
          </w:tcPr>
          <w:p>
            <w:r>
              <w:rPr>
                <w:sz w:val="20"/>
              </w:rPr>
              <w:t>Hypotension, œdèmes</w:t>
            </w:r>
          </w:p>
        </w:tc>
        <w:tc>
          <w:tcPr>
            <w:tcW w:type="dxa" w:w="1039"/>
          </w:tcPr>
          <w:p>
            <w:r>
              <w:rPr>
                <w:sz w:val="20"/>
              </w:rPr>
              <w:t>CI absolue (ARA2)</w:t>
            </w:r>
          </w:p>
        </w:tc>
        <w:tc>
          <w:tcPr>
            <w:tcW w:type="dxa" w:w="1039"/>
          </w:tcPr>
          <w:p>
            <w:r>
              <w:rPr>
                <w:sz w:val="20"/>
              </w:rPr>
              <w:t>Digoxine (surveillance), IEC CI</w:t>
            </w:r>
          </w:p>
        </w:tc>
      </w:tr>
    </w:tbl>
    <w:p/>
    <w:p>
      <w:pPr>
        <w:pStyle w:val="Heading2"/>
      </w:pPr>
      <w:r>
        <w:t>38.7 Récapitulatif des pièges majeurs au comptoir</w:t>
      </w:r>
    </w:p>
    <w:p>
      <w:r>
        <w:t>Cette section synthétise les principaux pièges à connaître pour la dispensation au comptoir des médicaments traités dans ce chapitre. Elle constitue un aide-mémoire pour le pharmacien d'officine et hospitalier.</w:t>
      </w:r>
    </w:p>
    <w:p>
      <w:pPr>
        <w:pStyle w:val="Heading3"/>
      </w:pPr>
      <w:r>
        <w:t>38.7.1 Pièges liés aux hypolipémiants</w:t>
      </w:r>
    </w:p>
    <w:p>
      <w:pPr>
        <w:pStyle w:val="ListNumber"/>
      </w:pPr>
      <w:r/>
      <w:r>
        <w:rPr>
          <w:b/>
        </w:rPr>
        <w:t>Statines + Jus de pamplemousse</w:t>
      </w:r>
      <w:r>
        <w:t xml:space="preserve"> : le jus de pamplemousse (≥ 1 verre/j) inhibe le CYP3A4 intestinal et multiplie par 3–5 l'ASC de la simvastatine, par 3 celle de l'atorvastatine. Risque majeur de rhabdomyolyse. À proscrire absolument. Alternative : pravastatine, rosuvastatine, fluvastatine (statines non métabolisées par CYP3A4).</w:t>
      </w:r>
    </w:p>
    <w:p>
      <w:pPr>
        <w:pStyle w:val="ListNumber"/>
      </w:pPr>
      <w:r/>
      <w:r>
        <w:rPr>
          <w:b/>
        </w:rPr>
        <w:t>Simvastatine + Amiodarone, Vérapamil</w:t>
      </w:r>
      <w:r>
        <w:t xml:space="preserve"> : limite posologique stricte à 20 mg/j. La simvastatine 40 mg sous amiodarone expose à un risque majeur de rhabdomyolyse.</w:t>
      </w:r>
    </w:p>
    <w:p>
      <w:pPr>
        <w:pStyle w:val="ListNumber"/>
      </w:pPr>
      <w:r/>
      <w:r>
        <w:rPr>
          <w:b/>
        </w:rPr>
        <w:t>Simvastatine + Amlodipine</w:t>
      </w:r>
      <w:r>
        <w:t xml:space="preserve"> : limite à 10 mg/j (pertinent pour les associations AML+ATOR 10/10 ou AML+PER 5/10 — surveillance).</w:t>
      </w:r>
    </w:p>
    <w:p>
      <w:pPr>
        <w:pStyle w:val="ListNumber"/>
      </w:pPr>
      <w:r/>
      <w:r>
        <w:rPr>
          <w:b/>
        </w:rPr>
        <w:t>Statines + Macrolides (clarithromycine, érythromycine, télithromycine)</w:t>
      </w:r>
      <w:r>
        <w:t xml:space="preserve"> : suspension de la statine pendant l'antibiothérapie. L'azithromycine est tolérée.</w:t>
      </w:r>
    </w:p>
    <w:p>
      <w:pPr>
        <w:pStyle w:val="ListNumber"/>
      </w:pPr>
      <w:r/>
      <w:r>
        <w:rPr>
          <w:b/>
        </w:rPr>
        <w:t>Statines + Azolés (itraconazole, kétoconazole, posaconazole)</w:t>
      </w:r>
      <w:r>
        <w:t xml:space="preserve"> : CI absolue pour simvastatine, atorvastatine. Surveillance pour les autres.</w:t>
      </w:r>
    </w:p>
    <w:p>
      <w:pPr>
        <w:pStyle w:val="ListNumber"/>
      </w:pPr>
      <w:r/>
      <w:r>
        <w:rPr>
          <w:b/>
        </w:rPr>
        <w:t>Statines + Fibrates</w:t>
      </w:r>
      <w:r>
        <w:t xml:space="preserve"> : risque majoré de rhabdomyolyse. Gemfibrozil CI absolue. Fénofibrate possible sous surveillance CPK renforcée.</w:t>
      </w:r>
    </w:p>
    <w:p>
      <w:pPr>
        <w:pStyle w:val="ListNumber"/>
      </w:pPr>
      <w:r/>
      <w:r>
        <w:rPr>
          <w:b/>
        </w:rPr>
        <w:t>Statines + Colchicine</w:t>
      </w:r>
      <w:r>
        <w:t xml:space="preserve"> : risque de rhabdomyolyse, surtout si insuffisance rénale.</w:t>
      </w:r>
    </w:p>
    <w:p>
      <w:pPr>
        <w:pStyle w:val="ListNumber"/>
      </w:pPr>
      <w:r/>
      <w:r>
        <w:rPr>
          <w:b/>
        </w:rPr>
        <w:t>Statines + Cyclosporine, Tacrolimus</w:t>
      </w:r>
      <w:r>
        <w:t xml:space="preserve"> : la plupart des statines sont CI absolue. Pravastatine (max 20 mg/j) et fluvastatine (max 20 mg × 2/j) sont autorisées sous surveillance.</w:t>
      </w:r>
    </w:p>
    <w:p>
      <w:pPr>
        <w:pStyle w:val="ListNumber"/>
      </w:pPr>
      <w:r/>
      <w:r>
        <w:rPr>
          <w:b/>
        </w:rPr>
        <w:t>Statines + Grossesse</w:t>
      </w:r>
      <w:r>
        <w:t xml:space="preserve"> : CI absolue (catégorie X, tératogènes). Dépistage de grossesse avant instauration. Contraception efficace. En cas de grossesse sous statine : arrêt immédiat, pas de suivi spécifique (pas d'IMG) — la majorité des grossesses exposées donnent des enfants normaux.</w:t>
      </w:r>
    </w:p>
    <w:p>
      <w:pPr>
        <w:pStyle w:val="ListNumber"/>
      </w:pPr>
      <w:r/>
      <w:r>
        <w:rPr>
          <w:b/>
        </w:rPr>
        <w:t>Ezetimibe + Cyclosporine</w:t>
      </w:r>
      <w:r>
        <w:t xml:space="preserve"> : ASC × 3–12, surveillance ciclosporinémie, dose réduite.</w:t>
      </w:r>
    </w:p>
    <w:p>
      <w:pPr>
        <w:pStyle w:val="ListNumber"/>
      </w:pPr>
      <w:r/>
      <w:r>
        <w:rPr>
          <w:b/>
        </w:rPr>
        <w:t>Ezetimibe + Cholestyramine</w:t>
      </w:r>
      <w:r>
        <w:t xml:space="preserve"> : diminution de la biodisponibilité de l'ezetimibe. Séparer de 2 h (prendre ezetimibe 2 h avant ou 4 h après la cholestyramine).</w:t>
      </w:r>
    </w:p>
    <w:p>
      <w:pPr>
        <w:pStyle w:val="ListNumber"/>
      </w:pPr>
      <w:r/>
      <w:r>
        <w:rPr>
          <w:b/>
        </w:rPr>
        <w:t>Fénofibrate + AVK</w:t>
      </w:r>
      <w:r>
        <w:t xml:space="preserve"> : majoration INR, surveillance rapprochée, réduction dose AVK de 1/3.</w:t>
      </w:r>
    </w:p>
    <w:p>
      <w:pPr>
        <w:pStyle w:val="ListNumber"/>
      </w:pPr>
      <w:r/>
      <w:r>
        <w:rPr>
          <w:b/>
        </w:rPr>
        <w:t>Fénofibrate + Photosensibilité</w:t>
      </w:r>
      <w:r>
        <w:t xml:space="preserve"> : photoprotection stricte indispensable (crème SPF 50+, vêtements couvrants, éviction solaire aux heures chaudes).</w:t>
      </w:r>
    </w:p>
    <w:p>
      <w:pPr>
        <w:pStyle w:val="ListNumber"/>
      </w:pPr>
      <w:r/>
      <w:r>
        <w:rPr>
          <w:b/>
        </w:rPr>
        <w:t>Fénofibrate + IR</w:t>
      </w:r>
      <w:r>
        <w:t xml:space="preserve"> : adaptation posologique obligatoire (forme 100 mg ou 67 mg). CI si ClCr &lt; 30.</w:t>
      </w:r>
    </w:p>
    <w:p>
      <w:pPr>
        <w:pStyle w:val="ListNumber"/>
      </w:pPr>
      <w:r/>
      <w:r>
        <w:rPr>
          <w:b/>
        </w:rPr>
        <w:t>Cholestyramine + Tous médicaments</w:t>
      </w:r>
      <w:r>
        <w:t xml:space="preserve"> : absorption diminuée. Séparer de 1 h avant ou 4–6 h après.</w:t>
      </w:r>
    </w:p>
    <w:p>
      <w:pPr>
        <w:pStyle w:val="ListNumber"/>
      </w:pPr>
      <w:r/>
      <w:r>
        <w:rPr>
          <w:b/>
        </w:rPr>
        <w:t>Evolocumab + Statine</w:t>
      </w:r>
      <w:r>
        <w:t xml:space="preserve"> : pas d'interaction, association recommandée (effet additif, escalade thérapeutique standard).</w:t>
      </w:r>
    </w:p>
    <w:p>
      <w:pPr>
        <w:pStyle w:val="ListNumber"/>
      </w:pPr>
      <w:r/>
      <w:r>
        <w:rPr>
          <w:b/>
        </w:rPr>
        <w:t>Evolocumab + Conservation</w:t>
      </w:r>
      <w:r>
        <w:t xml:space="preserve"> : réfrigérateur 2–8 °C, ne pas congeler, peut rester 30 jours à température ambiante (voyage).</w:t>
      </w:r>
    </w:p>
    <w:p>
      <w:pPr>
        <w:pStyle w:val="Heading3"/>
      </w:pPr>
      <w:r>
        <w:t>38.7.2 Pièges liés aux inotropes positifs</w:t>
      </w:r>
    </w:p>
    <w:p>
      <w:pPr>
        <w:pStyle w:val="ListNumber"/>
      </w:pPr>
      <w:r/>
      <w:r>
        <w:rPr>
          <w:b/>
        </w:rPr>
        <w:t>Dobutamine + β-bloquants</w:t>
      </w:r>
      <w:r>
        <w:t xml:space="preserve"> : antagonisme β1, effet α1 dominant → hypertension paradoxale. Préférer milrinone.</w:t>
      </w:r>
    </w:p>
    <w:p>
      <w:pPr>
        <w:pStyle w:val="ListNumber"/>
      </w:pPr>
      <w:r/>
      <w:r>
        <w:rPr>
          <w:b/>
        </w:rPr>
        <w:t>Dobutamine + Sténose aortique serrée</w:t>
      </w:r>
      <w:r>
        <w:t xml:space="preserve"> : CI absolue (le VG ne peut pas augmenter son débit face à l'obstacle fixe).</w:t>
      </w:r>
    </w:p>
    <w:p>
      <w:pPr>
        <w:pStyle w:val="ListNumber"/>
      </w:pPr>
      <w:r/>
      <w:r>
        <w:rPr>
          <w:b/>
        </w:rPr>
        <w:t>Dobutamine + Tachyphylaxie</w:t>
      </w:r>
      <w:r>
        <w:t xml:space="preserve"> : après 48–72 h, down-régulation des récepteurs β1. Rotation vers milrinone ou lévosimendan.</w:t>
      </w:r>
    </w:p>
    <w:p>
      <w:pPr>
        <w:pStyle w:val="ListNumber"/>
      </w:pPr>
      <w:r/>
      <w:r>
        <w:rPr>
          <w:b/>
        </w:rPr>
        <w:t>Dopamine + IMAO</w:t>
      </w:r>
      <w:r>
        <w:t xml:space="preserve"> : CI absolue (crise hypertensive par libération massive de noradrénaline).</w:t>
      </w:r>
    </w:p>
    <w:p>
      <w:pPr>
        <w:pStyle w:val="ListNumber"/>
      </w:pPr>
      <w:r/>
      <w:r>
        <w:rPr>
          <w:b/>
        </w:rPr>
        <w:t>Dopamine à faible dose « rénorprotectrice »</w:t>
      </w:r>
      <w:r>
        <w:t xml:space="preserve"> : mythe réfuté par les études modernes (SOAP-II, ROSE-AK). À éviter en routine.</w:t>
      </w:r>
    </w:p>
    <w:p>
      <w:pPr>
        <w:pStyle w:val="ListNumber"/>
      </w:pPr>
      <w:r/>
      <w:r>
        <w:rPr>
          <w:b/>
        </w:rPr>
        <w:t>Dopamine + Phénytoïne</w:t>
      </w:r>
      <w:r>
        <w:t xml:space="preserve"> : risque d'hypotension sévère et de bradycardie.</w:t>
      </w:r>
    </w:p>
    <w:p>
      <w:pPr>
        <w:pStyle w:val="ListNumber"/>
      </w:pPr>
      <w:r/>
      <w:r>
        <w:rPr>
          <w:b/>
        </w:rPr>
        <w:t>Milrinone + Furosémide</w:t>
      </w:r>
      <w:r>
        <w:t xml:space="preserve"> : précipitation physique dans la tubulure. Voies séparées obligatoires.</w:t>
      </w:r>
    </w:p>
    <w:p>
      <w:pPr>
        <w:pStyle w:val="ListNumber"/>
      </w:pPr>
      <w:r/>
      <w:r>
        <w:rPr>
          <w:b/>
        </w:rPr>
        <w:t>Milrinone + Insuffisance rénale</w:t>
      </w:r>
      <w:r>
        <w:t xml:space="preserve"> : adaptation posologique obligatoire. Risque d'accumulation et d'arythmies.</w:t>
      </w:r>
    </w:p>
    <w:p>
      <w:pPr>
        <w:pStyle w:val="ListNumber"/>
      </w:pPr>
      <w:r/>
      <w:r>
        <w:rPr>
          <w:b/>
        </w:rPr>
        <w:t>Milrinone + Perfusion prolongée &gt; 72 h</w:t>
      </w:r>
      <w:r>
        <w:t xml:space="preserve"> : surmortalité (OPTIME-CHF). Limiter la durée.</w:t>
      </w:r>
    </w:p>
    <w:p>
      <w:pPr>
        <w:pStyle w:val="ListNumber"/>
      </w:pPr>
      <w:r/>
      <w:r>
        <w:rPr>
          <w:b/>
        </w:rPr>
        <w:t>Lévosimendan + Hypovolémie non corrigée</w:t>
      </w:r>
      <w:r>
        <w:t xml:space="preserve"> : hypotension majeure, collapsus. Expansion volémique préalable obligatoire.</w:t>
      </w:r>
    </w:p>
    <w:p>
      <w:pPr>
        <w:pStyle w:val="ListNumber"/>
      </w:pPr>
      <w:r/>
      <w:r>
        <w:rPr>
          <w:b/>
        </w:rPr>
        <w:t>Lévosimendan + Médicaments allongeant le QT</w:t>
      </w:r>
      <w:r>
        <w:t xml:space="preserve"> : majoration du QT, risque de torsades de pointes.</w:t>
      </w:r>
    </w:p>
    <w:p>
      <w:pPr>
        <w:pStyle w:val="ListNumber"/>
      </w:pPr>
      <w:r/>
      <w:r>
        <w:rPr>
          <w:b/>
        </w:rPr>
        <w:t>Lévosimendan + Effet prolongé</w:t>
      </w:r>
      <w:r>
        <w:t xml:space="preserve"> : surveillance 7–10 jours après l'arrêt de la perfusion (métabolite actif OR-1896 à demi-vie 75 h).</w:t>
      </w:r>
    </w:p>
    <w:p>
      <w:pPr>
        <w:pStyle w:val="Heading3"/>
      </w:pPr>
      <w:r>
        <w:t>38.7.3 Pièges liés aux associations cardiovasculaires</w:t>
      </w:r>
    </w:p>
    <w:p>
      <w:pPr>
        <w:pStyle w:val="ListNumber"/>
      </w:pPr>
      <w:r/>
      <w:r>
        <w:rPr>
          <w:b/>
        </w:rPr>
        <w:t>Association triple + Femme enceinte</w:t>
      </w:r>
      <w:r>
        <w:t xml:space="preserve"> : CI absolue (ARA2 ou IEC fœtotoxique à partir du 2e trimestre). En cas de découverte fortuite d'une grossesse, arrêter immédiatement et remplacer par labetalol, nicardipine, méthyldopa.</w:t>
      </w:r>
    </w:p>
    <w:p>
      <w:pPr>
        <w:pStyle w:val="ListNumber"/>
      </w:pPr>
      <w:r/>
      <w:r>
        <w:rPr>
          <w:b/>
        </w:rPr>
        <w:t>Association IEC + ARA2</w:t>
      </w:r>
      <w:r>
        <w:t xml:space="preserve"> : CI absolue (double blocage du SRAA, risque d'hyperkaliémie, IR aiguë).</w:t>
      </w:r>
    </w:p>
    <w:p>
      <w:pPr>
        <w:pStyle w:val="ListNumber"/>
      </w:pPr>
      <w:r/>
      <w:r>
        <w:rPr>
          <w:b/>
        </w:rPr>
        <w:t>Association + AINS</w:t>
      </w:r>
      <w:r>
        <w:t xml:space="preserve"> : baisse de l'effet antihypertenseur, risque d'IR aiguë. Information patient indispensable.</w:t>
      </w:r>
    </w:p>
    <w:p>
      <w:pPr>
        <w:pStyle w:val="ListNumber"/>
      </w:pPr>
      <w:r/>
      <w:r>
        <w:rPr>
          <w:b/>
        </w:rPr>
        <w:t>Association + Lithium</w:t>
      </w:r>
      <w:r>
        <w:t xml:space="preserve"> : majoration lithémie, surveillance ou éviction.</w:t>
      </w:r>
    </w:p>
    <w:p>
      <w:pPr>
        <w:pStyle w:val="ListNumber"/>
      </w:pPr>
      <w:r/>
      <w:r>
        <w:rPr>
          <w:b/>
        </w:rPr>
        <w:t>Association + Potassium (substitution, sel de régime)</w:t>
      </w:r>
      <w:r>
        <w:t xml:space="preserve"> : risque d'hyperkaliémie.</w:t>
      </w:r>
    </w:p>
    <w:p>
      <w:pPr>
        <w:pStyle w:val="ListNumber"/>
      </w:pPr>
      <w:r/>
      <w:r>
        <w:rPr>
          <w:b/>
        </w:rPr>
        <w:t>Association + Aliskirène</w:t>
      </w:r>
      <w:r>
        <w:t xml:space="preserve"> : CI absolue chez diabétique ou IRC.</w:t>
      </w:r>
    </w:p>
    <w:p>
      <w:pPr>
        <w:pStyle w:val="ListNumber"/>
      </w:pPr>
      <w:r/>
      <w:r>
        <w:rPr>
          <w:b/>
        </w:rPr>
        <w:t>Ramipril + Félodipine + Pamplemousse</w:t>
      </w:r>
      <w:r>
        <w:t xml:space="preserve"> : majoration de la félodipine → hypotension sévère.</w:t>
      </w:r>
    </w:p>
    <w:p>
      <w:pPr>
        <w:pStyle w:val="ListNumber"/>
      </w:pPr>
      <w:r/>
      <w:r>
        <w:rPr>
          <w:b/>
        </w:rPr>
        <w:t>Amlodipine + Simvastatine (co-prescription)</w:t>
      </w:r>
      <w:r>
        <w:t xml:space="preserve"> : limiter la simvastatine à 10 mg/j. Important : ne pas confondre avec l'association amlodipine + atorvastatine (TORVAPINE), qui n'a pas cette limite.</w:t>
      </w:r>
    </w:p>
    <w:p>
      <w:pPr>
        <w:pStyle w:val="ListNumber"/>
      </w:pPr>
      <w:r/>
      <w:r>
        <w:rPr>
          <w:b/>
        </w:rPr>
        <w:t>IEC + Toux sèche</w:t>
      </w:r>
      <w:r>
        <w:t xml:space="preserve"> : très fréquent (5–10 %), survenant 1–4 semaines après initiation. Switch vers ARA2 (témisartan, valsartan, irbésartan).</w:t>
      </w:r>
    </w:p>
    <w:p>
      <w:pPr>
        <w:pStyle w:val="ListNumber"/>
      </w:pPr>
      <w:r/>
      <w:r>
        <w:rPr>
          <w:b/>
        </w:rPr>
        <w:t>IEC + Angio-œdème</w:t>
      </w:r>
      <w:r>
        <w:t xml:space="preserve"> : rare (0,1–0,7 %) mais grave (œdème du visage, des lèvres, de la langue, du larynx → urgence vitale). Arrêt définitif de l'IEC, switch vers ARA2 (mais risque résiduel).</w:t>
      </w:r>
    </w:p>
    <w:p>
      <w:pPr>
        <w:pStyle w:val="ListNumber"/>
      </w:pPr>
      <w:r/>
      <w:r>
        <w:rPr>
          <w:b/>
        </w:rPr>
        <w:t>ICA + Œdèmes des membres inférieurs</w:t>
      </w:r>
      <w:r>
        <w:t xml:space="preserve"> : fréquents (5–10 %), dose-dépendants. Ne pas confondre avec insuffisance cardiaque. Réduction dose ou switch vers ICA non-DHP (vérapamil) ou association IEC + ICA (l'IEC réduit les œdèmes des ICA).</w:t>
      </w:r>
    </w:p>
    <w:p>
      <w:pPr>
        <w:pStyle w:val="ListNumber"/>
      </w:pPr>
      <w:r/>
      <w:r>
        <w:rPr>
          <w:b/>
        </w:rPr>
        <w:t>HCTZ + Hyperuricémie</w:t>
      </w:r>
      <w:r>
        <w:t xml:space="preserve"> : majoration de l'uricémie, risque de goutte. Surveillance. Switch vers indapamide (moins hyperuricémiante).</w:t>
      </w:r>
    </w:p>
    <w:p>
      <w:pPr>
        <w:pStyle w:val="ListNumber"/>
      </w:pPr>
      <w:r/>
      <w:r>
        <w:rPr>
          <w:b/>
        </w:rPr>
        <w:t>HCTZ + Hyperglycémie</w:t>
      </w:r>
      <w:r>
        <w:t xml:space="preserve"> : effet diabétogène modéré (HbA1c +0,2–0,4 %). Surveillance glycémie, surtout chez le diabétique.</w:t>
      </w:r>
    </w:p>
    <w:p>
      <w:pPr>
        <w:pStyle w:val="ListNumber"/>
      </w:pPr>
      <w:r/>
      <w:r>
        <w:rPr>
          <w:b/>
        </w:rPr>
        <w:t>HCTZ + Hypokaliémie</w:t>
      </w:r>
      <w:r>
        <w:t xml:space="preserve"> : surveillance K⁺, supplémentation si nécessaire.</w:t>
      </w:r>
    </w:p>
    <w:p>
      <w:pPr>
        <w:pStyle w:val="ListNumber"/>
      </w:pPr>
      <w:r/>
      <w:r>
        <w:rPr>
          <w:b/>
        </w:rPr>
        <w:t>HCTZ + Photosensibilité</w:t>
      </w:r>
      <w:r>
        <w:t xml:space="preserve"> : photoprotection solaire indispensable.</w:t>
      </w:r>
    </w:p>
    <w:p>
      <w:pPr>
        <w:pStyle w:val="Heading3"/>
      </w:pPr>
      <w:r>
        <w:t>38.7.4 Règles d'or pour la dispensation au comptoir</w:t>
      </w:r>
    </w:p>
    <w:p>
      <w:pPr>
        <w:pStyle w:val="ListNumber"/>
      </w:pPr>
      <w:r/>
      <w:r>
        <w:rPr>
          <w:b/>
        </w:rPr>
        <w:t>Toujours vérifier la fonction rénale et l'ionogramme</w:t>
      </w:r>
      <w:r>
        <w:t xml:space="preserve"> avant délivrance d'une association fixe contenant un IEC/ARA2 + un diurétique.</w:t>
      </w:r>
    </w:p>
    <w:p>
      <w:pPr>
        <w:pStyle w:val="ListNumber"/>
      </w:pPr>
      <w:r/>
      <w:r>
        <w:rPr>
          <w:b/>
        </w:rPr>
        <w:t>Toujours demander s'il y a une grossesse en cours ou envisagée</w:t>
      </w:r>
      <w:r>
        <w:t xml:space="preserve"> avant délivrance d'une statine, d'un IEC, d'un ARA2.</w:t>
      </w:r>
    </w:p>
    <w:p>
      <w:pPr>
        <w:pStyle w:val="ListNumber"/>
      </w:pPr>
      <w:r/>
      <w:r>
        <w:rPr>
          <w:b/>
        </w:rPr>
        <w:t>Toujours demander la liste complète des médicaments</w:t>
      </w:r>
      <w:r>
        <w:t xml:space="preserve"> (prescrits et automédication, y compris phytothérapie, compléments alimentaires, jus de pamplemousse) avant délivrance d'une statine.</w:t>
      </w:r>
    </w:p>
    <w:p>
      <w:pPr>
        <w:pStyle w:val="ListNumber"/>
      </w:pPr>
      <w:r/>
      <w:r>
        <w:rPr>
          <w:b/>
        </w:rPr>
        <w:t>Toujours vérifier les dosages</w:t>
      </w:r>
      <w:r>
        <w:t xml:space="preserve"> lors de la substitution entre marques (en particulier pour les associations à 2 composants où l'ordre d'énonciation peut varier).</w:t>
      </w:r>
    </w:p>
    <w:p>
      <w:pPr>
        <w:pStyle w:val="ListNumber"/>
      </w:pPr>
      <w:r/>
      <w:r>
        <w:rPr>
          <w:b/>
        </w:rPr>
        <w:t>Toujours informer le patient</w:t>
      </w:r>
      <w:r>
        <w:t xml:space="preserve"> sur la nécessité d'une prise à heure fixe, sur les signes d'alerte à connaître, sur l'interdiction d'arrêt brutal, sur l'importance des bilans sanguins réguliers.</w:t>
      </w:r>
    </w:p>
    <w:p>
      <w:pPr>
        <w:pStyle w:val="ListNumber"/>
      </w:pPr>
      <w:r/>
      <w:r>
        <w:rPr>
          <w:b/>
        </w:rPr>
        <w:t>Toujours documenter les conseils</w:t>
      </w:r>
      <w:r>
        <w:t xml:space="preserve"> délivrés au patient (dossier pharmaceutique, carnet de suivi).</w:t>
      </w:r>
    </w:p>
    <w:p>
      <w:pPr>
        <w:pStyle w:val="ListNumber"/>
      </w:pPr>
      <w:r/>
      <w:r>
        <w:rPr>
          <w:b/>
        </w:rPr>
        <w:t>Toujours privilégier l'éducation thérapeutique</w:t>
      </w:r>
      <w:r>
        <w:t xml:space="preserve"> du patient (auto-surveillance tensionnelle, observance, hygiène de vie).</w:t>
      </w:r>
    </w:p>
    <w:p>
      <w:pPr>
        <w:pStyle w:val="ListNumber"/>
      </w:pPr>
      <w:r/>
      <w:r>
        <w:rPr>
          <w:b/>
        </w:rPr>
        <w:t>Toujours coopérer avec le médecin prescripteur</w:t>
      </w:r>
      <w:r>
        <w:t xml:space="preserve"> en cas d'effet indésirable, d'interaction, de non-observance, de difficulté d'approvisionnement.</w:t>
      </w:r>
    </w:p>
    <w:p>
      <w:pPr>
        <w:pStyle w:val="Heading2"/>
      </w:pPr>
      <w:r>
        <w:t>38.8 Conclusion</w:t>
      </w:r>
    </w:p>
    <w:p>
      <w:r>
        <w:t>Ce chapitre a couvert 25 DCI réparties en 14 sous-classes pharmacologiques, allant des hypolipémiants de première intention (statines) aux inotropes positifs de réanimation (dobutamine, milrinone, lévosimendan), en passant par les thérapeutiques ciblées de dernière génération (evolocumab anti-PCSK9) et les associations cardiovasculaires fixes simplifiant l'observance (bithérapies IEC + ICA, ARA2 + ICA, trithérapies antihypertensives). La maîtrise de ces classes nécessite de comprendre à la fois les mécanismes moléculaires précis (HMG-CoA réductase, PPAR-α, NPC1L1, PCSK9, PDE3, troponine C, canaux calciques L, AT1), les profils pharmacocinétiques (demi-vie, métabolisme CYP3A4 vs CYP2C9 vs non-CYP, élimination rénale vs biliaire), les indications validées par les recommandations ESC/EAS, ESC et ESH/ESC, les contre-indications absolues (grossesse pour statines, obstruction mécanique pour inotropes, fœtotoxicité des ARA2/IEC au 2e/3e trimestre), les interactions médicamenteuses cliniquement significatives, et les conseils pratiques de dispensation.</w:t>
      </w:r>
    </w:p>
    <w:p>
      <w:r>
        <w:t>Le pharmacien algérien dispose aujourd'hui d'un arsenal thérapeutique large et diversifié pour la prise en charge du risque cardiovasculaire global et de l'insuffisance cardiaque aiguë, avec des marques locales (Saidal, Biopharm, LDM, Beker, El Kendi, Hikma, Tabuk, Dar Al Dawa, Novapharm, Biocare, etc.) et des princeps internationaux (Pfizer, AstraZeneca, Novartis, MSD, Sanofi, Servier, Amgen). La diversité des dosages disponibles permet une personnalisation thérapeutique selon le profil du patient (âge, fonction rénale, comorbidités, traitements associés). Les retraits et non-renouvellements récents (INEGY, QUESTRAN, dopamine) imposent une vigilance particulière et une adaptation des stratégies thérapeutiques vers les alternatives disponibles.</w:t>
      </w:r>
    </w:p>
    <w:p>
      <w:r>
        <w:t>L'enjeu principal pour la pharmacie clinique algérienne reste l'amélioration de l'observance et la prévention des interactions médicamenteuses, qui constituent les principaux freins à l'efficacité thérapeutique. L'éducation thérapeutique du patient, la coopération médecin-pharmacien, et le suivi régulier des paramètres biologiques (LDL-C, créatinine, K⁺, ALAT/ASAT, CPK) sont les piliers d'une pharmacothérapie cardiovasculaire réussie.</w:t>
      </w:r>
    </w:p>
    <w:p>
      <w:r/>
      <w:r>
        <w:rPr>
          <w:i/>
        </w:rPr>
        <w:t>Fin du chapitre 38 — Hypolipémiants, Inotropes Positifs et Associations Cardiovasculaires Complexes.</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Cardiologie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