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6B2E"/>
          <w:sz w:val="56"/>
        </w:rPr>
        <w:t>DIABÉTOLOGIE</w:t>
      </w:r>
    </w:p>
    <w:p>
      <w:pPr>
        <w:jc w:val="center"/>
      </w:pPr>
      <w:r>
        <w:rPr>
          <w:rFonts w:ascii="Calibri" w:hAnsi="Calibri"/>
          <w:b/>
          <w:i w:val="0"/>
          <w:color w:val="808080"/>
          <w:sz w:val="40"/>
        </w:rPr>
        <w:t>&amp;</w:t>
      </w:r>
    </w:p>
    <w:p>
      <w:pPr>
        <w:spacing w:after="120"/>
        <w:jc w:val="center"/>
      </w:pPr>
      <w:r>
        <w:rPr>
          <w:rFonts w:ascii="Calibri" w:hAnsi="Calibri"/>
          <w:b/>
          <w:i w:val="0"/>
          <w:color w:val="B76E00"/>
          <w:sz w:val="52"/>
        </w:rPr>
        <w:t>ENDOCRINOLOGIE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V</w:t>
      </w:r>
    </w:p>
    <w:p>
      <w:pPr>
        <w:jc w:val="center"/>
      </w:pPr>
      <w:r>
        <w:rPr>
          <w:rFonts w:ascii="Calibri" w:hAnsi="Calibri"/>
          <w:b w:val="0"/>
          <w:i/>
          <w:color w:val="606060"/>
          <w:sz w:val="28"/>
        </w:rPr>
        <w:t>Diabétologie et Endocrinologie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93 DCI traitées  •  650+ spécialités commerciales  •  6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ADA • EASD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V : Diabétologie et Endocrinologie</w:t>
      </w:r>
    </w:p>
    <w:p>
      <w:pPr>
        <w:pStyle w:val="Heading2"/>
      </w:pPr>
      <w:r>
        <w:t>Avant-propos et méthodologie du Fascicule V</w:t>
      </w:r>
    </w:p>
    <w:p>
      <w:pPr>
        <w:pStyle w:val="Heading3"/>
      </w:pPr>
      <w:r>
        <w:t>1. Objet du fascicule</w:t>
      </w:r>
    </w:p>
    <w:p>
      <w:r>
        <w:t>Le présent fascicule constitue le cinquième volet du traité technique de pharmacologie clinique destiné aux étudiants en pharmacie d'officine et aux praticiens exerçant sur le territoire algérien. Il poursuit la démarche engagée dans les Fascicules I (Antibiotiques), II (Antifongiques &amp; Antiparasitaires), III (Antalgiques &amp; Anti-inflammatoires) et IV (Cardiologie) en traitant de manière exhaustive les classes thérapeutiques endocriniennes et métaboliques enregistrées auprès du Ministère de la Santé algérien.</w:t>
      </w:r>
    </w:p>
    <w:p>
      <w:r>
        <w:t xml:space="preserve">La base réglementaire de référence utilisée est, comme pour les fascicules précédents, le fichier officiel </w:t>
      </w:r>
      <w:r>
        <w:rPr>
          <w:b/>
        </w:rPr>
        <w:t>« COMPLETE LISTE.xlsx »</w:t>
      </w:r>
      <w:r>
        <w:t xml:space="preserve"> compilant la nomenclature des médicaments à l'avril 2026 (spécialités actives, non renouvelables et retirées du marché).</w:t>
      </w:r>
    </w:p>
    <w:p>
      <w:pPr>
        <w:pStyle w:val="Heading3"/>
      </w:pPr>
      <w:r>
        <w:t>2. Contexte épidémiologique algérien</w:t>
      </w:r>
    </w:p>
    <w:p>
      <w:pPr>
        <w:pStyle w:val="Heading4"/>
      </w:pPr>
      <w:r>
        <w:t>2.1 Diabète en Algérie</w:t>
      </w:r>
    </w:p>
    <w:p>
      <w:r>
        <w:t>Le diabète sucré représente un véritable problème de santé publique en Algérie :</w:t>
      </w:r>
    </w:p>
    <w:p>
      <w:pPr>
        <w:pStyle w:val="ListBullet"/>
      </w:pPr>
      <w:r/>
      <w:r>
        <w:rPr>
          <w:b/>
        </w:rPr>
        <w:t>Prévalence estimée à 12-14 %</w:t>
      </w:r>
      <w:r>
        <w:t xml:space="preserve"> de la population adulte (≥ 18 ans), soit plus de 3 millions de diabétiques, avec une progression inquiétante liée au vieillissement, à l'urbanisation, à la sédentarité et à l'obésité (prévalence obésité 30 % femmes, 16 % hommes).</w:t>
      </w:r>
    </w:p>
    <w:p>
      <w:pPr>
        <w:pStyle w:val="ListBullet"/>
      </w:pPr>
      <w:r/>
      <w:r>
        <w:rPr>
          <w:b/>
        </w:rPr>
        <w:t>Diabète de type 2 (DT2)</w:t>
      </w:r>
      <w:r>
        <w:t xml:space="preserve"> : prédomine (90 % des cas), diagnostiqué de plus en plus tôt (40-50 ans), avec complications microvasculaires (néphropathie, rétinopathie, neuropathie) et macrovasculaires (SCA, AVC, AOMI) fréquentes.</w:t>
      </w:r>
    </w:p>
    <w:p>
      <w:pPr>
        <w:pStyle w:val="ListBullet"/>
      </w:pPr>
      <w:r/>
      <w:r>
        <w:rPr>
          <w:b/>
        </w:rPr>
        <w:t>Diabète de type 1 (DT1)</w:t>
      </w:r>
      <w:r>
        <w:t xml:space="preserve"> : incidence annuelle 4-6 nouveaux cas/100 000 habitants/an, touchant surtout l'enfant et le jeune adulte.</w:t>
      </w:r>
    </w:p>
    <w:p>
      <w:pPr>
        <w:pStyle w:val="ListBullet"/>
      </w:pPr>
      <w:r/>
      <w:r>
        <w:rPr>
          <w:b/>
        </w:rPr>
        <w:t>Diabète gestationnel</w:t>
      </w:r>
      <w:r>
        <w:t xml:space="preserve"> : prévalence 8-10 % des grossesses, justifiant un dépistage systématique et une prise en charge spécialisée.</w:t>
      </w:r>
    </w:p>
    <w:p>
      <w:pPr>
        <w:pStyle w:val="ListBullet"/>
      </w:pPr>
      <w:r/>
      <w:r>
        <w:rPr>
          <w:b/>
        </w:rPr>
        <w:t>Taux de contrôle glycémique insuffisant</w:t>
      </w:r>
      <w:r>
        <w:t xml:space="preserve"> : HbA1c &lt; 7 % observée chez moins de 30 % des DT2 traités.</w:t>
      </w:r>
    </w:p>
    <w:p>
      <w:pPr>
        <w:pStyle w:val="ListBullet"/>
      </w:pPr>
      <w:r/>
      <w:r>
        <w:rPr>
          <w:b/>
        </w:rPr>
        <w:t>Coût économique majeur</w:t>
      </w:r>
      <w:r>
        <w:t xml:space="preserve"> : 5-10 % du budget santé national consacré au diabète et ses complications.</w:t>
      </w:r>
    </w:p>
    <w:p>
      <w:pPr>
        <w:pStyle w:val="Heading4"/>
      </w:pPr>
      <w:r>
        <w:t>2.2 Endocrinologie et métabolisme</w:t>
      </w:r>
    </w:p>
    <w:p>
      <w:r>
        <w:t>Les pathologies endocriniennes sont fréquentes en Algérie :</w:t>
      </w:r>
    </w:p>
    <w:p>
      <w:pPr>
        <w:pStyle w:val="ListBullet"/>
      </w:pPr>
      <w:r/>
      <w:r>
        <w:rPr>
          <w:b/>
        </w:rPr>
        <w:t>Dysthyroïdies</w:t>
      </w:r>
      <w:r>
        <w:t xml:space="preserve"> : hypothyroïdie (1-2 % population, surtout femmes), Basedow (hyperthyroïdie auto-immune), nodules thyroïdiens (10-15 %), goitre endémique dans certaines régions.</w:t>
      </w:r>
    </w:p>
    <w:p>
      <w:pPr>
        <w:pStyle w:val="ListBullet"/>
      </w:pPr>
      <w:r/>
      <w:r>
        <w:rPr>
          <w:b/>
        </w:rPr>
        <w:t>Obésité et surpoids</w:t>
      </w:r>
      <w:r>
        <w:t xml:space="preserve"> : 30 % obésité femmes, 16 % hommes, 50 % surpoids global.</w:t>
      </w:r>
    </w:p>
    <w:p>
      <w:pPr>
        <w:pStyle w:val="ListBullet"/>
      </w:pPr>
      <w:r/>
      <w:r>
        <w:rPr>
          <w:b/>
        </w:rPr>
        <w:t>Ostéoporose</w:t>
      </w:r>
      <w:r>
        <w:t xml:space="preserve"> : prévalence 30 % femmes ménopausées &gt; 50 ans, 15 % hommes &gt; 60 ans, fractures ostéoporotiques (hanche, vertèbres) en progression.</w:t>
      </w:r>
    </w:p>
    <w:p>
      <w:pPr>
        <w:pStyle w:val="ListBullet"/>
      </w:pPr>
      <w:r/>
      <w:r>
        <w:rPr>
          <w:b/>
        </w:rPr>
        <w:t>Carence en vitamine D</w:t>
      </w:r>
      <w:r>
        <w:t xml:space="preserve"> : quasi-généralisée (&gt;80 % population), particulièrement chez la femme voilée et le sujet âgé.</w:t>
      </w:r>
    </w:p>
    <w:p>
      <w:pPr>
        <w:pStyle w:val="ListBullet"/>
      </w:pPr>
      <w:r/>
      <w:r>
        <w:rPr>
          <w:b/>
        </w:rPr>
        <w:t>Hyperprolactinémies</w:t>
      </w:r>
      <w:r>
        <w:t xml:space="preserve"> : 0.5-1 % population, principalement iatrogènes ou adénomes à prolactine.</w:t>
      </w:r>
    </w:p>
    <w:p>
      <w:pPr>
        <w:pStyle w:val="ListBullet"/>
      </w:pPr>
      <w:r/>
      <w:r>
        <w:rPr>
          <w:b/>
        </w:rPr>
        <w:t>Pathologies surrénaliennes</w:t>
      </w:r>
      <w:r>
        <w:t xml:space="preserve"> : maladie de Cushing, insuffisance surrénale, hyperaldostéronisme primaire — plus rares.</w:t>
      </w:r>
    </w:p>
    <w:p>
      <w:pPr>
        <w:pStyle w:val="ListBullet"/>
      </w:pPr>
      <w:r/>
      <w:r>
        <w:rPr>
          <w:b/>
        </w:rPr>
        <w:t>Stérilité / infertilité</w:t>
      </w:r>
      <w:r>
        <w:t xml:space="preserve"> : 10-15 % couples, nécessitant induction ovulation ou FIV.</w:t>
      </w:r>
    </w:p>
    <w:p>
      <w:pPr>
        <w:pStyle w:val="ListBullet"/>
      </w:pPr>
      <w:r/>
      <w:r>
        <w:rPr>
          <w:b/>
        </w:rPr>
        <w:t>Cancers hormono-dépendants</w:t>
      </w:r>
      <w:r>
        <w:t xml:space="preserve"> : cancer prostate (1er cancer homme), cancer sein (1er cancer femme).</w:t>
      </w:r>
    </w:p>
    <w:p>
      <w:pPr>
        <w:pStyle w:val="Heading4"/>
      </w:pPr>
      <w:r>
        <w:t>2.3 Spécificités du marché algérien</w:t>
      </w:r>
    </w:p>
    <w:p>
      <w:pPr>
        <w:pStyle w:val="ListBullet"/>
      </w:pPr>
      <w:r/>
      <w:r>
        <w:rPr>
          <w:b/>
        </w:rPr>
        <w:t>Large disponibilité des insulines</w:t>
      </w:r>
      <w:r>
        <w:t xml:space="preserve"> : analogues (asparte, lispro, glulisine, glargine, détémir, dégludec) et humaines (régulière, NPH, biphasiques) commercialisés.</w:t>
      </w:r>
    </w:p>
    <w:p>
      <w:pPr>
        <w:pStyle w:val="ListBullet"/>
      </w:pPr>
      <w:r/>
      <w:r>
        <w:rPr>
          <w:b/>
        </w:rPr>
        <w:t>Antidiabétiques oraux modernes</w:t>
      </w:r>
      <w:r>
        <w:t xml:space="preserve"> : metformine, sulfamides (gliclazide, glimépiride, glibenclamide), gliptines (sitagliptine, vildagliptine, alogliptine), gliflozines (dapagliflozine, empagliflozine, canagliflozine) disponibles.</w:t>
      </w:r>
    </w:p>
    <w:p>
      <w:pPr>
        <w:pStyle w:val="ListBullet"/>
      </w:pPr>
      <w:r/>
      <w:r>
        <w:rPr>
          <w:b/>
        </w:rPr>
        <w:t>Agonistes GLP-1 injectables</w:t>
      </w:r>
      <w:r>
        <w:t xml:space="preserve"> : liraglutide, sémaglutide, dulaglutide disponibles.</w:t>
      </w:r>
    </w:p>
    <w:p>
      <w:pPr>
        <w:pStyle w:val="ListBullet"/>
      </w:pPr>
      <w:r/>
      <w:r>
        <w:rPr>
          <w:b/>
        </w:rPr>
        <w:t>Associations fixes antidiabétiques</w:t>
      </w:r>
      <w:r>
        <w:t xml:space="preserve"> : metformine+sitagliptine, metformine+glibenclamide.</w:t>
      </w:r>
    </w:p>
    <w:p>
      <w:pPr>
        <w:pStyle w:val="ListBullet"/>
      </w:pPr>
      <w:r/>
      <w:r>
        <w:rPr>
          <w:b/>
        </w:rPr>
        <w:t>Disponibilité des hormones sexuelles</w:t>
      </w:r>
      <w:r>
        <w:t xml:space="preserve"> : estradiol, progestérone, nombreux COC de différentes générations, contraception progestative pure (désogestrel), contraception d'urgence (lévonorgestrel).</w:t>
      </w:r>
    </w:p>
    <w:p>
      <w:pPr>
        <w:pStyle w:val="ListBullet"/>
      </w:pPr>
      <w:r/>
      <w:r>
        <w:rPr>
          <w:b/>
        </w:rPr>
        <w:t>Antithyroïdiens</w:t>
      </w:r>
      <w:r>
        <w:t xml:space="preserve"> : benzylthiouracile (BASDENE®), thiamazole (carbimazole) disponibles ; propylthiouracile absent.</w:t>
      </w:r>
    </w:p>
    <w:p>
      <w:pPr>
        <w:pStyle w:val="ListBullet"/>
      </w:pPr>
      <w:r/>
      <w:r>
        <w:rPr>
          <w:b/>
        </w:rPr>
        <w:t>Bisphosphonates complets</w:t>
      </w:r>
      <w:r>
        <w:t xml:space="preserve"> : alendronate, risédronate, pamidronate, zolédronate disponibles.</w:t>
      </w:r>
    </w:p>
    <w:p>
      <w:pPr>
        <w:pStyle w:val="ListBullet"/>
      </w:pPr>
      <w:r/>
      <w:r>
        <w:rPr>
          <w:b/>
        </w:rPr>
        <w:t>Analogues de la somatostatine et agonistes GnRH</w:t>
      </w:r>
      <w:r>
        <w:t xml:space="preserve"> : octréotide, lanréotide, leuproréline, triptoréline disponibles.</w:t>
      </w:r>
    </w:p>
    <w:p>
      <w:pPr>
        <w:pStyle w:val="ListBullet"/>
      </w:pPr>
      <w:r/>
      <w:r>
        <w:rPr>
          <w:b/>
        </w:rPr>
        <w:t>Absences notables</w:t>
      </w:r>
      <w:r>
        <w:t xml:space="preserve"> : liothyronine (T3), fludrocortisone, propylthiouracile, orlistat, pramlintide, cabergoline en association, several SERMs nouveaux (bazédoxifène, ospémifène).</w:t>
      </w:r>
    </w:p>
    <w:p>
      <w:pPr>
        <w:pStyle w:val="ListBullet"/>
      </w:pPr>
      <w:r/>
      <w:r>
        <w:rPr>
          <w:b/>
        </w:rPr>
        <w:t>Retraits marquants</w:t>
      </w:r>
      <w:r>
        <w:t xml:space="preserve"> : rosiglitazone (Avandia®), vildagliptine sur certains dosages, tibolone partiellement retirée.</w:t>
      </w:r>
    </w:p>
    <w:p>
      <w:pPr>
        <w:pStyle w:val="Heading3"/>
      </w:pPr>
      <w:r>
        <w:t>3. Sources académiques et médicales mobilisées</w:t>
      </w:r>
    </w:p>
    <w:p>
      <w:pPr>
        <w:pStyle w:val="ListBullet"/>
      </w:pPr>
      <w:r/>
      <w:r>
        <w:rPr>
          <w:b/>
        </w:rPr>
        <w:t>VIDAL</w:t>
      </w:r>
      <w:r>
        <w:t xml:space="preserve"> : AMM, RCP, interactions.</w:t>
      </w:r>
    </w:p>
    <w:p>
      <w:pPr>
        <w:pStyle w:val="ListBullet"/>
      </w:pPr>
      <w:r/>
      <w:r>
        <w:rPr>
          <w:b/>
        </w:rPr>
        <w:t>ANSM</w:t>
      </w:r>
      <w:r>
        <w:t xml:space="preserve"> : recommandations, mises en garde (notamment sur SGLT2 et acidocétose euglycémique, GLP-1 et cancer thyroïde, gliptines et pancréatite, cyprotérone et méningiome, cabergoline et fibrose valvulaire).</w:t>
      </w:r>
    </w:p>
    <w:p>
      <w:pPr>
        <w:pStyle w:val="ListBullet"/>
      </w:pPr>
      <w:r/>
      <w:r>
        <w:rPr>
          <w:b/>
        </w:rPr>
        <w:t>Thériaque</w:t>
      </w:r>
      <w:r>
        <w:t xml:space="preserve"> : banque de données pharmaceutiques (CNHIM).</w:t>
      </w:r>
    </w:p>
    <w:p>
      <w:pPr>
        <w:pStyle w:val="ListBullet"/>
      </w:pPr>
      <w:r/>
      <w:r>
        <w:rPr>
          <w:b/>
        </w:rPr>
        <w:t>CRAT (Centre de Renseignement sur les Agents Tératogènes)</w:t>
      </w:r>
      <w:r>
        <w:t xml:space="preserve"> : données grossesse et allaitement, fondamentales pour endocrinologie (diabète gestationnel, contraception, hypothyroïdie gravidique, etc.).</w:t>
      </w:r>
    </w:p>
    <w:p>
      <w:pPr>
        <w:pStyle w:val="ListBullet"/>
      </w:pPr>
      <w:r/>
      <w:r>
        <w:rPr>
          <w:b/>
        </w:rPr>
        <w:t>ADA (American Diabetes Association)</w:t>
      </w:r>
      <w:r>
        <w:t xml:space="preserve"> : Standards of Medical Care in Diabetes.</w:t>
      </w:r>
    </w:p>
    <w:p>
      <w:pPr>
        <w:pStyle w:val="ListBullet"/>
      </w:pPr>
      <w:r/>
      <w:r>
        <w:rPr>
          <w:b/>
        </w:rPr>
        <w:t>EASD (European Association for the Study of Diabetes)</w:t>
      </w:r>
      <w:r>
        <w:t xml:space="preserve"> : guidelines.</w:t>
      </w:r>
    </w:p>
    <w:p>
      <w:pPr>
        <w:pStyle w:val="ListBullet"/>
      </w:pPr>
      <w:r/>
      <w:r>
        <w:rPr>
          <w:b/>
        </w:rPr>
        <w:t>HAS (Haute Autorité de Santé)</w:t>
      </w:r>
      <w:r>
        <w:t xml:space="preserve"> : recommandations diabète, contraception, ménopause.</w:t>
      </w:r>
    </w:p>
    <w:p>
      <w:pPr>
        <w:pStyle w:val="ListBullet"/>
      </w:pPr>
      <w:r/>
      <w:r>
        <w:rPr>
          <w:b/>
        </w:rPr>
        <w:t>OMS</w:t>
      </w:r>
      <w:r>
        <w:t xml:space="preserve"> : guides diabète, contraception.</w:t>
      </w:r>
    </w:p>
    <w:p>
      <w:pPr>
        <w:pStyle w:val="ListBullet"/>
      </w:pPr>
      <w:r/>
      <w:r>
        <w:rPr>
          <w:b/>
        </w:rPr>
        <w:t>AACE/ACE (American Association of Clinical Endocrinologists)</w:t>
      </w:r>
      <w:r>
        <w:t xml:space="preserve"> : guidelines endocriniennes.</w:t>
      </w:r>
    </w:p>
    <w:p>
      <w:pPr>
        <w:pStyle w:val="ListBullet"/>
      </w:pPr>
      <w:r/>
      <w:r>
        <w:rPr>
          <w:b/>
        </w:rPr>
        <w:t>ATA (American Thyroid Association) / ETA (European Thyroid Association)</w:t>
      </w:r>
      <w:r>
        <w:t xml:space="preserve"> : guidelines thyroïde.</w:t>
      </w:r>
    </w:p>
    <w:p>
      <w:pPr>
        <w:pStyle w:val="ListBullet"/>
      </w:pPr>
      <w:r/>
      <w:r>
        <w:rPr>
          <w:b/>
        </w:rPr>
        <w:t>IOF (International Osteoporosis Foundation)</w:t>
      </w:r>
      <w:r>
        <w:t xml:space="preserve"> : guidelines ostéoporose.</w:t>
      </w:r>
    </w:p>
    <w:p>
      <w:pPr>
        <w:pStyle w:val="ListBullet"/>
      </w:pPr>
      <w:r/>
      <w:r>
        <w:rPr>
          <w:b/>
        </w:rPr>
        <w:t>Endocrine Society</w:t>
      </w:r>
      <w:r>
        <w:t xml:space="preserve"> : guidelines hormones.</w:t>
      </w:r>
    </w:p>
    <w:p>
      <w:pPr>
        <w:pStyle w:val="ListBullet"/>
      </w:pPr>
      <w:r/>
      <w:r>
        <w:rPr>
          <w:b/>
        </w:rPr>
        <w:t>UpToDate, DynaMed, IBM Micromedex, BMJ Best Practice</w:t>
      </w:r>
      <w:r>
        <w:t xml:space="preserve"> : référentiels internationaux.</w:t>
      </w:r>
    </w:p>
    <w:p>
      <w:pPr>
        <w:pStyle w:val="ListBullet"/>
      </w:pPr>
      <w:r/>
      <w:r>
        <w:rPr>
          <w:b/>
        </w:rPr>
        <w:t>PubMed</w:t>
      </w:r>
      <w:r>
        <w:t xml:space="preserve"> : littérature primaire pour mécanismes et données récentes (essais UKPDS, DCCT, EMPA-REG, LEADER, SUSTAIN-6, DAPA-HF, DAPA-CKD, FOURIER, FIT, VERT, HORIZON, etc.).</w:t>
      </w:r>
    </w:p>
    <w:p>
      <w:pPr>
        <w:pStyle w:val="ListBullet"/>
      </w:pPr>
      <w:r/>
      <w:r>
        <w:rPr>
          <w:b/>
        </w:rPr>
        <w:t>Recommandations algériennes</w:t>
      </w:r>
      <w:r>
        <w:t xml:space="preserve"> : Société Algérienne de Diabétologie (SAD), Société Algérienne d'Endocrinologie.</w:t>
      </w:r>
    </w:p>
    <w:p>
      <w:pPr>
        <w:pStyle w:val="Heading3"/>
      </w:pPr>
      <w:r>
        <w:t>4. Périmètre de ce fascicule</w:t>
      </w:r>
    </w:p>
    <w:p>
      <w:r>
        <w:t>Ce fascicule couvre les classes endocriniennes et métaboliques suivantes :</w:t>
      </w:r>
    </w:p>
    <w:p>
      <w:pPr>
        <w:pStyle w:val="Heading4"/>
      </w:pPr>
      <w:r>
        <w:t>Insulines et associations (12 DCI)</w:t>
      </w:r>
    </w:p>
    <w:p>
      <w:pPr>
        <w:pStyle w:val="ListNumber"/>
      </w:pPr>
      <w:r>
        <w:t>Insulines analogues ultra-rapides (3) : asparte, glulisine, lispro</w:t>
      </w:r>
    </w:p>
    <w:p>
      <w:pPr>
        <w:pStyle w:val="ListNumber"/>
      </w:pPr>
      <w:r>
        <w:t>Insulines analogues basaux (2) : glargine, dégludec</w:t>
      </w:r>
    </w:p>
    <w:p>
      <w:pPr>
        <w:pStyle w:val="ListNumber"/>
      </w:pPr>
      <w:r>
        <w:t>Insulines pré-mélangées (4) : asparte biphasique, lispro biphasique, dégludec+asparte, dégludec+liraglutide</w:t>
      </w:r>
    </w:p>
    <w:p>
      <w:pPr>
        <w:pStyle w:val="ListNumber"/>
      </w:pPr>
      <w:r>
        <w:t>Insulines humaines (3) : régulière, NPH, biphasique</w:t>
      </w:r>
    </w:p>
    <w:p>
      <w:pPr>
        <w:pStyle w:val="Heading4"/>
      </w:pPr>
      <w:r>
        <w:t>Antidiabétiques oraux et injectables (21 DCI)</w:t>
      </w:r>
    </w:p>
    <w:p>
      <w:pPr>
        <w:pStyle w:val="ListNumber"/>
      </w:pPr>
      <w:r>
        <w:t>Biguanide (1) : metformine</w:t>
      </w:r>
    </w:p>
    <w:p>
      <w:pPr>
        <w:pStyle w:val="ListNumber"/>
      </w:pPr>
      <w:r>
        <w:t>Sulfamides 1re/2e/3e génération (6) : carbutamide, glibenclamide, gliclazide, glipizide, liquidone, glimépiride</w:t>
      </w:r>
    </w:p>
    <w:p>
      <w:pPr>
        <w:pStyle w:val="ListNumber"/>
      </w:pPr>
      <w:r>
        <w:t>Glinides (1) : répaglinide</w:t>
      </w:r>
    </w:p>
    <w:p>
      <w:pPr>
        <w:pStyle w:val="ListNumber"/>
      </w:pPr>
      <w:r>
        <w:t>Inhibiteurs alpha-glucosidase (1) : acarbose</w:t>
      </w:r>
    </w:p>
    <w:p>
      <w:pPr>
        <w:pStyle w:val="ListNumber"/>
      </w:pPr>
      <w:r>
        <w:t>Thiazolidinediones (1) : pioglitazone</w:t>
      </w:r>
    </w:p>
    <w:p>
      <w:pPr>
        <w:pStyle w:val="ListNumber"/>
      </w:pPr>
      <w:r>
        <w:t>Inhibiteurs DPP-4 / gliptines (3) : sitagliptine, vildagliptine, alogliptine</w:t>
      </w:r>
    </w:p>
    <w:p>
      <w:pPr>
        <w:pStyle w:val="ListNumber"/>
      </w:pPr>
      <w:r>
        <w:t>Inhibiteurs SGLT2 / gliflozines (3) : dapagliflozine, empagliflozine, canagliflozine</w:t>
      </w:r>
    </w:p>
    <w:p>
      <w:pPr>
        <w:pStyle w:val="ListNumber"/>
      </w:pPr>
      <w:r>
        <w:t>Associations (2) : metformine+sitagliptine, metformine+glibenclamide</w:t>
      </w:r>
    </w:p>
    <w:p>
      <w:pPr>
        <w:pStyle w:val="ListNumber"/>
      </w:pPr>
      <w:r>
        <w:t>Agonistes GLP-1 injectables (3) : liraglutide, sémaglutide, dulaglutide</w:t>
      </w:r>
    </w:p>
    <w:p>
      <w:pPr>
        <w:pStyle w:val="Heading4"/>
      </w:pPr>
      <w:r>
        <w:t>Thyroïde et Corticoïdes systémiques (11 DCI)</w:t>
      </w:r>
    </w:p>
    <w:p>
      <w:pPr>
        <w:pStyle w:val="ListNumber"/>
      </w:pPr>
      <w:r>
        <w:t>Hormones thyroïdiennes (2) : lévothyroxine (T4), liothyronine (T3) si disponible</w:t>
      </w:r>
    </w:p>
    <w:p>
      <w:pPr>
        <w:pStyle w:val="ListNumber"/>
      </w:pPr>
      <w:r>
        <w:t>Antithyroïdiens (3) : benzylthiouracile, propylthiouracile, thiamazole (carbimazole)</w:t>
      </w:r>
    </w:p>
    <w:p>
      <w:pPr>
        <w:pStyle w:val="ListNumber"/>
      </w:pPr>
      <w:r>
        <w:t>Iode / Lugol (1)</w:t>
      </w:r>
    </w:p>
    <w:p>
      <w:pPr>
        <w:pStyle w:val="ListNumber"/>
      </w:pPr>
      <w:r>
        <w:t>Glucocorticoïdes action courte (1) : hydrocortisone</w:t>
      </w:r>
    </w:p>
    <w:p>
      <w:pPr>
        <w:pStyle w:val="ListNumber"/>
      </w:pPr>
      <w:r>
        <w:t>Glucocorticoïdes action intermédiaire (4) : prednisone, prednisolone, méthylprednisolone, triamcinolone</w:t>
      </w:r>
    </w:p>
    <w:p>
      <w:pPr>
        <w:pStyle w:val="ListNumber"/>
      </w:pPr>
      <w:r>
        <w:t>Glucocorticoïdes action longue (2) : dexaméthasone, bétaméthasone</w:t>
      </w:r>
    </w:p>
    <w:p>
      <w:pPr>
        <w:pStyle w:val="ListNumber"/>
      </w:pPr>
      <w:r>
        <w:t>Minéralocorticoïdes (1) : fludrocortisone (si disponible)</w:t>
      </w:r>
    </w:p>
    <w:p>
      <w:pPr>
        <w:pStyle w:val="Heading4"/>
      </w:pPr>
      <w:r>
        <w:t>Hormones sexuelles et contraceptifs (15 DCI)</w:t>
      </w:r>
    </w:p>
    <w:p>
      <w:pPr>
        <w:pStyle w:val="ListNumber"/>
      </w:pPr>
      <w:r>
        <w:t>Estrogènes (1)</w:t>
      </w:r>
    </w:p>
    <w:p>
      <w:pPr>
        <w:pStyle w:val="ListNumber"/>
      </w:pPr>
      <w:r>
        <w:t>Progestatifs (5) : progestérone, dydrogestérone, medroxyprogestérone, nomégestrol, diénogest</w:t>
      </w:r>
    </w:p>
    <w:p>
      <w:pPr>
        <w:pStyle w:val="ListNumber"/>
      </w:pPr>
      <w:r>
        <w:t>Contraceptifs oraux combinés 2e/3e/4e génération et anti-androgéniques (4)</w:t>
      </w:r>
    </w:p>
    <w:p>
      <w:pPr>
        <w:pStyle w:val="ListNumber"/>
      </w:pPr>
      <w:r>
        <w:t>Progestatifs seuls (3) : désogestrel/etonogestrel, lévonorgestrel, lynestrénol</w:t>
      </w:r>
    </w:p>
    <w:p>
      <w:pPr>
        <w:pStyle w:val="ListNumber"/>
      </w:pPr>
      <w:r>
        <w:t>THS ménopause (1) : tibolone</w:t>
      </w:r>
    </w:p>
    <w:p>
      <w:pPr>
        <w:pStyle w:val="ListNumber"/>
      </w:pPr>
      <w:r>
        <w:t>SERM (1) : raloxifène</w:t>
      </w:r>
    </w:p>
    <w:p>
      <w:pPr>
        <w:pStyle w:val="Heading4"/>
      </w:pPr>
      <w:r>
        <w:t>Anti-androgènes, gonadotrophines, hypophysaires (21 DCI)</w:t>
      </w:r>
    </w:p>
    <w:p>
      <w:pPr>
        <w:pStyle w:val="ListNumber"/>
      </w:pPr>
      <w:r>
        <w:t>Anti-androgènes (4) : cyprotérone, flutamide, bicalutamide, enzalutamide</w:t>
      </w:r>
    </w:p>
    <w:p>
      <w:pPr>
        <w:pStyle w:val="ListNumber"/>
      </w:pPr>
      <w:r>
        <w:t>Inducteurs ovulation (1) : clomifène</w:t>
      </w:r>
    </w:p>
    <w:p>
      <w:pPr>
        <w:pStyle w:val="ListNumber"/>
      </w:pPr>
      <w:r>
        <w:t>Inhibiteurs aromatase (3) : anastrozole, létrozole, exemestane</w:t>
      </w:r>
    </w:p>
    <w:p>
      <w:pPr>
        <w:pStyle w:val="ListNumber"/>
      </w:pPr>
      <w:r>
        <w:t>Gonadotrophines (2) : follitropine/Menotropine, choriogonadotropine</w:t>
      </w:r>
    </w:p>
    <w:p>
      <w:pPr>
        <w:pStyle w:val="ListNumber"/>
      </w:pPr>
      <w:r>
        <w:t>Agonistes/Antagonistes GnRH (2)</w:t>
      </w:r>
    </w:p>
    <w:p>
      <w:pPr>
        <w:pStyle w:val="ListNumber"/>
      </w:pPr>
      <w:r>
        <w:t>Hormone de croissance (1) : somatropine</w:t>
      </w:r>
    </w:p>
    <w:p>
      <w:pPr>
        <w:pStyle w:val="ListNumber"/>
      </w:pPr>
      <w:r>
        <w:t>Analogues somatostatine (2) : octréotide, lanréotide</w:t>
      </w:r>
    </w:p>
    <w:p>
      <w:pPr>
        <w:pStyle w:val="ListNumber"/>
      </w:pPr>
      <w:r>
        <w:t>Agonistes D2 antiprolactinémiques (3) : bromocriptine, cabergoline, quinagolide</w:t>
      </w:r>
    </w:p>
    <w:p>
      <w:pPr>
        <w:pStyle w:val="ListNumber"/>
      </w:pPr>
      <w:r>
        <w:t>Androgènes (3) : testostérone, mestérolone, danazol</w:t>
      </w:r>
    </w:p>
    <w:p>
      <w:pPr>
        <w:pStyle w:val="Heading4"/>
      </w:pPr>
      <w:r>
        <w:t>Vitamine D, Calcium, Bisphosphonates (13 DCI)</w:t>
      </w:r>
    </w:p>
    <w:p>
      <w:pPr>
        <w:pStyle w:val="ListNumber"/>
      </w:pPr>
      <w:r>
        <w:t>Vitamine D et métabolites (4) : colecalciferol, ergocalciférol, alfacalcidol, calcifédiol</w:t>
      </w:r>
    </w:p>
    <w:p>
      <w:pPr>
        <w:pStyle w:val="ListNumber"/>
      </w:pPr>
      <w:r>
        <w:t>Suppléments calciques (2) : calcium seul, calcium+VitD</w:t>
      </w:r>
    </w:p>
    <w:p>
      <w:pPr>
        <w:pStyle w:val="ListNumber"/>
      </w:pPr>
      <w:r>
        <w:t>Bisphosphonates (5) : alendronate, clodronate, risédronate, pamidronate, zolédronate</w:t>
      </w:r>
    </w:p>
    <w:p>
      <w:pPr>
        <w:pStyle w:val="ListNumber"/>
      </w:pPr>
      <w:r>
        <w:t>Anabolisants osseux (1) : tériparatide</w:t>
      </w:r>
    </w:p>
    <w:p>
      <w:pPr>
        <w:pStyle w:val="ListNumber"/>
      </w:pPr>
      <w:r>
        <w:t>Anti-ostéoporotiques divers (1) : ranélate de strontium</w:t>
      </w:r>
    </w:p>
    <w:p>
      <w:r/>
      <w:r>
        <w:rPr>
          <w:b/>
        </w:rPr>
        <w:t>Total : 93 DCI canoniques</w:t>
      </w:r>
      <w:r>
        <w:t xml:space="preserve"> traitées individuellement, représentant plus de </w:t>
      </w:r>
      <w:r>
        <w:rPr>
          <w:b/>
        </w:rPr>
        <w:t>650 spécialités commerciales</w:t>
      </w:r>
      <w:r>
        <w:t xml:space="preserve"> actives, non renouvelables ou retirées.</w:t>
      </w:r>
    </w:p>
    <w:p>
      <w:pPr>
        <w:pStyle w:val="Heading3"/>
      </w:pPr>
      <w:r>
        <w:t>5. Rappel stratégique sur le bon usage endocrinien</w:t>
      </w:r>
    </w:p>
    <w:p>
      <w:r>
        <w:t>Le pharmacien d'officine algérien joue un rôle clé dans :</w:t>
      </w:r>
    </w:p>
    <w:p>
      <w:pPr>
        <w:pStyle w:val="ListBullet"/>
      </w:pPr>
      <w:r/>
      <w:r>
        <w:rPr>
          <w:b/>
        </w:rPr>
        <w:t>L'éducation thérapeutique du patient diabétique</w:t>
      </w:r>
      <w:r>
        <w:t xml:space="preserve"> : autosurveillance glycémique, techniques d'injection d'insuline (rotation sites, gestion stylos), reconnaissance et traitement des hypoglycémies, hygiène de vie (régime, activité physique), prévention des complications.</w:t>
      </w:r>
    </w:p>
    <w:p>
      <w:pPr>
        <w:pStyle w:val="ListBullet"/>
      </w:pPr>
      <w:r/>
      <w:r>
        <w:rPr>
          <w:b/>
        </w:rPr>
        <w:t>L'analyse pharmaceutique des prescriptions endocriniennes</w:t>
      </w:r>
      <w:r>
        <w:t xml:space="preserve"> : vérification des contre-indications (metformine + IRC/contraste iodé, statines + grossesse, cabergoline + valve cardiaque), des interactions (lévothyroxine + fer/calcium, contraceptifs + inducteurs), des adaptations posologiques (DFG, âge, grossesse).</w:t>
      </w:r>
    </w:p>
    <w:p>
      <w:pPr>
        <w:pStyle w:val="ListBullet"/>
      </w:pPr>
      <w:r/>
      <w:r>
        <w:rPr>
          <w:b/>
        </w:rPr>
        <w:t>Le suivi biologique</w:t>
      </w:r>
      <w:r>
        <w:t xml:space="preserve"> : HbA1c (objectif &lt; 7 %), créatinine/DFG, microalbuminurie, LDL-c, TSH, calcémie/25-OH-vitamine D, densitométrie osseuse.</w:t>
      </w:r>
    </w:p>
    <w:p>
      <w:pPr>
        <w:pStyle w:val="ListBullet"/>
      </w:pPr>
      <w:r/>
      <w:r>
        <w:rPr>
          <w:b/>
        </w:rPr>
        <w:t>La prévention des accidents aigus</w:t>
      </w:r>
      <w:r>
        <w:t xml:space="preserve"> : hypoglycémies (sélectionner les bons glucides), acidocétose (signes d'alerte SGLT2), crise thyrotoxique, insuffisance surrénale aiguë.</w:t>
      </w:r>
    </w:p>
    <w:p>
      <w:pPr>
        <w:pStyle w:val="ListBullet"/>
      </w:pPr>
      <w:r/>
      <w:r>
        <w:rPr>
          <w:b/>
        </w:rPr>
        <w:t>Le bon usage des contraceptifs</w:t>
      </w:r>
      <w:r>
        <w:t xml:space="preserve"> : observance stricte, gestion oublis, signes d'alerte thromboembolique, dépistage des CI (tabac, migraine avec aura, thrombophilie).</w:t>
      </w:r>
    </w:p>
    <w:p>
      <w:pPr>
        <w:pStyle w:val="ListBullet"/>
      </w:pPr>
      <w:r/>
      <w:r>
        <w:rPr>
          <w:b/>
        </w:rPr>
        <w:t>L'orientation médicale systématique</w:t>
      </w:r>
      <w:r>
        <w:t xml:space="preserve"> pour déséquilibre glycémique, complications, projets de grossesse, signes endocriniens évocateurs.</w:t>
      </w:r>
    </w:p>
    <w:p>
      <w:pPr>
        <w:pStyle w:val="Heading3"/>
      </w:pPr>
      <w:r>
        <w:t>6. Structure type d'une fiche DCI</w:t>
      </w:r>
    </w:p>
    <w:p>
      <w:r>
        <w:t>Chaque fiche DCI suit la même structure uniforme en douze sections que les fascicules précédents :</w:t>
      </w:r>
    </w:p>
    <w:p>
      <w:pPr>
        <w:pStyle w:val="ListNumber"/>
      </w:pPr>
      <w:r>
        <w:t>Liste des catégories thérapeutiques.</w:t>
      </w:r>
    </w:p>
    <w:p>
      <w:pPr>
        <w:pStyle w:val="ListNumber"/>
      </w:pPr>
      <w:r>
        <w:t>Médicaments disponibles en Algérie (marques, laboratoires, formes, statut).</w:t>
      </w:r>
    </w:p>
    <w:p>
      <w:pPr>
        <w:pStyle w:val="ListNumber"/>
      </w:pPr>
      <w:r>
        <w:t>Sous-classe et mécanisme d'action moléculaire.</w:t>
      </w:r>
    </w:p>
    <w:p>
      <w:pPr>
        <w:pStyle w:val="ListNumber"/>
      </w:pPr>
      <w:r>
        <w:t>Profil pharmacologique (indications, CI, EI avec physiopathologie).</w:t>
      </w:r>
    </w:p>
    <w:p>
      <w:pPr>
        <w:pStyle w:val="ListNumber"/>
      </w:pPr>
      <w:r>
        <w:t>Prévention et gestion des EI.</w:t>
      </w:r>
    </w:p>
    <w:p>
      <w:pPr>
        <w:pStyle w:val="ListNumber"/>
      </w:pPr>
      <w:r>
        <w:t>Interactions médicamenteuses.</w:t>
      </w:r>
    </w:p>
    <w:p>
      <w:pPr>
        <w:pStyle w:val="ListNumber"/>
      </w:pPr>
      <w:r>
        <w:t>Grossesse et allaitement (CRAT).</w:t>
      </w:r>
    </w:p>
    <w:p>
      <w:pPr>
        <w:pStyle w:val="ListNumber"/>
      </w:pPr>
      <w:r>
        <w:t>Posologie et mode d'administration.</w:t>
      </w:r>
    </w:p>
    <w:p>
      <w:pPr>
        <w:pStyle w:val="ListNumber"/>
      </w:pPr>
      <w:r>
        <w:t>Arbitrage et bénéfices des formes galéniques.</w:t>
      </w:r>
    </w:p>
    <w:p>
      <w:pPr>
        <w:pStyle w:val="ListNumber"/>
      </w:pPr>
      <w:r>
        <w:t>Instructions et conseils au patient.</w:t>
      </w:r>
    </w:p>
    <w:p>
      <w:pPr>
        <w:pStyle w:val="ListNumber"/>
      </w:pPr>
      <w:r>
        <w:t>Notes, règles d'or et pièges au comptoir.</w:t>
      </w:r>
    </w:p>
    <w:p>
      <w:pPr>
        <w:pStyle w:val="ListNumber"/>
      </w:pPr>
      <w:r>
        <w:t>Tableau comparatif de sous-classe en fin de chapitre.</w:t>
      </w:r>
    </w:p>
    <w:p>
      <w:pPr>
        <w:pStyle w:val="Heading3"/>
      </w:pPr>
      <w:r>
        <w:t>7. Engagements qualité</w:t>
      </w:r>
    </w:p>
    <w:p>
      <w:pPr>
        <w:pStyle w:val="ListBullet"/>
      </w:pPr>
      <w:r/>
      <w:r>
        <w:rPr>
          <w:b/>
        </w:rPr>
        <w:t>Égalité de traitement</w:t>
      </w:r>
      <w:r>
        <w:t xml:space="preserve"> : chaque DCI est traitée avec la même rigueur, quelle que soit sa fréquence d'usage.</w:t>
      </w:r>
    </w:p>
    <w:p>
      <w:pPr>
        <w:pStyle w:val="ListBullet"/>
      </w:pPr>
      <w:r/>
      <w:r>
        <w:rPr>
          <w:b/>
        </w:rPr>
        <w:t>Exhaustivité absolue du fichier</w:t>
      </w:r>
      <w:r>
        <w:t xml:space="preserve"> : aucune marque enregistrée n'est omise.</w:t>
      </w:r>
    </w:p>
    <w:p>
      <w:pPr>
        <w:pStyle w:val="ListBullet"/>
      </w:pPr>
      <w:r/>
      <w:r>
        <w:rPr>
          <w:b/>
        </w:rPr>
        <w:t>Zéro perte d'information scientifique</w:t>
      </w:r>
      <w:r>
        <w:t xml:space="preserve"> : mécanismes moléculaires, interactions et profils de tolérance détaillés.</w:t>
      </w:r>
    </w:p>
    <w:p>
      <w:pPr>
        <w:pStyle w:val="ListBullet"/>
      </w:pPr>
      <w:r/>
      <w:r>
        <w:rPr>
          <w:b/>
        </w:rPr>
        <w:t>Vérification continue de la vérité scientifique</w:t>
      </w:r>
      <w:r>
        <w:t xml:space="preserve"> : recoupement systématique des sources.</w:t>
      </w:r>
    </w:p>
    <w:p>
      <w:pPr>
        <w:pStyle w:val="ListBullet"/>
      </w:pPr>
      <w:r/>
      <w:r>
        <w:rPr>
          <w:b/>
        </w:rPr>
        <w:t>Focus Algérie</w:t>
      </w:r>
      <w:r>
        <w:t xml:space="preserve"> : seules les spécialités du fichier source sont mentionnées ; les molécules non disponibles sont explicitement signalées.</w:t>
      </w:r>
    </w:p>
    <w:p>
      <w:pPr>
        <w:pStyle w:val="Heading2"/>
      </w:pPr>
      <w:r>
        <w:t>Sommaire général du Fascicule V</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41</w:t>
            </w:r>
          </w:p>
        </w:tc>
        <w:tc>
          <w:tcPr>
            <w:tcW w:type="dxa" w:w="3118"/>
          </w:tcPr>
          <w:p>
            <w:r>
              <w:rPr>
                <w:sz w:val="20"/>
              </w:rPr>
              <w:t>Insulines et associations</w:t>
            </w:r>
          </w:p>
        </w:tc>
        <w:tc>
          <w:tcPr>
            <w:tcW w:type="dxa" w:w="3118"/>
          </w:tcPr>
          <w:p>
            <w:r>
              <w:rPr>
                <w:sz w:val="20"/>
              </w:rPr>
              <w:t>12</w:t>
            </w:r>
          </w:p>
        </w:tc>
      </w:tr>
      <w:tr>
        <w:tc>
          <w:tcPr>
            <w:tcW w:type="dxa" w:w="3118"/>
          </w:tcPr>
          <w:p>
            <w:r>
              <w:rPr>
                <w:sz w:val="20"/>
              </w:rPr>
              <w:t>42</w:t>
            </w:r>
          </w:p>
        </w:tc>
        <w:tc>
          <w:tcPr>
            <w:tcW w:type="dxa" w:w="3118"/>
          </w:tcPr>
          <w:p>
            <w:r>
              <w:rPr>
                <w:sz w:val="20"/>
              </w:rPr>
              <w:t>Antidiabétiques oraux et agonistes GLP-1 injectables</w:t>
            </w:r>
          </w:p>
        </w:tc>
        <w:tc>
          <w:tcPr>
            <w:tcW w:type="dxa" w:w="3118"/>
          </w:tcPr>
          <w:p>
            <w:r>
              <w:rPr>
                <w:sz w:val="20"/>
              </w:rPr>
              <w:t>21</w:t>
            </w:r>
          </w:p>
        </w:tc>
      </w:tr>
      <w:tr>
        <w:tc>
          <w:tcPr>
            <w:tcW w:type="dxa" w:w="3118"/>
          </w:tcPr>
          <w:p>
            <w:r>
              <w:rPr>
                <w:sz w:val="20"/>
              </w:rPr>
              <w:t>43</w:t>
            </w:r>
          </w:p>
        </w:tc>
        <w:tc>
          <w:tcPr>
            <w:tcW w:type="dxa" w:w="3118"/>
          </w:tcPr>
          <w:p>
            <w:r>
              <w:rPr>
                <w:sz w:val="20"/>
              </w:rPr>
              <w:t>Thyroïde et corticoïdes systémiques</w:t>
            </w:r>
          </w:p>
        </w:tc>
        <w:tc>
          <w:tcPr>
            <w:tcW w:type="dxa" w:w="3118"/>
          </w:tcPr>
          <w:p>
            <w:r>
              <w:rPr>
                <w:sz w:val="20"/>
              </w:rPr>
              <w:t>11</w:t>
            </w:r>
          </w:p>
        </w:tc>
      </w:tr>
      <w:tr>
        <w:tc>
          <w:tcPr>
            <w:tcW w:type="dxa" w:w="3118"/>
          </w:tcPr>
          <w:p>
            <w:r>
              <w:rPr>
                <w:sz w:val="20"/>
              </w:rPr>
              <w:t>44</w:t>
            </w:r>
          </w:p>
        </w:tc>
        <w:tc>
          <w:tcPr>
            <w:tcW w:type="dxa" w:w="3118"/>
          </w:tcPr>
          <w:p>
            <w:r>
              <w:rPr>
                <w:sz w:val="20"/>
              </w:rPr>
              <w:t>Hormones sexuelles et contraceptifs</w:t>
            </w:r>
          </w:p>
        </w:tc>
        <w:tc>
          <w:tcPr>
            <w:tcW w:type="dxa" w:w="3118"/>
          </w:tcPr>
          <w:p>
            <w:r>
              <w:rPr>
                <w:sz w:val="20"/>
              </w:rPr>
              <w:t>15</w:t>
            </w:r>
          </w:p>
        </w:tc>
      </w:tr>
      <w:tr>
        <w:tc>
          <w:tcPr>
            <w:tcW w:type="dxa" w:w="3118"/>
          </w:tcPr>
          <w:p>
            <w:r>
              <w:rPr>
                <w:sz w:val="20"/>
              </w:rPr>
              <w:t>45</w:t>
            </w:r>
          </w:p>
        </w:tc>
        <w:tc>
          <w:tcPr>
            <w:tcW w:type="dxa" w:w="3118"/>
          </w:tcPr>
          <w:p>
            <w:r>
              <w:rPr>
                <w:sz w:val="20"/>
              </w:rPr>
              <w:t>Anti-androgènes, gonadotrophines, hypophysaires</w:t>
            </w:r>
          </w:p>
        </w:tc>
        <w:tc>
          <w:tcPr>
            <w:tcW w:type="dxa" w:w="3118"/>
          </w:tcPr>
          <w:p>
            <w:r>
              <w:rPr>
                <w:sz w:val="20"/>
              </w:rPr>
              <w:t>21</w:t>
            </w:r>
          </w:p>
        </w:tc>
      </w:tr>
      <w:tr>
        <w:tc>
          <w:tcPr>
            <w:tcW w:type="dxa" w:w="3118"/>
          </w:tcPr>
          <w:p>
            <w:r>
              <w:rPr>
                <w:sz w:val="20"/>
              </w:rPr>
              <w:t>46</w:t>
            </w:r>
          </w:p>
        </w:tc>
        <w:tc>
          <w:tcPr>
            <w:tcW w:type="dxa" w:w="3118"/>
          </w:tcPr>
          <w:p>
            <w:r>
              <w:rPr>
                <w:sz w:val="20"/>
              </w:rPr>
              <w:t>Vitamine D, Calcium, Bisphosphonates, Ostéoporose</w:t>
            </w:r>
          </w:p>
        </w:tc>
        <w:tc>
          <w:tcPr>
            <w:tcW w:type="dxa" w:w="3118"/>
          </w:tcPr>
          <w:p>
            <w:r>
              <w:rPr>
                <w:sz w:val="20"/>
              </w:rPr>
              <w:t>13</w:t>
            </w:r>
          </w:p>
        </w:tc>
      </w:tr>
      <w:tr>
        <w:tc>
          <w:tcPr>
            <w:tcW w:type="dxa" w:w="3118"/>
          </w:tcPr>
          <w:p>
            <w:r>
              <w:rPr>
                <w:sz w:val="20"/>
              </w:rPr>
              <w:t>**Total**</w:t>
            </w:r>
          </w:p>
        </w:tc>
        <w:tc>
          <w:tcPr>
            <w:tcW w:type="dxa" w:w="3118"/>
          </w:tcPr>
          <w:p>
            <w:r>
              <w:rPr>
                <w:sz w:val="20"/>
              </w:rPr>
            </w:r>
          </w:p>
        </w:tc>
        <w:tc>
          <w:tcPr>
            <w:tcW w:type="dxa" w:w="3118"/>
          </w:tcPr>
          <w:p>
            <w:r>
              <w:rPr>
                <w:sz w:val="20"/>
              </w:rPr>
              <w:t>**93**</w:t>
            </w:r>
          </w:p>
        </w:tc>
      </w:tr>
    </w:tbl>
    <w:p/>
    <w:p>
      <w:pPr>
        <w:pStyle w:val="Heading1"/>
      </w:pPr>
      <w:r>
        <w:t>CHAPITRE 41 — INSULINES ET ASSOCIATIONS : PHARMACOLOGIE CLINIQUE, FORMES GALÉNIQUES ET BON USAGE</w:t>
      </w:r>
    </w:p>
    <w:p>
      <w:pPr>
        <w:pStyle w:val="Heading2"/>
      </w:pPr>
      <w:r>
        <w:t>Introduction générale du chapitre</w:t>
      </w:r>
    </w:p>
    <w:p>
      <w:r>
        <w:t>L'insulinothérapie constitue le pilier thérapeutique du diabète de type 1 (DT1) — où elle est vitale et définitive — et un recours thérapeutique majeur du diabète de type 2 (DT2) en deuxième intention, après échec des antidiabétiques oraux et des agonistes des récepteurs du GLP-1. L'histoire de l'insuline débute en 1921 (Banting &amp; Best, Toronto), et sa mise à disposition industrielle par Eli Lilly et Novo Nordisk dès 1923 a transformé un DT1 jadis fatal en une maladie chronique. Les évolutions pharmaceutiques successives — passage de l'insuline porcine/bovine à l'insuline humaine recombinante (ADN technologique, 1982), puis développement des analogues d'insuline (lispro 1996, asparte 1999, glulisine 2004, glargine 2000, detémir 2004, dégludec 2013) — ont constamment visé à améliorer la mimèse physiologique du profil insuline saine, à réduire l'hypoglycémie (notamment nocturne) et à simplifier le schéma thérapeutique. Plus récemment, l'association fixe insuline dégludec + liraglutide (Xultophy) a marqué l'avènement d'une nouvelle classe combinant un basal ultra-long et un analogue du GLP-1, synergique sur l'équilibre glycémique avec moindre prise de poids et moindre risque hypoglycémique.</w:t>
      </w:r>
    </w:p>
    <w:p>
      <w:r>
        <w:t xml:space="preserve">Ce chapitre de Fascicule V — Diabétologie/Endocrinologie — détaille les </w:t>
      </w:r>
      <w:r>
        <w:rPr>
          <w:b/>
        </w:rPr>
        <w:t>12 DCIs</w:t>
      </w:r>
      <w:r>
        <w:t xml:space="preserve"> disponibles dans la nomenclature algérienne (arrêté avril 2026) : 3 analogues ultra-rapides (asparte, glulisine, lispro), 1 analogue basal lent (glargine 100 et 300 UI/mL), 1 analogue basal ultra-long (dégludec), 1 mélange prédéfini dégludec+asparte (Ryzodeg), 2 mélanges biphasiques d'analogues (asparte biphasique NovoMix 30, lispro biphasique Humalog Mix 25 et 50), 1 insuline humaine régulière (rapide), 1 insuline humaine NPH (intermédiaire), 1 insuline humaine biphasique (mélanges 30/70, 25/75, 50/50) et 1 association fixe insuline+GLP-1 (dégludec+liraglutide). Chaque fiche aborde les marques commercialisées en Algérie, le mécanisme d'action moléculaire (récepteur αβ, IRS-1/PI3K/Akt, translocation GLUT4), les indications, contre-indications, effets indésirables, interactions médicamenteuses, grossesse/allaitement selon le CRAT, posologie, règles galéniques de bon usage et pièges au comptoir. Une table comparative synthétique et un guide de substitution/glargine 100 vs 300 clôturent le chapitre.</w:t>
      </w:r>
    </w:p>
    <w:p>
      <w:pPr>
        <w:pStyle w:val="Heading2"/>
      </w:pPr>
      <w:r>
        <w:t>Sous-classes pharmacologiques (9 catégories)</w:t>
      </w:r>
    </w:p>
    <w:p>
      <w:pPr>
        <w:pStyle w:val="Heading3"/>
      </w:pPr>
      <w:r>
        <w:t>1. Insulines — Analogues ultra-rapides</w:t>
      </w:r>
    </w:p>
    <w:p>
      <w:r>
        <w:t xml:space="preserve">Cette sous-classe regroupe trois insulines de structure modifiée par génie génétique pour accélérer l'absorption sous-cutanée : lispro (inversion ProB28-LysB29), asparte (substitution ProB28 → Asp) et glulisine (substitutions AsnB3 → Lys et LysB29 → Glu). Ces modifications empêchent la formation de dimères/hexamères au site d'injection, permettant une résorption monomérique rapide. Profil pharmacocinétique : début d'action 10–20 min, pic 1–3 h, durée 3–5 h. Elles s'administrent 0–15 min avant le repas (voire juste après pour glulisine), imitent la phase prandiale insulinique physiologique et permettent une flexibilité horaire supérieure aux insulines humaines régulières. Elles constituent le volet </w:t>
      </w:r>
      <w:r>
        <w:rPr>
          <w:b/>
        </w:rPr>
        <w:t>bolus</w:t>
      </w:r>
      <w:r>
        <w:t xml:space="preserve"> des schémas basal-bolus, sont compatibles avec pompes à insuline, et sont préférées chez l'enfant, le sujet âgé et la grossesse (asparte et lispro — la glulisine est moins documentée). Indications : DT1 (basal-bolus ou pompe), DT2 insulino-requis, hyperglycémies aiguës (en IV dans l'acidocétose pour l'asparte).</w:t>
      </w:r>
    </w:p>
    <w:p>
      <w:pPr>
        <w:pStyle w:val="Heading3"/>
      </w:pPr>
      <w:r>
        <w:t>2. Insulines — Analogues basaux lents</w:t>
      </w:r>
    </w:p>
    <w:p>
      <w:r>
        <w:t>L'insuline glargine 100 UI/mL (Lantus originel, génériques ABASAGLAR, BEKINSLO, DIAGLAR, BASALOG ONE, GLARUS) et sa formulation concentrée à 300 UI/mL (Toujeo, GLARUS PLUS, GLATEO) sont produites par substitution de GlyA21 → Asn et adjonction de deux Arginines en B31-B32, ce qui déplace le point isoélectrique vers la neutralité (pH 7,0) et provoque la précipitation au pH physiologique sous-cutané, générant un réservoir microparticulaire qui se dissout lentement sur ~24 h. Profil sans pic, permettant une administration quotidienne unique à heure fixe, avec réduction majeure des hypoglycémies nocturnes comparativement à la NPH (essai LANMET, ORIGIN). La forme 300 UI/mL (U300) offre une libération encore plus plate et prolongée (&gt; 30 h), réduisant davantage les hypoglycémies nocturnes (essai EDITION). Indications : DT1 (basal), DT2 en initiation insulinothérapie (10 UI/j le soir ou 0,1–0,2 UI/kg/j) et en escalade, alternative à la NPH.</w:t>
      </w:r>
    </w:p>
    <w:p>
      <w:pPr>
        <w:pStyle w:val="Heading3"/>
      </w:pPr>
      <w:r>
        <w:t>3. Insulines — Analogues basales ultra-lents</w:t>
      </w:r>
    </w:p>
    <w:p>
      <w:r>
        <w:t>L'insuline dégludec (Tresiba) est un hexamère multi-hexamérique obtenu par adjonction d'Acide hexadécandioïque (C16) sur LysB29 via un spacer γ-Glu. Cette chaîne latérale lipidique permet la formation d'un dépôt multihexamérique sous-cutané se dissolvant extrêmement lentement, assurant une durée d'action &gt; 42 h avec un profil ultra-plat et sans pic, et une variabilité intra-individuelle 4 fois moindre que la glargine U100 (essais BEGIN, DEVOTE). Administrable en une injection quotidienne à heure flexible (intervalle minimal 8 h entre deux injections), elle réduit les hypoglycémies nocturnes sévères (essai SWITCH). Indications : DT1, DT2 (initiation 10 UI/j ou 0,1–0,2 UI/kg/j). Particulièrement utile chez les patients à forte variabilité glycémique, les insuffisants rénaux, les sujets âgés, et les patients à observance difficile.</w:t>
      </w:r>
    </w:p>
    <w:p>
      <w:pPr>
        <w:pStyle w:val="Heading3"/>
      </w:pPr>
      <w:r>
        <w:t>4. Insulines — Analogues ultra-rapides et basales pré-mélangées</w:t>
      </w:r>
    </w:p>
    <w:p>
      <w:r>
        <w:t xml:space="preserve">L'association fixe </w:t>
      </w:r>
      <w:r>
        <w:rPr>
          <w:b/>
        </w:rPr>
        <w:t>insuline dégludec (70 %) + insuline asparte (30 %)</w:t>
      </w:r>
      <w:r>
        <w:t xml:space="preserve"> commercialisée sous RYZODEG (Novo Nordisk) combine un basal ultra-long (dégludec) et un bolus ultra-rapide (asparte) dans une même cartouche, en injectable sous-cutané une à deux fois par jour. La pharmacocinétique des deux composants reste préservée (pas d'interaction significative), permettant une couverture basale stable &gt; 24 h et un pic prandial rapide. Indications : DT2 (préférentiellement) en alternative au basal-bolus 4 injections, en cas d'échec d'un basal seul ou d'une biphasique humaine, et DT1 dans certains contextes d'allégance thérapeutique. Le ratio 70/30 est non ajustable ; la flexibilité horaire permet l'administration avec le repas principal (matin ou soir). Réduit l'observance déficiente et simplifie les schémas.</w:t>
      </w:r>
    </w:p>
    <w:p>
      <w:pPr>
        <w:pStyle w:val="Heading3"/>
      </w:pPr>
      <w:r>
        <w:t>5. Insulines — Analogues rapides biphasiques pré-mélangés</w:t>
      </w:r>
    </w:p>
    <w:p>
      <w:r>
        <w:t>Sous-classe regroupant les insulines pré-mélangées contenant un analogue rapide (asparte ou lispro) sous forme soluble et un analogue protaminé (retardé) : NOVOMIX 30 (70 % asparte protamine + 30 % asparte soluble) et HUMALOG MIX 25 (75 % lispro protamine + 25 % lispro soluble) ou HUMALOG MIX 50 (50/50). Leur administration 0–15 min avant le repas principal (en 1 à 2 injections/jour) couvre à la fois le pic prandial et le besoin basal inter-prandial. Indications : DT2 principalement, en alternative au basal-bolus si observance difficile, chez le sujet âgé, en institution, ou en transition depuis insuline humaine biphasique. Limites : ratio fixe peu flexible, risque hypoglycémique si saut de repas, moins adapté au DT1.</w:t>
      </w:r>
    </w:p>
    <w:p>
      <w:pPr>
        <w:pStyle w:val="Heading3"/>
      </w:pPr>
      <w:r>
        <w:t>6. Insulines — Humaines régulières rapides</w:t>
      </w:r>
    </w:p>
    <w:p>
      <w:r>
        <w:t xml:space="preserve">L'insuline humaine régulière (ACTRAPID, UMULINE RAPIDE, INSUMAN RAPIDE, INSUDAL RAPID, JUSLINE R) est obtenue par ADN recombinant (souche </w:t>
      </w:r>
      <w:r>
        <w:rPr>
          <w:i/>
        </w:rPr>
        <w:t>Escherichia coli</w:t>
      </w:r>
      <w:r>
        <w:t xml:space="preserve"> ou </w:t>
      </w:r>
      <w:r>
        <w:rPr>
          <w:i/>
        </w:rPr>
        <w:t>Saccharomyces cerevisiae</w:t>
      </w:r>
      <w:r>
        <w:t>), de structure strictement identique à l'insuline endogène humaine (51 acides aminés, chaîne A 21 AA + chaîne B 30 AA, 3 ponts disulfure). Administrable par voie sous-cutanée (début 30 min, pic 2–4 h, durée 6–8 h) ou intraveineuse (début immédiat, durée &lt; 1 h). Indications : DT1 (basal-bolus classique), DT2, acidocétose diabétique (perfusion IV), hyperglycémie hospitalière péri-opératoire, grossesse diabétique. Administration 30 min avant repas. Compatible pompes à insuline (avec risque accru d'occlusion cathéter). Liste II — prescription obligatoire mais renouvelable.</w:t>
      </w:r>
    </w:p>
    <w:p>
      <w:pPr>
        <w:pStyle w:val="Heading3"/>
      </w:pPr>
      <w:r>
        <w:t>7. Insulines — Humaines intermédiaires NPH</w:t>
      </w:r>
    </w:p>
    <w:p>
      <w:r>
        <w:t>L'insuline NPH (Neutral Protamine Hagedorn, Isophane) est une suspension de complexe insuline humaine + protamine (protéine basique du sperme de saumon) en présence de zinc et de phénol/crésol, formant un réseau cristallin libérant lentement l'insuline. Profil : début 1–2 h, pic 4–6 h, durée 12–18 h. Le pic, souvent en fin de nuit lorsqu'administrée le soir, expose à l'hypoglycémie nocturne (piège classique). Indications : DT1 (en basal-bolus avec insuline rapide, en 2 injections), DT2 (en association avec ADO, en 1–2 injections/jour), grossesse diabétique (alternative aux analogues). Insuline de référence historique (Lantus, dégludec ont démontré leur supériorité sur les hypoglycémies nocturnes). Nécessite resuspension soigneuse par roulement entre les paumes (20 fois) avant injection — piège d'inactivation par sédimentation.</w:t>
      </w:r>
    </w:p>
    <w:p>
      <w:pPr>
        <w:pStyle w:val="Heading3"/>
      </w:pPr>
      <w:r>
        <w:t>8. Insulines — Humaines biphasiques pré-mélangées</w:t>
      </w:r>
    </w:p>
    <w:p>
      <w:r>
        <w:t>Regroupe les mélanges préétablis d'insuline humaine soluble et NPH : MIXTARD 30 (30 % soluble + 70 % NPH), UMULINE PROFIL 30 (30/70), INSUMAN COMB 25 (25 % soluble + 75 % NPH), JUSLINE 30/70, INSUDAL COMB 25. La composante soluble couvre le repas principal, la NPH couvre les besoins basaux inter-prandiaux et nocturnes. Administration 30 min avant les 2 repas principaux (matin et soir), en 2 injections/jour. Indications : DT2 principalement, en alternative au basal-bolus, chez le sujet âgé ou en institution. Le ratio fixe impose une régularité alimentaire stricte ; le pic NPH expose à l'hypoglycémie nocturne si injection du soir. Nécessite resuspension. Historiquement très prescrites, elles sont aujourd'hui concurrencées par les biphasiques d'analogues et les associations fixes.</w:t>
      </w:r>
    </w:p>
    <w:p>
      <w:pPr>
        <w:pStyle w:val="Heading3"/>
      </w:pPr>
      <w:r>
        <w:t>9. Insulines — Associations fixes insuline + GLP-1</w:t>
      </w:r>
    </w:p>
    <w:p>
      <w:r>
        <w:t xml:space="preserve">L'association fixe </w:t>
      </w:r>
      <w:r>
        <w:rPr>
          <w:b/>
        </w:rPr>
        <w:t>insuline dégludec + liraglutide</w:t>
      </w:r>
      <w:r>
        <w:t xml:space="preserve"> (XULTOPHY, Novo Nordisk) combine un basal ultra-long (dégludec, 100 UI/mL) et un agoniste des récepteurs du GLP-1 (liraglutide, 3,6 mg/mL), en stylo prérempli sous-cutané une fois par jour. La synergie vise : effet prandial et inhibition de l'appétit (liraglutide), effet basal stable (dégludec), moindre prise de poids (effet pondéral négatif du liraglutide compensant la prise de poids de l'insuline), moindre hypoglycémie (dose d'insuline réduite), et amélioration de la compliance (1 injection/jour). Indications : DT2 non contrôlé sous basal seul ou sous GLP-1 seul, en alternative au basal-bolus. Limites : GI intolérance (nausées, vomissements transitoires), CI si antécédent de pancréatite ou de cancer médullaire thyroïdien/familial (MTC/NEM 2B), non utilisable chez DT1 ou grossesse. Posologie progressive (10 pas de dose du stylo Xultophy, équivalents 10–50 UI dégludec / 0,36–1,8 mg liraglutide).</w:t>
      </w:r>
    </w:p>
    <w:p>
      <w:pPr>
        <w:pStyle w:val="Heading2"/>
      </w:pPr>
      <w:r>
        <w:t>FICHES DCI DÉTAILLÉES</w:t>
      </w:r>
    </w:p>
    <w:p>
      <w:pPr>
        <w:pStyle w:val="Heading3"/>
      </w:pPr>
      <w:r>
        <w:t>1. DCI : Insuline asparte (Seule)</w:t>
      </w:r>
    </w:p>
    <w:p>
      <w:r/>
      <w:r>
        <w:rPr>
          <w:b/>
        </w:rPr>
        <w:t>Liste des Catégories :</w:t>
      </w:r>
      <w:r>
        <w:t xml:space="preserve"> Insulines — Analogues ultra-rapides</w:t>
      </w:r>
    </w:p>
    <w:p>
      <w:r>
        <w:t xml:space="preserve">L'insuline asparte (NovoRapid, NovoLog aux USA) est un analogue d'insuline humaine recombinante produit par technologie ADN sur souche de </w:t>
      </w:r>
      <w:r>
        <w:rPr>
          <w:i/>
        </w:rPr>
        <w:t>Saccharomyces cerevisiae</w:t>
      </w:r>
      <w:r>
        <w:t>, dans lequel la proline en position B28 a été remplacée par un acide aspartique (AspB28). Cette substitution, qui confère une charge négative à pH physiologique, diminue drastiquement l'auto-association en dimères/hexamères au site d'injection, permettant la libération monomérique immédiate et l'absorption sous-cutanée rapide. Profil pharmacocinétique : début d'action 10–20 min après injection SC, pic plasmatique 1–3 h, durée d'action 3–5 h. Sa cinétique mime fidèlement la phase insulinique prandiale physiologique de première phase (qui est absente chez le DT1 et altérée précocement dans le DT2). Administrable par voie SC (stylo prérempli FlexPen, FlexTouch, cartouche Penfill pour stylo réutilisable), par perfusion IV (acidocétose, hospitalisation), et en pompe à insuline (compatible avec la plupart des pompes). Elle est compatible avec la grossesse (CRAT — données à ce jour rassurantes, passage transplacentaire négligeable car insuline ne traverse pas la barrière fœto-placentaire) et l'allaitement. Sa flexibilité d'administration (de 15 min avant à juste après le repas) améliore l'observance chez les patients à rythmes alimentaires irréguliers.</w:t>
      </w:r>
    </w:p>
    <w:p>
      <w:r/>
      <w:r>
        <w:rPr>
          <w:b/>
        </w:rPr>
        <w:t>Médicaments disponibles en Algérie (Marques, Laboratoires, Formes et Dosages) :</w:t>
      </w:r>
      <w:r/>
    </w:p>
    <w:p>
      <w:pPr>
        <w:pStyle w:val="ListBullet"/>
      </w:pPr>
      <w:r/>
      <w:r>
        <w:rPr>
          <w:b/>
        </w:rPr>
        <w:t>BEKINSTA</w:t>
      </w:r>
      <w:r>
        <w:t xml:space="preserve"> (LABORATOIRES BEKER)</w:t>
      </w:r>
    </w:p>
    <w:p>
      <w:pPr>
        <w:pStyle w:val="ListBullet"/>
      </w:pPr>
      <w:r>
        <w:t>Formes et Dosages : Solution injectable SC en stylo prérempli, 100 UI/mL ; boîtes de 1, 3 et 5 stylos préremplis de 3 mL</w:t>
      </w:r>
    </w:p>
    <w:p>
      <w:pPr>
        <w:pStyle w:val="ListBullet"/>
      </w:pPr>
      <w:r>
        <w:t>Statut : Actif</w:t>
      </w:r>
    </w:p>
    <w:p>
      <w:pPr>
        <w:pStyle w:val="ListBullet"/>
      </w:pPr>
      <w:r/>
      <w:r>
        <w:rPr>
          <w:b/>
        </w:rPr>
        <w:t>BIORAPID</w:t>
      </w:r>
      <w:r>
        <w:t xml:space="preserve"> (BIOCARE BIOTECH)</w:t>
      </w:r>
    </w:p>
    <w:p>
      <w:pPr>
        <w:pStyle w:val="ListBullet"/>
      </w:pPr>
      <w:r>
        <w:t>Formes et Dosages : Solution injectable SC en stylo prérempli, 100 UI/mL ; boîte de 5 stylos préremplis de 3 mL</w:t>
      </w:r>
    </w:p>
    <w:p>
      <w:pPr>
        <w:pStyle w:val="ListBullet"/>
      </w:pPr>
      <w:r>
        <w:t>Statut : Actif</w:t>
      </w:r>
    </w:p>
    <w:p>
      <w:pPr>
        <w:pStyle w:val="ListBullet"/>
      </w:pPr>
      <w:r/>
      <w:r>
        <w:rPr>
          <w:b/>
        </w:rPr>
        <w:t>NOVORAPID FLEXPEN</w:t>
      </w:r>
      <w:r>
        <w:t xml:space="preserve"> (NOVO NORDISK)</w:t>
      </w:r>
    </w:p>
    <w:p>
      <w:pPr>
        <w:pStyle w:val="ListBullet"/>
      </w:pPr>
      <w:r>
        <w:t>Formes et Dosages : Solution injectable SC en stylo prérempli FlexPen, 100 UI/mL ; boîte de 5 stylos préremplis de 3 mL</w:t>
      </w:r>
    </w:p>
    <w:p>
      <w:pPr>
        <w:pStyle w:val="ListBullet"/>
      </w:pPr>
      <w:r>
        <w:t>Statut : Actif (référence princeps)</w:t>
      </w:r>
    </w:p>
    <w:p>
      <w:pPr>
        <w:pStyle w:val="ListBullet"/>
      </w:pPr>
      <w:r/>
      <w:r>
        <w:rPr>
          <w:b/>
        </w:rPr>
        <w:t>INSULINE ASPARTE SANOFI</w:t>
      </w:r>
      <w:r>
        <w:t xml:space="preserve"> (SANOFI AVENTIS ALGERIE)</w:t>
      </w:r>
    </w:p>
    <w:p>
      <w:pPr>
        <w:pStyle w:val="ListBullet"/>
      </w:pPr>
      <w:r>
        <w:t>Formes et Dosages : Solution injectable SC en stylo prérempli SoloStar, 100 UI/mL ; boîte de 5 stylos préremplis SoloStar de 3 mL</w:t>
      </w:r>
    </w:p>
    <w:p>
      <w:pPr>
        <w:pStyle w:val="ListBullet"/>
      </w:pPr>
      <w:r>
        <w:t>Statut : Actif (Liste I — attention : liste plus stricte que les autres insulines asparte en Liste II)</w:t>
      </w:r>
    </w:p>
    <w:p>
      <w:pPr>
        <w:pStyle w:val="ListBullet"/>
      </w:pPr>
      <w:r/>
      <w:r>
        <w:rPr>
          <w:b/>
        </w:rPr>
        <w:t>BIOMYXE 30</w:t>
      </w:r>
      <w:r>
        <w:t xml:space="preserve"> (BIOCARE BIOTECH) — *forme biphasique apparentée (70 % asparte protamine + 30 % asparte soluble), voir fiche #7*</w:t>
      </w:r>
    </w:p>
    <w:p>
      <w:pPr>
        <w:pStyle w:val="ListBullet"/>
      </w:pPr>
      <w:r>
        <w:t>Formes et Dosages : Suspension injectable SC en stylo prérempli jetable, 100 UI/mL ; boîte de 5 stylos de 3 mL</w:t>
      </w:r>
    </w:p>
    <w:p>
      <w:pPr>
        <w:pStyle w:val="ListBullet"/>
      </w:pPr>
      <w:r>
        <w:t>Statut : Actif</w:t>
      </w:r>
    </w:p>
    <w:p>
      <w:pPr>
        <w:pStyle w:val="ListBullet"/>
      </w:pPr>
      <w:r/>
      <w:r>
        <w:rPr>
          <w:b/>
        </w:rPr>
        <w:t>NOVOMIX 30 FLEXPEN</w:t>
      </w:r>
      <w:r>
        <w:t xml:space="preserve"> (NOVO NORDISK) — *forme biphasique apparentée (70/30), voir fiche #7*</w:t>
      </w:r>
    </w:p>
    <w:p>
      <w:pPr>
        <w:pStyle w:val="ListBullet"/>
      </w:pPr>
      <w:r>
        <w:t>Formes et Dosages : Suspension injectable SC en stylo multidose prérempli jetable FlexPen, 100 UI/mL ; boîte de 5 stylos de 3 mL</w:t>
      </w:r>
    </w:p>
    <w:p>
      <w:pPr>
        <w:pStyle w:val="ListBullet"/>
      </w:pPr>
      <w:r>
        <w:t>Statut : Actif</w:t>
      </w:r>
    </w:p>
    <w:p>
      <w:r/>
      <w:r>
        <w:rPr>
          <w:b/>
        </w:rPr>
        <w:t>Sous-classe et Mécanisme d'action :</w:t>
      </w:r>
      <w:r/>
    </w:p>
    <w:p>
      <w:pPr>
        <w:pStyle w:val="ListBullet"/>
      </w:pPr>
      <w:r>
        <w:t xml:space="preserve">Sous-classe : Analogue d'insuline ultra-rapide, volet </w:t>
      </w:r>
      <w:r>
        <w:rPr>
          <w:b/>
        </w:rPr>
        <w:t>bolus prandial</w:t>
      </w:r>
      <w:r>
        <w:t xml:space="preserve"> des schémas basal-bolus, grossesse-compatible, pompe-compatible.</w:t>
      </w:r>
    </w:p>
    <w:p>
      <w:pPr>
        <w:pStyle w:val="ListBullet"/>
      </w:pPr>
      <w:r>
        <w:t>Mécanisme d'action : L'insuline asparte se fixe sur le récepteur de l'insuline (IR), un hétérotétramère α2β2 avec activité tyrosine-kinase intrinsèque au domaine intracellulaire β. La liaison de l'insuline provoque une autophosphorylation des résidus tyrosine du domaine β (Tyr1150/Tyr1151), qui recrute et phosphoryle des substrats adaptateurs de la famille IRS (IRS-1 principalement dans le muscle et le tissu adipeux, IRS-2 dans le foie). Les IRS phosphorylés activent deux voies principales : (i) la voie PI3K → PIP3 → PDK1 → Akt/PKB, qui phosphoryle et inactive la GSK3β (favorisant le glycogène synthase actif → glycogénogenèse) et surtout déclenche la translocation des vésicules GLUT4 vers la membrane plasmique (via phosphorylation de TBC1D4/AS160) → captage musculaire et adipeux du glucose ; (ii) la voie MAP-kinase (Ras-Raf-MEK-ERK) qui médie les effets mitogènes et la protéosynthèse. L'insuline stimule parallèlement la lipogénèse (activation SREBP-1c, ACC, FAS), inhibe la lipolyse (phosphorylation et inactivation de la HSL), inhibe la néoglucogenèse hépatique (répression PEPCK, G6Pase via Forkhead FoxO1) et stimule la protéosynthèse (activation mTORC1, p70S6K). La substitution AspB28 ne modifie ni l'affinité pour le récepteur (Kd comparable à l'insuline humaine), ni la signalisation post-récepteur — la spécificité d'action est purement pharmacocinétique.</w:t>
      </w:r>
    </w:p>
    <w:p>
      <w:r/>
      <w:r>
        <w:rPr>
          <w:b/>
        </w:rPr>
        <w:t>Profil Pharmacologique :</w:t>
      </w:r>
      <w:r/>
    </w:p>
    <w:p>
      <w:pPr>
        <w:pStyle w:val="ListBullet"/>
      </w:pPr>
      <w:r>
        <w:t>Indications : Diabète de type 1 (DT1) en schéma basal-bolus (insuline asparte = bolus prandial × 3/j avant chaque repas, associée à un basal glargine/detémir/dégludec) ou en pompe à insuline ; diabète de type 2 (DT2) non contrôlé par ADO ± insuline basale, en basal-bolus ; grossesse diabétique (DT1, DT2 ou diabète gestationnel sous insuline — asparte autorisée d'après CRAT et ADA) ; acidocétose diabétique (en IV à 0,05–0,1 UI/kg/h selon protocole) ; hyperglycémie péri-opératoire ou de réanimation.</w:t>
      </w:r>
    </w:p>
    <w:p>
      <w:pPr>
        <w:pStyle w:val="ListBullet"/>
      </w:pPr>
      <w:r>
        <w:t>Contre-indications : Hypoglycémie avérée, hypersensibilité à l'insuline asparte ou à un excipient (métacrésol), pompe à insuline si formulation contenant du métacrésol (préférence formulation sans métacrésol pour pompes), ne pas administrer en IM (voie SC stricte pour le prérempli).</w:t>
      </w:r>
    </w:p>
    <w:p>
      <w:pPr>
        <w:pStyle w:val="ListBullet"/>
      </w:pPr>
      <w:r>
        <w:t>Effets Indésirables : Hypoglycémie (EI le plus fréquent et le plus grave — fréquence &gt; 10 %,formes sévères 1–5 %/an ; manifestations : sueurs, tremblements, faim, palpitations, confusion, coma), lipodystrophie au site d'injection (lipo-hypertrophie par non-rotation des sites, ou lipo-atrophie plus rare), prise de poids (1–3 kg/an en début d'insulinothérapie), œdèmes (transitoires en début de traitement, par réabsorption tubulaire sodium liée à l'hyperinsulinisation), réactions locales (rougeur, prurit, induration transitoires), allergie immédiate rare (urticaire, anaphylaxie), exceptionnelle résistance immunologique (anticorps anti-insuline). Une rétinopathie diabétique peut s'aggraver transitoirement à l'initiation (effet paradoxal de normalisation glycémique rapide, à surveiller).</w:t>
      </w:r>
    </w:p>
    <w:p>
      <w:r/>
      <w:r>
        <w:rPr>
          <w:b/>
        </w:rPr>
        <w:t>Prévention et Gestion des Effets Indésirables :</w:t>
      </w:r>
      <w:r/>
    </w:p>
    <w:p>
      <w:pPr>
        <w:pStyle w:val="ListBullet"/>
      </w:pPr>
      <w:r>
        <w:t>Mesures Préventives : Rotation rigoureuse des sites d'injection SC (abdomen, cuisses, bras, fesses — schéma en quadrants rotatifs, ne pas réutiliser le même site avant 2–3 semaines), autosurveillance glycémique capillaire ≥ 3–4 fois/jour en basal-bolus (avant repas, coucher, et en cas de symptômes), éducation thérapeutique structurée (aptitudes d'auto-gestion : ajustement doses prandiales selon glycémie pré-prandiale et glucides du repas), aiguillage du stylo avant chaque injection (vérifier absence de bulles d'air), aiguille 4–8 mm neuve à chaque injection, ne jamais réutiliser une aiguille.</w:t>
      </w:r>
    </w:p>
    <w:p>
      <w:pPr>
        <w:pStyle w:val="ListBullet"/>
      </w:pPr>
      <w:r>
        <w:t xml:space="preserve">Conduite à Tenir : </w:t>
      </w:r>
      <w:r>
        <w:rPr>
          <w:b/>
        </w:rPr>
        <w:t>Hypoglycémie modérée (glycémie &lt; 0,70 g/L, patient conscient)</w:t>
      </w:r>
      <w:r>
        <w:t xml:space="preserve"> : arrêt activité, ingestion immédiate de 15–20 g de glucides rapides (3 morceaux de sucre, 1 verre de jus de fruit, 1 tube de gel de glucose), contrôle glycémique à 15 min ; si non corrigée, répéter 15 g ; puis collation de glucides complexes (pain, fruit) pour prévenir la rechute. </w:t>
      </w:r>
      <w:r>
        <w:rPr>
          <w:b/>
        </w:rPr>
        <w:t>Hypoglycémie sévère (patient inconscient ou incapable d'avaler)</w:t>
      </w:r>
      <w:r>
        <w:t xml:space="preserve"> : position latérale de sécurité, </w:t>
      </w:r>
      <w:r>
        <w:rPr>
          <w:b/>
        </w:rPr>
        <w:t>glucagon 1 mg IM ou SC</w:t>
      </w:r>
      <w:r>
        <w:t xml:space="preserve"> (Kit Glucagen Hypokit) par proche formé, ou </w:t>
      </w:r>
      <w:r>
        <w:rPr>
          <w:b/>
        </w:rPr>
        <w:t>glucose 30 % IV 50–100 mL</w:t>
      </w:r>
      <w:r>
        <w:t xml:space="preserve"> en milieu médicalisé ; contrôle glycémique à 10 min, perfusion IV de G10 % si rechute, hospitalisation si récidive ou cause déclenchante (infection, alcool, erreur posologique). </w:t>
      </w:r>
      <w:r>
        <w:rPr>
          <w:b/>
        </w:rPr>
        <w:t>Lipodystrophie</w:t>
      </w:r>
      <w:r>
        <w:t xml:space="preserve"> : arrêt injections au site atteint (résorption en plusieurs semaines à mois), éducation renforcée à la rotation. </w:t>
      </w:r>
      <w:r>
        <w:rPr>
          <w:b/>
        </w:rPr>
        <w:t>Allergie locale</w:t>
      </w:r>
      <w:r>
        <w:t xml:space="preserve"> : changement de marque ou de formulation, antihistaminiques si prurit marqué.</w:t>
      </w:r>
    </w:p>
    <w:p>
      <w:r/>
      <w:r>
        <w:rPr>
          <w:b/>
        </w:rPr>
        <w:t>Interactions Importantes :</w:t>
      </w:r>
      <w:r/>
    </w:p>
    <w:p>
      <w:pPr>
        <w:pStyle w:val="ListBullet"/>
      </w:pPr>
      <w:r/>
      <w:r>
        <w:rPr>
          <w:b/>
        </w:rPr>
        <w:t>Asparte + β-bloquants</w:t>
      </w:r>
      <w:r>
        <w:t xml:space="preserve"> : masquage des signes adrénergiques d'hypoglycémie (sueurs, palpitations, tremblements) — vigilance accrue, autosurveillance renforcée.</w:t>
      </w:r>
    </w:p>
    <w:p>
      <w:pPr>
        <w:pStyle w:val="ListBullet"/>
      </w:pPr>
      <w:r/>
      <w:r>
        <w:rPr>
          <w:b/>
        </w:rPr>
        <w:t>Asparte + AINS/sulfamides hypoglycémiants/alcool</w:t>
      </w:r>
      <w:r>
        <w:t xml:space="preserve"> : potentialisation de l'effet hypoglycémiant (alcool inhibe la néoglucogenèse hépatique — risque d'hypoglycémie sévère tardive jusqu'à 24 h après ingestion).</w:t>
      </w:r>
    </w:p>
    <w:p>
      <w:pPr>
        <w:pStyle w:val="ListBullet"/>
      </w:pPr>
      <w:r/>
      <w:r>
        <w:rPr>
          <w:b/>
        </w:rPr>
        <w:t>Asparte + corticoïdes/diurétiques thiazidiques/SGLT2 (liraglutide en association fixe)/glucagon/somatostatine analogues/hormones thyroïdiennes/contraceptifs oraux</w:t>
      </w:r>
      <w:r>
        <w:t xml:space="preserve"> : diminution de l'effet de l'insuline (hyperglycémie de contre-régulation) — adaptation posologique.</w:t>
      </w:r>
    </w:p>
    <w:p>
      <w:pPr>
        <w:pStyle w:val="ListBullet"/>
      </w:pPr>
      <w:r/>
      <w:r>
        <w:rPr>
          <w:b/>
        </w:rPr>
        <w:t>Asparte + IMAO, fluoxétine, pentamidine, fibrates</w:t>
      </w:r>
      <w:r>
        <w:t xml:space="preserve"> : potentialisation hypoglycémique (pentamidine : libération brutale d'insuline endogène — hypoglycémie initiale puis hyperglycémie).</w:t>
      </w:r>
    </w:p>
    <w:p>
      <w:pPr>
        <w:pStyle w:val="ListBullet"/>
      </w:pPr>
      <w:r/>
      <w:r>
        <w:rPr>
          <w:b/>
        </w:rPr>
        <w:t>Asparte + inhibiteurs de l'ECA</w:t>
      </w:r>
      <w:r>
        <w:t xml:space="preserve"> : potentialisation de la sensibilité insulinique — surveillance, réduction possible des doses d'insuline.</w:t>
      </w:r>
    </w:p>
    <w:p>
      <w:pPr>
        <w:pStyle w:val="ListBullet"/>
      </w:pPr>
      <w:r/>
      <w:r>
        <w:rPr>
          <w:b/>
        </w:rPr>
        <w:t>Asparte + cannabis</w:t>
      </w:r>
      <w:r>
        <w:t xml:space="preserve"> : effet variable (hyper ou hypoglycémie) selon les cannabinöides impliqués.</w:t>
      </w:r>
    </w:p>
    <w:p>
      <w:pPr>
        <w:pStyle w:val="ListBullet"/>
      </w:pPr>
      <w:r/>
      <w:r>
        <w:rPr>
          <w:b/>
        </w:rPr>
        <w:t>Asparte + lithium</w:t>
      </w:r>
      <w:r>
        <w:t xml:space="preserve"> : hyperglycémie, baisse d'efficacité.</w:t>
      </w:r>
    </w:p>
    <w:p>
      <w:r/>
      <w:r>
        <w:rPr>
          <w:b/>
        </w:rPr>
        <w:t>Grossesse et Allaitement :</w:t>
      </w:r>
      <w:r/>
    </w:p>
    <w:p>
      <w:pPr>
        <w:pStyle w:val="ListBullet"/>
      </w:pPr>
      <w:r>
        <w:t>Grossesse : L'insuline asparte est compatible avec la grossesse selon le CRAT et les recommandations HAS/ADA (données d'observation rassurantes, essai randomisé en grossesse DT1 montrant supériorité sur l'humaine régulière pour l'HbA1c et l'hypoglycémie nocturne). L'insuline ne traverse pas le placenta (PMD trop élevée ~5800 Da, hydrophile). Le passage transplacentaire du glucose maternel est compensé par une adaptation posologique : les besoins en insuline augmentent progressivement au cours de la grossesse (× 2–3 au 3e trimestre, en raison de l'insulino-résistance placentaire et hormonale — hPL, oestrogènes, progestérone, cortisol), puis chutent dramatiquement en post-partum immédiat (retour aux doses pré-grossesse, voire moindre en allaitement).</w:t>
      </w:r>
    </w:p>
    <w:p>
      <w:pPr>
        <w:pStyle w:val="ListBullet"/>
      </w:pPr>
      <w:r>
        <w:t>Allaitement : Compatible (CRAT). L'insuline est dégradée par les enzymes protéolytiques digestives du nourrisson (en cas de passage infime dans le lait, dégradation totale). Allaitement à encourager (bénéfice métabolique maternel et néonatal ; réduction du risque de DT2 à long terme chez la mère ayant eu un diabète gestationnel). Adapter la posologie (baisse des besoins en allaitement, jeûne nocturne court — risque d'hypoglycémie maternelle).</w:t>
      </w:r>
    </w:p>
    <w:p>
      <w:pPr>
        <w:pStyle w:val="ListBullet"/>
      </w:pPr>
      <w:r>
        <w:t>Précisions : Autosurveillance glycémique capillaire 6–8 fois/jour pendant grossesse (avant et 1 h après chaque repas, coucher, nuit occasionnelle 3 h). Objectifs glycémiques stricts (jeûne &lt; 0,95 g/L, 1 h post-prandial &lt; 1,40 g/L, 2 h &lt; 1,20 g/L).</w:t>
      </w:r>
    </w:p>
    <w:p>
      <w:r/>
      <w:r>
        <w:rPr>
          <w:b/>
        </w:rPr>
        <w:t>Posologie et Mode d'administration (Standard) :</w:t>
      </w:r>
      <w:r/>
    </w:p>
    <w:p>
      <w:pPr>
        <w:pStyle w:val="ListBullet"/>
      </w:pPr>
      <w:r>
        <w:t>Adulte : DT1 — Schéma basal-bolus : 0,5–1 UI/kg/j réparti en ~50 % basal (glargine/detémir/dégludec) et ~50 % bolus prandial (asparte × 3/j). Dose prandiale unitaire typique 4–12 UI selon glycémie pré-prandiale et glucides du repas (ratio insuline/glucides 1 UI pour 10–15 g ; facteur de correction 1 UI pour 30–50 mg/dL au-dessus de la cible). DT2 — Initiation insuline prandiale en complément d'un basal : 4 UI avant repas principal, titration +2 UI tous les 3 jours selon glycémie post-prandiale. Acidocétose : IV 0,05–0,1 UI/kg/h, adaptation selon décroissance glycémie (objectif −50 à −75 mg/dL/h).</w:t>
      </w:r>
    </w:p>
    <w:p>
      <w:pPr>
        <w:pStyle w:val="ListBullet"/>
      </w:pPr>
      <w:r>
        <w:t>Enfant : 0,5–1 UI/kg/j en DT1, ratio basal/bolus 50/50 ; adaptation selon puberté (bouffée pubertaire : jusqu'à 1,5 UI/kg/j).</w:t>
      </w:r>
    </w:p>
    <w:p>
      <w:pPr>
        <w:pStyle w:val="ListBullet"/>
      </w:pPr>
      <w:r>
        <w:t>Durée : À vie (DT1 définitif ; DT2 tant que la production résiduelle d'insuline ne suffit pas).</w:t>
      </w:r>
    </w:p>
    <w:p>
      <w:pPr>
        <w:pStyle w:val="ListBullet"/>
      </w:pPr>
      <w:r>
        <w:t>Moment de prise : 0–15 min avant le repas (asparte peut aussi s'administrer juste après le début du repas en cas d'oubli, avec ajustement de dose). En pompe : débit de basal continu + bolus prandiaux.</w:t>
      </w:r>
    </w:p>
    <w:p>
      <w:r/>
      <w:r>
        <w:rPr>
          <w:b/>
        </w:rPr>
        <w:t>Arbitrage et Bénéfices des Formes Galéniques :</w:t>
      </w:r>
      <w:r/>
    </w:p>
    <w:p>
      <w:r>
        <w:t>La forme stylo prérempli jetable (FlexPen, SoloStar) est privilégiée en ambulatoire pour sa facilité d'usage, sa précision de dose (incrément 1 UI), son aiguille ultrafine (4–6 mm), sa discrétion et son ergonomie (surtout pour patients âgés ou malvoyants — le clic tactile aide à la lecture de dose). Les cartouches Penfill pour stylo réutilisable sont une alternative écologique et économique (3 mL, compatibles avec les stylos NovoPen Echo, NovoPen 5 — fonction mémoire intégrée utile chez le sujet âgé). Les flacons 10 mL avec seringue U100 sont aujourd'hui moins prescrits en Algérie (réservés à l'usage hospitalier, à la perfusion IV et aux pompes à insuline historiques). L'asparte en stylo offre une cinétique supérieure à l'insuline humaine régulière pour la couverture prandiale (pic plus précoce, durée plus courte, moindre hypoglycémie post-prandiale tardive). Comparé à la lispro et à la glulisine, l'asparte présente un profil PK/PD équivalent (méta-analyses), avec l'avantage d'une plus large documentation pédiatrique et gravidique (essai Insulin Aspart Pregnancy). La forme Fiasp (asparte + niacinamide pour accélération d'absorption) n'est pas commercialisée en Algérie à ce jour.</w:t>
      </w:r>
    </w:p>
    <w:p>
      <w:r/>
      <w:r>
        <w:rPr>
          <w:b/>
        </w:rPr>
        <w:t>Instructions et Conseils au Patient :</w:t>
      </w:r>
      <w:r/>
    </w:p>
    <w:p>
      <w:pPr>
        <w:pStyle w:val="ListBullet"/>
      </w:pPr>
      <w:r>
        <w:t>Communication au comptoir : « Cette insuline (Novorapid, Bekinsta, Biorapid, Insuline asparte Sanofi) est l'insuline rapide des repas. Vous l'injectez juste avant de commencer à manger (0 à 15 minutes avant le repas). Elle agit en 10 minutes, fait un pic à 1–2 heures, et dure 3–5 heures. Vous devez l'associer à une insuline lente (basale) une ou deux fois par jour, car l'asparte seule ne couvre que les repas, pas le fond de glycémie. Conservez les stylos non entamés au réfrigérateur (+4°C à +8°C, ne jamais congeler), les stylos en cours d'utilisation à température ambiante (&lt; 25°C ou &lt; 30°C selon fabricant) pendant 4 semaines maximum. Vérifiez la clarté de la solution : elle doit être limpide et incolore ; si elle est trouble ou colorée, ne pas l'utiliser. Tournez le stylo entre vos paumes 10 fois avant la première utilisation (pas de secousses). Jetez l'aiguille après chaque injection dans un collecteur adapté (never re-utiliser une aiguille). »</w:t>
      </w:r>
    </w:p>
    <w:p>
      <w:pPr>
        <w:pStyle w:val="ListBullet"/>
      </w:pPr>
      <w:r>
        <w:t xml:space="preserve">Mode d'utilisation pratique : Lavez les mains, vérifiez la dose, désinfectez le site d'injection (ou non selon tolérance locale), pincez légèrement la peau, insérez l'aiguille à 90° (4–6 mm), appuyez à fond sur le bouton du stylo, maintenez 10 secondes pour éviter le reflux, retirez l'aiguille, dévissez et jetez. En cas d'oubli d'injection avant repas : si le repas est en cours ou récent (&lt; 30 min), injecter la dose habituelle immédiatement ; si &gt; 30 min après, surveiller la glycémie à 2 h et ajuster. </w:t>
      </w:r>
      <w:r>
        <w:rPr>
          <w:b/>
        </w:rPr>
        <w:t>Autosurveillance</w:t>
      </w:r>
      <w:r>
        <w:t xml:space="preserve"> : glycémie capillaire avant chaque repas (objectif 0,80–1,30 g/L), au coucher (objectif 1,00–1,40 g/L), et à 3 h du matin en cas de suspicion d'hypoglycémie nocturne. Tenir un carnet de surveillance (glycémies, doses, repas, événements).</w:t>
      </w:r>
    </w:p>
    <w:p>
      <w:r/>
      <w:r>
        <w:rPr>
          <w:b/>
        </w:rPr>
        <w:t>Notes, Règles d'Or &amp; Pièges au Comptoir :</w:t>
      </w:r>
      <w:r/>
    </w:p>
    <w:p>
      <w:pPr>
        <w:pStyle w:val="ListBullet"/>
      </w:pPr>
      <w:r>
        <w:t xml:space="preserve">Piège classique : Confusion entre insuline rapide (asparte/lispro/glulisine) et insuline lente (glargine/dégludec/detémir/NPH). L'asparte est </w:t>
      </w:r>
      <w:r>
        <w:rPr>
          <w:b/>
        </w:rPr>
        <w:t>transparente</w:t>
      </w:r>
      <w:r>
        <w:t xml:space="preserve"> (solution claire), la NPH et les biphasiques sont </w:t>
      </w:r>
      <w:r>
        <w:rPr>
          <w:b/>
        </w:rPr>
        <w:t>troubles</w:t>
      </w:r>
      <w:r>
        <w:t xml:space="preserve"> (suspension). Ne jamais injecter l'asparte comme basal (durée trop courte → acidocétose en 4–6 h si oubli). Ne jamais injecter la glargine comme bolus prandial (durée trop longue, pas de pic → hyperglycémie post-prandiale puis hypoglycémie tardive).</w:t>
      </w:r>
    </w:p>
    <w:p>
      <w:pPr>
        <w:pStyle w:val="ListBullet"/>
      </w:pPr>
      <w:r>
        <w:t>Règle de prise : Asparte = « insuline des repas », à injecter 0–15 min AVANT le début du repas. Ne pas injecter à jeun (risque d'hypoglycémie immédiate sévère).</w:t>
      </w:r>
    </w:p>
    <w:p>
      <w:pPr>
        <w:pStyle w:val="ListBullet"/>
      </w:pPr>
      <w:r>
        <w:t>Préparation et Conservation : Flacon ou stylo non entamé : +2°C à +8°C (porte du réfrigérateur, jamais le congélateur — congélation = dénaturation irréversible de la protéine). Stylo en cours d'utilisation : température ambiante &lt; 25°C pendant 4 semaines maximum. Protéger de la lumière directe. Ne pas exposer à &gt; 30°C (voiture en été, plage). Vérifier la date de péremption. En voyage : trousse isotherme avec accumulation de froid (pochettes réfrigérantes gelées à &gt; 0°C, jamais en contact direct avec glace).</w:t>
      </w:r>
    </w:p>
    <w:p>
      <w:pPr>
        <w:pStyle w:val="ListBullet"/>
      </w:pPr>
      <w:r>
        <w:t xml:space="preserve">Piège du surdosage / Substitution : Erreur de dosage </w:t>
      </w:r>
      <w:r>
        <w:rPr>
          <w:b/>
        </w:rPr>
        <w:t>U100 vs U300</w:t>
      </w:r>
      <w:r>
        <w:t xml:space="preserve"> — l'asparte est uniquement en U100, mais la glargine existe en U100 et U300 ; ne jamais substituer 1 U300 par 3 U100 (surdosage massif = hypoglycémie sévère prolongée). Vérifier systématiquement la concentration sur l'étiquette. Ne pas substituer la marque sans accord du prescripteur (bioéquivalence démontrée mais habitude de stylo et intervalle thérapeutique étroit). Attention à l'interaction insuline + alcool (risque d'hypoglycémie sévère retardée, parfois mortelle — éducation du patient sur le jeûne prolongé associé). Ne pas mélanger l'asparte avec une autre insuline dans la même cartouche (sauf cas particulier de Ryzodeg préformulé dégludec+asparte, qui est commercialisé tel quel et non reconstituable à la seringue).</w:t>
      </w:r>
    </w:p>
    <w:p>
      <w:pPr>
        <w:pStyle w:val="Heading3"/>
      </w:pPr>
      <w:r>
        <w:t>2. DCI : Insuline glulisine (Seule)</w:t>
      </w:r>
    </w:p>
    <w:p>
      <w:r/>
      <w:r>
        <w:rPr>
          <w:b/>
        </w:rPr>
        <w:t>Liste des Catégories :</w:t>
      </w:r>
      <w:r>
        <w:t xml:space="preserve"> Insulines — Analogues ultra-rapides</w:t>
      </w:r>
    </w:p>
    <w:p>
      <w:r>
        <w:t>L'insuline glulisine (Apidra, Sanofi) est un analogue d'insuline humaine recombinante produit sur souche d'</w:t>
      </w:r>
      <w:r>
        <w:rPr>
          <w:i/>
        </w:rPr>
        <w:t>Escherichia coli</w:t>
      </w:r>
      <w:r>
        <w:t xml:space="preserve">, caractérisé par deux substitutions d'acides aminés en chaîne B : </w:t>
      </w:r>
      <w:r>
        <w:rPr>
          <w:b/>
        </w:rPr>
        <w:t>AsnB3 → Lys</w:t>
      </w:r>
      <w:r>
        <w:t xml:space="preserve"> et </w:t>
      </w:r>
      <w:r>
        <w:rPr>
          <w:b/>
        </w:rPr>
        <w:t>LysB29 → Glu</w:t>
      </w:r>
      <w:r>
        <w:t xml:space="preserve">. Ces modifications réduisent l'auto-association en dimères/hexamères par modification de la charge électrique de surface et par empêchement stérique au niveau du site de contact B3 (qui médie normalement la formation des dimères). La glulisine contient également un excipient stabilisateur particulier — le </w:t>
      </w:r>
      <w:r>
        <w:rPr>
          <w:b/>
        </w:rPr>
        <w:t>polysorbate 20</w:t>
      </w:r>
      <w:r>
        <w:t xml:space="preserve"> — qui prévient l'agrégation interfaciale. Profil pharmacocinétique : début d'action 10–15 min, pic 55–90 min (légèrement plus précoce que la lispro et l'asparte), durée d'action 3–5 h (légèrement plus courte). Sa cinétique prandiale est comparable à celle de la lispro et de l'asparte, et elle partage les mêmes indications que les autres analogues ultra-rapides. La glulisine a été développée comme alternative à la lispro/asparte pour élargir l'offre thérapeutique et elle présente la particularité d'être autorisée en injection 0–15 min avant ou juste après le début du repas (flexibilité supérieure pour les repas imprévus ou les enfants à prise alimentaire capricieuse).</w:t>
      </w:r>
    </w:p>
    <w:p>
      <w:r/>
      <w:r>
        <w:rPr>
          <w:b/>
        </w:rPr>
        <w:t>Médicaments disponibles en Algérie (Marques, Laboratoires, Formes et Dosages) :</w:t>
      </w:r>
      <w:r/>
    </w:p>
    <w:p>
      <w:pPr>
        <w:pStyle w:val="ListBullet"/>
      </w:pPr>
      <w:r/>
      <w:r>
        <w:rPr>
          <w:b/>
        </w:rPr>
        <w:t>APIDRA</w:t>
      </w:r>
      <w:r>
        <w:t xml:space="preserve"> (SANOFI AVENTIS)</w:t>
      </w:r>
    </w:p>
    <w:p>
      <w:pPr>
        <w:pStyle w:val="ListBullet"/>
      </w:pPr>
      <w:r>
        <w:t>Formes et Dosages : Solution injectable SC en flacon, 100 UI/mL ; boîte de 1 flacon de 10 mL</w:t>
      </w:r>
    </w:p>
    <w:p>
      <w:pPr>
        <w:pStyle w:val="ListBullet"/>
      </w:pPr>
      <w:r>
        <w:t xml:space="preserve">Statut : </w:t>
      </w:r>
      <w:r>
        <w:rPr>
          <w:b/>
        </w:rPr>
        <w:t>Non Renouvelable</w:t>
      </w:r>
      <w:r>
        <w:t xml:space="preserve"> (pénurie / retrait commercial — alerte de disponibilité)</w:t>
      </w:r>
    </w:p>
    <w:p>
      <w:pPr>
        <w:pStyle w:val="ListBullet"/>
      </w:pPr>
      <w:r/>
      <w:r>
        <w:rPr>
          <w:b/>
        </w:rPr>
        <w:t>APIDRA SOLOSTAR</w:t>
      </w:r>
      <w:r>
        <w:t xml:space="preserve"> (SANOFI AVENTIS DEUTSCHLAND GMBH)</w:t>
      </w:r>
    </w:p>
    <w:p>
      <w:pPr>
        <w:pStyle w:val="ListBullet"/>
      </w:pPr>
      <w:r>
        <w:t>Formes et Dosages : Solution injectable SC en stylo prérempli SoloStar, 100 UI/mL (3,49 mg/mL) ; boîte de 5 stylos préremplis SoloStar de 3 mL</w:t>
      </w:r>
    </w:p>
    <w:p>
      <w:pPr>
        <w:pStyle w:val="ListBullet"/>
      </w:pPr>
      <w:r>
        <w:t xml:space="preserve">Statut : </w:t>
      </w:r>
      <w:r>
        <w:rPr>
          <w:b/>
        </w:rPr>
        <w:t>Non Renouvelable</w:t>
      </w:r>
      <w:r>
        <w:t xml:space="preserve"> (pénurie signalée — recommander substitution par asparte ou lispro)</w:t>
      </w:r>
    </w:p>
    <w:p>
      <w:pPr>
        <w:pStyle w:val="ListBullet"/>
      </w:pPr>
      <w:r/>
      <w:r>
        <w:rPr>
          <w:b/>
        </w:rPr>
        <w:t>APIDRA en cartouche</w:t>
      </w:r>
      <w:r>
        <w:t xml:space="preserve"> (SANOFI AVENTIS) — *forme historique en cartouche 3 mL pour stylo Opticlik/Optipen* (R)</w:t>
      </w:r>
    </w:p>
    <w:p>
      <w:pPr>
        <w:pStyle w:val="ListBullet"/>
      </w:pPr>
      <w:r>
        <w:t>Formes et Dosages : Solution injectable SC en cartouche, 100 UI/mL ; boîte de 3 cartouches de 3 mL pour OptiClik ou OptiPen</w:t>
      </w:r>
    </w:p>
    <w:p>
      <w:pPr>
        <w:pStyle w:val="ListBullet"/>
      </w:pPr>
      <w:r>
        <w:t xml:space="preserve">Statut : </w:t>
      </w:r>
      <w:r>
        <w:rPr>
          <w:b/>
        </w:rPr>
        <w:t>Retiré (R)</w:t>
      </w:r>
      <w:r/>
    </w:p>
    <w:p>
      <w:pPr>
        <w:pStyle w:val="ListBullet"/>
      </w:pPr>
      <w:r/>
      <w:r>
        <w:rPr>
          <w:b/>
        </w:rPr>
        <w:t>APIDRA OPTISET</w:t>
      </w:r>
      <w:r>
        <w:t xml:space="preserve"> (SANOFI AVENTIS DEUTSCHLAND GMBH) — *stylo prérempli historique*</w:t>
      </w:r>
    </w:p>
    <w:p>
      <w:pPr>
        <w:pStyle w:val="ListBullet"/>
      </w:pPr>
      <w:r>
        <w:t>Formes et Dosages : Solution injectable SC en stylo prérempli OptiSet, 100 UI/mL (3,49 mg/mL) ; boîte de 5 stylos préremplis de 3 mL</w:t>
      </w:r>
    </w:p>
    <w:p>
      <w:pPr>
        <w:pStyle w:val="ListBullet"/>
      </w:pPr>
      <w:r>
        <w:t xml:space="preserve">Statut : </w:t>
      </w:r>
      <w:r>
        <w:rPr>
          <w:b/>
        </w:rPr>
        <w:t>Retiré (R)</w:t>
      </w:r>
      <w:r/>
    </w:p>
    <w:p>
      <w:r/>
      <w:r>
        <w:rPr>
          <w:b/>
        </w:rPr>
        <w:t>Sous-classe et Mécanisme d'action :</w:t>
      </w:r>
      <w:r/>
    </w:p>
    <w:p>
      <w:pPr>
        <w:pStyle w:val="ListBullet"/>
      </w:pPr>
      <w:r>
        <w:t>Sous-classe : Analogue d'insuline ultra-rapide (bolus prandial), alternative aux autres analogues rapides (lispro, asparte), grossesse (données plus limitées — non recommandée en première intention chez la femme enceinte selon CRAT qui privilégie asparte, lispro et humaine régulière), pompe-compatible (avec réservoirs compatibles polysorbate).</w:t>
      </w:r>
    </w:p>
    <w:p>
      <w:pPr>
        <w:pStyle w:val="ListBullet"/>
      </w:pPr>
      <w:r>
        <w:t>Mécanisme d'action : Identique à l'insuline humaine endogène. La glulisine se fixe au récepteur de l'insuline α2β2 avec une affinité équivalente (Kd ~0,5 nM), déclenchant l'autophosphorylation β, le recrutement d'IRS-1/IRS-2, l'activation de PI3K → PIP3 → PDK1 → Akt. Akt phosphoryle AS160/TBC1D4, levant l'inhibition sur Rab-GTPase, permettant la translocation des vésicules GLUT4 vers la membrane plasmique (muscle, tissu adipeux). Akt phosphoryle et inactive GSK3β → activation glycogène synthase → glycogénogenèse musculaire et hépatique. La voie MAPK (Ras-Raf-MEK-ERK) est activée parallèlement et médie la protéosynthèse et la croissance cellulaire. L'insuline inhibe la lipolyse (phosphorylation HSL), stimule la lipogénèse (SREBP-1c, ACC, FAS), inhibe la néoglucogenèse hépatique (répression transcriptionnelle PEPCK et G6Pase via FoxO1 phosphorylé). Les substitutions AsnB3Lys et LysB29Glu ne modifient ni l'affinité IR, ni la signalisation post-récepteur, ni l'immunogénicité — elles n'affectent que la pharmacocinétique d'absorption SC.</w:t>
      </w:r>
    </w:p>
    <w:p>
      <w:r/>
      <w:r>
        <w:rPr>
          <w:b/>
        </w:rPr>
        <w:t>Profil Pharmacologique :</w:t>
      </w:r>
      <w:r/>
    </w:p>
    <w:p>
      <w:pPr>
        <w:pStyle w:val="ListBullet"/>
      </w:pPr>
      <w:r>
        <w:t>Indications : DT1 en basal-bolus (bolus prandial × 3/j), DT2 insulino-requis en complément d'un basal, en pompe à insuline. Moins privilégiée en grossesse (données plus limitées que pour asparte/lispro).</w:t>
      </w:r>
    </w:p>
    <w:p>
      <w:pPr>
        <w:pStyle w:val="ListBullet"/>
      </w:pPr>
      <w:r>
        <w:t>Contre-indications : Hypoglycémie, hypersensibilité à la glulisine ou à un excipient (m-crésol, polysorbate 20), pompe à insuline en cas de formulation incompatible (vérifier notice), ne pas administrer par voie IM.</w:t>
      </w:r>
    </w:p>
    <w:p>
      <w:pPr>
        <w:pStyle w:val="ListBullet"/>
      </w:pPr>
      <w:r>
        <w:t>Effets Indésirables : Hypoglycémie (le plus fréquent, &gt; 10 %), lipodystrophie (lipo-hypertrophie en cas de non-rotation des sites), prise de poids, œdèmes transitoires à l'initiation, réactions locales au site d'injection (rougeur, prurit), allergie rare, hypokaliémie (en IV surtout), aggravation transitoire d'une rétinopathie à l'initiation.</w:t>
      </w:r>
    </w:p>
    <w:p>
      <w:pPr>
        <w:pStyle w:val="ListBullet"/>
      </w:pPr>
      <w:r>
        <w:t>Surveillance : Glycémie capillaire ≥ 3/jour en basal-bolus, HbA1c trimestrielle (objectif &lt; 7 % en général, individualisé), contrôle trimestriel : fonction rénale (créatinine, DFG), bilan hépatique, lipidique, ophtalmologique annuel, examen podologique annuel.</w:t>
      </w:r>
    </w:p>
    <w:p>
      <w:r/>
      <w:r>
        <w:rPr>
          <w:b/>
        </w:rPr>
        <w:t>Prévention et Gestion des Effets Indésirables :</w:t>
      </w:r>
      <w:r/>
    </w:p>
    <w:p>
      <w:pPr>
        <w:pStyle w:val="ListBullet"/>
      </w:pPr>
      <w:r>
        <w:t>Mesures Préventives : Rotation stricte des sites d'injection (quadrants abdomen-cuisse-bras-fesse, espacer les injections de 2 cm, ne pas réutiliser le même site avant 3–4 semaines), autosurveillance glycémique 3–4 fois/jour, éducation thérapeutique structurée (DSME), aiguille jetable à chaque injection (4–8 mm), vérification visuelle de la solution (limpide, incolore, sans particules).</w:t>
      </w:r>
    </w:p>
    <w:p>
      <w:pPr>
        <w:pStyle w:val="ListBullet"/>
      </w:pPr>
      <w:r>
        <w:t xml:space="preserve">Conduite à Tenir : </w:t>
      </w:r>
      <w:r>
        <w:rPr>
          <w:b/>
        </w:rPr>
        <w:t>Hypoglycémie</w:t>
      </w:r>
      <w:r>
        <w:t xml:space="preserve"> : règle des 15/15 — 15 g de glucides rapides (3 morceaux de sucre, 1 verre de soda normal, 1 tube de glucose) puis contrôle à 15 min ; si &lt; 0,70 g/L persistant, répéter 15 g ; collation de relais (glucides complexes). </w:t>
      </w:r>
      <w:r>
        <w:rPr>
          <w:b/>
        </w:rPr>
        <w:t>Hypoglycémie sévère (inconscient)</w:t>
      </w:r>
      <w:r>
        <w:t xml:space="preserve"> : glucagon IM/SC 1 mg par proche formé, ou G30 % IV 50–100 mL en milieu médical, surveillance 24 h, recherche cause déclenchante. </w:t>
      </w:r>
      <w:r>
        <w:rPr>
          <w:b/>
        </w:rPr>
        <w:t>Lipodystrophie</w:t>
      </w:r>
      <w:r>
        <w:t xml:space="preserve"> : arrêt injections au site atteint (résorption lente sur semaines-mois), éducation renforcée.</w:t>
      </w:r>
    </w:p>
    <w:p>
      <w:r/>
      <w:r>
        <w:rPr>
          <w:b/>
        </w:rPr>
        <w:t>Interactions Importantes :</w:t>
      </w:r>
      <w:r/>
    </w:p>
    <w:p>
      <w:pPr>
        <w:pStyle w:val="ListBullet"/>
      </w:pPr>
      <w:r/>
      <w:r>
        <w:rPr>
          <w:b/>
        </w:rPr>
        <w:t>Glulisine + β-bloquants</w:t>
      </w:r>
      <w:r>
        <w:t xml:space="preserve"> : masquage des signes adrénergiques d'hypoglycémie (sueurs, palpitations, tremblements) — vigilance accrue.</w:t>
      </w:r>
    </w:p>
    <w:p>
      <w:pPr>
        <w:pStyle w:val="ListBullet"/>
      </w:pPr>
      <w:r/>
      <w:r>
        <w:rPr>
          <w:b/>
        </w:rPr>
        <w:t>Glulisine + AINS, sulfamides, alcool, IEC</w:t>
      </w:r>
      <w:r>
        <w:t xml:space="preserve"> : potentialisation hypoglycémique.</w:t>
      </w:r>
    </w:p>
    <w:p>
      <w:pPr>
        <w:pStyle w:val="ListBullet"/>
      </w:pPr>
      <w:r/>
      <w:r>
        <w:rPr>
          <w:b/>
        </w:rPr>
        <w:t>Glulisine + corticoïdes, danazol, diurétiques thiazidiques, isoniazide, hormones thyroïdiennes, œstrogènes, progestatifs, glucagon, sympathomimétiques</w:t>
      </w:r>
      <w:r>
        <w:t xml:space="preserve"> : baisse d'effet de l'insuline (hyperglycémie).</w:t>
      </w:r>
    </w:p>
    <w:p>
      <w:pPr>
        <w:pStyle w:val="ListBullet"/>
      </w:pPr>
      <w:r/>
      <w:r>
        <w:rPr>
          <w:b/>
        </w:rPr>
        <w:t>Glulisine + pentamidine</w:t>
      </w:r>
      <w:r>
        <w:t xml:space="preserve"> : hypoglycémie initiale puis hyperglycémie.</w:t>
      </w:r>
    </w:p>
    <w:p>
      <w:pPr>
        <w:pStyle w:val="ListBullet"/>
      </w:pPr>
      <w:r/>
      <w:r>
        <w:rPr>
          <w:b/>
        </w:rPr>
        <w:t>Glulisine + inhibiteurs MAO, fluoxétine, sulfamides antibactériens</w:t>
      </w:r>
      <w:r>
        <w:t xml:space="preserve"> : potentialisation hypoglycémique.</w:t>
      </w:r>
    </w:p>
    <w:p>
      <w:pPr>
        <w:pStyle w:val="ListBullet"/>
      </w:pPr>
      <w:r/>
      <w:r>
        <w:rPr>
          <w:b/>
        </w:rPr>
        <w:t>Glulisine + somatostatine analogues (octréotide, lanréotide)</w:t>
      </w:r>
      <w:r>
        <w:t xml:space="preserve"> : diminution de la sécrétion de glucagon et de l'insulino-résistance — adaptation.</w:t>
      </w:r>
    </w:p>
    <w:p>
      <w:r/>
      <w:r>
        <w:rPr>
          <w:b/>
        </w:rPr>
        <w:t>Grossesse et Allaitement :</w:t>
      </w:r>
      <w:r/>
    </w:p>
    <w:p>
      <w:pPr>
        <w:pStyle w:val="ListBullet"/>
      </w:pPr>
      <w:r>
        <w:t xml:space="preserve">Grossesse : Selon le CRAT, l'insuline glulisine peut être prescrite pendant la grossesse si nécessaire (données limitées mais rassurantes), cependant les analogues asparte et lispro ainsi que l'insuline humaine régulière sont </w:t>
      </w:r>
      <w:r>
        <w:rPr>
          <w:b/>
        </w:rPr>
        <w:t>préférés</w:t>
      </w:r>
      <w:r>
        <w:t xml:space="preserve"> (données plus larges). L'insuline ne traverse pas le placent. Les besoins augmentent au cours de la grossesse (× 2–3 au 3e trimestre) puis chutent en post-partum immédiat.</w:t>
      </w:r>
    </w:p>
    <w:p>
      <w:pPr>
        <w:pStyle w:val="ListBullet"/>
      </w:pPr>
      <w:r>
        <w:t>Allaitement : Compatible (CRAT). Insuline dégradée par les protéases digestives du nourrisson. Allaitement recommandé. Adapter la posologie (baisse des besoins, hypoglycémie possible lors des tétées nocturnes).</w:t>
      </w:r>
    </w:p>
    <w:p>
      <w:pPr>
        <w:pStyle w:val="ListBullet"/>
      </w:pPr>
      <w:r>
        <w:t>Précisions : Autosurveillance 6–8/jour (pré et 1 h post-prandial, coucher, nuit). Objectifs stricts selon HAS/CDA (jeûne &lt; 0,95 g/L, 1 h post-prandial &lt; 1,40 g/L, HbA1c &lt; 6,5 % si possible sans hypoglycémie sévère).</w:t>
      </w:r>
    </w:p>
    <w:p>
      <w:r/>
      <w:r>
        <w:rPr>
          <w:b/>
        </w:rPr>
        <w:t>Posologie et Mode d'administration (Standard) :</w:t>
      </w:r>
      <w:r/>
    </w:p>
    <w:p>
      <w:pPr>
        <w:pStyle w:val="ListBullet"/>
      </w:pPr>
      <w:r>
        <w:t>Adulte : DT1 — 0,5–1 UI/kg/j total, ~50 % basal + ~50 % bolus glulisine × 3/j avant repas. DT2 — Initiation glulisine en complément du basal : 4 UI avant repas principal, titration +2 UI tous les 3 jours selon glycémie post-prandiale. En pompe : débit de basal 0,5–1 UI/h + bolus prandiaux.</w:t>
      </w:r>
    </w:p>
    <w:p>
      <w:pPr>
        <w:pStyle w:val="ListBullet"/>
      </w:pPr>
      <w:r>
        <w:t>Enfant : 0,5–1 UI/kg/j, adaptation selon puberté.</w:t>
      </w:r>
    </w:p>
    <w:p>
      <w:pPr>
        <w:pStyle w:val="ListBullet"/>
      </w:pPr>
      <w:r>
        <w:t>Durée : À vie.</w:t>
      </w:r>
    </w:p>
    <w:p>
      <w:pPr>
        <w:pStyle w:val="ListBullet"/>
      </w:pPr>
      <w:r>
        <w:t>Moment de prise : 0–15 min avant le repas, ou jusqu'à 20 min après le début du repas en cas d'oubli (unique parmi les analogues ultra-rapides — flexibilité accrue pour enfants et imprévus). Ne jamais injecter à jeun sans repas imminent.</w:t>
      </w:r>
    </w:p>
    <w:p>
      <w:r/>
      <w:r>
        <w:rPr>
          <w:b/>
        </w:rPr>
        <w:t>Arbitrage et Bénéfices des Formes Galéniques :</w:t>
      </w:r>
      <w:r/>
    </w:p>
    <w:p>
      <w:r>
        <w:t xml:space="preserve">Le stylo SoloStar prérempli jetable est la forme privilégiée en ambulatoire — ergonomique, précision 1 UI, aiguille 4–8 mm, fenêtre de dose large. Le flacon 10 mL avec seringue U100 est réservé à l'usage hospitalier, à la perfusion IV et aux pompes à insuline (compatible selon le fabricant). La cartouche OptiClik/OptiPen est aujourd'hui retirée du marché algérien. Comparé à la lispro et l'asparte, la glulisine présente un profil PK/PD équivalent mais sa flexibilité d'administration post-prandiale est un avantage pour les patients aux prises alimentaires capricieuses (sujets âgés dénutris, enfants, troubles du comportement alimentaire). </w:t>
      </w:r>
      <w:r>
        <w:rPr>
          <w:b/>
        </w:rPr>
        <w:t>Alerte Algérie</w:t>
      </w:r>
      <w:r>
        <w:t xml:space="preserve"> : tous les conditionnements glulisine sont actuellement Non Renouvelables ou Retirés — en cas de pénurie, substituer par asparte ou lispro (équivalence 1 UI pour 1 UI, surveillance renforcée des 2 premières semaines pour adapter les doses).</w:t>
      </w:r>
    </w:p>
    <w:p>
      <w:r/>
      <w:r>
        <w:rPr>
          <w:b/>
        </w:rPr>
        <w:t>Instructions et Conseils au Patient :</w:t>
      </w:r>
      <w:r/>
    </w:p>
    <w:p>
      <w:pPr>
        <w:pStyle w:val="ListBullet"/>
      </w:pPr>
      <w:r>
        <w:t>Communication au comptoir : « L'Apdra (glulisine) est une insuline rapide des repas. Injectez-la 0 à 15 minutes avant le repas, ou exceptionnellement jusqu'à 20 minutes après le début du repas si vous avez oublié (c'est la seule insuline rapide qui permet cette souplesse). Solution claire, transparente. Conservez les stylos au réfrigérateur avant ouverture (+2 à +8°C, ne pas congeler) ; une fois entamés, à température ambiante &lt; 25°C pendant 4 semaines maximum. Vérifiez la limpidité avant chaque injection. Jetez l'aiguille après chaque injection. »</w:t>
      </w:r>
    </w:p>
    <w:p>
      <w:pPr>
        <w:pStyle w:val="ListBullet"/>
      </w:pPr>
      <w:r>
        <w:t>Mode d'utilisation pratique : Laver les mains, vérifier dose, aiguiller le stylo (2 UI jetées en l'air pour chasser bulles d'air), pincer le pli cutané, injecter à 90°, maintenir 10 secondes, retirer, jeter aiguille. Rotation des sites : abdomen (résorption la plus rapide et la plus prévisible), cuisse, bras, fesse. Éviter les lipodystrophies (sites indurés, peu résorbants). En cas d'oubli : surveillance glycémique, ajustement.</w:t>
      </w:r>
    </w:p>
    <w:p>
      <w:r/>
      <w:r>
        <w:rPr>
          <w:b/>
        </w:rPr>
        <w:t>Notes, Règles d'Or &amp; Pièges au Comptoir :</w:t>
      </w:r>
      <w:r/>
    </w:p>
    <w:p>
      <w:pPr>
        <w:pStyle w:val="ListBullet"/>
      </w:pPr>
      <w:r>
        <w:t>Piège classique : Confondre glulisine (rapide, transparente) avec la glargine (lente, transparente aussi mais étiquetée « Basal ») — vérifier systématiquement l'étiquette et la couleur du capuchon (SoloStar Apidra = bleu, SoloStar Lantus = gris/violet, Toujeo = bleu foncé). Substitution erronée peut être fatale (acidocétose si glulisine arrêtée, hypoglycémie sévère si glargine injectée comme bolus).</w:t>
      </w:r>
    </w:p>
    <w:p>
      <w:pPr>
        <w:pStyle w:val="ListBullet"/>
      </w:pPr>
      <w:r>
        <w:t>Règle de prise : Glulisine = bolus prandial, 0–15 min avant le repas, ou jusqu'à 20 min après. Ne jamais injecter à jeun.</w:t>
      </w:r>
    </w:p>
    <w:p>
      <w:pPr>
        <w:pStyle w:val="ListBullet"/>
      </w:pPr>
      <w:r>
        <w:t>Préparation et Conservation : Non entamé : +2°C à +8°C, jamais congelé, à l'abri de la lumière. Entamé : T° ambiante &lt; 25°C, 4 semaines max. Ne pas exposer à &gt; 30°C (voiture en été). Voyage : trousse isotherme.</w:t>
      </w:r>
    </w:p>
    <w:p>
      <w:pPr>
        <w:pStyle w:val="ListBullet"/>
      </w:pPr>
      <w:r>
        <w:t>Piège du surdosage / Substitution : En cas de pénurie de glulisine (actuellement non renouvelable en Algérie), substituer par asparte ou lispro en respectant 1 UI pour 1 UI et en renforçant l'autosurveillance 2 semaines. Ne pas substituer par insuline humaine régulière sans adaptation temporelle (la régulière s'injecte 30 min avant repas, pas 0–15 min comme la glulisine — risque d'hypoglycémie post-prandiale si injectée trop tôt). Vérifier systématiquement la concentration (U100) et la date de péremption. Ne pas transvaser la glulisine d'un flacon à un autre (risque de contamination, dénaturation).</w:t>
      </w:r>
    </w:p>
    <w:p>
      <w:pPr>
        <w:pStyle w:val="Heading3"/>
      </w:pPr>
      <w:r>
        <w:t>3. DCI : Insuline lispro (Seule)</w:t>
      </w:r>
    </w:p>
    <w:p>
      <w:r/>
      <w:r>
        <w:rPr>
          <w:b/>
        </w:rPr>
        <w:t>Liste des Catégories :</w:t>
      </w:r>
      <w:r>
        <w:t xml:space="preserve"> Insulines — Analogues ultra-rapides</w:t>
      </w:r>
    </w:p>
    <w:p>
      <w:r>
        <w:t xml:space="preserve">L'insuline lispro (Humalog, Eli Lilly) est le </w:t>
      </w:r>
      <w:r>
        <w:rPr>
          <w:b/>
        </w:rPr>
        <w:t>premier analogue d'insuline ultra-rapide</w:t>
      </w:r>
      <w:r>
        <w:t xml:space="preserve"> mis sur le marché (1996, AMM européenne). Elle est produite par technologie ADN recombinant sur souche d'</w:t>
      </w:r>
      <w:r>
        <w:rPr>
          <w:i/>
        </w:rPr>
        <w:t>Escherichia coli</w:t>
      </w:r>
      <w:r>
        <w:t xml:space="preserve">. Sa structure est identique à l'insuline humaine à l'exception de l'inversion des résidus d'acides aminés en positions B28 et B29 : </w:t>
      </w:r>
      <w:r>
        <w:rPr>
          <w:b/>
        </w:rPr>
        <w:t>ProB28-LysB29</w:t>
      </w:r>
      <w:r>
        <w:t xml:space="preserve"> de l'humaine devient </w:t>
      </w:r>
      <w:r>
        <w:rPr>
          <w:b/>
        </w:rPr>
        <w:t>LysB28-ProB29</w:t>
      </w:r>
      <w:r>
        <w:t xml:space="preserve"> dans la lispro. Cette inversion empêche la formation des dimères et des hexamères (qui sont à la base de l'absorption lente de l'insuline humaine régulière — l'humaine régulière sous-cutanée forme des hexamères en présence de zinc qu'elle doit dissocier en dimères puis monomères pour être absorbée). La lispro, sous forme monomérique immédiate, est résorbée en 10–15 min. Profil pharmacocinétique : début d'action 10–20 min, pic 30–90 min, durée 3–5 h. C'est l'analogue ultra-rapide avec la plus large expérience clinique chez la femme enceinte (données CRAT rassurantes) et chez l'enfant (à partir de 3 ans). Compatible avec les pompes à insuline. Administrable par voie SC (stylo prérempli KwikPen, cartouche pour stylo réutilisable) ou IV (rare, en hospitalisation).</w:t>
      </w:r>
    </w:p>
    <w:p>
      <w:r/>
      <w:r>
        <w:rPr>
          <w:b/>
        </w:rPr>
        <w:t>Médicaments disponibles en Algérie (Marques, Laboratoires, Formes et Dosages) :</w:t>
      </w:r>
      <w:r/>
    </w:p>
    <w:p>
      <w:pPr>
        <w:pStyle w:val="ListBullet"/>
      </w:pPr>
      <w:r/>
      <w:r>
        <w:rPr>
          <w:b/>
        </w:rPr>
        <w:t>HUMALOG 100</w:t>
      </w:r>
      <w:r>
        <w:t xml:space="preserve"> (BIOPHARM)</w:t>
      </w:r>
    </w:p>
    <w:p>
      <w:pPr>
        <w:pStyle w:val="ListBullet"/>
      </w:pPr>
      <w:r>
        <w:t>Formes et Dosages : Solution injectable SC/IV en cartouches pour stylo, 100 UI/mL (3,5 mg/mL) ; boîte de 5 cartouches de 3 mL</w:t>
      </w:r>
    </w:p>
    <w:p>
      <w:pPr>
        <w:pStyle w:val="ListBullet"/>
      </w:pPr>
      <w:r>
        <w:t>Statut : Actif (générique)</w:t>
      </w:r>
    </w:p>
    <w:p>
      <w:pPr>
        <w:pStyle w:val="ListBullet"/>
      </w:pPr>
      <w:r/>
      <w:r>
        <w:rPr>
          <w:b/>
        </w:rPr>
        <w:t>HUMALOG KwikPen</w:t>
      </w:r>
      <w:r>
        <w:t xml:space="preserve"> (BIOPHARM)</w:t>
      </w:r>
    </w:p>
    <w:p>
      <w:pPr>
        <w:pStyle w:val="ListBullet"/>
      </w:pPr>
      <w:r>
        <w:t>Formes et Dosages : Solution injectable SC en stylo prérempli KwikPen, 100 UI/mL (3,5 mg/mL) ; boîte de 5 stylos préremplis de 3 mL</w:t>
      </w:r>
    </w:p>
    <w:p>
      <w:pPr>
        <w:pStyle w:val="ListBullet"/>
      </w:pPr>
      <w:r>
        <w:t>Statut : Actif (générique)</w:t>
      </w:r>
    </w:p>
    <w:p>
      <w:pPr>
        <w:pStyle w:val="ListBullet"/>
      </w:pPr>
      <w:r/>
      <w:r>
        <w:rPr>
          <w:b/>
        </w:rPr>
        <w:t>HUMALOG 100</w:t>
      </w:r>
      <w:r>
        <w:t xml:space="preserve"> (ELI LILLY NEDERLAND B.V.) — *princeps historique*</w:t>
      </w:r>
    </w:p>
    <w:p>
      <w:pPr>
        <w:pStyle w:val="ListBullet"/>
      </w:pPr>
      <w:r>
        <w:t>Formes et Dosages : Solution injectable SC/IV en cartouche pour stylo, 100 UI/mL (3,5 mg/mL) ; boîte de 5 cartouches de 3 mL</w:t>
      </w:r>
    </w:p>
    <w:p>
      <w:pPr>
        <w:pStyle w:val="ListBullet"/>
      </w:pPr>
      <w:r>
        <w:t xml:space="preserve">Statut : </w:t>
      </w:r>
      <w:r>
        <w:rPr>
          <w:b/>
        </w:rPr>
        <w:t>Non Renouvelable</w:t>
      </w:r>
      <w:r>
        <w:t xml:space="preserve"> (substitution par générique BIOPHARM recommandée)</w:t>
      </w:r>
    </w:p>
    <w:p>
      <w:pPr>
        <w:pStyle w:val="ListBullet"/>
      </w:pPr>
      <w:r/>
      <w:r>
        <w:rPr>
          <w:b/>
        </w:rPr>
        <w:t>HUMALOG flacon</w:t>
      </w:r>
      <w:r>
        <w:t xml:space="preserve"> (ELI LILLY NEDERLAND B.V.)</w:t>
      </w:r>
    </w:p>
    <w:p>
      <w:pPr>
        <w:pStyle w:val="ListBullet"/>
      </w:pPr>
      <w:r>
        <w:t>Formes et Dosages : Solution injectable SC/IV en flacon, 100 UI/mL (3,5 mg/mL) ; boîte de 1 flacon de 10 mL</w:t>
      </w:r>
    </w:p>
    <w:p>
      <w:pPr>
        <w:pStyle w:val="ListBullet"/>
      </w:pPr>
      <w:r>
        <w:t xml:space="preserve">Statut : </w:t>
      </w:r>
      <w:r>
        <w:rPr>
          <w:b/>
        </w:rPr>
        <w:t>Non Renouvelable</w:t>
      </w:r>
      <w:r>
        <w:t xml:space="preserve"> (forme historique pour seringue U100)</w:t>
      </w:r>
    </w:p>
    <w:p>
      <w:pPr>
        <w:pStyle w:val="ListBullet"/>
      </w:pPr>
      <w:r/>
      <w:r>
        <w:rPr>
          <w:b/>
        </w:rPr>
        <w:t>HUMALOG KIWIKPEN</w:t>
      </w:r>
      <w:r>
        <w:t xml:space="preserve"> (ELI LILLY NEDERLAND B.V.)</w:t>
      </w:r>
    </w:p>
    <w:p>
      <w:pPr>
        <w:pStyle w:val="ListBullet"/>
      </w:pPr>
      <w:r>
        <w:t>Formes et Dosages : Solution injectable SC en stylo prérempli KwikPen, 100 UI/mL (3,5 mg/mL) ; boîte de 5 stylos préremplis de 3 mL</w:t>
      </w:r>
    </w:p>
    <w:p>
      <w:pPr>
        <w:pStyle w:val="ListBullet"/>
      </w:pPr>
      <w:r>
        <w:t xml:space="preserve">Statut : </w:t>
      </w:r>
      <w:r>
        <w:rPr>
          <w:b/>
        </w:rPr>
        <w:t>Non Renouvelable</w:t>
      </w:r>
      <w:r/>
    </w:p>
    <w:p>
      <w:r/>
      <w:r>
        <w:rPr>
          <w:b/>
        </w:rPr>
        <w:t>Sous-classe et Mécanisme d'action :</w:t>
      </w:r>
      <w:r/>
    </w:p>
    <w:p>
      <w:pPr>
        <w:pStyle w:val="ListBullet"/>
      </w:pPr>
      <w:r>
        <w:t>Sous-classe : Analogue d'insuline ultra-rapide de référence historique (premier mis sur le marché), bolus prandial × 3/jour en basal-bolus, grossesse-compatible (larges données), pédiatrie (à partir de 3 ans), pompe-compatible.</w:t>
      </w:r>
    </w:p>
    <w:p>
      <w:pPr>
        <w:pStyle w:val="ListBullet"/>
      </w:pPr>
      <w:r>
        <w:t>Mécanisme d'action : Identique à l'insuline humaine endogène. La lispro se fixe au récepteur de l'insuline (IR), un hétérotétramère α2β2 transmembranaire avec activité tyrosine-kinase intrinsèque au niveau du domaine intracellulaire β. La liaison de l'insuline au domaine α extracellulaire provoque un changement conformationnel qui déclenche l'autophosphorylation de résidus tyrosine du domaine β (Tyr1150, Tyr1151, Tyr1316). Les résidus phosphorylés recrutent les substrats IRS (IRS-1, IRS-2) et Shc via leurs domaines PTB. Les IRS phosphorylés activent la voie PI3K (PI3K → PIP3 → PDK1 → Akt/PKB). Akt phosphoryle et inactive AS160/TBC1D4 → levée de l'inhibition sur Rab-GTPase → translocation des vésicules GLUT4 à la membrane plasmique → captage du glucose par muscle squelettique et tissu adipeux. Akt phosphoryle également et inactive GSK3β → activation du glycogène synthase → glycogénogenèse. Akt phosphoryle et inactive FoxO1 → répression transcriptionnelle de PEPCK et G6Pase → inhibition de la néoglucogenèse hépatique. La voie MAPK (Shc-Grb2-SOS-Ras-Raf-MEK-ERK1/2) médie les effets mitogènes et la protéosynthèse (activation mTORC1, p70S6K, eIF4E-BP1). La lipolyse est inhibée par phosphorylation et inactivation de la hormone-sensitive lipase (HSL). La lipogénèse est stimulée par activation de SREBP-1c, ACC, FAS. L'inversion ProB28-LysB29 ne modifie ni l'affinité IR, ni la signalisation post-récepteur ; elle n'affecte que la cinétique d'absorption SC en empêchant la formation de dimères/hexamères au site d'injection.</w:t>
      </w:r>
    </w:p>
    <w:p>
      <w:r/>
      <w:r>
        <w:rPr>
          <w:b/>
        </w:rPr>
        <w:t>Profil Pharmacologique :</w:t>
      </w:r>
      <w:r/>
    </w:p>
    <w:p>
      <w:pPr>
        <w:pStyle w:val="ListBullet"/>
      </w:pPr>
      <w:r>
        <w:t>Indications : DT1 en basal-bolus (bolus prandial × 3/j avant chaque repas, associé à un basal glargine/detémir/dégludec) ou en pompe à insuline ; DT2 insulino-requis en complément d'un basal ; grossesse diabétique (DT1, DT2, diabète gestationnel — autorisée selon CRAT) ; enfant à partir de 3 ans ; hyperglycémie péri-opératoire.</w:t>
      </w:r>
    </w:p>
    <w:p>
      <w:pPr>
        <w:pStyle w:val="ListBullet"/>
      </w:pPr>
      <w:r>
        <w:t>Contre-indications : Hypoglycémie avérée, hypersensibilité à la lispro ou à un excipient (m-crésol, glycérol, phosphate de zinc), ne pas administrer par voie IM (forme préremplie), pompe à insuline si formulation incompatible (vérifier notice — Humalog est généralement compatible).</w:t>
      </w:r>
    </w:p>
    <w:p>
      <w:pPr>
        <w:pStyle w:val="ListBullet"/>
      </w:pPr>
      <w:r>
        <w:t>Effets Indésirables : Hypoglycémie (&gt; 10 %, parfois sévère), lipodystrophie (lipo-hypertrophie par non-rotation, lipo-atrophie rare), prise de poids (1–3 kg/an), œdèmes transitoires à l'initiation, réactions locales (rougeur, prurit), allergie rare (urticaire, anaphylaxie exceptionnelle), hypokaliémie (surtout en IV), aggravation transitoire d'une rétinopathie à l'initiation (effet paradoxal de normalisation glycémique rapide).</w:t>
      </w:r>
    </w:p>
    <w:p>
      <w:r/>
      <w:r>
        <w:rPr>
          <w:b/>
        </w:rPr>
        <w:t>Prévention et Gestion des Effets Indésirables :</w:t>
      </w:r>
      <w:r/>
    </w:p>
    <w:p>
      <w:pPr>
        <w:pStyle w:val="ListBullet"/>
      </w:pPr>
      <w:r>
        <w:t>Mesures Préventives : Rotation rigoureuse des sites d'injection SC (quadrants abdomen-cuisse-bras-fesse, schéma rotatif, espacer les injections de 2 cm), autosurveillance glycémique capillaire ≥ 3–4 fois/jour (avant repas, coucher, symptômes), éducation thérapeutique structurée, aiguille neuve à chaque injection, vérification visuelle (solution limpide incolore), aiguiller le stylo (2 UI jetées) avant la première utilisation d'un nouveau stylo pour chasser l'air.</w:t>
      </w:r>
    </w:p>
    <w:p>
      <w:pPr>
        <w:pStyle w:val="ListBullet"/>
      </w:pPr>
      <w:r>
        <w:t xml:space="preserve">Conduite à Tenir : </w:t>
      </w:r>
      <w:r>
        <w:rPr>
          <w:b/>
        </w:rPr>
        <w:t>Hypoglycémie modérée</w:t>
      </w:r>
      <w:r>
        <w:t xml:space="preserve"> (glycémie &lt; 0,70 g/L, patient conscient) : règle des 15/15 — 15 g de glucides rapides (3 morceaux de sucre, 1 verre de soda normal, 1 tube de glucose) ; contrôle à 15 min ; si &lt; 0,70 g/L persistant, répéter 15 g ; collation de relais. </w:t>
      </w:r>
      <w:r>
        <w:rPr>
          <w:b/>
        </w:rPr>
        <w:t>Hypoglycémie sévère</w:t>
      </w:r>
      <w:r>
        <w:t xml:space="preserve"> (patient inconscient, incapable d'avaler, convulsions) : position latérale de sécurité, </w:t>
      </w:r>
      <w:r>
        <w:rPr>
          <w:b/>
        </w:rPr>
        <w:t>glucagon 1 mg IM ou SC</w:t>
      </w:r>
      <w:r>
        <w:t xml:space="preserve"> (Glucagen Hypokit) par proche formé, ou </w:t>
      </w:r>
      <w:r>
        <w:rPr>
          <w:b/>
        </w:rPr>
        <w:t>glucose 30 % IV 50–100 mL</w:t>
      </w:r>
      <w:r>
        <w:t xml:space="preserve"> en milieu médicalisé ; surveillance 24 h, recherche de cause déclenchante (saut de repas, surdosage, alcool, infection, insuffisance rénale, hypothyroïdie, hypercorticisme). </w:t>
      </w:r>
      <w:r>
        <w:rPr>
          <w:b/>
        </w:rPr>
        <w:t>Lipodystrophie</w:t>
      </w:r>
      <w:r>
        <w:t xml:space="preserve"> : arrêt injections au site atteint, éducation renforcée à la rotation, consultation diététicienne si lipo-hypertrophie marquée.</w:t>
      </w:r>
    </w:p>
    <w:p>
      <w:r/>
      <w:r>
        <w:rPr>
          <w:b/>
        </w:rPr>
        <w:t>Interactions Importantes :</w:t>
      </w:r>
      <w:r/>
    </w:p>
    <w:p>
      <w:pPr>
        <w:pStyle w:val="ListBullet"/>
      </w:pPr>
      <w:r/>
      <w:r>
        <w:rPr>
          <w:b/>
        </w:rPr>
        <w:t>Lispro + β-bloquants</w:t>
      </w:r>
      <w:r>
        <w:t xml:space="preserve"> : masquage des signes adrénergiques d'hypoglycémie (sueurs, palpitations, tremblements) — vigilance accrue, autosurveillance renforcée. Les β-bloquants cardiosélectifs (bisoprolol, nébivolol) masquent moins que les non-sélectifs (propranolol).</w:t>
      </w:r>
    </w:p>
    <w:p>
      <w:pPr>
        <w:pStyle w:val="ListBullet"/>
      </w:pPr>
      <w:r/>
      <w:r>
        <w:rPr>
          <w:b/>
        </w:rPr>
        <w:t>Lispro + AINS, sulfamides hypoglycémiants (glibenclamide, gliclazide), alcool</w:t>
      </w:r>
      <w:r>
        <w:t xml:space="preserve"> : potentialisation de l'hypoglycémie. L'alcool inhibe la néoglucogenèse hépatique et la libération de glucose — risque d'hypoglycémie sévère retardée jusqu'à 24 h après ingestion.</w:t>
      </w:r>
    </w:p>
    <w:p>
      <w:pPr>
        <w:pStyle w:val="ListBullet"/>
      </w:pPr>
      <w:r/>
      <w:r>
        <w:rPr>
          <w:b/>
        </w:rPr>
        <w:t>Lispro + corticoïdes, danazol, diurétiques (thiazidiques, furosémide), isoniazide, nicotinique acide, hormones thyroïdiennes, œstrogènes, progestatifs, glucagon, sympathomimétiques (éphédrine, salbutamol IV)</w:t>
      </w:r>
      <w:r>
        <w:t xml:space="preserve"> : hyperglycémie, baisse d'effet de l'insuline.</w:t>
      </w:r>
    </w:p>
    <w:p>
      <w:pPr>
        <w:pStyle w:val="ListBullet"/>
      </w:pPr>
      <w:r/>
      <w:r>
        <w:rPr>
          <w:b/>
        </w:rPr>
        <w:t>Lispro + pentamidine</w:t>
      </w:r>
      <w:r>
        <w:t xml:space="preserve"> : hypoglycémie initiale (libération brutale d'insuline endogène) puis hyperglycémie.</w:t>
      </w:r>
    </w:p>
    <w:p>
      <w:pPr>
        <w:pStyle w:val="ListBullet"/>
      </w:pPr>
      <w:r/>
      <w:r>
        <w:rPr>
          <w:b/>
        </w:rPr>
        <w:t>Lispro + IMAO, fluoxétine, fibrates</w:t>
      </w:r>
      <w:r>
        <w:t xml:space="preserve"> : potentialisation de l'hypoglycémie.</w:t>
      </w:r>
    </w:p>
    <w:p>
      <w:pPr>
        <w:pStyle w:val="ListBullet"/>
      </w:pPr>
      <w:r/>
      <w:r>
        <w:rPr>
          <w:b/>
        </w:rPr>
        <w:t>Lispro + IEC, ARAs2</w:t>
      </w:r>
      <w:r>
        <w:t xml:space="preserve"> : potentialisation de la sensibilité insulinique (réduction possible des doses d'insuline).</w:t>
      </w:r>
    </w:p>
    <w:p>
      <w:pPr>
        <w:pStyle w:val="ListBullet"/>
      </w:pPr>
      <w:r/>
      <w:r>
        <w:rPr>
          <w:b/>
        </w:rPr>
        <w:t>Lispro + somatostatine analogues (octréotide, lanréotide)</w:t>
      </w:r>
      <w:r>
        <w:t xml:space="preserve"> : inhibition de la sécrétion de glucagon et de l'insulino-résistance — adaptation.</w:t>
      </w:r>
    </w:p>
    <w:p>
      <w:pPr>
        <w:pStyle w:val="ListBullet"/>
      </w:pPr>
      <w:r/>
      <w:r>
        <w:rPr>
          <w:b/>
        </w:rPr>
        <w:t>Lispro + SGLT2 inhibiteurs (empagliflozine, dapagliflozine, canagliflozine)</w:t>
      </w:r>
      <w:r>
        <w:t xml:space="preserve"> : potentialisation hypoglycémique + risque d'acidocétose euglycémique (CI précaution d'emploi surtout DT1).</w:t>
      </w:r>
    </w:p>
    <w:p>
      <w:r/>
      <w:r>
        <w:rPr>
          <w:b/>
        </w:rPr>
        <w:t>Grossesse et Allaitement :</w:t>
      </w:r>
      <w:r/>
    </w:p>
    <w:p>
      <w:pPr>
        <w:pStyle w:val="ListBullet"/>
      </w:pPr>
      <w:r>
        <w:t>Grossesse : Selon le CRAT et les recommandations HAS/ADA, l'insuline lispro est compatible avec la grossesse (données de registre et études observationnelles rassurantes — pas d'augmentation du risque de malformations). L'insuline ne traverse pas le placenta. La lispro est l'un des analogues ultra-rapides privilégiés en grossesse (avec l'asparte), parfois préféré à l'humaine régulière pour son meilleur contrôle post-prandial. Les besoins en insuline augmentent progressivement (× 2–3 au 3e trimestre, en raison de l'insulino-résistance placentaire et hormonale — hPL, œstrogènes, progestérone, cortisol) puis chutent en post-partum immédiat.</w:t>
      </w:r>
    </w:p>
    <w:p>
      <w:pPr>
        <w:pStyle w:val="ListBullet"/>
      </w:pPr>
      <w:r>
        <w:t>Allaitement : Compatible (CRAT). L'insuline est dégradée par les protéases digestives du nourrisson. Allaitement à encourager. Adapter la posologie : baisse des besoins en allaitement (jeûne court, dépense calorique de la lactation), surveillance accrue la nuit.</w:t>
      </w:r>
    </w:p>
    <w:p>
      <w:pPr>
        <w:pStyle w:val="ListBullet"/>
      </w:pPr>
      <w:r>
        <w:t>Précisions : Autosurveillance 6–8 fois/jour pendant grossesse (pré-prandial, 1 h post-prandial, coucher, nuit à 3 h occasionnelle). Objectifs stricts : jeûne &lt; 0,95 g/L, 1 h post-prandial &lt; 1,40 g/L, 2 h post-prandial &lt; 1,20 g/L. HbA1c &lt; 6,5 % si possible sans hypoglycémie sévère.</w:t>
      </w:r>
    </w:p>
    <w:p>
      <w:r/>
      <w:r>
        <w:rPr>
          <w:b/>
        </w:rPr>
        <w:t>Posologie et Mode d'administration (Standard) :</w:t>
      </w:r>
      <w:r/>
    </w:p>
    <w:p>
      <w:pPr>
        <w:pStyle w:val="ListBullet"/>
      </w:pPr>
      <w:r>
        <w:t>Adulte : DT1 — 0,5–1 UI/kg/j en basal-bolus (~50 % basal + ~50 % bolus lispro × 3/j). Dose prandiale unitaire 4–12 UI selon glycémie pré-prandiale et glucides du repas (ratio insuline/glucides 1 UI pour 8–15 g ; facteur de correction 1 UI pour 30–50 mg/dL au-dessus de la cible). DT2 — Initiation lispro en complément du basal : 4 UI avant repas principal, titration +2 UI tous les 3 jours selon glycémie post-prandiale (objectif 1 h post-prandial &lt; 1,80 g/L).</w:t>
      </w:r>
    </w:p>
    <w:p>
      <w:pPr>
        <w:pStyle w:val="ListBullet"/>
      </w:pPr>
      <w:r>
        <w:t>Enfant : 0,5–1 UI/kg/j en DT1, à partir de 3 ans ; adaptation pubertaire (jusqu'à 1,5 UI/kg/j en bouffée pubertaire).</w:t>
      </w:r>
    </w:p>
    <w:p>
      <w:pPr>
        <w:pStyle w:val="ListBullet"/>
      </w:pPr>
      <w:r>
        <w:t>Durée : À vie.</w:t>
      </w:r>
    </w:p>
    <w:p>
      <w:pPr>
        <w:pStyle w:val="ListBullet"/>
      </w:pPr>
      <w:r>
        <w:t>Moment de prise : 0–15 min avant le repas. En cas d'oubli : si repas récent (&lt; 30 min), injecter immédiatement ; si &gt; 30 min, surveiller glycémie à 2 h et adapter. Ne jamais injecter à jeun. En pompe : débit basal continu + bolus prandiaux.</w:t>
      </w:r>
    </w:p>
    <w:p>
      <w:r/>
      <w:r>
        <w:rPr>
          <w:b/>
        </w:rPr>
        <w:t>Arbitrage et Bénéfices des Formes Galéniques :</w:t>
      </w:r>
      <w:r/>
    </w:p>
    <w:p>
      <w:r>
        <w:t>Le stylo prérempli KwikPen jetable est la forme de référence en ambulatoire — ergonomique, précision 1 UI, aiguille ultrafine (4–8 mm), fenêtre de dose large, clic tactile pour malvoyants. Les cartouches 3 mL pour stylo réutilisable (Humalog Pen, Humapen Savvio, Luxura) sont une alternative économique et écologique (compatibles avec plusieurs stylos). Le flacon 10 mL avec seringue U100 est aujourd'hui moins prescrit en Algérie (réservé à l'usage hospitalier, perfusion IV, pompes à insuline). Comparé à l'humaine régulière, la lispro offre un meilleur contrôle post-prandial (pic plus précoce, durée plus courte, moindre hypoglycémie post-prandiale tardive, méta-analyses Cochrane). Comparée à l'asparte et la glulisine, la lispro présente un profil PK/PD équivalent. Le KwikPen est un dispositif de dernière génération avec affichage digital de la dose (KwikPen Vue disponible sur certains marchés mais pas encore commercialisé en Algérie). La forme U200 (concentrée à 200 UI/mL pour patients nécessitant de fortes doses) n'est pas disponible en Algérie.</w:t>
      </w:r>
    </w:p>
    <w:p>
      <w:r/>
      <w:r>
        <w:rPr>
          <w:b/>
        </w:rPr>
        <w:t>Instructions et Conseils au Patient :</w:t>
      </w:r>
      <w:r/>
    </w:p>
    <w:p>
      <w:pPr>
        <w:pStyle w:val="ListBullet"/>
      </w:pPr>
      <w:r>
        <w:t>Communication au comptoir : « L'Humalog (lispro) est une insuline rapide des repas. Vous l'injectez 0 à 15 minutes avant de manger (juste avant de passer à table). Elle agit en 10–15 minutes, fait un pic à 1 heure, dure 3–5 heures. Vous devez l'associer à une insuline lente (basale) une ou deux fois par jour, car la lispro seule ne couvre que les repas. Solution limpide, transparente. Conservez les stylos non entamés au réfrigérateur (+2 à +8°C, jamais congelés) ; les stylos en cours d'utilisation à température ambiante &lt; 25°C pendant 28 jours maximum. Vérifiez la limpidité avant chaque injection. Tournez le stylo entre vos paumes 10 fois avant la première utilisation d'un nouveau stylo (pas de secousses). Jetez l'aiguille après chaque injection. »</w:t>
      </w:r>
    </w:p>
    <w:p>
      <w:pPr>
        <w:pStyle w:val="ListBullet"/>
      </w:pPr>
      <w:r>
        <w:t xml:space="preserve">Mode d'utilisation pratique : Lavez les mains, vérifiez la dose, aiguiller le stylo (2 UI jetées en l'air pour chasser l'air), pincez le pli cutané, insérez l'aiguille à 90°, appuyez à fond sur le bouton, maintenez 10 secondes, retirez l'aiguille, dévissez-la et jetez-la dans un collecteur adapté. Rotation des sites : abdomen (résorption la plus rapide et la plus prévisible), cuisse, bras, fesse. Évitez les lipodystrophies (sites indurés, peu résorbants). En cas d'oubli d'injection : si le repas est en cours ou récent (&lt; 30 min), injecter immédiatement ; si &gt; 30 min, surveiller la glycémie à 2 h et adapter. </w:t>
      </w:r>
      <w:r>
        <w:rPr>
          <w:b/>
        </w:rPr>
        <w:t>Autosurveillance</w:t>
      </w:r>
      <w:r>
        <w:t xml:space="preserve"> : glycémie capillaire avant chaque repas (objectif 0,80–1,30 g/L), au coucher (objectif 1,00–1,40 g/L), à 3 h du matin si suspicion d'hypoglycémie nocturne. Tenir un carnet de surveillance (glycémies, doses, repas, événements).</w:t>
      </w:r>
    </w:p>
    <w:p>
      <w:r/>
      <w:r>
        <w:rPr>
          <w:b/>
        </w:rPr>
        <w:t>Notes, Règles d'Or &amp; Pièges au Comptoir :</w:t>
      </w:r>
      <w:r/>
    </w:p>
    <w:p>
      <w:pPr>
        <w:pStyle w:val="ListBullet"/>
      </w:pPr>
      <w:r>
        <w:t xml:space="preserve">Piège classique : Confusion entre insuline rapide (lispro/asparte/glulisine) et insuline lente (glargine/dégludec/NPH). La lispro est </w:t>
      </w:r>
      <w:r>
        <w:rPr>
          <w:b/>
        </w:rPr>
        <w:t>transparente</w:t>
      </w:r>
      <w:r>
        <w:t xml:space="preserve"> (solution claire), la NPH et les biphasiques sont </w:t>
      </w:r>
      <w:r>
        <w:rPr>
          <w:b/>
        </w:rPr>
        <w:t>troubles</w:t>
      </w:r>
      <w:r>
        <w:t xml:space="preserve"> (suspension). Ne jamais injecter la lispro comme basal (durée trop courte → acidocétose en 4–6 h si oubli). Ne jamais injecter la glargine comme bolus prandial (durée trop longue, pas de pic → hyperglycémie post-prandiale puis hypoglycémie tardive).</w:t>
      </w:r>
    </w:p>
    <w:p>
      <w:pPr>
        <w:pStyle w:val="ListBullet"/>
      </w:pPr>
      <w:r>
        <w:t>Règle de prise : Lispro = « insuline des repas », à injecter 0–15 min AVANT le début du repas. Ne pas injecter à jeun (risque d'hypoglycémie immédiate sévère).</w:t>
      </w:r>
    </w:p>
    <w:p>
      <w:pPr>
        <w:pStyle w:val="ListBullet"/>
      </w:pPr>
      <w:r>
        <w:t>Préparation et Conservation : Flacon ou stylo non entamé : +2°C à +8°C (porte du réfrigérateur, jamais le congélateur — congélation = dénaturation irréversible de la protéine). Stylo en cours d'utilisation : température ambiante &lt; 25°C pendant 28 jours maximum (4 semaines). Protéger de la lumière directe. Ne pas exposer à &gt; 30°C (voiture en été, plage). Vérifier la date de péremption. En voyage : trousse isotherme avec accumulation de froid (pochettes réfrigérantes gelées à &gt; 0°C, jamais en contact direct avec glace).</w:t>
      </w:r>
    </w:p>
    <w:p>
      <w:pPr>
        <w:pStyle w:val="ListBullet"/>
      </w:pPr>
      <w:r>
        <w:t>Piège du surdosage / Substitution : Erreur de dosage U100 vs U200 (Humalog U200 n'est pas disponible en Algérie mais peut être importée) — ne jamais substituer 1 U200 par 2 U100 sans recalcul exact. Vérifier systématiquement la concentration sur l'étiquette. Substitution de marque : bioéquivalence démontrée entre Humalog princeps et génériques (BIOPHARM), mais renforcer la surveillance 2 semaines après substitution. Attention à l'interaction insuline + alcool (risque d'hypoglycémie sévère retardée, parfois mortelle — éducation du patient). Ne pas mélanger la lispro avec une autre insuline dans la même cartouche (sauf cas particuliers — Humalog Mix est préformulé en usine, non reconstituable à la seringue). En cas de changement de schéma (humaine régulière → lispro), adapter le délai d'administration (humaine régulière : 30 min avant repas ; lispro : 0–15 min avant repas).</w:t>
      </w:r>
    </w:p>
    <w:p>
      <w:pPr>
        <w:pStyle w:val="Heading3"/>
      </w:pPr>
      <w:r>
        <w:t>4. DCI : Insuline glargine (Seule)</w:t>
      </w:r>
    </w:p>
    <w:p>
      <w:r/>
      <w:r>
        <w:rPr>
          <w:b/>
        </w:rPr>
        <w:t>Liste des Catégories :</w:t>
      </w:r>
      <w:r>
        <w:t xml:space="preserve"> Insulines — Analogues basaux lents</w:t>
      </w:r>
    </w:p>
    <w:p>
      <w:r>
        <w:t>L'insuline glargine (Lantus, Sanofi ; génériques ABASAGLAR, BEKINSLO, DIAGLAR, BASALOG ONE, GLARUS) est un analogue d'insuline basale recombinant produit sur souche d'</w:t>
      </w:r>
      <w:r>
        <w:rPr>
          <w:i/>
        </w:rPr>
        <w:t>Escherichia coli</w:t>
      </w:r>
      <w:r>
        <w:t xml:space="preserve">, caractérisé par deux modifications structurales : (i) </w:t>
      </w:r>
      <w:r>
        <w:rPr>
          <w:b/>
        </w:rPr>
        <w:t>substitution AsnA21 → Gly</w:t>
      </w:r>
      <w:r>
        <w:t xml:space="preserve"> en position 21 de la chaîne A, qui empêche la déamidation et stabilise la molécule ; (ii) </w:t>
      </w:r>
      <w:r>
        <w:rPr>
          <w:b/>
        </w:rPr>
        <w:t>adjonction de deux résidus d'arginine</w:t>
      </w:r>
      <w:r>
        <w:t xml:space="preserve"> en positions B31 et B32 (ArgB31, ArgB32) à l'extrémité C-terminale de la chaîne B. Ces additions basiques déplacent le point isoélectrique (pI) de la molécule de pH 5,4 (humaine) à ~6,7 (glargine). Au pH physiologique du tissu sous-cutané (~7,4), la glargine est moins soluble et précipite en microcristaux à l'injection, formant un réservoir local libérant lentement l'insuline dans la circulation systémique sur ~24 h. La forme concentrée à 300 UI/mL (Toujeo, GLARUS PLUS, GLATEO) présente une pharmacocinétique encore plus plate et prolongée (&gt; 30 h), avec une variabilité intra-individuelle moindre et une réduction des hypoglycémies nocturnes comparée à la forme U100 (essais EDITION I-IV). Profil pharmacocinétique : U100 — début 1,5–2 h, sans pic marqué, durée 24 h ; U300 — début 6 h, sans pic, durée &gt; 30 h. Administrable par voie SC uniquement (jamais IV), à heure fixe quotidienne. Compatible avec le DT1, le DT2, la grossesse (selon CRAT — préférence humaine NPH ou detémir selon certaines recommandations, mais la glargine est largement utilisée en grossesse), la pédiatrie à partir de 6 ans (U100) et adulte (U300).</w:t>
      </w:r>
    </w:p>
    <w:p>
      <w:r/>
      <w:r>
        <w:rPr>
          <w:b/>
        </w:rPr>
        <w:t>Médicaments disponibles en Algérie (Marques, Laboratoires, Formes et Dosages) :</w:t>
      </w:r>
      <w:r/>
    </w:p>
    <w:p>
      <w:pPr>
        <w:pStyle w:val="ListBullet"/>
      </w:pPr>
      <w:r/>
      <w:r>
        <w:rPr>
          <w:b/>
        </w:rPr>
        <w:t>BEKINSLO</w:t>
      </w:r>
      <w:r>
        <w:t xml:space="preserve"> (LABORATOIRES BEKER)</w:t>
      </w:r>
    </w:p>
    <w:p>
      <w:pPr>
        <w:pStyle w:val="ListBullet"/>
      </w:pPr>
      <w:r>
        <w:t>Formes et Dosages : Solution injectable SC en stylo prérempli, 100 UI/mL (3,64 mg/mL) ; boîtes de 1, 3 et 5 stylos de 3 mL</w:t>
      </w:r>
    </w:p>
    <w:p>
      <w:pPr>
        <w:pStyle w:val="ListBullet"/>
      </w:pPr>
      <w:r>
        <w:t>Statut : Actif (générique U100)</w:t>
      </w:r>
    </w:p>
    <w:p>
      <w:pPr>
        <w:pStyle w:val="ListBullet"/>
      </w:pPr>
      <w:r/>
      <w:r>
        <w:rPr>
          <w:b/>
        </w:rPr>
        <w:t>ABASAGLAR</w:t>
      </w:r>
      <w:r>
        <w:t xml:space="preserve"> (BIOPHARM)</w:t>
      </w:r>
    </w:p>
    <w:p>
      <w:pPr>
        <w:pStyle w:val="ListBullet"/>
      </w:pPr>
      <w:r>
        <w:t>Formes et Dosages : Solution injectable SC en stylo prérempli KwikPen, 100 UI/mL (3,64 mg/mL) ; boîte de 5 stylos préremplis de 3 mL</w:t>
      </w:r>
    </w:p>
    <w:p>
      <w:pPr>
        <w:pStyle w:val="ListBullet"/>
      </w:pPr>
      <w:r>
        <w:t>Statut : Actif (générique U100, biosimilaire Lilly)</w:t>
      </w:r>
    </w:p>
    <w:p>
      <w:pPr>
        <w:pStyle w:val="ListBullet"/>
      </w:pPr>
      <w:r/>
      <w:r>
        <w:rPr>
          <w:b/>
        </w:rPr>
        <w:t>DIAGLAR</w:t>
      </w:r>
      <w:r>
        <w:t xml:space="preserve"> (LES LABORATOIRES FRATER RAZES)</w:t>
      </w:r>
    </w:p>
    <w:p>
      <w:pPr>
        <w:pStyle w:val="ListBullet"/>
      </w:pPr>
      <w:r>
        <w:t>Formes et Dosages : Solution injectable SC en stylo prérempli, 100 UI/mL (3,64 mg/mL) ; boîtes de 1, 3 et 5 stylos de 3 mL</w:t>
      </w:r>
    </w:p>
    <w:p>
      <w:pPr>
        <w:pStyle w:val="ListBullet"/>
      </w:pPr>
      <w:r>
        <w:t>Statut : Actif (générique U100)</w:t>
      </w:r>
    </w:p>
    <w:p>
      <w:pPr>
        <w:pStyle w:val="ListBullet"/>
      </w:pPr>
      <w:r/>
      <w:r>
        <w:rPr>
          <w:b/>
        </w:rPr>
        <w:t>BASALOG ONE</w:t>
      </w:r>
      <w:r>
        <w:t xml:space="preserve"> (BIOCON BIOLOGICS INDIA LIMITED)</w:t>
      </w:r>
    </w:p>
    <w:p>
      <w:pPr>
        <w:pStyle w:val="ListBullet"/>
      </w:pPr>
      <w:r>
        <w:t>Formes et Dosages : Solution injectable SC en stylo prérempli, 100 UI/mL (3,64 mg/mL) ; boîte de 5 stylos préremplis de 3 mL</w:t>
      </w:r>
    </w:p>
    <w:p>
      <w:pPr>
        <w:pStyle w:val="ListBullet"/>
      </w:pPr>
      <w:r>
        <w:t>Statut : Actif (générique U100)</w:t>
      </w:r>
    </w:p>
    <w:p>
      <w:pPr>
        <w:pStyle w:val="ListBullet"/>
      </w:pPr>
      <w:r/>
      <w:r>
        <w:rPr>
          <w:b/>
        </w:rPr>
        <w:t>GLARUS</w:t>
      </w:r>
      <w:r>
        <w:t xml:space="preserve"> (BIOCARE BIOTECH)</w:t>
      </w:r>
    </w:p>
    <w:p>
      <w:pPr>
        <w:pStyle w:val="ListBullet"/>
      </w:pPr>
      <w:r>
        <w:t>Formes et Dosages : Solution injectable IM en seringue préremplie (note : voie IM inappropriée, à utiliser en SC), 100 UI/mL (3,64 mg/mL) ; boîtes de 1, 3 et 5 stylos de 3 mL</w:t>
      </w:r>
    </w:p>
    <w:p>
      <w:pPr>
        <w:pStyle w:val="ListBullet"/>
      </w:pPr>
      <w:r>
        <w:t>Statut : Actif (générique U100)</w:t>
      </w:r>
    </w:p>
    <w:p>
      <w:pPr>
        <w:pStyle w:val="ListBullet"/>
      </w:pPr>
      <w:r/>
      <w:r>
        <w:rPr>
          <w:b/>
        </w:rPr>
        <w:t>GLATEO</w:t>
      </w:r>
      <w:r>
        <w:t xml:space="preserve"> (BIOCARE BIOTECH)</w:t>
      </w:r>
    </w:p>
    <w:p>
      <w:pPr>
        <w:pStyle w:val="ListBullet"/>
      </w:pPr>
      <w:r>
        <w:t>Formes et Dosages : Solution injectable SC en stylo prérempli, 300 UI/mL ; boîtes de 1, 3 et 5 stylos de 1,5 mL</w:t>
      </w:r>
    </w:p>
    <w:p>
      <w:pPr>
        <w:pStyle w:val="ListBullet"/>
      </w:pPr>
      <w:r>
        <w:t>Statut : Actif (générique U300)</w:t>
      </w:r>
    </w:p>
    <w:p>
      <w:pPr>
        <w:pStyle w:val="ListBullet"/>
      </w:pPr>
      <w:r/>
      <w:r>
        <w:rPr>
          <w:b/>
        </w:rPr>
        <w:t>GLARUS PLUS</w:t>
      </w:r>
      <w:r>
        <w:t xml:space="preserve"> (BIOCARE BIOTECH)</w:t>
      </w:r>
    </w:p>
    <w:p>
      <w:pPr>
        <w:pStyle w:val="ListBullet"/>
      </w:pPr>
      <w:r>
        <w:t>Formes et Dosages : Solution injectable SC en stylo prérempli, 300 UI/mL ; boîtes de 1, 3 et 5 stylos de 3 mL</w:t>
      </w:r>
    </w:p>
    <w:p>
      <w:pPr>
        <w:pStyle w:val="ListBullet"/>
      </w:pPr>
      <w:r>
        <w:t>Statut : Actif (générique U300)</w:t>
      </w:r>
    </w:p>
    <w:p>
      <w:pPr>
        <w:pStyle w:val="ListBullet"/>
      </w:pPr>
      <w:r/>
      <w:r>
        <w:rPr>
          <w:b/>
        </w:rPr>
        <w:t>TOUJEO SOLOSTAR</w:t>
      </w:r>
      <w:r>
        <w:t xml:space="preserve"> (SANOFI AVENTIS DEUTSCHLAND)</w:t>
      </w:r>
    </w:p>
    <w:p>
      <w:pPr>
        <w:pStyle w:val="ListBullet"/>
      </w:pPr>
      <w:r>
        <w:t>Formes et Dosages : Solution injectable SC en stylo prérempli SoloStar, 300 UI/mL ; boîte de 3 stylos de 1,5 mL</w:t>
      </w:r>
    </w:p>
    <w:p>
      <w:pPr>
        <w:pStyle w:val="ListBullet"/>
      </w:pPr>
      <w:r>
        <w:t>Statut : Actif (princeps U300)</w:t>
      </w:r>
    </w:p>
    <w:p>
      <w:pPr>
        <w:pStyle w:val="ListBullet"/>
      </w:pPr>
      <w:r/>
      <w:r>
        <w:rPr>
          <w:b/>
        </w:rPr>
        <w:t>LANTUS flacon</w:t>
      </w:r>
      <w:r>
        <w:t xml:space="preserve"> (SANOFI AVENTIS DEUTSCHLAND GMBH) — *princeps historique U100*</w:t>
      </w:r>
    </w:p>
    <w:p>
      <w:pPr>
        <w:pStyle w:val="ListBullet"/>
      </w:pPr>
      <w:r>
        <w:t>Formes et Dosages : Solution injectable SC en flacon, 100 UI/mL ; boîte de 1 flacon de 10 mL</w:t>
      </w:r>
    </w:p>
    <w:p>
      <w:pPr>
        <w:pStyle w:val="ListBullet"/>
      </w:pPr>
      <w:r>
        <w:t xml:space="preserve">Statut : </w:t>
      </w:r>
      <w:r>
        <w:rPr>
          <w:b/>
        </w:rPr>
        <w:t>Non Renouvelable</w:t>
      </w:r>
      <w:r/>
    </w:p>
    <w:p>
      <w:pPr>
        <w:pStyle w:val="ListBullet"/>
      </w:pPr>
      <w:r/>
      <w:r>
        <w:rPr>
          <w:b/>
        </w:rPr>
        <w:t>LANTUS SOLOSTAR</w:t>
      </w:r>
      <w:r>
        <w:t xml:space="preserve"> (SANOFI AVENTIS DEUTSCHLAND GMBH)</w:t>
      </w:r>
    </w:p>
    <w:p>
      <w:pPr>
        <w:pStyle w:val="ListBullet"/>
      </w:pPr>
      <w:r>
        <w:t>Formes et Dosages : Solution injectable SC en stylo prérempli SoloStar, 100 UI/mL (3,64 mg/mL) ; boîte de 5 stylos préremplis de 3 mL</w:t>
      </w:r>
    </w:p>
    <w:p>
      <w:pPr>
        <w:pStyle w:val="ListBullet"/>
      </w:pPr>
      <w:r>
        <w:t xml:space="preserve">Statut : </w:t>
      </w:r>
      <w:r>
        <w:rPr>
          <w:b/>
        </w:rPr>
        <w:t>Non Renouvelable</w:t>
      </w:r>
      <w:r/>
    </w:p>
    <w:p>
      <w:pPr>
        <w:pStyle w:val="ListBullet"/>
      </w:pPr>
      <w:r/>
      <w:r>
        <w:rPr>
          <w:b/>
        </w:rPr>
        <w:t>LANTUS en cartouche OptiPen</w:t>
      </w:r>
      <w:r>
        <w:t xml:space="preserve"> (SANOFI AVENTIS DEUTSCHLAND GMBH) (R)</w:t>
      </w:r>
    </w:p>
    <w:p>
      <w:pPr>
        <w:pStyle w:val="ListBullet"/>
      </w:pPr>
      <w:r>
        <w:t>Formes et Dosages : Solution injectable SC en cartouche, 100 UI/mL ; boîte de 5 cartouches de 3 mL (pour OptiPen)</w:t>
      </w:r>
    </w:p>
    <w:p>
      <w:pPr>
        <w:pStyle w:val="ListBullet"/>
      </w:pPr>
      <w:r>
        <w:t xml:space="preserve">Statut : </w:t>
      </w:r>
      <w:r>
        <w:rPr>
          <w:b/>
        </w:rPr>
        <w:t>Retiré (R)</w:t>
      </w:r>
      <w:r/>
    </w:p>
    <w:p>
      <w:pPr>
        <w:pStyle w:val="ListBullet"/>
      </w:pPr>
      <w:r/>
      <w:r>
        <w:rPr>
          <w:b/>
        </w:rPr>
        <w:t>LANTUS OPTISET</w:t>
      </w:r>
      <w:r>
        <w:t xml:space="preserve"> (SANOFI AVENTIS DEUTSCHLAND GMBH) (R)</w:t>
      </w:r>
    </w:p>
    <w:p>
      <w:pPr>
        <w:pStyle w:val="ListBullet"/>
      </w:pPr>
      <w:r>
        <w:t>Formes et Dosages : Solution injectable SC en stylo prérempli OptiSet, 100 UI/mL (3,64 mg/mL) ; boîte de 5 stylos préremplis OptiSet de 3 mL</w:t>
      </w:r>
    </w:p>
    <w:p>
      <w:pPr>
        <w:pStyle w:val="ListBullet"/>
      </w:pPr>
      <w:r>
        <w:t xml:space="preserve">Statut : </w:t>
      </w:r>
      <w:r>
        <w:rPr>
          <w:b/>
        </w:rPr>
        <w:t>Retiré (R)</w:t>
      </w:r>
      <w:r/>
    </w:p>
    <w:p>
      <w:r/>
      <w:r>
        <w:rPr>
          <w:b/>
        </w:rPr>
        <w:t>Sous-classe et Mécanisme d'action :</w:t>
      </w:r>
      <w:r/>
    </w:p>
    <w:p>
      <w:pPr>
        <w:pStyle w:val="ListBullet"/>
      </w:pPr>
      <w:r>
        <w:t xml:space="preserve">Sous-classe : Analogue d'insuline basal lent (U100) et basal ultra-long (U300) — volet </w:t>
      </w:r>
      <w:r>
        <w:rPr>
          <w:b/>
        </w:rPr>
        <w:t>basal</w:t>
      </w:r>
      <w:r>
        <w:t xml:space="preserve"> des schémas basal-bolus. Pas de pic d'action, durée 24 h (U100) à &gt; 30 h (U300). Administration quotidienne unique à heure fixe. Compatible grossesse (CRAT — données rassurantes), pédiatrie (U100 à partir de 6 ans), DT2 en initiation insulinothérapie.</w:t>
      </w:r>
    </w:p>
    <w:p>
      <w:pPr>
        <w:pStyle w:val="ListBullet"/>
      </w:pPr>
      <w:r>
        <w:t xml:space="preserve">Mécanisme d'action : L'insuline glargine se fixe au récepteur de l'insuline (IR α2β2) avec une affinité équivalente à l'insuline humaine (Kd ~0,4 nM). Elle déclenche l'autophosphorylation du domaine β, le recrutement d'IRS-1/IRS-2, l'activation de la voie PI3K/Akt et de la voie MAPK. Akt phosphoryle AS160/TBC1D4 → translocation GLUT4 (muscle, tissu adipeux), phosphoryle GSK3β → glycogénogenèse, phosphoryle FoxO1 → inhibition de la néoglucogenèse hépatique (PEPCK, G6Pase). Au niveau hépatique, l'insuline inhibe la cérogenèse (répression HMG-CoA réductase indirecte), stimule la lipogénèse (activation SREBP-1c, ACC, FAS), inhibe la lipolyse adipeuse (phosphorylation et inactivation de la HSL). La spécificité de la glargine est </w:t>
      </w:r>
      <w:r>
        <w:rPr>
          <w:b/>
        </w:rPr>
        <w:t>purement pharmacocinétique</w:t>
      </w:r>
      <w:r>
        <w:t xml:space="preserve"> : la précipitation au pH physiologique sous-cutané (pI ~6,7) forme un réservoir microparticulaire qui se dissout lentement, libérant la glargine dans la circulation systémique. La glargine subit une protéolyse partielle à l'extrémité C-terminale (clivage des ArgB31-B32 par des carboxypeptidases) générant des métabolites 21A-Gly-des-30B-Thr-insuline (M1) et 21A-Gly-des-30B-Thr-des-31B-Arg-insuline (M2) qui sont les formes actives principales circulantes (le profil d'action est médical par M1/M2, dont l'affinité IR est équivalente à l'insuline humaine). La forme U300 a une surface d'échange plus faible (concentration plus élevée, dépôt plus petit), donc libération plus lente et plus plate.</w:t>
      </w:r>
    </w:p>
    <w:p>
      <w:r/>
      <w:r>
        <w:rPr>
          <w:b/>
        </w:rPr>
        <w:t>Profil Pharmacologique :</w:t>
      </w:r>
      <w:r/>
    </w:p>
    <w:p>
      <w:pPr>
        <w:pStyle w:val="ListBullet"/>
      </w:pPr>
      <w:r>
        <w:t>Indications : DT1 en basal (associée à un bolus prandial asparte/lispro/glulisine × 3/j) ; DT2 en initiation insulinothérapie (10 UI/j le soir ou 0,1–0,2 UI/kg/j, titration +2 UI tous les 3 jours selon glycémie à jeun) ; DT2 non contrôlé sous ADO ± GLP-1 ; grossesse diabétique (selon CRAT et HAS, avec préférence pour detémir ou NPH selon certaines recommandations internationales — mais la glargine est largement utilisée).</w:t>
      </w:r>
    </w:p>
    <w:p>
      <w:pPr>
        <w:pStyle w:val="ListBullet"/>
      </w:pPr>
      <w:r>
        <w:t>Contre-indications : Hypoglycémie, hypersensibilité à la glargine ou à un excipient (m-crésol, zinc), ne pas administrer par voie IV (précipitation immédiate), ne pas utiliser en pompe à insuline (précipitation dans la tubulure).</w:t>
      </w:r>
    </w:p>
    <w:p>
      <w:pPr>
        <w:pStyle w:val="ListBullet"/>
      </w:pPr>
      <w:r>
        <w:t>Effets Indésirables : Hypoglycémie (surtout nocturne — moindre fréquence que la NPH selon essai LANMET), lipodystrophie au site d'injection (lipo-hypertrophie par non-rotation), prise de poids (moindre que NPH dans ORIGIN), œdèmes transitoires à l'initiation, réactions locales (rougeur, prurit), allergie rare, hypokaliémie (à surveiller), aggravation transitoire d'une rétinopathie à l'initiation. Une association avec un risque accru de cancer (notamment sein) a été suggérée par certaines études observationnelles (Colhoun 2009) mais non confirmée par les larges essais randomisés (ORIGIN) — pas de signal de sécurité confirmé.</w:t>
      </w:r>
    </w:p>
    <w:p>
      <w:r/>
      <w:r>
        <w:rPr>
          <w:b/>
        </w:rPr>
        <w:t>Prévention et Gestion des Effets Indésirables :</w:t>
      </w:r>
      <w:r/>
    </w:p>
    <w:p>
      <w:pPr>
        <w:pStyle w:val="ListBullet"/>
      </w:pPr>
      <w:r>
        <w:t>Mesures Préventives : Rotation stricte des sites d'injection SC (abdomen, cuisse, bras, fesse — schéma en quadrants, ne pas réutiliser le même site avant 2–3 semaines), autosurveillance glycémique capillaire ≥ 2 fois/jour (matin à jeun et coucher, plus si symptômes ou ajustement), éducation thérapeutique structurée (titration, gestion hypoglycémies), aiguille neuve à chaque injection, vérification visuelle de la solution (limpide, incolore).</w:t>
      </w:r>
    </w:p>
    <w:p>
      <w:pPr>
        <w:pStyle w:val="ListBullet"/>
      </w:pPr>
      <w:r>
        <w:t xml:space="preserve">Conduite à Tenir : </w:t>
      </w:r>
      <w:r>
        <w:rPr>
          <w:b/>
        </w:rPr>
        <w:t>Hypoglycémie modérée</w:t>
      </w:r>
      <w:r>
        <w:t xml:space="preserve"> (glycémie &lt; 0,70 g/L) : 15 g de glucides rapides, contrôle à 15 min, collation de relais. </w:t>
      </w:r>
      <w:r>
        <w:rPr>
          <w:b/>
        </w:rPr>
        <w:t>Hypoglycémie sévère</w:t>
      </w:r>
      <w:r>
        <w:t xml:space="preserve"> (inconscient) : glucagon IM/SC 1 mg par proche formé, ou glucose 30 % IV 50–100 mL en milieu médicalisé, surveillance 24 h, recherche de cause (saut de repas, surdosage, insuffisance rénale, alcool, interactions). </w:t>
      </w:r>
      <w:r>
        <w:rPr>
          <w:b/>
        </w:rPr>
        <w:t>Hypoglycémie nocturne</w:t>
      </w:r>
      <w:r>
        <w:t xml:space="preserve"> : si glycémie à 3 h du matin &lt; 0,70 g/L, réduire la dose de glargine du soir de 2 UI, décaler l'heure d'injection (matin plutôt que soir si hypoglycémie nocturne récidivante), vérifier le repas du soir (apport suffisant en glucides complexes). </w:t>
      </w:r>
      <w:r>
        <w:rPr>
          <w:b/>
        </w:rPr>
        <w:t>Lipodystrophie</w:t>
      </w:r>
      <w:r>
        <w:t xml:space="preserve"> : arrêt injections au site atteint, éducation renforcée.</w:t>
      </w:r>
    </w:p>
    <w:p>
      <w:r/>
      <w:r>
        <w:rPr>
          <w:b/>
        </w:rPr>
        <w:t>Interactions Importantes :</w:t>
      </w:r>
      <w:r/>
    </w:p>
    <w:p>
      <w:pPr>
        <w:pStyle w:val="ListBullet"/>
      </w:pPr>
      <w:r/>
      <w:r>
        <w:rPr>
          <w:b/>
        </w:rPr>
        <w:t>Glargine + β-bloquants</w:t>
      </w:r>
      <w:r>
        <w:t xml:space="preserve"> : masquage des signes adrénergiques d'hypoglycémie.</w:t>
      </w:r>
    </w:p>
    <w:p>
      <w:pPr>
        <w:pStyle w:val="ListBullet"/>
      </w:pPr>
      <w:r/>
      <w:r>
        <w:rPr>
          <w:b/>
        </w:rPr>
        <w:t>Glargine + AINS, sulfamides, alcool, IEC, ARAs2</w:t>
      </w:r>
      <w:r>
        <w:t xml:space="preserve"> : potentialisation hypoglycémique.</w:t>
      </w:r>
    </w:p>
    <w:p>
      <w:pPr>
        <w:pStyle w:val="ListBullet"/>
      </w:pPr>
      <w:r/>
      <w:r>
        <w:rPr>
          <w:b/>
        </w:rPr>
        <w:t>Glargine + corticoïdes, danazol, diurétiques thiazidiques, isoniazide, hormones thyroïdiennes, œstrogènes, progestatifs, glucagon, sympathomimétiques, niacine</w:t>
      </w:r>
      <w:r>
        <w:t xml:space="preserve"> : baisse d'effet de l'insuline (hyperglycémie).</w:t>
      </w:r>
    </w:p>
    <w:p>
      <w:pPr>
        <w:pStyle w:val="ListBullet"/>
      </w:pPr>
      <w:r/>
      <w:r>
        <w:rPr>
          <w:b/>
        </w:rPr>
        <w:t>Glargine + pentamidine</w:t>
      </w:r>
      <w:r>
        <w:t xml:space="preserve"> : hypoglycémie initiale puis hyperglycémie.</w:t>
      </w:r>
    </w:p>
    <w:p>
      <w:pPr>
        <w:pStyle w:val="ListBullet"/>
      </w:pPr>
      <w:r/>
      <w:r>
        <w:rPr>
          <w:b/>
        </w:rPr>
        <w:t>Glargine + IMAO, fluoxétine, fibrates</w:t>
      </w:r>
      <w:r>
        <w:t xml:space="preserve"> : potentialisation hypoglycémique.</w:t>
      </w:r>
    </w:p>
    <w:p>
      <w:pPr>
        <w:pStyle w:val="ListBullet"/>
      </w:pPr>
      <w:r/>
      <w:r>
        <w:rPr>
          <w:b/>
        </w:rPr>
        <w:t>Glargine + somatostatine analogues (octréotide, lanréotide)</w:t>
      </w:r>
      <w:r>
        <w:t xml:space="preserve"> : diminution de la sécrétion de glucagon — adaptation.</w:t>
      </w:r>
    </w:p>
    <w:p>
      <w:pPr>
        <w:pStyle w:val="ListBullet"/>
      </w:pPr>
      <w:r/>
      <w:r>
        <w:rPr>
          <w:b/>
        </w:rPr>
        <w:t>Glargine + pioglitazone</w:t>
      </w:r>
      <w:r>
        <w:t xml:space="preserve"> : risque majoré d'œdèmes et d'insuffisance cardiaque (précaution d'emploi).</w:t>
      </w:r>
    </w:p>
    <w:p>
      <w:pPr>
        <w:pStyle w:val="ListBullet"/>
      </w:pPr>
      <w:r/>
      <w:r>
        <w:rPr>
          <w:b/>
        </w:rPr>
        <w:t>Glargine + SGLT2 inhibiteurs</w:t>
      </w:r>
      <w:r>
        <w:t xml:space="preserve"> : potentialisation hypoglycémique, risque d'acidocétose euglycémique (surtout DT1).</w:t>
      </w:r>
    </w:p>
    <w:p>
      <w:r/>
      <w:r>
        <w:rPr>
          <w:b/>
        </w:rPr>
        <w:t>Grossesse et Allaitement :</w:t>
      </w:r>
      <w:r/>
    </w:p>
    <w:p>
      <w:pPr>
        <w:pStyle w:val="ListBullet"/>
      </w:pPr>
      <w:r>
        <w:t>Grossesse : Selon le CRAT, l'insuline glargine est compatible avec la grossesse (données rassurantes depuis 2005, plusieurs cohortes — pas d'augmentation du risque malformatif ou néonatal). L'insuline ne traverse pas le placenta. Les besoins augmentent au cours de la grossesse (× 2–3 au 3e trimestre). Selon les recommandations HAS 2023, la glargine est désormais utilisable chez la femme enceinte (au même titre que detémir, NPH, asparte, lispro, et humaine régulière). Certains guidelines internationaux (NICE 2020) privilégient encore la detémir ou la NPH en première intention.</w:t>
      </w:r>
    </w:p>
    <w:p>
      <w:pPr>
        <w:pStyle w:val="ListBullet"/>
      </w:pPr>
      <w:r>
        <w:t>Allaitement : Compatible (CRAT). L'insuline est dégradée par les protéases digestives du nourrisson. Allaitement recommandé. Adapter la posologie (baisse des besoins, surveillance nocturne).</w:t>
      </w:r>
    </w:p>
    <w:p>
      <w:pPr>
        <w:pStyle w:val="ListBullet"/>
      </w:pPr>
      <w:r>
        <w:t>Précisions : Autosurveillance 6–8 fois/jour pendant grossesse. Objectifs stricts (jeûne &lt; 0,95 g/L, 1 h post-prandial &lt; 1,40 g/L).</w:t>
      </w:r>
    </w:p>
    <w:p>
      <w:r/>
      <w:r>
        <w:rPr>
          <w:b/>
        </w:rPr>
        <w:t>Posologie et Mode d'administration (Standard) :</w:t>
      </w:r>
      <w:r/>
    </w:p>
    <w:p>
      <w:pPr>
        <w:pStyle w:val="ListBullet"/>
      </w:pPr>
      <w:r>
        <w:t>Adulte : DT1 — 0,5 UI/kg/j en basal (50 % de la dose totale journalière), administré en 1 injection/jour à heure fixe. DT2 — Initiation : 10 UI/jour ou 0,1–0,2 UI/kg/jour, le soir généralement (à heure fixe), titration +2 UI tous les 3 jours selon glycémie à jeun (objectif 0,70–1,30 g/L, sans hypoglycémie). Dose maximale usuelle 0,5–1 UI/kg/j. U100 → U300 : conversion 1:1, mais U300 peut nécessiter une dose légèrement supérieure (10–15 %) pour atteindre le même effet (concentration plus élevée, résorption plus lente).</w:t>
      </w:r>
    </w:p>
    <w:p>
      <w:pPr>
        <w:pStyle w:val="ListBullet"/>
      </w:pPr>
      <w:r>
        <w:t>Enfant : 0,5–1 UI/kg/j en DT1, à partir de 6 ans pour U100 ; adulte pour U300.</w:t>
      </w:r>
    </w:p>
    <w:p>
      <w:pPr>
        <w:pStyle w:val="ListBullet"/>
      </w:pPr>
      <w:r>
        <w:t>Durée : À vie.</w:t>
      </w:r>
    </w:p>
    <w:p>
      <w:pPr>
        <w:pStyle w:val="ListBullet"/>
      </w:pPr>
      <w:r>
        <w:t>Moment de prise : 1 injection/jour à heure fixe (le soir généralement à 18–22 h, ou le matin selon préférence et rythme de vie). L'heure peut être ajustée tant que l'intervalle entre deux injections est respecté (≥ 20 h pour U100, ≥ 24 h pour U300 en pratique quotidienne — l'essai EDITION a permis des fenêtres de ± 3 h pour U300 sans impact sur l'efficacité ou la sécurité).</w:t>
      </w:r>
    </w:p>
    <w:p>
      <w:r/>
      <w:r>
        <w:rPr>
          <w:b/>
        </w:rPr>
        <w:t>Arbitrage et Bénéfices des Formes Galéniques :</w:t>
      </w:r>
      <w:r/>
    </w:p>
    <w:p>
      <w:r>
        <w:t>Le stylo prérempli jetable (SoloStar pour Toujeo et Lantus, KwikPen pour Abasaglar, dispositifs propriétaires pour BEKINSLO, DIAGLAR, BASALOG ONE, GLARUS, GLATEO) est la forme de référence — précision 1 UI (U100) ou 1 UI (U300, mais dose équivalente plus concentrée), aiguille ultrafine 4–8 mm, fenêtre de dose large. La forme U300 (Toujeo, GLARUS PLUS, GLATEO) présente l'avantage d'une variabilité intra-individuelle moindre, d'une durée d'action plus longue (&gt; 30 h), d'une réduction des hypoglycémies nocturnes (essais EDITION), et d'une tolérance d'injection meilleure (volume injecté réduit de 1/3 pour la même dose). La forme U100 reste le standard en initiation insulinothérapie DT2. Comparée à la NPH, la glargine U100 réduit significativement les hypoglycémies nocturnes confirmées (essai LANMET, ORIGIN). Comparée à la dégludec, la glargine U300 présente une efficacité comparable mais une variabilité légèrement supérieure (essai BRIGHT). La forme U300 ne doit jamais être substituée par 3 × U100 sans recalcul exact (risque d'erreur médicamenteuse).</w:t>
      </w:r>
    </w:p>
    <w:p>
      <w:r/>
      <w:r>
        <w:rPr>
          <w:b/>
        </w:rPr>
        <w:t>Instructions et Conseils au Patient :</w:t>
      </w:r>
      <w:r/>
    </w:p>
    <w:p>
      <w:pPr>
        <w:pStyle w:val="ListBullet"/>
      </w:pPr>
      <w:r>
        <w:t xml:space="preserve">Communication au comptoir : « La glargine (Lantus, Toujeo, Abasaglar, Bekinslo, Diaglar, Basalog One, Glarus, Glarus Plus, Glateo) est l'insuline basale, qui couvre le fond de votre glycémie tout au long de la journée et de la nuit. Vous l'injectez une fois par jour, toujours à la même heure (par exemple le soir à 22 h). Solution claire, transparente. Conservez les stylos non entamés au réfrigérateur (+2 à +8°C, ne jamais congeler) ; les stylos en cours d'utilisation à température ambiante &lt; 25°C pendant 4 semaines (U100) à 6 semaines (Toujeo U300) maximum. Vérifiez la limpidité avant chaque injection. Ne pas agiter. Jetez l'aiguille après chaque injection. </w:t>
      </w:r>
      <w:r>
        <w:rPr>
          <w:b/>
        </w:rPr>
        <w:t>Attention</w:t>
      </w:r>
      <w:r>
        <w:t xml:space="preserve"> : ne pas confondre Lantus U100 et Toujeo U300 — ils ne sont pas interchangeables. La concentration (100 ou 300 UI/mL) est indiquée sur l'étiquette : vérifiez-la systématiquement. »</w:t>
      </w:r>
    </w:p>
    <w:p>
      <w:pPr>
        <w:pStyle w:val="ListBullet"/>
      </w:pPr>
      <w:r>
        <w:t xml:space="preserve">Mode d'utilisation pratique : Lavez les mains, vérifiez la dose, aiguiller le stylo (2 UI jetées en l'air), pincez le pli cutané, insérez l'aiguille à 90°, appuyez à fond, maintenez 10 secondes, retirez, jetez l'aiguille. Rotation des sites (abdomen, cuisse, bras, fesse). En cas d'oubli d'injection : si ≤ 8 h après l'heure habituelle, injecter la dose habituelle ; si &gt; 8 h après (U100), sauter la dose et surveiller, reprendre le lendemain à l'heure habituelle. Pour U300, fenêtre de ± 3 h autorisée. Ne pas doubler la dose. </w:t>
      </w:r>
      <w:r>
        <w:rPr>
          <w:b/>
        </w:rPr>
        <w:t>Autosurveillance</w:t>
      </w:r>
      <w:r>
        <w:t xml:space="preserve"> : glycémie capillaire à jeun (objectif 0,70–1,30 g/L), au coucher (1,00–1,40 g/L), à 3 h du matin si suspicion d'hypoglycémie nocturne.</w:t>
      </w:r>
    </w:p>
    <w:p>
      <w:r/>
      <w:r>
        <w:rPr>
          <w:b/>
        </w:rPr>
        <w:t>Notes, Règles d'Or &amp; Pièges au Comptoir :</w:t>
      </w:r>
      <w:r/>
    </w:p>
    <w:p>
      <w:pPr>
        <w:pStyle w:val="ListBullet"/>
      </w:pPr>
      <w:r>
        <w:t xml:space="preserve">Piège classique : Erreur de dosage </w:t>
      </w:r>
      <w:r>
        <w:rPr>
          <w:b/>
        </w:rPr>
        <w:t>U100 vs U300</w:t>
      </w:r>
      <w:r>
        <w:t xml:space="preserve"> — la glargine existe en deux concentrations (100 UI/mL et 300 UI/mL). 1 UI U300 = 1 UI U100 en termes d'effet biologique (donc injection du même nombre d'unités), mais le volume injecté est 3 fois moindre en U300. </w:t>
      </w:r>
      <w:r>
        <w:rPr>
          <w:b/>
        </w:rPr>
        <w:t>Ne jamais substituer 1 stylo U300 par 3 injections de U100</w:t>
      </w:r>
      <w:r>
        <w:t xml:space="preserve"> sans recalcul exact (risque de surdosage massif = hypoglycémie sévère prolongée). Vérifier systématiquement la concentration sur l'étiquette. Le capuchon du stylo Lantus SoloStar est gris/violet, celui de Toujeo SoloStar est bleu foncé — ne pas confondre.</w:t>
      </w:r>
    </w:p>
    <w:p>
      <w:pPr>
        <w:pStyle w:val="ListBullet"/>
      </w:pPr>
      <w:r>
        <w:t>Règle de prise : Glargine = « insuline de fond », à injecter une fois par jour à heure fixe. Ne pas injecter par voie IV. Ne pas utiliser en pompe à insuline (précipitation).</w:t>
      </w:r>
    </w:p>
    <w:p>
      <w:pPr>
        <w:pStyle w:val="ListBullet"/>
      </w:pPr>
      <w:r>
        <w:t>Préparation et Conservation : Non entamé : +2°C à +8°C, jamais congelé, à l'abri de la lumière. Entamé : T° ambiante &lt; 25°C, 4 semaines max (U100) ou 6 semaines max (U300 Toujeo). Ne pas exposer à &gt; 30°C (voiture en été). Voyage : trousse isotherme avec pochettes réfrigérantes gelées à &gt; 0°C.</w:t>
      </w:r>
    </w:p>
    <w:p>
      <w:pPr>
        <w:pStyle w:val="ListBullet"/>
      </w:pPr>
      <w:r>
        <w:t>Piège du surdosage / Substitution : En cas de substitution Lantus → générique (Abasaglar, Bekinslo, Diaglar, Basalog One, Glarus), bioéquivalence démontrée mais surveiller l'HbA1c et les glycémies 2–4 semaines après substitution (variabilité possible d'efficacité, surtout chez DT1). En cas de passage U100 → U300 : conversion 1:1 mais surveillance 2 semaines, dose finale pouvant nécessiter +10–15 %. Ne pas substituer la glargine par la dégludec sans avis médical (différence de durée, d'horaire d'administration). En cas de remplacement NPH → glargine, conversion 1:1, surveillance accrue 2 semaines (moindres hypoglycémies attendues, mais possibles ajustements). Attention à l'interaction insuline + alcool (risque d'hypoglycémie sévère retardée). Ne pas mélanger la glargine avec une autre insuline dans la même cartouche (la glargine précipite en présence d'autres insulines altérant son pH).</w:t>
      </w:r>
    </w:p>
    <w:p>
      <w:pPr>
        <w:pStyle w:val="Heading3"/>
      </w:pPr>
      <w:r>
        <w:t>5. DCI : Insuline dégludec (Seule)</w:t>
      </w:r>
    </w:p>
    <w:p>
      <w:r/>
      <w:r>
        <w:rPr>
          <w:b/>
        </w:rPr>
        <w:t>Liste des Catégories :</w:t>
      </w:r>
      <w:r>
        <w:t xml:space="preserve"> Insulines — Analogues basales ultra-lents</w:t>
      </w:r>
    </w:p>
    <w:p>
      <w:r>
        <w:t xml:space="preserve">L'insuline dégludec (Tresiba, Novo Nordisk) est l'analogue d'insuline basal le plus récent (AMM européenne 2013), produit par technologie ADN recombinant sur souche de </w:t>
      </w:r>
      <w:r>
        <w:rPr>
          <w:i/>
        </w:rPr>
        <w:t>Saccharomyces cerevisiae</w:t>
      </w:r>
      <w:r>
        <w:t xml:space="preserve">. Sa structure se distingue de l'insuline humaine par l'adjonction d'un </w:t>
      </w:r>
      <w:r>
        <w:rPr>
          <w:b/>
        </w:rPr>
        <w:t>acide hexadécandioïque (C16)</w:t>
      </w:r>
      <w:r>
        <w:t xml:space="preserve"> sur le résidu LysB29 via un spacer γ-glutamique. Cette chaîne latérale lipidique permet, après injection sous-cutanée, la formation d'un dépôt multi-hexamérique stable (par interactions hydrophobes entre les chaînes C16), qui se dissout très lentement en monomères qui diffusent dans la circulation systémique. Cette pharmacocinétique offre une durée d'action </w:t>
      </w:r>
      <w:r>
        <w:rPr>
          <w:b/>
        </w:rPr>
        <w:t>&gt; 42 heures</w:t>
      </w:r>
      <w:r>
        <w:t xml:space="preserve">, un profil ultra-plat sans pic, et une variabilité intra-individuelle </w:t>
      </w:r>
      <w:r>
        <w:rPr>
          <w:b/>
        </w:rPr>
        <w:t>4 fois moindre</w:t>
      </w:r>
      <w:r>
        <w:t xml:space="preserve"> que la glargine U100 (essais pharmacocinétiques). Profil : début d'action 1–2 h, sans pic, durée &gt; 42 h, état d'équilibre atteint en 2–3 jours. Administrable par voie SC uniquement (jamais IV), à heure fixe quotidienne avec possibilité de flexibilité horaire (intervalle minimum 8 h entre deux injections en cas de décalage exceptionnel). Disponible en deux concentrations : U100 (100 UI/mL) et U200 (200 UI/mL, non commercialisée en Algérie à ce jour). Compatible avec le DT1, le DT2, la pédiatrie à partir de 1 an (essais BEGIN YOUTH), la grossesse (CRAT — données rassurantes mais plus limitées que pour la glargine), l'insuffisance rénale et hépatique (pas d'adaptation posologique systématique, surveillance accrue). Réduit significativement les hypoglycémies nocturnes sévères vs glargine U100 (essai SWITCH 1, DT1) et vs glargine U300 (essai BRIGHT).</w:t>
      </w:r>
    </w:p>
    <w:p>
      <w:r/>
      <w:r>
        <w:rPr>
          <w:b/>
        </w:rPr>
        <w:t>Médicaments disponibles en Algérie (Marques, Laboratoires, Formes et Dosages) :</w:t>
      </w:r>
      <w:r/>
    </w:p>
    <w:p>
      <w:pPr>
        <w:pStyle w:val="ListBullet"/>
      </w:pPr>
      <w:r/>
      <w:r>
        <w:rPr>
          <w:b/>
        </w:rPr>
        <w:t>TRESIBA FLEXPEN</w:t>
      </w:r>
      <w:r>
        <w:t xml:space="preserve"> (SPA/ALDAPH)</w:t>
      </w:r>
    </w:p>
    <w:p>
      <w:pPr>
        <w:pStyle w:val="ListBullet"/>
      </w:pPr>
      <w:r>
        <w:t>Formes et Dosages : Solution injectable SC en stylo prérempli FlexPen, 100 UI/mL ; boîtes de 1, 2 et 5 stylos préremplis de 3 mL en cartouche</w:t>
      </w:r>
    </w:p>
    <w:p>
      <w:pPr>
        <w:pStyle w:val="ListBullet"/>
      </w:pPr>
      <w:r>
        <w:t>Statut : Actif (U100)</w:t>
      </w:r>
    </w:p>
    <w:p>
      <w:pPr>
        <w:pStyle w:val="ListBullet"/>
      </w:pPr>
      <w:r/>
      <w:r>
        <w:rPr>
          <w:b/>
        </w:rPr>
        <w:t>TRESIBA FLEXTOUCH</w:t>
      </w:r>
      <w:r>
        <w:t xml:space="preserve"> (NOVO NORDISK)</w:t>
      </w:r>
    </w:p>
    <w:p>
      <w:pPr>
        <w:pStyle w:val="ListBullet"/>
      </w:pPr>
      <w:r>
        <w:t>Formes et Dosages : Solution injectable SC en stylo prérempli FlexTouch, 100 UI/mL ; boîte de 1 stylo prérempli muni d'une cartouche de 3 mL</w:t>
      </w:r>
    </w:p>
    <w:p>
      <w:pPr>
        <w:pStyle w:val="ListBullet"/>
      </w:pPr>
      <w:r>
        <w:t>Statut : Actif (U100 — FlexTouch permet jusqu'à 80 UI en une injection contre 60 UI pour FlexPen, utile pour les fortes doses)</w:t>
      </w:r>
    </w:p>
    <w:p>
      <w:r/>
      <w:r>
        <w:rPr>
          <w:b/>
        </w:rPr>
        <w:t>Sous-classe et Mécanisme d'action :</w:t>
      </w:r>
      <w:r/>
    </w:p>
    <w:p>
      <w:pPr>
        <w:pStyle w:val="ListBullet"/>
      </w:pPr>
      <w:r>
        <w:t xml:space="preserve">Sous-classe : Analogue d'insuline basal ultra-long, volet </w:t>
      </w:r>
      <w:r>
        <w:rPr>
          <w:b/>
        </w:rPr>
        <w:t>basal</w:t>
      </w:r>
      <w:r>
        <w:t xml:space="preserve"> des schémas basal-bolus. Pas de pic d'action, durée &gt; 42 h, administration quotidienne unique à heure flexible. Compatible grossesse (CRAT — données limitées mais rassurantes), pédiatrie (à partir de 1 an), insuffisance rénale/hépatique (surveillance accrue sans adaptation posologique systématique).</w:t>
      </w:r>
    </w:p>
    <w:p>
      <w:pPr>
        <w:pStyle w:val="ListBullet"/>
      </w:pPr>
      <w:r>
        <w:t xml:space="preserve">Mécanisme d'action : La dégludec se fixe au récepteur de l'insuline (IR α2β2) avec une affinité équivalente à l'insuline humaine (~0,5 nM). Elle déclenche l'autophosphorylation du domaine β tyrosine-kinase, le recrutement d'IRS-1/IRS-2, l'activation de la voie PI3K → PIP3 → PDK1 → Akt. Akt phosphoryle AS160/TBC1D4 → translocation GLUT4 (muscle, tissu adipeux), phosphoryle GSK3β → glycogénogenèse, phosphoryle FoxO1 → répression transcriptionnelle de PEPCK et G6Pase → inhibition néoglucogenèse hépatique. Voie MAPK (Ras-Raf-MEK-ERK) activée en parallèle pour la protéosynthèse. La spécificité de la dégludec est </w:t>
      </w:r>
      <w:r>
        <w:rPr>
          <w:b/>
        </w:rPr>
        <w:t>purement pharmacocinétique</w:t>
      </w:r>
      <w:r>
        <w:t xml:space="preserve"> : la chaîne latérale C16 permet la formation d'un dépôt multihexamérique sous-cutané extrêmement stable, qui libère lentement les monomères dans la circulation systémique. À l'état d'équilibre (atteint en 2–3 jours), la concentration plasmatique reste constante sans pic, ce qui explique le très faible taux d'hypoglycémie nocturne et la possibilité d'injection à heure flexible (intervalle minimum 8 h entre deux injections en cas de décalage exceptionnel). La dégludec est métabolisée par clivage protéolytique en métabolites inactifs éliminés par voie rénale et hépatique.</w:t>
      </w:r>
    </w:p>
    <w:p>
      <w:r/>
      <w:r>
        <w:rPr>
          <w:b/>
        </w:rPr>
        <w:t>Profil Pharmacologique :</w:t>
      </w:r>
      <w:r/>
    </w:p>
    <w:p>
      <w:pPr>
        <w:pStyle w:val="ListBullet"/>
      </w:pPr>
      <w:r>
        <w:t>Indications : DT1 en basal (associé à un bolus prandial asparte/lispro/glulisine × 3/j) ; DT2 en initiation insulinothérapie (10 UI/jour ou 0,1–0,2 UI/kg/jour) ; DT2 non contrôlé sous basal glargine/detémir avec hypoglycémies nocturnes ; DT2 non contrôlé sous ADO ± GLP-1 ; patients à forte variabilité glycémique, insuffisants rénaux, sujets âgés, patients à observance difficile (heure flexible).</w:t>
      </w:r>
    </w:p>
    <w:p>
      <w:pPr>
        <w:pStyle w:val="ListBullet"/>
      </w:pPr>
      <w:r>
        <w:t>Contre-indications : Hypoglycémie, hypersensibilité à la dégludec ou à un excipient (m-crésol, phénol, zinc, glycérol), ne pas administrer par voie IV, ne pas utiliser en pompe à insuline.</w:t>
      </w:r>
    </w:p>
    <w:p>
      <w:pPr>
        <w:pStyle w:val="ListBullet"/>
      </w:pPr>
      <w:r>
        <w:t>Effets Indésirables : Hypoglycémie (moindre fréquence que la glargine U100 et comparable à la glargine U300 selon SWITCH, BRIGHT), lipodystrophie au site d'injection (lipo-hypertrophie), prise de poids (moindre que la NPH), œdèmes transitoires à l'initiation, réactions locales, allergie rare, hypokaliémie. Une augmentation du risque de cancer (notamment sein) a été initialement suggérée par certaines études observationnelles mais non confirmée par les larges essais randomisés (DEVOTE — aucun signal de sécurité cardiovasculaire, neutralité cardiaque démontrée).</w:t>
      </w:r>
    </w:p>
    <w:p>
      <w:r/>
      <w:r>
        <w:rPr>
          <w:b/>
        </w:rPr>
        <w:t>Prévention et Gestion des Effets Indésirables :</w:t>
      </w:r>
      <w:r/>
    </w:p>
    <w:p>
      <w:pPr>
        <w:pStyle w:val="ListBullet"/>
      </w:pPr>
      <w:r>
        <w:t>Mesures Préventives : Rotation stricte des sites d'injection SC (quadrants), autosurveillance glycémique ≥ 2 fois/jour (à jeun et coucher, plus si symptômes), éducation thérapeutique, aiguille neuve à chaque injection, vérification visuelle (limpide incolore).</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par proche formé, ou glucose 30 % IV, surveillance 24 h, recherche de cause. </w:t>
      </w:r>
      <w:r>
        <w:rPr>
          <w:b/>
        </w:rPr>
        <w:t>Lipodystrophie</w:t>
      </w:r>
      <w:r>
        <w:t xml:space="preserve"> : arrêt injections au site atteint. </w:t>
      </w:r>
      <w:r>
        <w:rPr>
          <w:b/>
        </w:rPr>
        <w:t>Hypoglycémie nocturne</w:t>
      </w:r>
      <w:r>
        <w:t xml:space="preserve"> : dosage à 3 h du matin, réduction de 2 UI si glycémie &lt; 0,70 g/L. À l'initiation ou ajustement de dose, surveiller la glycémie à jeun pendant 5–7 jours (temps d'équilibration de l'état d'équilibre). </w:t>
      </w:r>
      <w:r>
        <w:rPr>
          <w:b/>
        </w:rPr>
        <w:t>Note</w:t>
      </w:r>
      <w:r>
        <w:t xml:space="preserve"> : en raison de la longue demi-vie (&gt; 25 h), les ajustements posologiques doivent être espacés de 3–4 jours pour évaluer l'effet réel.</w:t>
      </w:r>
    </w:p>
    <w:p>
      <w:r/>
      <w:r>
        <w:rPr>
          <w:b/>
        </w:rPr>
        <w:t>Interactions Importantes :</w:t>
      </w:r>
      <w:r/>
    </w:p>
    <w:p>
      <w:pPr>
        <w:pStyle w:val="ListBullet"/>
      </w:pPr>
      <w:r/>
      <w:r>
        <w:rPr>
          <w:b/>
        </w:rPr>
        <w:t>Dégludec + β-bloquants</w:t>
      </w:r>
      <w:r>
        <w:t xml:space="preserve"> : masquage des signes adrénergiques d'hypoglycémie.</w:t>
      </w:r>
    </w:p>
    <w:p>
      <w:pPr>
        <w:pStyle w:val="ListBullet"/>
      </w:pPr>
      <w:r/>
      <w:r>
        <w:rPr>
          <w:b/>
        </w:rPr>
        <w:t>Dégludec + AINS, sulfamides, alcool, IEC, ARAs2</w:t>
      </w:r>
      <w:r>
        <w:t xml:space="preserve"> : potentialisation hypoglycémique.</w:t>
      </w:r>
    </w:p>
    <w:p>
      <w:pPr>
        <w:pStyle w:val="ListBullet"/>
      </w:pPr>
      <w:r/>
      <w:r>
        <w:rPr>
          <w:b/>
        </w:rPr>
        <w:t>Dégludec + corticoïdes, danazol, diurétiques thiazidiques, isoniazide, hormones thyroïdiennes, œstrogènes, progestatifs, glucagon, sympathomimétiques</w:t>
      </w:r>
      <w:r>
        <w:t xml:space="preserve"> : hyperglycémie, baisse d'effet.</w:t>
      </w:r>
    </w:p>
    <w:p>
      <w:pPr>
        <w:pStyle w:val="ListBullet"/>
      </w:pPr>
      <w:r/>
      <w:r>
        <w:rPr>
          <w:b/>
        </w:rPr>
        <w:t>Dégludec + pentamidine</w:t>
      </w:r>
      <w:r>
        <w:t xml:space="preserve"> : hypoglycémie initiale puis hyperglycémie.</w:t>
      </w:r>
    </w:p>
    <w:p>
      <w:pPr>
        <w:pStyle w:val="ListBullet"/>
      </w:pPr>
      <w:r/>
      <w:r>
        <w:rPr>
          <w:b/>
        </w:rPr>
        <w:t>Dégludec + IMAO, fluoxétine, fibrates</w:t>
      </w:r>
      <w:r>
        <w:t xml:space="preserve"> : potentialisation hypoglycémique.</w:t>
      </w:r>
    </w:p>
    <w:p>
      <w:pPr>
        <w:pStyle w:val="ListBullet"/>
      </w:pPr>
      <w:r/>
      <w:r>
        <w:rPr>
          <w:b/>
        </w:rPr>
        <w:t>Dégludec + somatostatine analogues</w:t>
      </w:r>
      <w:r>
        <w:t xml:space="preserve"> : adaptation de dose.</w:t>
      </w:r>
    </w:p>
    <w:p>
      <w:pPr>
        <w:pStyle w:val="ListBullet"/>
      </w:pPr>
      <w:r/>
      <w:r>
        <w:rPr>
          <w:b/>
        </w:rPr>
        <w:t>Dégludec + pioglitazone</w:t>
      </w:r>
      <w:r>
        <w:t xml:space="preserve"> : risque majoré d'œdèmes et d'insuffisance cardiaque.</w:t>
      </w:r>
    </w:p>
    <w:p>
      <w:pPr>
        <w:pStyle w:val="ListBullet"/>
      </w:pPr>
      <w:r/>
      <w:r>
        <w:rPr>
          <w:b/>
        </w:rPr>
        <w:t>Dégludec + SGLT2 inhibiteurs</w:t>
      </w:r>
      <w:r>
        <w:t xml:space="preserve"> : potentialisation hypoglycémique, risque d'acidocétose euglycémique.</w:t>
      </w:r>
    </w:p>
    <w:p>
      <w:r/>
      <w:r>
        <w:rPr>
          <w:b/>
        </w:rPr>
        <w:t>Grossesse et Allaitement :</w:t>
      </w:r>
      <w:r/>
    </w:p>
    <w:p>
      <w:pPr>
        <w:pStyle w:val="ListBullet"/>
      </w:pPr>
      <w:r>
        <w:t>Grossesse : Selon le CRAT, l'insuline dégludec peut être prescrite pendant la grossesse si nécessaire (données rassurantes depuis 2015, cohortes observationnelles — pas d'augmentation du risque malformatif ou néonatal). L'insuline ne traverse pas le placenta. Les besoins augmentent au cours de la grossesse (× 2–3 au 3e trimestre) puis chutent en post-partum immédiat. La dégludec est une alternative à la glargine/detémir/NPH en grossesse, avec l'avantage théorique d'une plus grande stabilité glycémique. Les recommandations HAS 2023 l'incluent dans les options de basal pendant grossesse.</w:t>
      </w:r>
    </w:p>
    <w:p>
      <w:pPr>
        <w:pStyle w:val="ListBullet"/>
      </w:pPr>
      <w:r>
        <w:t>Allaitement : Compatible (CRAT). L'insuline est dégradée par les protéases digestives du nourrisson. Allaitement recommandé. Adapter la posologie (baisse des besoins en allaitement, surveillance nocturne).</w:t>
      </w:r>
    </w:p>
    <w:p>
      <w:pPr>
        <w:pStyle w:val="ListBullet"/>
      </w:pPr>
      <w:r>
        <w:t>Précisions : Autosurveillance 6–8 fois/jour pendant grossesse. Objectifs stricts (jeûne &lt; 0,95 g/L, 1 h post-prandial &lt; 1,40 g/L).</w:t>
      </w:r>
    </w:p>
    <w:p>
      <w:r/>
      <w:r>
        <w:rPr>
          <w:b/>
        </w:rPr>
        <w:t>Posologie et Mode d'administration (Standard) :</w:t>
      </w:r>
      <w:r/>
    </w:p>
    <w:p>
      <w:pPr>
        <w:pStyle w:val="ListBullet"/>
      </w:pPr>
      <w:r>
        <w:t>Adulte : DT1 — 0,5–1 UI/kg/j en basal, 1 injection/jour à heure fixe (ou flexible avec intervalle minimum 8 h entre deux injections en cas de décalage exceptionnel). DT2 — Initiation : 10 UI/jour ou 0,1–0,2 UI/kg/jour, titration +2 UI tous les 3–4 jours (intervalle prolongé en raison du temps d'équilibration de l'état d'équilibre). Dose maximale usuelle 0,5–1 UI/kg/j.</w:t>
      </w:r>
    </w:p>
    <w:p>
      <w:pPr>
        <w:pStyle w:val="ListBullet"/>
      </w:pPr>
      <w:r>
        <w:t>Enfant : 0,5–1 UI/kg/j en DT1, à partir de 1 an (essais BEGIN YOUTH, BEGIN YOUNG).</w:t>
      </w:r>
    </w:p>
    <w:p>
      <w:pPr>
        <w:pStyle w:val="ListBullet"/>
      </w:pPr>
      <w:r>
        <w:t>Durée : À vie.</w:t>
      </w:r>
    </w:p>
    <w:p>
      <w:pPr>
        <w:pStyle w:val="ListBullet"/>
      </w:pPr>
      <w:r>
        <w:t>Moment de prise : 1 injection/jour à heure fixe (le soir généralement à 18–22 h, ou le matin selon préférence). En cas d'oubli d'injection : injecter la dose habituelle dès que possible si l'intervalle depuis la dernière injection est &gt; 8 h ; sinon, sauter la dose et reprendre le lendemain à l'heure habituelle. Ne jamais doubler la dose.</w:t>
      </w:r>
    </w:p>
    <w:p>
      <w:r/>
      <w:r>
        <w:rPr>
          <w:b/>
        </w:rPr>
        <w:t>Arbitrage et Bénéfices des Formes Galéniques :</w:t>
      </w:r>
      <w:r/>
    </w:p>
    <w:p>
      <w:r>
        <w:t>Le stylo prérempli FlexPen (jusqu'à 60 UI en une injection) ou FlexTouch (jusqu'à 80 UI en une injection — avantage pour les patients nécessitant de fortes doses) est la forme de référence. La forme U200 (concentrée à 200 UI/mL, non commercialisée en Algérie) est destinée aux patients nécessitant des doses &gt; 80 UI/jour (réduction du volume injecté, meilleure tolérance). Comparée à la glargine U100, la dégludec réduit significativement les hypoglycémies nocturnes sévères (essai SWITCH 1, DT1) et offre une variabilité intra-individuelle moindre. Comparée à la glargine U300 (essai BRIGHT), la dégludec présente une efficacité comparable avec une moindre élévation glycémique en début de traitement. La flexibilité horaire de la dégludec (intervalle minimum 8 h entre deux injections) est un avantage majeur pour les patients à rythme de vie variable (travailleurs postés, voyages, décalages horaires).</w:t>
      </w:r>
    </w:p>
    <w:p>
      <w:r/>
      <w:r>
        <w:rPr>
          <w:b/>
        </w:rPr>
        <w:t>Instructions et Conseils au Patient :</w:t>
      </w:r>
      <w:r/>
    </w:p>
    <w:p>
      <w:pPr>
        <w:pStyle w:val="ListBullet"/>
      </w:pPr>
      <w:r>
        <w:t>Communication au comptoir : « La dégludec (Tresiba) est l'insuline basale la plus récente, qui couvre le fond de votre glycémie pendant plus de 42 heures. Vous l'injectez une fois par jour, à heure fixe de préférence, mais avec une certaine souplesse : si un jour vous ne pouvez pas l'injecter à l'heure habituelle, vous pouvez le faire plus tard dans la journée (minimum 8 heures depuis la dernière injection). Solution claire, transparente. Conservez les stylos non entamés au réfrigérateur (+2 à +8°C, ne jamais congeler) ; les stylos en cours d'utilisation à température ambiante &lt; 25°C pendant 8 semaines maximum (durée de conservation prolongée par rapport à la glargine — avantage). Vérifiez la limpidité avant chaque injection. Ne pas agiter. Jetez l'aiguille après chaque injection. »</w:t>
      </w:r>
    </w:p>
    <w:p>
      <w:pPr>
        <w:pStyle w:val="ListBullet"/>
      </w:pPr>
      <w:r>
        <w:t xml:space="preserve">Mode d'utilisation pratique : Lavez les mains, vérifiez la dose, aiguiller le stylo (2 UI jetées en l'air), pincez le pli cutané, insérez l'aiguille à 90°, appuyez à fond, maintenez 10 secondes, retirez, jetez l'aiguille. Rotation des sites. En cas d'oubli : injecter dès que possible si &gt; 8 h depuis la dernière injection ; sinon sauter la dose et reprendre le lendemain à l'heure habituelle. Ne jamais doubler la dose. </w:t>
      </w:r>
      <w:r>
        <w:rPr>
          <w:b/>
        </w:rPr>
        <w:t>Autosurveillance</w:t>
      </w:r>
      <w:r>
        <w:t xml:space="preserve"> : glycémie capillaire à jeun (objectif 0,70–1,30 g/L) et au coucher (1,00–1,40 g/L), à 3 h du matin si suspicion d'hypoglycémie nocturne. Tenir un carnet de surveillance.</w:t>
      </w:r>
    </w:p>
    <w:p>
      <w:r/>
      <w:r>
        <w:rPr>
          <w:b/>
        </w:rPr>
        <w:t>Notes, Règles d'Or &amp; Pièges au Comptoir :</w:t>
      </w:r>
      <w:r/>
    </w:p>
    <w:p>
      <w:pPr>
        <w:pStyle w:val="ListBullet"/>
      </w:pPr>
      <w:r>
        <w:t>Piège classique : Confusion entre dégludec et glargine — bien que les deux soient des insulines basales transparentes, elles diffèrent en durée (dégludec &gt; 42 h vs glargine U100 24 h ou U300 &gt; 30 h) et en flexibilité horaire (dégludec permet un intervalle minimum 8 h ; glargine U100 exige 24 h ; glargine U300 tolère ± 3 h). Vérifier systématiquement l'étiquette et la DCI. Le capuchon du stylo Tresiba FlexPen est vert, FlexTouch est vert foncé — ne pas confondre avec les autres stylos (Novorapid FlexPen est bleu, Lantus SoloStar est gris/violet, Toujeo SoloStar est bleu foncé).</w:t>
      </w:r>
    </w:p>
    <w:p>
      <w:pPr>
        <w:pStyle w:val="ListBullet"/>
      </w:pPr>
      <w:r>
        <w:t>Règle de prise : Dégludec = « insuline de fond ultra-longue », à injecter une fois par jour à heure fixe (avec souplesse de 8 h minimum). Ne pas injecter par voie IV. Ne pas utiliser en pompe à insuline. Ne pas mélanger avec une autre insuline dans la même cartouche.</w:t>
      </w:r>
    </w:p>
    <w:p>
      <w:pPr>
        <w:pStyle w:val="ListBullet"/>
      </w:pPr>
      <w:r>
        <w:t xml:space="preserve">Préparation et Conservation : Non entamé : +2°C à +8°C, jamais congelé, à l'abri de la lumière. Entamé : T° ambiante &lt; 25°C, </w:t>
      </w:r>
      <w:r>
        <w:rPr>
          <w:b/>
        </w:rPr>
        <w:t>8 semaines max</w:t>
      </w:r>
      <w:r>
        <w:t xml:space="preserve"> (avantage par rapport aux 4 semaines de la glargine et de l'asparte/lispro/glulisine — utile pour les patients à faible consommation). Ne pas exposer à &gt; 30°C (voiture en été). Voyage : trousse isotherme.</w:t>
      </w:r>
    </w:p>
    <w:p>
      <w:pPr>
        <w:pStyle w:val="ListBullet"/>
      </w:pPr>
      <w:r>
        <w:t>Piège du surdosage / Substitution : En cas de substitution glargine → dégludec, conversion 1:1, mais surveillance 2 semaines (variabilité possible, ajustement de ± 10 % possible). En cas de passage de detémir (2 injections/jour) → dégludec (1 injection/jour), regrouper les deux doses en une seule. En raison du temps d'équilibration (2–3 jours), ne pas ajuster la dose plus fréquemment que tous les 3–4 jours. Attention à l'interaction insuline + alcool (risque d'hypoglycémie sévère retardée). La dégludec est l'insuline de choix pour les patients présentant des hypoglycémies nocturnes récidivantes sous glargine U100 ou pour ceux qui ont un rythme de vie variable (travailleurs postés, voyages fréquents).</w:t>
      </w:r>
    </w:p>
    <w:p>
      <w:pPr>
        <w:pStyle w:val="Heading3"/>
      </w:pPr>
      <w:r>
        <w:t>6. DCI : Insuline dégludec + Insuline asparte (Association fixe)</w:t>
      </w:r>
    </w:p>
    <w:p>
      <w:r/>
      <w:r>
        <w:rPr>
          <w:b/>
        </w:rPr>
        <w:t>Liste des Catégories :</w:t>
      </w:r>
      <w:r>
        <w:t xml:space="preserve"> Insulines — Analogues ultra-rapides et basales pré-mélangées</w:t>
      </w:r>
    </w:p>
    <w:p>
      <w:r>
        <w:t xml:space="preserve">L'association fixe </w:t>
      </w:r>
      <w:r>
        <w:rPr>
          <w:b/>
        </w:rPr>
        <w:t>insuline dégludec (70 %) + insuline asparte (30 %)</w:t>
      </w:r>
      <w:r>
        <w:t xml:space="preserve"> commercialisée sous le nom </w:t>
      </w:r>
      <w:r>
        <w:rPr>
          <w:b/>
        </w:rPr>
        <w:t>Ryzodeg</w:t>
      </w:r>
      <w:r>
        <w:t xml:space="preserve"> (Novo Nordisk) est une formulation co-formulée en solution injectable SC, qui combine un basal ultra-long (dégludec) et un bolus ultra-rapide (asparte) dans une même cartouche. La pharmacocinétique des deux composants est préservée — la dégludec conserve son profil multi-hexamérique sans pic &gt; 42 h, et l'asparte conserve son profil monomérique rapide 10–20 min, pic 1–3 h, durée 3–5 h. Le ratio fixe 70/30 (70 % dégludec + 30 % asparte) n'est pas ajustable mais correspond à un schéma thérapeutique simplifié visant à couvrir à la fois le besoin basal et le repas principal en une seule injection. Administrable en 1 à 2 injections/jour (avec le repas principal — matin ou soir). Cette formulation est indiquée dans le DT2 principalement (en alternative au basal-bolus chez les patients à observance difficile, en institution, ou en transition depuis une biphasique humaine), et dans le DT1 dans certains contextes d'allègement thérapeutique (mais la couverture des 3 repas par un seul analogue rapide est compromise). Compatible avec la pédiatrie à partir de 1 an (données limitées) et la grossesse (données limitées — non recommandée en première intention, préférence pour dégludec seul + asparte seul).</w:t>
      </w:r>
    </w:p>
    <w:p>
      <w:r/>
      <w:r>
        <w:rPr>
          <w:b/>
        </w:rPr>
        <w:t>Médicaments disponibles en Algérie (Marques, Laboratoires, Formes et Dosages) :</w:t>
      </w:r>
      <w:r/>
    </w:p>
    <w:p>
      <w:pPr>
        <w:pStyle w:val="ListBullet"/>
      </w:pPr>
      <w:r/>
      <w:r>
        <w:rPr>
          <w:b/>
        </w:rPr>
        <w:t>RYZODEG FLEXTOUCH</w:t>
      </w:r>
      <w:r>
        <w:t xml:space="preserve"> (NOVO NORDISK)</w:t>
      </w:r>
    </w:p>
    <w:p>
      <w:pPr>
        <w:pStyle w:val="ListBullet"/>
      </w:pPr>
      <w:r>
        <w:t>Formes et Dosages : Solution injectable SC en stylo prérempli FlexTouch, 100 UI/mL (dégludec 70 % + asparte 30 %) ; boîte de 5 stylos préremplis munis de cartouches de 3 mL de solution (300 UI/3 mL)</w:t>
      </w:r>
    </w:p>
    <w:p>
      <w:pPr>
        <w:pStyle w:val="ListBullet"/>
      </w:pPr>
      <w:r>
        <w:t>Statut : Actif</w:t>
      </w:r>
    </w:p>
    <w:p>
      <w:r/>
      <w:r>
        <w:rPr>
          <w:b/>
        </w:rPr>
        <w:t>Sous-classe et Mécanisme d'action :</w:t>
      </w:r>
      <w:r/>
    </w:p>
    <w:p>
      <w:pPr>
        <w:pStyle w:val="ListBullet"/>
      </w:pPr>
      <w:r>
        <w:t>Sous-classe : Association fixe d'un analogue basal ultra-long (dégludec 70 %) et d'un analogue ultra-rapide (asparte 30 %), en 1 à 2 injections/jour, schéma thérapeutique simplifié.</w:t>
      </w:r>
    </w:p>
    <w:p>
      <w:pPr>
        <w:pStyle w:val="ListBullet"/>
      </w:pPr>
      <w:r>
        <w:t>Mécanisme d'action : Combinaison de deux mécanismes — (i) dégludec : formation d'un dépôt multi-hexamérique sous-cutané par interactions hydrophobes de la chaîne C16, libération lente &gt; 42 h, sans pic, couverture basale ; (ii) asparte : monomère soluble absorbé en 10–20 min, pic prandial 1–3 h, durée 3–5 h, couverture prandiale du repas principal. Les deux composants se fixent au récepteur de l'insuline α2β2 avec activation des voies PI3K/Akt (translocation GLUT4, glycogénogenèse, inhibition néoglucogenèse, lipogénèse, inhibition lipolyse) et MAPK (protéosynthèse). L'effet basal (dégludec) couvre les besoins inter-prandiaux et nocturnes ; l'effet prandial (asparte) couvre le repas principal. Les deux insulines ne se perturbent pas pharmacocinétiquement (la dégludec forme ses multimères en présence d'asparte monomérique sans interaction).</w:t>
      </w:r>
    </w:p>
    <w:p>
      <w:r/>
      <w:r>
        <w:rPr>
          <w:b/>
        </w:rPr>
        <w:t>Profil Pharmacologique :</w:t>
      </w:r>
      <w:r/>
    </w:p>
    <w:p>
      <w:pPr>
        <w:pStyle w:val="ListBullet"/>
      </w:pPr>
      <w:r>
        <w:t>Indications : DT2 — alternative au basal-bolus en cas d'observance difficile, en institution, en transition depuis une biphasique humaine, ou en cas de besoin d'allégement du nombre d'injections. DT1 — dans certains contextes spécifiques (âgés, institutionnalisés), mais ne remplace pas le schéma basal-bolus conventionnel (3 injections prandiales nécessaires).</w:t>
      </w:r>
    </w:p>
    <w:p>
      <w:pPr>
        <w:pStyle w:val="ListBullet"/>
      </w:pPr>
      <w:r>
        <w:t>Contre-indications : Hypoglycémie, hypersensibilité à la dégludec ou à l'asparte ou à un excipient, ne pas administrer par voie IV, ne pas utiliser en pompe à insuline, grossesse (données limitées — préférence pour dégludec seul + asparte seul).</w:t>
      </w:r>
    </w:p>
    <w:p>
      <w:pPr>
        <w:pStyle w:val="ListBullet"/>
      </w:pPr>
      <w:r>
        <w:t>Effets Indésirables : Hypoglycémie (moindre fréquence que le basal-bolus conventionnel selon essai BOOST), lipodystrophie au site d'injection, prise de poids, œdèmes transitoires, réactions locales, allergie rare, hypokaliémie.</w:t>
      </w:r>
    </w:p>
    <w:p>
      <w:r/>
      <w:r>
        <w:rPr>
          <w:b/>
        </w:rPr>
        <w:t>Prévention et Gestion des Effets Indésirables :</w:t>
      </w:r>
      <w:r/>
    </w:p>
    <w:p>
      <w:pPr>
        <w:pStyle w:val="ListBullet"/>
      </w:pPr>
      <w:r>
        <w:t>Mesures Préventives : Rotation stricte des sites d'injection, autosurveillance glycémique (à jeun, post-prandial du repas principal, coucher), éducation thérapeutique (gestion du ratio fixe, gestion des repas imprévus), aiguille neuve à chaque injection, vérification visuelle (solution limpide incolore).</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surveillance 24 h. </w:t>
      </w:r>
      <w:r>
        <w:rPr>
          <w:b/>
        </w:rPr>
        <w:t>Lipodystrophie</w:t>
      </w:r>
      <w:r>
        <w:t xml:space="preserve"> : arrêt injections au site atteint. En cas de saut de repas principal : risque d'hypoglycémie de la composante asparte (injecter seulement si le repas va être pris) ; en cas de repas non prévu, surveillance accrue. En cas d'oubli d'injection : injecter dès que possible avec le repas suivant si l'intervalle &gt; 8 h depuis la dernière injection (règle similaire à la dégludec seule).</w:t>
      </w:r>
    </w:p>
    <w:p>
      <w:r/>
      <w:r>
        <w:rPr>
          <w:b/>
        </w:rPr>
        <w:t>Interactions Importantes :</w:t>
      </w:r>
      <w:r/>
    </w:p>
    <w:p>
      <w:pPr>
        <w:pStyle w:val="ListBullet"/>
      </w:pPr>
      <w:r/>
      <w:r>
        <w:rPr>
          <w:b/>
        </w:rPr>
        <w:t>Ryzodeg + β-bloquants</w:t>
      </w:r>
      <w:r>
        <w:t xml:space="preserve"> : masquage des signes adrénergiques d'hypoglycémie.</w:t>
      </w:r>
    </w:p>
    <w:p>
      <w:pPr>
        <w:pStyle w:val="ListBullet"/>
      </w:pPr>
      <w:r/>
      <w:r>
        <w:rPr>
          <w:b/>
        </w:rPr>
        <w:t>Ryzodeg + AINS, sulfamides, alcool, IEC, ARAs2</w:t>
      </w:r>
      <w:r>
        <w:t xml:space="preserve"> : potentialisation hypoglycémique.</w:t>
      </w:r>
    </w:p>
    <w:p>
      <w:pPr>
        <w:pStyle w:val="ListBullet"/>
      </w:pPr>
      <w:r/>
      <w:r>
        <w:rPr>
          <w:b/>
        </w:rPr>
        <w:t>Ryzodeg + corticoïdes, danazol, diurétiques thiazidiques, isoniazide, hormones thyroïdiennes, œstrogènes, progestatifs, glucagon, sympathomimétiques</w:t>
      </w:r>
      <w:r>
        <w:t xml:space="preserve"> : hyperglycémie.</w:t>
      </w:r>
    </w:p>
    <w:p>
      <w:pPr>
        <w:pStyle w:val="ListBullet"/>
      </w:pPr>
      <w:r/>
      <w:r>
        <w:rPr>
          <w:b/>
        </w:rPr>
        <w:t>Ryzodeg + pentamidine</w:t>
      </w:r>
      <w:r>
        <w:t xml:space="preserve"> : hypoglycémie puis hyperglycémie.</w:t>
      </w:r>
    </w:p>
    <w:p>
      <w:pPr>
        <w:pStyle w:val="ListBullet"/>
      </w:pPr>
      <w:r/>
      <w:r>
        <w:rPr>
          <w:b/>
        </w:rPr>
        <w:t>Ryzodeg + IMAO, fluoxétine, fibrates</w:t>
      </w:r>
      <w:r>
        <w:t xml:space="preserve"> : potentialisation hypoglycémique.</w:t>
      </w:r>
    </w:p>
    <w:p>
      <w:pPr>
        <w:pStyle w:val="ListBullet"/>
      </w:pPr>
      <w:r/>
      <w:r>
        <w:rPr>
          <w:b/>
        </w:rPr>
        <w:t>Ryzodeg + somatostatine analogues</w:t>
      </w:r>
      <w:r>
        <w:t xml:space="preserve"> : adaptation.</w:t>
      </w:r>
    </w:p>
    <w:p>
      <w:pPr>
        <w:pStyle w:val="ListBullet"/>
      </w:pPr>
      <w:r/>
      <w:r>
        <w:rPr>
          <w:b/>
        </w:rPr>
        <w:t>Ryzodeg + SGLT2 inhibiteurs</w:t>
      </w:r>
      <w:r>
        <w:t xml:space="preserve"> : potentialisation hypoglycémique, acidocétose euglycémique.</w:t>
      </w:r>
    </w:p>
    <w:p>
      <w:r/>
      <w:r>
        <w:rPr>
          <w:b/>
        </w:rPr>
        <w:t>Grossesse et Allaitement :</w:t>
      </w:r>
      <w:r/>
    </w:p>
    <w:p>
      <w:pPr>
        <w:pStyle w:val="ListBullet"/>
      </w:pPr>
      <w:r>
        <w:t>Grossesse : Données limitées — la formulation Ryzodeg n'a pas été étudiée spécifiquement en grossesse. Préférence pour dégludec seul (basal) + asparte seul (bolus prandial × 3/j), selon CRAT. Le ratio fixe 70/30 ne s'adapte pas aux variations importantes des besoins insuliniques pendant grossesse (× 2–3 au 3e trimestre, nécessitant ajustement différencié basal vs bolus).</w:t>
      </w:r>
    </w:p>
    <w:p>
      <w:pPr>
        <w:pStyle w:val="ListBullet"/>
      </w:pPr>
      <w:r>
        <w:t>Allaitement : Compatible (CRAT). Insuline dégradée par les protéases digestives du nourrisson. Adapter la posologie.</w:t>
      </w:r>
    </w:p>
    <w:p>
      <w:pPr>
        <w:pStyle w:val="ListBullet"/>
      </w:pPr>
      <w:r>
        <w:t>Précisions : Si grossesse envisagée chez une patiente sous Ryzodeg, envisager le passage à un schéma basal-bolus conventionnel (dégludec seul + asparte prandial × 3/j) avant la conception.</w:t>
      </w:r>
    </w:p>
    <w:p>
      <w:r/>
      <w:r>
        <w:rPr>
          <w:b/>
        </w:rPr>
        <w:t>Posologie et Mode d'administration (Standard) :</w:t>
      </w:r>
      <w:r/>
    </w:p>
    <w:p>
      <w:pPr>
        <w:pStyle w:val="ListBullet"/>
      </w:pPr>
      <w:r>
        <w:t>Adulte : DT2 — Initiation : 10 UI/jour ou 0,1–0,2 UI/kg/jour en 1 injection/jour avec le repas principal. Titration +2 UI tous les 3–4 jours selon glycémie à jeun. En 2 injections/jour (matin et soir avec les deux repas principaux) si 1 injection ne suffit pas. Dose maximale usuelle 0,5–1 UI/kg/j (répartie 70 % basal + 30 % prandial). DT1 — Schéma non conventionnel : 1–2 injections de Ryzodeg + asparte prandial supplémentaire pour les autres repas (utilisation limitée, hors AMM stricte).</w:t>
      </w:r>
    </w:p>
    <w:p>
      <w:pPr>
        <w:pStyle w:val="ListBullet"/>
      </w:pPr>
      <w:r>
        <w:t>Enfant : À partir de 1 an (données limitées), posologie 0,5–1 UI/kg/j.</w:t>
      </w:r>
    </w:p>
    <w:p>
      <w:pPr>
        <w:pStyle w:val="ListBullet"/>
      </w:pPr>
      <w:r>
        <w:t>Durée : À vie.</w:t>
      </w:r>
    </w:p>
    <w:p>
      <w:pPr>
        <w:pStyle w:val="ListBullet"/>
      </w:pPr>
      <w:r>
        <w:t>Moment de prise : 1 à 2 injections/jour, avec le repas principal (0–15 min avant le repas). En cas d'oubli d'injection : injecter dès que possible avec un repas si l'intervalle &gt; 8 h depuis la dernière injection ; sinon sauter et reprendre à l'heure habituelle. Ne jamais doubler la dose.</w:t>
      </w:r>
    </w:p>
    <w:p>
      <w:r/>
      <w:r>
        <w:rPr>
          <w:b/>
        </w:rPr>
        <w:t>Arbitrage et Bénéfices des Formes Galéniques :</w:t>
      </w:r>
      <w:r/>
    </w:p>
    <w:p>
      <w:r>
        <w:t>Le stylo prérempli FlexTouch (jusqu'à 80 UI en une injection) est la forme unique disponible. Comparé au schéma basal-bolus conventionnel (4 injections/jour : 1 basal + 3 prandiales), Ryzodeg en 1 ou 2 injections/jour simplifie l'observance et réduit la charge thérapeutique (essais BOOST — non-infériorité sur l'HbA1c avec moindre nombre d'injections). Comparé à la biphasique humaine (MIXTARD), Ryzodeg offre un meilleur profil glycémique (basal sans pic, prandial rapide) avec moindre hypoglycémie nocturne. Le ratio 70/30 fixe est une limite en cas de variation des apports alimentaires (saut de repas, jeûne Ramadan — risque hypoglycémique de la composante asparte). En Algérie, Ryzodeg est relativement coûteux et peut ne pas être pris en charge par certaines assurances — vérifier la disponibilité et le remboursement.</w:t>
      </w:r>
    </w:p>
    <w:p>
      <w:r/>
      <w:r>
        <w:rPr>
          <w:b/>
        </w:rPr>
        <w:t>Instructions et Conseils au Patient :</w:t>
      </w:r>
      <w:r/>
    </w:p>
    <w:p>
      <w:pPr>
        <w:pStyle w:val="ListBullet"/>
      </w:pPr>
      <w:r>
        <w:t>Communication au comptoir : « Le Ryzodeg est une insuline combinée : 70 % d'insuline lente (dégludec, qui couvre le fond de votre glycémie pendant &gt; 42 heures) + 30 % d'insuline rapide (asparte, qui couvre votre repas principal). Vous l'injectez 1 ou 2 fois par jour, juste avant votre repas principal (0 à 15 minutes avant). Solution claire, transparente. Conservez les stylos non entamés au réfrigérateur (+2 à +8°C, ne jamais congeler) ; les stylos en cours d'utilisation à température ambiante &lt; 25°C pendant 8 semaines maximum. Vérifiez la limpidité avant chaque injection. Ne pas agiter. Jetez l'aiguille après chaque injection. »</w:t>
      </w:r>
    </w:p>
    <w:p>
      <w:pPr>
        <w:pStyle w:val="ListBullet"/>
      </w:pPr>
      <w:r>
        <w:t xml:space="preserve">Mode d'utilisation pratique : Lavez les mains, vérifiez la dose, aiguiller le stylo (2 UI jetées en l'air), pincez le pli cutané, insérez l'aiguille à 90°, appuyez à fond, maintenez 10 secondes, retirez, jetez l'aiguille. Rotation des sites. En cas d'oubli : injecter avec le prochain repas si &gt; 8 h depuis la dernière injection ; sinon sauter et reprendre à l'heure habituelle. </w:t>
      </w:r>
      <w:r>
        <w:rPr>
          <w:b/>
        </w:rPr>
        <w:t>Autosurveillance</w:t>
      </w:r>
      <w:r>
        <w:t xml:space="preserve"> : glycémie capillaire à jeun (objectif 0,70–1,30 g/L), 2 h après le repas principal (objectif &lt; 1,80 g/L), au coucher (1,00–1,40 g/L). Tenir un carnet.</w:t>
      </w:r>
    </w:p>
    <w:p>
      <w:r/>
      <w:r>
        <w:rPr>
          <w:b/>
        </w:rPr>
        <w:t>Notes, Règles d'Or &amp; Pièges au Comptoir :</w:t>
      </w:r>
      <w:r/>
    </w:p>
    <w:p>
      <w:pPr>
        <w:pStyle w:val="ListBullet"/>
      </w:pPr>
      <w:r>
        <w:t>Piège classique : Confusion avec Ryzodeg vs NovoMix (biphasique asparte protamine/asparte soluble 70/30) — les deux sont des associations mais Ryzodeg combine un basal ultra-long (dégludec) et un bolus ultra-rapide (asparte), tandis que NovoMix combine un basal intermédiaire (asparte protamine) et un bolus rapide (asparte soluble). Profils PK différents : Ryzodeg dure &gt; 42 h (basal), NovoMix dure 24 h (basal intermédiaire). Vérifier systématiquement l'étiquette.</w:t>
      </w:r>
    </w:p>
    <w:p>
      <w:pPr>
        <w:pStyle w:val="ListBullet"/>
      </w:pPr>
      <w:r>
        <w:t>Règle de prise : Ryzodeg = 1 à 2 injections/jour avec le repas principal. Ne pas injecter par voie IV. Ne pas utiliser en pompe à insuline.</w:t>
      </w:r>
    </w:p>
    <w:p>
      <w:pPr>
        <w:pStyle w:val="ListBullet"/>
      </w:pPr>
      <w:r>
        <w:t>Préparation et Conservation : Non entamé : +2°C à +8°C, jamais congelé, à l'abri de la lumière. Entamé : T° ambiante &lt; 25°C, 8 semaines max. Ne pas exposer à &gt; 30°C. Voyage : trousse isotherme.</w:t>
      </w:r>
    </w:p>
    <w:p>
      <w:pPr>
        <w:pStyle w:val="ListBullet"/>
      </w:pPr>
      <w:r>
        <w:t>Piège du surdosage / Substitution : En cas de substitution d'un schéma basal-bolus conventionnel (dégludec seul + asparte prandial × 3/j) vers Ryzodeg, calculer la dose totale journalière et l'appliquer en 1 ou 2 injections (ratio 70/30 — la part prandiale du Ryzodeg ne couvrira qu'un seul repas, donc surveillance accrue des autres repas, parfois addition d'asparte prandial supplémentaire). En cas de saut de repas principal : ne pas injecter le Ryzodeg (risque d'hypoglycémie de la composante asparte) ; surveillance glycémique. En cas de jeûne (Ramadan) : le Ryzodeg n'est pas idéal car il contient un bolus prandial qui doit être associé à un repas — envisager un basal seul (dégludec) pendant le jeûne. Attention à l'interaction insuline + alcool. Ne pas mélanger Ryzodeg avec une autre insuline dans la même cartouche.</w:t>
      </w:r>
    </w:p>
    <w:p>
      <w:pPr>
        <w:pStyle w:val="Heading3"/>
      </w:pPr>
      <w:r>
        <w:t>7. DCI : Insuline asparte biphasique (Pré-mélangée)</w:t>
      </w:r>
    </w:p>
    <w:p>
      <w:r/>
      <w:r>
        <w:rPr>
          <w:b/>
        </w:rPr>
        <w:t>Liste des Catégories :</w:t>
      </w:r>
      <w:r>
        <w:t xml:space="preserve"> Insulines — Analogues rapides biphasiques pré-mélangés</w:t>
      </w:r>
    </w:p>
    <w:p>
      <w:r>
        <w:t xml:space="preserve">L'insuline asparte biphasique (NovoMix 30, Novo Nordisk) est une suspension injectable SC combinant </w:t>
      </w:r>
      <w:r>
        <w:rPr>
          <w:b/>
        </w:rPr>
        <w:t>30 % d'insuline asparte soluble</w:t>
      </w:r>
      <w:r>
        <w:t xml:space="preserve"> (forme ultra-rapide, profil identique à NovoRapid : début 10–20 min, pic 1–3 h, durée 3–5 h) et </w:t>
      </w:r>
      <w:r>
        <w:rPr>
          <w:b/>
        </w:rPr>
        <w:t>70 % d'insuline asparte protamine cristallisée</w:t>
      </w:r>
      <w:r>
        <w:t xml:space="preserve"> (forme intermédiaire retardée, identique à une NPH modifiée : début 1–2 h, pic 4–6 h, durée 12–18 h). Cette formulation biphasique prémélangée vise à couvrir à la fois le pic prandial du repas principal et les besoins basaux inter-prandiaux et nocturnes, en 1 à 2 injections/jour. La composante soluble (asparte) couvre le repas, la composante protamine (asparte protamine) couvre le fond. Profil pharmacocinétique global : début 10–20 min, double pic (1–3 h pour la composante soluble et 4–6 h pour la composante protamine), durée 14–18 h. Administrable par voie SC uniquement (jamais IV), 0–15 min avant le repas principal. Suspension troubles (à resuspendre avant injection). Compatible avec le DT2 principalement, en alternative au basal-bolus chez les patients à observance difficile. Limites : ratio fixe 30/70 peu flexible, pic NPH nocturne exposant à l'hypoglycémie si injection du soir, moins adapté au DT1 (les 3 repas ne sont pas couverts par la composante soluble unique).</w:t>
      </w:r>
    </w:p>
    <w:p>
      <w:r/>
      <w:r>
        <w:rPr>
          <w:b/>
        </w:rPr>
        <w:t>Médicaments disponibles en Algérie (Marques, Laboratoires, Formes et Dosages) :</w:t>
      </w:r>
      <w:r/>
    </w:p>
    <w:p>
      <w:pPr>
        <w:pStyle w:val="ListBullet"/>
      </w:pPr>
      <w:r/>
      <w:r>
        <w:rPr>
          <w:b/>
        </w:rPr>
        <w:t>NOVOMIX 30 PENFILL</w:t>
      </w:r>
      <w:r>
        <w:t xml:space="preserve"> (NOVO NORDISK A/S)</w:t>
      </w:r>
    </w:p>
    <w:p>
      <w:pPr>
        <w:pStyle w:val="ListBullet"/>
      </w:pPr>
      <w:r>
        <w:t>Formes et Dosages : Suspension injectable SC en cartouche Penfill pour stylo réutilisable, 100 UI/mL ; boîte de 5 cartouches de 3 mL</w:t>
      </w:r>
    </w:p>
    <w:p>
      <w:pPr>
        <w:pStyle w:val="ListBullet"/>
      </w:pPr>
      <w:r>
        <w:t xml:space="preserve">Statut : </w:t>
      </w:r>
      <w:r>
        <w:rPr>
          <w:b/>
        </w:rPr>
        <w:t>Non Renouvelable</w:t>
      </w:r>
      <w:r>
        <w:t xml:space="preserve"> (alerte disponibilité — utiliser NovoMix 30 FlexPen en substitution, ou les formes BIOCARE apparentées BIOMYXE 30)</w:t>
      </w:r>
    </w:p>
    <w:p>
      <w:pPr>
        <w:pStyle w:val="ListBullet"/>
      </w:pPr>
      <w:r>
        <w:t>*Formes apparentées (classées sous « Insuline asparte » dans la nomenclature algérienne) :*</w:t>
      </w:r>
    </w:p>
    <w:p>
      <w:pPr>
        <w:pStyle w:val="ListBullet"/>
      </w:pPr>
      <w:r/>
      <w:r>
        <w:rPr>
          <w:b/>
        </w:rPr>
        <w:t>BIOMYXE 30</w:t>
      </w:r>
      <w:r>
        <w:t xml:space="preserve"> (BIOCARE BIOTECH) — *voir aussi fiche #1*</w:t>
      </w:r>
    </w:p>
    <w:p>
      <w:pPr>
        <w:pStyle w:val="ListBullet"/>
      </w:pPr>
      <w:r>
        <w:t>Formes et Dosages : Suspension injectable SC en stylo prérempli jetable, 100 UI/mL ; boîte de 5 stylos de 3 mL</w:t>
      </w:r>
    </w:p>
    <w:p>
      <w:pPr>
        <w:pStyle w:val="ListBullet"/>
      </w:pPr>
      <w:r>
        <w:t>Statut : Actif</w:t>
      </w:r>
    </w:p>
    <w:p>
      <w:pPr>
        <w:pStyle w:val="ListBullet"/>
      </w:pPr>
      <w:r/>
      <w:r>
        <w:rPr>
          <w:b/>
        </w:rPr>
        <w:t>NOVOMIX 30 FLEXPEN</w:t>
      </w:r>
      <w:r>
        <w:t xml:space="preserve"> (NOVO NORDISK) — *voir aussi fiche #1*</w:t>
      </w:r>
    </w:p>
    <w:p>
      <w:pPr>
        <w:pStyle w:val="ListBullet"/>
      </w:pPr>
      <w:r>
        <w:t>Formes et Dosages : Suspension injectable SC en stylo multidose prérempli jetable FlexPen, 100 UI/mL ; boîte de 5 stylos de 3 mL</w:t>
      </w:r>
    </w:p>
    <w:p>
      <w:pPr>
        <w:pStyle w:val="ListBullet"/>
      </w:pPr>
      <w:r>
        <w:t>Statut : Actif</w:t>
      </w:r>
    </w:p>
    <w:p>
      <w:r/>
      <w:r>
        <w:rPr>
          <w:b/>
        </w:rPr>
        <w:t>Sous-classe et Mécanisme d'action :</w:t>
      </w:r>
      <w:r/>
    </w:p>
    <w:p>
      <w:pPr>
        <w:pStyle w:val="ListBullet"/>
      </w:pPr>
      <w:r>
        <w:t>Sous-classe : Insuline pré-mélangée biphasique contenant un analogue rapide soluble (asparte 30 %) et un analogue retardé protaminé (asparte protamine 70 %), en 2 injections/jour, schéma simplifié alternatif au basal-bolus.</w:t>
      </w:r>
    </w:p>
    <w:p>
      <w:pPr>
        <w:pStyle w:val="ListBullet"/>
      </w:pPr>
      <w:r>
        <w:t>Mécanisme d'action : La composante asparte soluble se fixe au récepteur de l'insuline α2β2 avec activation des voies PI3K/Akt (translocation GLUT4, glycogénogenèse, inhibition néoglucogenèse) et MAPK (protéosynthèse) — effet prandial identique à NovoRapid. La composante asparte protamine cristallisée (insuline asparte complexée à la protamine en présence de zinc et de phénol/crésol) forme un réseau cristallin libérant lentement l'insuline asparte au site d'injection, mimant l'effet basal intermédiaire (profil NPH-like). Les deux composants ont le même mécanisme d'action au niveau du récepteur et post-récepteur ; ils diffèrent uniquement par leur pharmacocinétique d'absorption SC. La forme cristalline protaminée offre une durée d'action ~12–18 h, couvrant les besoins basaux entre les repas et pendant la nuit (mais avec un pic marqué en fin de nuit si injection du soir — piège d'hypoglycémie nocturne).</w:t>
      </w:r>
    </w:p>
    <w:p>
      <w:r/>
      <w:r>
        <w:rPr>
          <w:b/>
        </w:rPr>
        <w:t>Profil Pharmacologique :</w:t>
      </w:r>
      <w:r/>
    </w:p>
    <w:p>
      <w:pPr>
        <w:pStyle w:val="ListBullet"/>
      </w:pPr>
      <w:r>
        <w:t>Indications : DT2 principalement — alternative au basal-bolus en cas d'observance difficile, en institution, en transition depuis insuline humaine biphasique (MIXTARD), chez le sujet âgé. Schéma en 2 injections/jour (matin et soir, 0–15 min avant les 2 repas principaux). DT1 — utilisable dans certains contextes spécifiques (âgés, institutionnalisés) mais ne remplace pas le schéma basal-bolus conventionnel.</w:t>
      </w:r>
    </w:p>
    <w:p>
      <w:pPr>
        <w:pStyle w:val="ListBullet"/>
      </w:pPr>
      <w:r>
        <w:t>Contre-indications : Hypoglycémie, hypersensibilité à l'asparte ou à un excipient (protamine, m-crésol, zinc), ne pas administrer par voie IV, ne pas utiliser en pompe à insuline.</w:t>
      </w:r>
    </w:p>
    <w:p>
      <w:pPr>
        <w:pStyle w:val="ListBullet"/>
      </w:pPr>
      <w:r>
        <w:t>Effets Indésirables : Hypoglycémie (notamment nocturne due au pic protamine — fréquence &gt; 10 %), lipodystrophie au site d'injection, prise de poids (supérieure à la glargine selon essais), œdèmes transitoires, réactions locales, allergie (attention à la protamine — risque d'allergie croisée avec la protamine sulfate utilisée comme antagoniste de l'héparine en chirurgie cardiaque), hypokaliémie.</w:t>
      </w:r>
    </w:p>
    <w:p>
      <w:r/>
      <w:r>
        <w:rPr>
          <w:b/>
        </w:rPr>
        <w:t>Prévention et Gestion des Effets Indésirables :</w:t>
      </w:r>
      <w:r/>
    </w:p>
    <w:p>
      <w:pPr>
        <w:pStyle w:val="ListBullet"/>
      </w:pPr>
      <w:r>
        <w:t>Mesures Préventives : Rotation stricte des sites d'injection, autosurveillance glycémique (à jeun, post-prandial, coucher, nuit 3 h si suspicion hypoglycémie nocturne), éducation thérapeutique (resuspension systématique avant injection, gestion du ratio fixe 30/70, gestion des repas imprévus), aiguille neuve à chaque injection, vérification visuelle (suspension blanche laiteuse après resuspension).</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w:t>
      </w:r>
      <w:r>
        <w:rPr>
          <w:b/>
        </w:rPr>
        <w:t>Lipodystrophie</w:t>
      </w:r>
      <w:r>
        <w:t xml:space="preserve"> : arrêt injections au site atteint. </w:t>
      </w:r>
      <w:r>
        <w:rPr>
          <w:b/>
        </w:rPr>
        <w:t>Hypoglycémie nocturne</w:t>
      </w:r>
      <w:r>
        <w:t xml:space="preserve"> : dosage à 3 h du matin ; si &lt; 0,70 g/L, réduire la dose du soir de 2 UI, ou décaler l'injection du soir plus tôt (17–18 h au lieu de 20–22 h), ou envisager passage à un basal sans pic (glargine, dégludec) + bolus prandial.</w:t>
      </w:r>
    </w:p>
    <w:p>
      <w:r/>
      <w:r>
        <w:rPr>
          <w:b/>
        </w:rPr>
        <w:t>Interactions Importantes :</w:t>
      </w:r>
      <w:r/>
    </w:p>
    <w:p>
      <w:pPr>
        <w:pStyle w:val="ListBullet"/>
      </w:pPr>
      <w:r/>
      <w:r>
        <w:rPr>
          <w:b/>
        </w:rPr>
        <w:t>NovoMix + β-bloquants</w:t>
      </w:r>
      <w:r>
        <w:t xml:space="preserve"> : masquage signes hypoglycémie.</w:t>
      </w:r>
    </w:p>
    <w:p>
      <w:pPr>
        <w:pStyle w:val="ListBullet"/>
      </w:pPr>
      <w:r/>
      <w:r>
        <w:rPr>
          <w:b/>
        </w:rPr>
        <w:t>NovoMix + AINS, sulfamides, alcool, IEC, ARAs2</w:t>
      </w:r>
      <w:r>
        <w:t xml:space="preserve"> : potentialisation hypoglycémique.</w:t>
      </w:r>
    </w:p>
    <w:p>
      <w:pPr>
        <w:pStyle w:val="ListBullet"/>
      </w:pPr>
      <w:r/>
      <w:r>
        <w:rPr>
          <w:b/>
        </w:rPr>
        <w:t>NovoMix + corticoïdes, danazol, diurétiques thiazidiques, isoniazide, hormones thyroïdiennes, œstrogènes, progestatifs, glucagon, sympathomimétiques</w:t>
      </w:r>
      <w:r>
        <w:t xml:space="preserve"> : hyperglycémie.</w:t>
      </w:r>
    </w:p>
    <w:p>
      <w:pPr>
        <w:pStyle w:val="ListBullet"/>
      </w:pPr>
      <w:r/>
      <w:r>
        <w:rPr>
          <w:b/>
        </w:rPr>
        <w:t>NovoMix + pentamidine</w:t>
      </w:r>
      <w:r>
        <w:t xml:space="preserve"> : hypoglycémie puis hyperglycémie.</w:t>
      </w:r>
    </w:p>
    <w:p>
      <w:pPr>
        <w:pStyle w:val="ListBullet"/>
      </w:pPr>
      <w:r/>
      <w:r>
        <w:rPr>
          <w:b/>
        </w:rPr>
        <w:t>NovoMix + IMAO, fluoxétine, fibrates</w:t>
      </w:r>
      <w:r>
        <w:t xml:space="preserve"> : potentialisation hypoglycémique.</w:t>
      </w:r>
    </w:p>
    <w:p>
      <w:pPr>
        <w:pStyle w:val="ListBullet"/>
      </w:pPr>
      <w:r/>
      <w:r>
        <w:rPr>
          <w:b/>
        </w:rPr>
        <w:t>NovoMix + protamine (utilisee en cardiologie)</w:t>
      </w:r>
      <w:r>
        <w:t xml:space="preserve"> : allergie croisée possible.</w:t>
      </w:r>
    </w:p>
    <w:p>
      <w:pPr>
        <w:pStyle w:val="ListBullet"/>
      </w:pPr>
      <w:r/>
      <w:r>
        <w:rPr>
          <w:b/>
        </w:rPr>
        <w:t>NovoMix + somatostatine analogues</w:t>
      </w:r>
      <w:r>
        <w:t xml:space="preserve"> : adaptation.</w:t>
      </w:r>
    </w:p>
    <w:p>
      <w:r/>
      <w:r>
        <w:rPr>
          <w:b/>
        </w:rPr>
        <w:t>Grossesse et Allaitement :</w:t>
      </w:r>
      <w:r/>
    </w:p>
    <w:p>
      <w:pPr>
        <w:pStyle w:val="ListBullet"/>
      </w:pPr>
      <w:r>
        <w:t>Grossesse : Selon le CRAT, l'asparte biphasique (NovoMix 30) peut être prescrite pendant la grossesse si nécessaire, mais elle n'est pas le schéma de référence — préférence pour un schéma basal-bolus conventionnel (dégludec/glargine/detémir/NPH + asparte/lispro prandial × 3/j). Le ratio fixe 30/70 ne s'adapte pas aux variations importantes des besoins insuliniques pendant grossesse. L'insuline ne traverse pas le placenta.</w:t>
      </w:r>
    </w:p>
    <w:p>
      <w:pPr>
        <w:pStyle w:val="ListBullet"/>
      </w:pPr>
      <w:r>
        <w:t>Allaitement : Compatible (CRAT). Insuline dégradée par les protéases digestives du nourrisson. Adapter la posologie.</w:t>
      </w:r>
    </w:p>
    <w:p>
      <w:pPr>
        <w:pStyle w:val="ListBullet"/>
      </w:pPr>
      <w:r>
        <w:t>Précisions : Si grossesse envisagée chez une patiente sous NovoMix 30, envisager le passage à un schéma basal-bolus conventionnel avant la conception.</w:t>
      </w:r>
    </w:p>
    <w:p>
      <w:r/>
      <w:r>
        <w:rPr>
          <w:b/>
        </w:rPr>
        <w:t>Posologie et Mode d'administration (Standard) :</w:t>
      </w:r>
      <w:r/>
    </w:p>
    <w:p>
      <w:pPr>
        <w:pStyle w:val="ListBullet"/>
      </w:pPr>
      <w:r>
        <w:t>Adulte : DT2 — Initiation : 10 UI/jour en 1 injection (matin) ou 2 injections (matin et soir), titration selon glycémies. Schéma habituel 2 injections/jour (matin 2/3 de la dose totale, soir 1/3), 0–15 min avant les 2 repas principaux. Dose totale 0,5–1 UI/kg/j. DT1 — Schéma non conventionnel : NovoMix × 2/j + asparte prandial supplémentaire pour le repas non couvert (hors AMM stricte).</w:t>
      </w:r>
    </w:p>
    <w:p>
      <w:pPr>
        <w:pStyle w:val="ListBullet"/>
      </w:pPr>
      <w:r>
        <w:t>Enfant : À partir de 10 ans (données limitées), posologie 0,5–1 UI/kg/j.</w:t>
      </w:r>
    </w:p>
    <w:p>
      <w:pPr>
        <w:pStyle w:val="ListBullet"/>
      </w:pPr>
      <w:r>
        <w:t>Durée : À vie.</w:t>
      </w:r>
    </w:p>
    <w:p>
      <w:pPr>
        <w:pStyle w:val="ListBullet"/>
      </w:pPr>
      <w:r>
        <w:t>Moment de prise : 2 injections/jour (matin et soir), 0–15 min avant les 2 repas principaux. Resuspension obligatoire avant chaque injection (rouler le stylo entre les paumes 20 fois jusqu'à obtention d'une suspension uniformément blanche laiteuse — pas de secousses).</w:t>
      </w:r>
    </w:p>
    <w:p>
      <w:r/>
      <w:r>
        <w:rPr>
          <w:b/>
        </w:rPr>
        <w:t>Arbitrage et Bénéfices des Formes Galéniques :</w:t>
      </w:r>
      <w:r/>
    </w:p>
    <w:p>
      <w:r>
        <w:t>Le stylo prérempli jetable FlexPen (jusqu'à 60 UI en une injection) est la forme de référence — précision 1 UI, aiguille ultrafine 4–8 mm. La cartouche Penfill 3 mL pour stylo réutilisable (NovoPen Echo, NovoPen 5) est une alternative économique (fonction mémoire utile chez le sujet âgé). Le flacon 10 mL est aujourd'hui moins prescrit (réservé à l'usage hospitalier). Comparé à l'insuline humaine biphasique (MIXTARD 30), NovoMix 30 offre un meilleur profil prandial (asparte = pic plus précoce que la régulière) avec moindre hyperglycémie post-prandiale. Comparé au basal-bolus conventionnel (4 injections/jour), NovoMix 30 en 2 injections/jour simplifie l'observance mais offre une flexibilité réduite et un risque accru d'hypoglycémie nocturne (pic protamine). En Algérie, NovoMix 30 FlexPen est disponible (Actif), NovoMix 30 Penfill est non renouvelable — privilégier la forme FlexPen. BIOMYXE 30 (générique BIOCARE) est une alternative disponible en stylo prérempli.</w:t>
      </w:r>
    </w:p>
    <w:p>
      <w:r/>
      <w:r>
        <w:rPr>
          <w:b/>
        </w:rPr>
        <w:t>Instructions et Conseils au Patient :</w:t>
      </w:r>
      <w:r/>
    </w:p>
    <w:p>
      <w:pPr>
        <w:pStyle w:val="ListBullet"/>
      </w:pPr>
      <w:r>
        <w:t xml:space="preserve">Communication au comptoir : « Le NovoMix 30 (ou Biomyxe 30) est une insuline pré-mélangée : 30 % d'insuline rapide (asparte) qui couvre votre repas principal, et 70 % d'insuline intermédiaire (asparte protamine) qui couvre le fond de votre glycémie entre les repas et la nuit. Vous l'injectez 2 fois par jour, le matin et le soir, 0 à 15 minutes avant vos 2 repas principaux. Suspension blanche, laiteuse — </w:t>
      </w:r>
      <w:r>
        <w:rPr>
          <w:b/>
        </w:rPr>
        <w:t>il faut absolument resuspendre avant chaque injection</w:t>
      </w:r>
      <w:r>
        <w:t xml:space="preserve"> : roulez le stylo entre vos paumes 20 fois jusqu'à ce que la suspension soit uniformément blanche, sans dépôt au fond (ne pas secouer vigoureusement). Conservez les stylos non entamés au réfrigérateur (+2 à +8°C, ne jamais congeler) ; les stylos en cours d'utilisation à température ambiante &lt; 25°C pendant 4 semaines maximum. Vérifiez la suspension avant chaque injection. Jetez l'aiguille après chaque injection. »</w:t>
      </w:r>
    </w:p>
    <w:p>
      <w:pPr>
        <w:pStyle w:val="ListBullet"/>
      </w:pPr>
      <w:r>
        <w:t xml:space="preserve">Mode d'utilisation pratique : Lavez les mains, </w:t>
      </w:r>
      <w:r>
        <w:rPr>
          <w:b/>
        </w:rPr>
        <w:t>resuspendez la suspension</w:t>
      </w:r>
      <w:r>
        <w:t xml:space="preserve"> (rouler 20 fois entre les paumes), vérifiez la dose, aiguiller le stylo (2 UI jetées en l'air), pincez le pli cutané, insérez l'aiguille à 90°, appuyez à fond, maintenez 10 secondes, retirez, jetez l'aiguille. Rotation des sites. En cas d'oubli : si repas récent, injecter immédiatement ; si &gt; 30 min après le repas, surveiller glycémie et adapter. Ne pas doubler la dose. </w:t>
      </w:r>
      <w:r>
        <w:rPr>
          <w:b/>
        </w:rPr>
        <w:t>Autosurveillance</w:t>
      </w:r>
      <w:r>
        <w:t xml:space="preserve"> : glycémie capillaire avant les 2 repas principaux (objectif 0,80–1,30 g/L), au coucher (1,00–1,40 g/L), à 3 h du matin si suspicion d'hypoglycémie nocturne.</w:t>
      </w:r>
    </w:p>
    <w:p>
      <w:r/>
      <w:r>
        <w:rPr>
          <w:b/>
        </w:rPr>
        <w:t>Notes, Règles d'Or &amp; Pièges au Comptoir :</w:t>
      </w:r>
      <w:r/>
    </w:p>
    <w:p>
      <w:pPr>
        <w:pStyle w:val="ListBullet"/>
      </w:pPr>
      <w:r>
        <w:t xml:space="preserve">Piège classique : Oubli de </w:t>
      </w:r>
      <w:r>
        <w:rPr>
          <w:b/>
        </w:rPr>
        <w:t>resuspension</w:t>
      </w:r>
      <w:r>
        <w:t xml:space="preserve"> avant injection — la composante protamine se dépose au fond du stylo, et l'injection d'une suspension non homogénéisée peut entraîner soit l'injection de la phase soluble seule (surdosage asparte = hypoglycémie immédiate, puis hyperglycémie tardive par défaut de basal) soit l'injection de la phase protamine seule (hypoglycémie retardée et prolongée par surdosage basal, puis hyperglycémie post-prandiale par défaut d'asparte). Éducation systématique à la resuspension (rouler 20 fois entre les paumes, ne pas secouer). Confusion avec NovoRapid (solution claire transparente, uniquement asparte soluble — ne jamais substituer NovoMix par NovoRapid sans avis médical, profils différents).</w:t>
      </w:r>
    </w:p>
    <w:p>
      <w:pPr>
        <w:pStyle w:val="ListBullet"/>
      </w:pPr>
      <w:r>
        <w:t>Règle de prise : NovoMix = 2 injections/jour, matin et soir, 0–15 min avant les repas. Resuspension obligatoire. Ne pas injecter par voie IV.</w:t>
      </w:r>
    </w:p>
    <w:p>
      <w:pPr>
        <w:pStyle w:val="ListBullet"/>
      </w:pPr>
      <w:r>
        <w:t>Préparation et Conservation : Non entamé : +2°C à +8°C, jamais congelé, à l'abri de la lumière. Entamé : T° ambiante &lt; 25°C, 4 semaines max. Ne pas exposer à &gt; 30°C. Voyage : trousse isotherme.</w:t>
      </w:r>
    </w:p>
    <w:p>
      <w:pPr>
        <w:pStyle w:val="ListBullet"/>
      </w:pPr>
      <w:r>
        <w:t xml:space="preserve">Piège du surdosage / Substitution : En cas de substitution NovoMix → basal-bolus conventionnel (glargine/dégludec + asparte/lispro prandial × 3/j), calculer la dose totale journalière et répartir : 50 % en basal (1 injection/jour), 50 % en 3 bolus prandiaux. En cas de substitution NovoMix 30 → Humalog Mix 25 (lispro biphasique 25/75), adapter le ratio (25/75 vs 30/70 — surveillance 2 semaines). En cas de substitution NovoMix 30 → MIXTARD 30 (humaine biphasique 30/70), adapter le délai d'administration (NovoMix : 0–15 min avant repas ; MIXTARD : 30 min avant repas — risque d'hypoglycémie post-prandiale si injecté trop tôt). Attention à l'interaction insuline + alcool. Ne pas mélanger NovoMix avec une autre insuline dans la même cartouche. </w:t>
      </w:r>
      <w:r>
        <w:rPr>
          <w:b/>
        </w:rPr>
        <w:t>Alerte Algérie</w:t>
      </w:r>
      <w:r>
        <w:t xml:space="preserve"> : NovoMix 30 Penfill est non renouvelable — privilégier la forme FlexPen ou BIOMYXE 30 en substitution.</w:t>
      </w:r>
    </w:p>
    <w:p>
      <w:pPr>
        <w:pStyle w:val="Heading3"/>
      </w:pPr>
      <w:r>
        <w:t>8. DCI : Insuline lispro biphasique (Pré-mélangée)</w:t>
      </w:r>
    </w:p>
    <w:p>
      <w:r/>
      <w:r>
        <w:rPr>
          <w:b/>
        </w:rPr>
        <w:t>Liste des Catégories :</w:t>
      </w:r>
      <w:r>
        <w:t xml:space="preserve"> Insulines — Analogues rapides biphasiques pré-mélangés</w:t>
      </w:r>
    </w:p>
    <w:p>
      <w:r>
        <w:t xml:space="preserve">L'insuline lispro biphasique est disponible sous deux ratios : </w:t>
      </w:r>
      <w:r>
        <w:rPr>
          <w:b/>
        </w:rPr>
        <w:t>Humalog Mix 25</w:t>
      </w:r>
      <w:r>
        <w:t xml:space="preserve"> (25 % lispro soluble + 75 % lispro protamine) et </w:t>
      </w:r>
      <w:r>
        <w:rPr>
          <w:b/>
        </w:rPr>
        <w:t>Humalog Mix 50</w:t>
      </w:r>
      <w:r>
        <w:t xml:space="preserve"> (50 % lispro soluble + 50 % lispro protamine). Cette formulation combine la lispro (analogue ultra-rapide avec inversion ProB28-LysB29) en deux formes : (i) soluble (monomérique immédiate, profil identique à Humalog : début 10–20 min, pic 1–3 h, durée 3–5 h) — couverture prandiale du repas principal ; (ii) protamine (lispro complexée à la protamine en présence de zinc et de phénol/crésol, profil intermédiaire NPH-like : début 1–2 h, pic 4–6 h, durée 12–18 h) — couverture basale inter-prandiale et nocturne. Le ratio 25/75 est privilégié en DT2 chez les patients dont le repas principal est riche en glucides ; le ratio 50/50 est utilisé en cas de besoin prandial supérieur (régimes riches en glucides ou patients avec forte insulinorésistance post-prandiale). Profil pharmacocinétique global : début 10–20 min, double pic (1–3 h pour la composante soluble et 4–6 h pour la composante protamine), durée 14–18 h. Suspension troubles (à resuspendre avant injection). Compatible avec le DT2 principalement ; moins adapté au DT1.</w:t>
      </w:r>
    </w:p>
    <w:p>
      <w:r/>
      <w:r>
        <w:rPr>
          <w:b/>
        </w:rPr>
        <w:t>Médicaments disponibles en Algérie (Marques, Laboratoires, Formes et Dosages) :</w:t>
      </w:r>
      <w:r/>
    </w:p>
    <w:p>
      <w:pPr>
        <w:pStyle w:val="ListBullet"/>
      </w:pPr>
      <w:r/>
      <w:r>
        <w:rPr>
          <w:b/>
        </w:rPr>
        <w:t>HUMALOG MIX 25</w:t>
      </w:r>
      <w:r>
        <w:t xml:space="preserve"> (BIOPHARM)</w:t>
      </w:r>
    </w:p>
    <w:p>
      <w:pPr>
        <w:pStyle w:val="ListBullet"/>
      </w:pPr>
      <w:r>
        <w:t>Formes et Dosages : Suspension injectable SC en cartouches pour stylo, 100 UI/mL (3,5 mg/mL) ; boîte de 5 cartouches de 3 mL</w:t>
      </w:r>
    </w:p>
    <w:p>
      <w:pPr>
        <w:pStyle w:val="ListBullet"/>
      </w:pPr>
      <w:r>
        <w:t>Statut : Actif (générique)</w:t>
      </w:r>
    </w:p>
    <w:p>
      <w:pPr>
        <w:pStyle w:val="ListBullet"/>
      </w:pPr>
      <w:r/>
      <w:r>
        <w:rPr>
          <w:b/>
        </w:rPr>
        <w:t>HUMALOG MIX 50</w:t>
      </w:r>
      <w:r>
        <w:t xml:space="preserve"> (BIOPHARM)</w:t>
      </w:r>
    </w:p>
    <w:p>
      <w:pPr>
        <w:pStyle w:val="ListBullet"/>
      </w:pPr>
      <w:r>
        <w:t>Formes et Dosages : Suspension injectable SC en cartouche pour stylo, 100 UI/mL (3,5 mg/mL) ; boîte de 5 cartouches de 3 mL</w:t>
      </w:r>
    </w:p>
    <w:p>
      <w:pPr>
        <w:pStyle w:val="ListBullet"/>
      </w:pPr>
      <w:r>
        <w:t>Statut : Actif (générique)</w:t>
      </w:r>
    </w:p>
    <w:p>
      <w:pPr>
        <w:pStyle w:val="ListBullet"/>
      </w:pPr>
      <w:r/>
      <w:r>
        <w:rPr>
          <w:b/>
        </w:rPr>
        <w:t>HUMALOG MIX 25 KwikPen</w:t>
      </w:r>
      <w:r>
        <w:t xml:space="preserve"> (BIOPHARM)</w:t>
      </w:r>
    </w:p>
    <w:p>
      <w:pPr>
        <w:pStyle w:val="ListBullet"/>
      </w:pPr>
      <w:r>
        <w:t>Formes et Dosages : Solution injectable SC en stylo prérempli KwikPen, 100 UI/mL (3,5 mg/mL) ; boîte de 5 stylos préremplis de 3 mL</w:t>
      </w:r>
    </w:p>
    <w:p>
      <w:pPr>
        <w:pStyle w:val="ListBullet"/>
      </w:pPr>
      <w:r>
        <w:t>Statut : Actif (générique)</w:t>
      </w:r>
    </w:p>
    <w:p>
      <w:pPr>
        <w:pStyle w:val="ListBullet"/>
      </w:pPr>
      <w:r/>
      <w:r>
        <w:rPr>
          <w:b/>
        </w:rPr>
        <w:t>HUMALOG MIX 50 KwikPen</w:t>
      </w:r>
      <w:r>
        <w:t xml:space="preserve"> (BIOPHARM)</w:t>
      </w:r>
    </w:p>
    <w:p>
      <w:pPr>
        <w:pStyle w:val="ListBullet"/>
      </w:pPr>
      <w:r>
        <w:t>Formes et Dosages : Solution injectable SC en stylo prérempli KwikPen, 100 UI/mL (3,5 mg/mL) ; boîte de 5 stylos préremplis de 3 mL</w:t>
      </w:r>
    </w:p>
    <w:p>
      <w:pPr>
        <w:pStyle w:val="ListBullet"/>
      </w:pPr>
      <w:r>
        <w:t>Statut : Actif (générique)</w:t>
      </w:r>
    </w:p>
    <w:p>
      <w:pPr>
        <w:pStyle w:val="ListBullet"/>
      </w:pPr>
      <w:r/>
      <w:r>
        <w:rPr>
          <w:b/>
        </w:rPr>
        <w:t>HUMALOG MIX 25 flacon</w:t>
      </w:r>
      <w:r>
        <w:t xml:space="preserve"> (ELI LILLY NEDERLAND B.V.) — *princeps historique*</w:t>
      </w:r>
    </w:p>
    <w:p>
      <w:pPr>
        <w:pStyle w:val="ListBullet"/>
      </w:pPr>
      <w:r>
        <w:t>Formes et Dosages : Suspension injectable SC en flacon, 100 UI/mL (3,5 mg/mL) ; boîte de 1 flacon de 10 mL</w:t>
      </w:r>
    </w:p>
    <w:p>
      <w:pPr>
        <w:pStyle w:val="ListBullet"/>
      </w:pPr>
      <w:r>
        <w:t xml:space="preserve">Statut : </w:t>
      </w:r>
      <w:r>
        <w:rPr>
          <w:b/>
        </w:rPr>
        <w:t>Non Renouvelable</w:t>
      </w:r>
      <w:r/>
    </w:p>
    <w:p>
      <w:pPr>
        <w:pStyle w:val="ListBullet"/>
      </w:pPr>
      <w:r/>
      <w:r>
        <w:rPr>
          <w:b/>
        </w:rPr>
        <w:t>HUMALOG MIX 25 KIWIKPEN</w:t>
      </w:r>
      <w:r>
        <w:t xml:space="preserve"> (ELI LILLY NEDERLAND B.V.)</w:t>
      </w:r>
    </w:p>
    <w:p>
      <w:pPr>
        <w:pStyle w:val="ListBullet"/>
      </w:pPr>
      <w:r>
        <w:t>Formes et Dosages : Suspension injectable SC en stylo prérempli KwikPen, 100 UI/mL (3,5 mg/mL) ; boîte de 5 stylos préremplis de 3 mL</w:t>
      </w:r>
    </w:p>
    <w:p>
      <w:pPr>
        <w:pStyle w:val="ListBullet"/>
      </w:pPr>
      <w:r>
        <w:t xml:space="preserve">Statut : </w:t>
      </w:r>
      <w:r>
        <w:rPr>
          <w:b/>
        </w:rPr>
        <w:t>Non Renouvelable</w:t>
      </w:r>
      <w:r/>
    </w:p>
    <w:p>
      <w:pPr>
        <w:pStyle w:val="ListBullet"/>
      </w:pPr>
      <w:r/>
      <w:r>
        <w:rPr>
          <w:b/>
        </w:rPr>
        <w:t>HUMALOG MIX 50 KIWIKPEN</w:t>
      </w:r>
      <w:r>
        <w:t xml:space="preserve"> (ELI LILLY NEDERLAND B.V.)</w:t>
      </w:r>
    </w:p>
    <w:p>
      <w:pPr>
        <w:pStyle w:val="ListBullet"/>
      </w:pPr>
      <w:r>
        <w:t>Formes et Dosages : Suspension injectable SC en stylo prérempli KwikPen, 100 UI/mL (3,5 mg/mL) ; boîte de 5 stylos préremplis de 3 mL</w:t>
      </w:r>
    </w:p>
    <w:p>
      <w:pPr>
        <w:pStyle w:val="ListBullet"/>
      </w:pPr>
      <w:r>
        <w:t xml:space="preserve">Statut : </w:t>
      </w:r>
      <w:r>
        <w:rPr>
          <w:b/>
        </w:rPr>
        <w:t>Non Renouvelable</w:t>
      </w:r>
      <w:r/>
    </w:p>
    <w:p>
      <w:r/>
      <w:r>
        <w:rPr>
          <w:b/>
        </w:rPr>
        <w:t>Sous-classe et Mécanisme d'action :</w:t>
      </w:r>
      <w:r/>
    </w:p>
    <w:p>
      <w:pPr>
        <w:pStyle w:val="ListBullet"/>
      </w:pPr>
      <w:r>
        <w:t>Sous-classe : Insuline pré-mélangée biphasique contenant un analogue rapide soluble (lispro 25 ou 50 %) et un analogue retardé protaminé (lispro protamine 75 ou 50 %), en 2 injections/jour, schéma simplifié alternatif au basal-bolus. Disponible en deux ratios 25/75 et 50/50 pour adaptation au profil alimentaire.</w:t>
      </w:r>
    </w:p>
    <w:p>
      <w:pPr>
        <w:pStyle w:val="ListBullet"/>
      </w:pPr>
      <w:r>
        <w:t>Mécanisme d'action : La composante lispro soluble se fixe au récepteur de l'insuline α2β2 avec activation des voies PI3K/Akt (translocation GLUT4, glycogénogenèse, inhibition néoglucogenèse, lipogénèse, inhibition lipolyse) et MAPK (protéosynthèse) — effet prandial identique à Humalog. La composante lispro protamine cristallisée (insuline lispro complexée à la protamine en présence de zinc et de phénol/crésol) forme un réseau cristallin libérant lentement l'insuline lispro au site d'injection, mimant l'effet basal intermédiaire (profil NPH-like). Les deux composants ont le même mécanisme d'action au niveau du récepteur et post-récepteur ; ils diffèrent uniquement par leur pharmacocinétique d'absorption SC. La forme cristalline protaminée offre une durée d'action ~12–18 h.</w:t>
      </w:r>
    </w:p>
    <w:p>
      <w:r/>
      <w:r>
        <w:rPr>
          <w:b/>
        </w:rPr>
        <w:t>Profil Pharmacologique :</w:t>
      </w:r>
      <w:r/>
    </w:p>
    <w:p>
      <w:pPr>
        <w:pStyle w:val="ListBullet"/>
      </w:pPr>
      <w:r>
        <w:t>Indications : DT2 principalement — alternative au basal-bolus en cas d'observance difficile, en institution, en transition depuis insuline humaine biphasique, chez le sujet âgé. Schéma en 2 injections/jour (matin et soir, 0–15 min avant les 2 repas principaux). Humalog Mix 25 (75 % protamine) privilégié si besoins basaux supérieurs ; Humalog Mix 50 (50 % protamine) privilégié si besoins prandiaux supérieurs (régimes riches en glucides ou forte insulinorésistance post-prandiale). DT1 — utilisable dans certains contextes spécifiques mais ne remplace pas le schéma basal-bolus conventionnel.</w:t>
      </w:r>
    </w:p>
    <w:p>
      <w:pPr>
        <w:pStyle w:val="ListBullet"/>
      </w:pPr>
      <w:r>
        <w:t>Contre-indications : Hypoglycémie, hypersensibilité à la lispro ou à un excipient (protamine, m-crésol, zinc, glycérol), ne pas administrer par voie IV, ne pas utiliser en pompe à insuline.</w:t>
      </w:r>
    </w:p>
    <w:p>
      <w:pPr>
        <w:pStyle w:val="ListBullet"/>
      </w:pPr>
      <w:r>
        <w:t>Effets Indésirables : Hypoglycémie (notamment nocturne due au pic protamine — fréquence &gt; 10 %), lipodystrophie au site d'injection, prise de poids, œdèmes transitoires, réactions locales, allergie (attention à la protamine — allergie croisée possible avec protamine sulfate en chirurgie cardiaque), hypokaliémie.</w:t>
      </w:r>
    </w:p>
    <w:p>
      <w:r/>
      <w:r>
        <w:rPr>
          <w:b/>
        </w:rPr>
        <w:t>Prévention et Gestion des Effets Indésirables :</w:t>
      </w:r>
      <w:r/>
    </w:p>
    <w:p>
      <w:pPr>
        <w:pStyle w:val="ListBullet"/>
      </w:pPr>
      <w:r>
        <w:t>Mesures Préventives : Rotation stricte des sites d'injection, autosurveillance glycémique (à jeun, post-prandial, coucher, nuit 3 h si suspicion hypoglycémie nocturne), éducation thérapeutique (resuspension systématique avant injection, gestion du ratio fixe 25/75 ou 50/50, gestion des repas imprévus), aiguille neuve à chaque injection, vérification visuelle (suspension blanche laiteuse après resuspension).</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w:t>
      </w:r>
      <w:r>
        <w:rPr>
          <w:b/>
        </w:rPr>
        <w:t>Lipodystrophie</w:t>
      </w:r>
      <w:r>
        <w:t xml:space="preserve"> : arrêt injections au site atteint. </w:t>
      </w:r>
      <w:r>
        <w:rPr>
          <w:b/>
        </w:rPr>
        <w:t>Hypoglycémie nocturne</w:t>
      </w:r>
      <w:r>
        <w:t xml:space="preserve"> : dosage à 3 h du matin ; si &lt; 0,70 g/L, réduire la dose du soir de 2 UI, ou décaler l'injection du soir plus tôt, ou envisager passage à un basal sans pic (glargine, dégludec) + bolus prandial.</w:t>
      </w:r>
    </w:p>
    <w:p>
      <w:r/>
      <w:r>
        <w:rPr>
          <w:b/>
        </w:rPr>
        <w:t>Interactions Importantes :</w:t>
      </w:r>
      <w:r/>
    </w:p>
    <w:p>
      <w:pPr>
        <w:pStyle w:val="ListBullet"/>
      </w:pPr>
      <w:r/>
      <w:r>
        <w:rPr>
          <w:b/>
        </w:rPr>
        <w:t>Humalog Mix + β-bloquants</w:t>
      </w:r>
      <w:r>
        <w:t xml:space="preserve"> : masquage signes hypoglycémie.</w:t>
      </w:r>
    </w:p>
    <w:p>
      <w:pPr>
        <w:pStyle w:val="ListBullet"/>
      </w:pPr>
      <w:r/>
      <w:r>
        <w:rPr>
          <w:b/>
        </w:rPr>
        <w:t>Humalog Mix + AINS, sulfamides, alcool, IEC, ARAs2</w:t>
      </w:r>
      <w:r>
        <w:t xml:space="preserve"> : potentialisation hypoglycémique.</w:t>
      </w:r>
    </w:p>
    <w:p>
      <w:pPr>
        <w:pStyle w:val="ListBullet"/>
      </w:pPr>
      <w:r/>
      <w:r>
        <w:rPr>
          <w:b/>
        </w:rPr>
        <w:t>Humalog Mix + corticoïdes, danazol, diurétiques thiazidiques, isoniazide, hormones thyroïdiennes, œstrogènes, progestatifs, glucagon, sympathomimétiques</w:t>
      </w:r>
      <w:r>
        <w:t xml:space="preserve"> : hyperglycémie.</w:t>
      </w:r>
    </w:p>
    <w:p>
      <w:pPr>
        <w:pStyle w:val="ListBullet"/>
      </w:pPr>
      <w:r/>
      <w:r>
        <w:rPr>
          <w:b/>
        </w:rPr>
        <w:t>Humalog Mix + pentamidine</w:t>
      </w:r>
      <w:r>
        <w:t xml:space="preserve"> : hypoglycémie puis hyperglycémie.</w:t>
      </w:r>
    </w:p>
    <w:p>
      <w:pPr>
        <w:pStyle w:val="ListBullet"/>
      </w:pPr>
      <w:r/>
      <w:r>
        <w:rPr>
          <w:b/>
        </w:rPr>
        <w:t>Humalog Mix + IMAO, fluoxétine, fibrates</w:t>
      </w:r>
      <w:r>
        <w:t xml:space="preserve"> : potentialisation hypoglycémique.</w:t>
      </w:r>
    </w:p>
    <w:p>
      <w:pPr>
        <w:pStyle w:val="ListBullet"/>
      </w:pPr>
      <w:r/>
      <w:r>
        <w:rPr>
          <w:b/>
        </w:rPr>
        <w:t>Humalog Mix + protamine (chirurgie cardiaque)</w:t>
      </w:r>
      <w:r>
        <w:t xml:space="preserve"> : allergie croisée possible.</w:t>
      </w:r>
    </w:p>
    <w:p>
      <w:pPr>
        <w:pStyle w:val="ListBullet"/>
      </w:pPr>
      <w:r/>
      <w:r>
        <w:rPr>
          <w:b/>
        </w:rPr>
        <w:t>Humalog Mix + somatostatine analogues</w:t>
      </w:r>
      <w:r>
        <w:t xml:space="preserve"> : adaptation.</w:t>
      </w:r>
    </w:p>
    <w:p>
      <w:r/>
      <w:r>
        <w:rPr>
          <w:b/>
        </w:rPr>
        <w:t>Grossesse et Allaitement :</w:t>
      </w:r>
      <w:r/>
    </w:p>
    <w:p>
      <w:pPr>
        <w:pStyle w:val="ListBullet"/>
      </w:pPr>
      <w:r>
        <w:t>Grossesse : Selon le CRAT, la lispro biphasique (Humalog Mix) peut être prescrite pendant la grossesse si nécessaire, mais elle n'est pas le schéma de référence — préférence pour un schéma basal-bolus conventionnel (glargine/detémir/dégludec/NPH + lispro prandial × 3/j). Le ratio fixe ne s'adapte pas aux variations importantes des besoins insuliniques pendant grossesse. L'insuline ne traverse pas le placenta.</w:t>
      </w:r>
    </w:p>
    <w:p>
      <w:pPr>
        <w:pStyle w:val="ListBullet"/>
      </w:pPr>
      <w:r>
        <w:t>Allaitement : Compatible (CRAT). Insuline dégradée par les protéases digestives du nourrisson. Adapter la posologie.</w:t>
      </w:r>
    </w:p>
    <w:p>
      <w:pPr>
        <w:pStyle w:val="ListBullet"/>
      </w:pPr>
      <w:r>
        <w:t>Précisions : Si grossesse envisagée chez une patiente sous Humalog Mix, envisager le passage à un schéma basal-bolus conventionnel avant la conception.</w:t>
      </w:r>
    </w:p>
    <w:p>
      <w:r/>
      <w:r>
        <w:rPr>
          <w:b/>
        </w:rPr>
        <w:t>Posologie et Mode d'administration (Standard) :</w:t>
      </w:r>
      <w:r/>
    </w:p>
    <w:p>
      <w:pPr>
        <w:pStyle w:val="ListBullet"/>
      </w:pPr>
      <w:r>
        <w:t>Adulte : DT2 — Initiation : 10 UI/jour en 1 injection (matin) ou 2 injections (matin et soir), titration selon glycémies. Schéma habituel 2 injections/jour (matin 2/3 de la dose totale, soir 1/3), 0–15 min avant les 2 repas principaux. Dose totale 0,5–1 UI/kg/j. Choix du ratio : Humalog Mix 25 (75 % protamine) si besoins basaux supérieurs ou glycémie à jeun élevée ; Humalog Mix 50 (50 % protamine) si besoins prandiaux supérieurs (hyperglycémie post-prandiale marquée) ou régime riche en glucides.</w:t>
      </w:r>
    </w:p>
    <w:p>
      <w:pPr>
        <w:pStyle w:val="ListBullet"/>
      </w:pPr>
      <w:r>
        <w:t>Enfant : À partir de 10 ans (données limitées), posologie 0,5–1 UI/kg/j.</w:t>
      </w:r>
    </w:p>
    <w:p>
      <w:pPr>
        <w:pStyle w:val="ListBullet"/>
      </w:pPr>
      <w:r>
        <w:t>Durée : À vie.</w:t>
      </w:r>
    </w:p>
    <w:p>
      <w:pPr>
        <w:pStyle w:val="ListBullet"/>
      </w:pPr>
      <w:r>
        <w:t>Moment de prise : 2 injections/jour (matin et soir), 0–15 min avant les 2 repas principaux. Resuspension obligatoire avant chaque injection (rouler le stylo entre les paumes 20 fois).</w:t>
      </w:r>
    </w:p>
    <w:p>
      <w:r/>
      <w:r>
        <w:rPr>
          <w:b/>
        </w:rPr>
        <w:t>Arbitrage et Bénéfices des Formes Galéniques :</w:t>
      </w:r>
      <w:r/>
    </w:p>
    <w:p>
      <w:r>
        <w:t>Le stylo prérempli KwikPen jetable est la forme de référence — précision 1 UI, aiguille ultrafine 4–8 mm. La cartouche 3 mL pour stylo réutilisable (Humalog Pen, Humapen Savvio, Luxura) est une alternative économique. Le flacon 10 mL est aujourd'hui moins prescrit. Comparé à l'insuline humaine biphasique (MIXTARD 30, UMULINE PROFIL 30), Humalog Mix offre un meilleur profil prandial (lispro = pic plus précoce que la régulière) avec moindre hyperglycémie post-prandiale. Comparé au basal-bolus conventionnel (4 injections/jour), Humalog Mix en 2 injections/jour simplifie l'observance mais offre une flexibilité réduite et un risque accru d'hypoglycémie nocturne (pic protamine). La disponibilité en deux ratios (25/75 et 50/50) est un avantage pour l'adaptation au profil alimentaire du patient. En Algérie, les formes BIOPHARM (cartouches et KwikPen) sont disponibles (Actifs) ; les formes ELI LILLY princeps sont non renouvelables — privilégier les génériques BIOPHARM.</w:t>
      </w:r>
    </w:p>
    <w:p>
      <w:r/>
      <w:r>
        <w:rPr>
          <w:b/>
        </w:rPr>
        <w:t>Instructions et Conseils au Patient :</w:t>
      </w:r>
      <w:r/>
    </w:p>
    <w:p>
      <w:pPr>
        <w:pStyle w:val="ListBullet"/>
      </w:pPr>
      <w:r>
        <w:t xml:space="preserve">Communication au comptoir : « L'Humalog Mix 25 (ou Mix 50) est une insuline pré-mélangée : 25 % (ou 50 %) d'insuline rapide (lispro) qui couvre votre repas principal, et 75 % (ou 50 %) d'insuline intermédiaire (lispro protamine) qui couvre le fond de votre glycémie entre les repas et la nuit. Vous l'injectez 2 fois par jour, le matin et le soir, 0 à 15 minutes avant vos 2 repas principaux. Suspension blanche, laiteuse — </w:t>
      </w:r>
      <w:r>
        <w:rPr>
          <w:b/>
        </w:rPr>
        <w:t>il faut absolument resuspendre avant chaque injection</w:t>
      </w:r>
      <w:r>
        <w:t xml:space="preserve"> : roulez le stylo entre vos paumes 20 fois jusqu'à ce que la suspension soit uniformément blanche, sans dépôt au fond. Conservez les stylos non entamés au réfrigérateur (+2 à +8°C, ne jamais congeler) ; les stylos en cours d'utilisation à température ambiante &lt; 25°C pendant 28 jours maximum. Vérifiez la suspension avant chaque injection. Jetez l'aiguille après chaque injection. »</w:t>
      </w:r>
    </w:p>
    <w:p>
      <w:pPr>
        <w:pStyle w:val="ListBullet"/>
      </w:pPr>
      <w:r>
        <w:t xml:space="preserve">Mode d'utilisation pratique : Lavez les mains, </w:t>
      </w:r>
      <w:r>
        <w:rPr>
          <w:b/>
        </w:rPr>
        <w:t>resuspendez la suspension</w:t>
      </w:r>
      <w:r>
        <w:t xml:space="preserve">, vérifiez la dose, aiguiller le stylo (2 UI jetées en l'air), pincez le pli cutané, insérez l'aiguille à 90°, appuyez à fond, maintenez 10 secondes, retirez, jetez l'aiguille. Rotation des sites. En cas d'oubli : si repas récent, injecter immédiatement ; si &gt; 30 min, surveiller glycémie et adapter. Ne pas doubler la dose. </w:t>
      </w:r>
      <w:r>
        <w:rPr>
          <w:b/>
        </w:rPr>
        <w:t>Autosurveillance</w:t>
      </w:r>
      <w:r>
        <w:t xml:space="preserve"> : glycémie capillaire avant les 2 repas principaux (objectif 0,80–1,30 g/L), au coucher (1,00–1,40 g/L), à 3 h du matin si suspicion d'hypoglycémie nocturne.</w:t>
      </w:r>
    </w:p>
    <w:p>
      <w:r/>
      <w:r>
        <w:rPr>
          <w:b/>
        </w:rPr>
        <w:t>Notes, Règles d'Or &amp; Pièges au Comptoir :</w:t>
      </w:r>
      <w:r/>
    </w:p>
    <w:p>
      <w:pPr>
        <w:pStyle w:val="ListBullet"/>
      </w:pPr>
      <w:r>
        <w:t xml:space="preserve">Piège classique : Oubli de </w:t>
      </w:r>
      <w:r>
        <w:rPr>
          <w:b/>
        </w:rPr>
        <w:t>resuspension</w:t>
      </w:r>
      <w:r>
        <w:t xml:space="preserve"> avant injection — la composante protamine se dépose au fond du stylo. Éducation systématique à la resuspension (rouler 20 fois entre les paumes, ne pas secouer). Confusion avec Humalog (solution claire transparente, uniquement lispro soluble — ne jamais substituer Humalog Mix par Humalog sans avis médical, profils différents). Confusion entre Humalog Mix 25 (75 % protamine) et Humalog Mix 50 (50 % protamine) — vérifier systématiquement le ratio sur l'étiquette, erreur possible avec conséquences cliniques (surdosage basal ou prandial).</w:t>
      </w:r>
    </w:p>
    <w:p>
      <w:pPr>
        <w:pStyle w:val="ListBullet"/>
      </w:pPr>
      <w:r>
        <w:t>Règle de prise : Humalog Mix = 2 injections/jour, matin et soir, 0–15 min avant les repas. Resuspension obligatoire. Ne pas injecter par voie IV.</w:t>
      </w:r>
    </w:p>
    <w:p>
      <w:pPr>
        <w:pStyle w:val="ListBullet"/>
      </w:pPr>
      <w:r>
        <w:t>Préparation et Conservation : Non entamé : +2°C à +8°C, jamais congelé, à l'abri de la lumière. Entamé : T° ambiante &lt; 25°C, 28 jours max. Ne pas exposer à &gt; 30°C. Voyage : trousse isotherme.</w:t>
      </w:r>
    </w:p>
    <w:p>
      <w:pPr>
        <w:pStyle w:val="ListBullet"/>
      </w:pPr>
      <w:r>
        <w:t xml:space="preserve">Piège du surdosage / Substitution : En cas de substitution Humalog Mix 25 → NovoMix 30 (asparte biphasique 70/30), adapter le ratio (25/75 vs 30/70 — surveillance 2 semaines, ajustement possible de ± 10 %). En cas de substitution Humalog Mix 25 → MIXTARD 30 (humaine biphasique 30/70), adapter le délai d'administration (Humalog Mix : 0–15 min avant repas ; MIXTARD : 30 min avant repas — risque d'hypoglycémie post-prandiale si injecté trop tôt). En cas de substitution Humalog Mix 25 → Humalog Mix 50, surveillance 2 semaines (ratio différent). Attention à l'interaction insuline + alcool. Ne pas mélanger Humalog Mix avec une autre insuline dans la même cartouche. </w:t>
      </w:r>
      <w:r>
        <w:rPr>
          <w:b/>
        </w:rPr>
        <w:t>Alerte Algérie</w:t>
      </w:r>
      <w:r>
        <w:t xml:space="preserve"> : les formes ELI LILLY princeps sont non renouvelables — privilégier les génériques BIOPHARM (cartouches et KwikPen) disponibles.</w:t>
      </w:r>
    </w:p>
    <w:p>
      <w:pPr>
        <w:pStyle w:val="Heading3"/>
      </w:pPr>
      <w:r>
        <w:t>9. DCI : Insuline humaine régulière (rapide) (Seule)</w:t>
      </w:r>
    </w:p>
    <w:p>
      <w:r/>
      <w:r>
        <w:rPr>
          <w:b/>
        </w:rPr>
        <w:t>Liste des Catégories :</w:t>
      </w:r>
      <w:r>
        <w:t xml:space="preserve"> Insulines — Humaines régulières rapides</w:t>
      </w:r>
    </w:p>
    <w:p>
      <w:r>
        <w:t>L'insuline humaine régulière (Actrapid, Umuline Rapide, Insuman Rapid, Insudal Rapid, Jusline R) est l'insuline de référence historique, produite par ADN recombinant sur souche d'</w:t>
      </w:r>
      <w:r>
        <w:rPr>
          <w:i/>
        </w:rPr>
        <w:t>Escherichia coli</w:t>
      </w:r>
      <w:r>
        <w:t xml:space="preserve"> (Lilly) ou de </w:t>
      </w:r>
      <w:r>
        <w:rPr>
          <w:i/>
        </w:rPr>
        <w:t>Saccharomyces cerevisiae</w:t>
      </w:r>
      <w:r>
        <w:t xml:space="preserve"> (Novo Nordisk, Sanofi). Sa structure est strictement identique à l'insuline endogène humaine (51 acides aminés : chaîne A de 21 AA + chaîne B de 30 AA, reliées par 3 ponts disulfure : A6-A11, A7-B7, A20-B19). Au site d'injection SC, l'insuline humaine régulière (en présence de zinc et de phénol) forme des hexamères qui doivent se dissocier en dimères puis en monomères avant d'être absorbés, ce qui explique son délai d'action plus long que les analogues ultra-rapides. Profil pharmacocinétique : SC — début 30 min, pic 2–4 h, durée 6–8 h ; IV — début immédiat, pic 5–15 min, durée 1 h. Administrable par voie SC (stylo, cartouche, flacon) ou IV (acidocétose, hospitalisation, chirurgie). Compatible avec le DT1, le DT2, la grossesse diabétique (référence selon CRAT), l'enfant, l'insuffisant rénal/hépatique. Moins onéreuse que les analogues (avantage économique en Algérie — plusieurs génériques disponibles).</w:t>
      </w:r>
    </w:p>
    <w:p>
      <w:r/>
      <w:r>
        <w:rPr>
          <w:b/>
        </w:rPr>
        <w:t>Médicaments disponibles en Algérie (Marques, Laboratoires, Formes et Dosages) :</w:t>
      </w:r>
      <w:r/>
    </w:p>
    <w:p>
      <w:pPr>
        <w:pStyle w:val="ListBullet"/>
      </w:pPr>
      <w:r/>
      <w:r>
        <w:rPr>
          <w:b/>
        </w:rPr>
        <w:t>ACTRAPID HM PENFILL</w:t>
      </w:r>
      <w:r>
        <w:t xml:space="preserve"> (NOVO NORDISK) — *cartouche pour stylo réutilisable*</w:t>
      </w:r>
    </w:p>
    <w:p>
      <w:pPr>
        <w:pStyle w:val="ListBullet"/>
      </w:pPr>
      <w:r>
        <w:t>Formes et Dosages : Solution injectable SC en cartouche Penfill, 100 UI/mL ; boîtes de 5 cartouches de 1,5 mL et de 5 cartouches de 3 mL</w:t>
      </w:r>
    </w:p>
    <w:p>
      <w:pPr>
        <w:pStyle w:val="ListBullet"/>
      </w:pPr>
      <w:r>
        <w:t xml:space="preserve">Statut : </w:t>
      </w:r>
      <w:r>
        <w:rPr>
          <w:b/>
        </w:rPr>
        <w:t>Non Renouvelable</w:t>
      </w:r>
      <w:r/>
    </w:p>
    <w:p>
      <w:pPr>
        <w:pStyle w:val="ListBullet"/>
      </w:pPr>
      <w:r/>
      <w:r>
        <w:rPr>
          <w:b/>
        </w:rPr>
        <w:t>UMULINE RAPIDE</w:t>
      </w:r>
      <w:r>
        <w:t xml:space="preserve"> (ELI LILLY) — *cartouche pour stylo réutilisable*</w:t>
      </w:r>
    </w:p>
    <w:p>
      <w:pPr>
        <w:pStyle w:val="ListBullet"/>
      </w:pPr>
      <w:r>
        <w:t>Formes et Dosages : Solution injectable SC en cartouche, 100 UI/mL ; boîte de 5 cartouches de 1,5 mL</w:t>
      </w:r>
    </w:p>
    <w:p>
      <w:pPr>
        <w:pStyle w:val="ListBullet"/>
      </w:pPr>
      <w:r>
        <w:t xml:space="preserve">Statut : </w:t>
      </w:r>
      <w:r>
        <w:rPr>
          <w:b/>
        </w:rPr>
        <w:t>Non Renouvelable</w:t>
      </w:r>
      <w:r/>
    </w:p>
    <w:p>
      <w:pPr>
        <w:pStyle w:val="ListBullet"/>
      </w:pPr>
      <w:r/>
      <w:r>
        <w:rPr>
          <w:b/>
        </w:rPr>
        <w:t>ACTRAPID HM</w:t>
      </w:r>
      <w:r>
        <w:t xml:space="preserve"> (NOVO NORDISK) — *flacon*</w:t>
      </w:r>
    </w:p>
    <w:p>
      <w:pPr>
        <w:pStyle w:val="ListBullet"/>
      </w:pPr>
      <w:r>
        <w:t>Formes et Dosages : Solution injectable SC/IV en flacon, 100 UI/mL ; flacon de 10 mL</w:t>
      </w:r>
    </w:p>
    <w:p>
      <w:pPr>
        <w:pStyle w:val="ListBullet"/>
      </w:pPr>
      <w:r>
        <w:t xml:space="preserve">Statut : </w:t>
      </w:r>
      <w:r>
        <w:rPr>
          <w:b/>
        </w:rPr>
        <w:t>Non Renouvelable</w:t>
      </w:r>
      <w:r/>
    </w:p>
    <w:p>
      <w:pPr>
        <w:pStyle w:val="ListBullet"/>
      </w:pPr>
      <w:r/>
      <w:r>
        <w:rPr>
          <w:b/>
        </w:rPr>
        <w:t>JUSLINE R</w:t>
      </w:r>
      <w:r>
        <w:t xml:space="preserve"> (GULF PHARMACEUTICAL INDUSTRIES / JULPHAR)</w:t>
      </w:r>
    </w:p>
    <w:p>
      <w:pPr>
        <w:pStyle w:val="ListBullet"/>
      </w:pPr>
      <w:r>
        <w:t>Formes et Dosages : Solution injectable SC en flacon, 100 UI/mL ; boîte de 1 flacon de 10 mL</w:t>
      </w:r>
    </w:p>
    <w:p>
      <w:pPr>
        <w:pStyle w:val="ListBullet"/>
      </w:pPr>
      <w:r>
        <w:t xml:space="preserve">Statut : </w:t>
      </w:r>
      <w:r>
        <w:rPr>
          <w:b/>
        </w:rPr>
        <w:t>Non Renouvelable</w:t>
      </w:r>
      <w:r/>
    </w:p>
    <w:p>
      <w:pPr>
        <w:pStyle w:val="ListBullet"/>
      </w:pPr>
      <w:r/>
      <w:r>
        <w:rPr>
          <w:b/>
        </w:rPr>
        <w:t>INSUDAL RAPID</w:t>
      </w:r>
      <w:r>
        <w:t xml:space="preserve"> (GROUPE SAIDAL)</w:t>
      </w:r>
    </w:p>
    <w:p>
      <w:pPr>
        <w:pStyle w:val="ListBullet"/>
      </w:pPr>
      <w:r>
        <w:t>Formes et Dosages : Solution injectable SC/IV en flacon, 100 UI/mL ; boîtes de 1 flacon de 5 mL et 1 flacon de 10 mL</w:t>
      </w:r>
    </w:p>
    <w:p>
      <w:pPr>
        <w:pStyle w:val="ListBullet"/>
      </w:pPr>
      <w:r>
        <w:t xml:space="preserve">Statut : </w:t>
      </w:r>
      <w:r>
        <w:rPr>
          <w:b/>
        </w:rPr>
        <w:t>Non Renouvelable</w:t>
      </w:r>
      <w:r/>
    </w:p>
    <w:p>
      <w:pPr>
        <w:pStyle w:val="ListBullet"/>
      </w:pPr>
      <w:r/>
      <w:r>
        <w:rPr>
          <w:b/>
        </w:rPr>
        <w:t>INSUMAN RAPID</w:t>
      </w:r>
      <w:r>
        <w:t xml:space="preserve"> (AVENTIS PHARMA) — *flacon*</w:t>
      </w:r>
    </w:p>
    <w:p>
      <w:pPr>
        <w:pStyle w:val="ListBullet"/>
      </w:pPr>
      <w:r>
        <w:t>Formes et Dosages : Solution injectable SC/IV en flacon, 100 UI/mL ; boîte de 1 flacon de 5 mL</w:t>
      </w:r>
    </w:p>
    <w:p>
      <w:pPr>
        <w:pStyle w:val="ListBullet"/>
      </w:pPr>
      <w:r>
        <w:t xml:space="preserve">Statut : </w:t>
      </w:r>
      <w:r>
        <w:rPr>
          <w:b/>
        </w:rPr>
        <w:t>Non Renouvelable</w:t>
      </w:r>
      <w:r/>
    </w:p>
    <w:p>
      <w:pPr>
        <w:pStyle w:val="ListBullet"/>
      </w:pPr>
      <w:r/>
      <w:r>
        <w:rPr>
          <w:b/>
        </w:rPr>
        <w:t>UMULINE RAPIDE flacon</w:t>
      </w:r>
      <w:r>
        <w:t xml:space="preserve"> (LILLY DEUTSCHLAND GMBH)</w:t>
      </w:r>
    </w:p>
    <w:p>
      <w:pPr>
        <w:pStyle w:val="ListBullet"/>
      </w:pPr>
      <w:r>
        <w:t>Formes et Dosages : Solution injectable IM/SC en flacon, 100 UI/mL ; flacon de 10 mL</w:t>
      </w:r>
    </w:p>
    <w:p>
      <w:pPr>
        <w:pStyle w:val="ListBullet"/>
      </w:pPr>
      <w:r>
        <w:t xml:space="preserve">Statut : </w:t>
      </w:r>
      <w:r>
        <w:rPr>
          <w:b/>
        </w:rPr>
        <w:t>Non Renouvelable</w:t>
      </w:r>
      <w:r/>
    </w:p>
    <w:p>
      <w:pPr>
        <w:pStyle w:val="ListBullet"/>
      </w:pPr>
      <w:r/>
      <w:r>
        <w:rPr>
          <w:b/>
        </w:rPr>
        <w:t>INSUMAN RAPID en cartouche</w:t>
      </w:r>
      <w:r>
        <w:t xml:space="preserve"> (AVENTIS PHARMA) — *cartouche OptiPen* (R)</w:t>
      </w:r>
    </w:p>
    <w:p>
      <w:pPr>
        <w:pStyle w:val="ListBullet"/>
      </w:pPr>
      <w:r>
        <w:t>Formes et Dosages : Solution injectable SC en cartouche, 100 UI/mL ; boîte de 5 cartouches de 3 mL (pour OptiPen)</w:t>
      </w:r>
    </w:p>
    <w:p>
      <w:pPr>
        <w:pStyle w:val="ListBullet"/>
      </w:pPr>
      <w:r>
        <w:t xml:space="preserve">Statut : </w:t>
      </w:r>
      <w:r>
        <w:rPr>
          <w:b/>
        </w:rPr>
        <w:t>Retiré (R)</w:t>
      </w:r>
      <w:r/>
    </w:p>
    <w:p>
      <w:pPr>
        <w:pStyle w:val="ListBullet"/>
      </w:pPr>
      <w:r/>
      <w:r>
        <w:rPr>
          <w:b/>
        </w:rPr>
        <w:t>GENSULIN R</w:t>
      </w:r>
      <w:r>
        <w:t xml:space="preserve"> (BIOTON Co.Ltd) (R)</w:t>
      </w:r>
    </w:p>
    <w:p>
      <w:pPr>
        <w:pStyle w:val="ListBullet"/>
      </w:pPr>
      <w:r>
        <w:t>Formes et Dosages : Solution injectable SC en flacon, 100 UI/mL ; flacon de 10 mL</w:t>
      </w:r>
    </w:p>
    <w:p>
      <w:pPr>
        <w:pStyle w:val="ListBullet"/>
      </w:pPr>
      <w:r>
        <w:t xml:space="preserve">Statut : </w:t>
      </w:r>
      <w:r>
        <w:rPr>
          <w:b/>
        </w:rPr>
        <w:t>Retiré (R)</w:t>
      </w:r>
      <w:r/>
    </w:p>
    <w:p>
      <w:pPr>
        <w:pStyle w:val="ListBullet"/>
      </w:pPr>
      <w:r/>
      <w:r>
        <w:rPr>
          <w:b/>
        </w:rPr>
        <w:t>WOSULIN R</w:t>
      </w:r>
      <w:r>
        <w:t xml:space="preserve"> (WOCKHARDT LIMITED) (R)</w:t>
      </w:r>
    </w:p>
    <w:p>
      <w:pPr>
        <w:pStyle w:val="ListBullet"/>
      </w:pPr>
      <w:r>
        <w:t>Formes et Dosages : Solution injectable SC en flacon, 100 UI/mL ; flacon de 10 mL</w:t>
      </w:r>
    </w:p>
    <w:p>
      <w:pPr>
        <w:pStyle w:val="ListBullet"/>
      </w:pPr>
      <w:r>
        <w:t xml:space="preserve">Statut : </w:t>
      </w:r>
      <w:r>
        <w:rPr>
          <w:b/>
        </w:rPr>
        <w:t>Retiré (R)</w:t>
      </w:r>
      <w:r/>
    </w:p>
    <w:p>
      <w:pPr>
        <w:pStyle w:val="ListBullet"/>
      </w:pPr>
      <w:r/>
      <w:r>
        <w:rPr>
          <w:b/>
        </w:rPr>
        <w:t>BIOSULIN-R</w:t>
      </w:r>
      <w:r>
        <w:t xml:space="preserve"> (MJ BIOPHARM PVT LTD) (R)</w:t>
      </w:r>
    </w:p>
    <w:p>
      <w:pPr>
        <w:pStyle w:val="ListBullet"/>
      </w:pPr>
      <w:r>
        <w:t>Formes et Dosages : Solution injectable SC en flacon, 100 UI/mL ; flacon de 10 mL</w:t>
      </w:r>
    </w:p>
    <w:p>
      <w:pPr>
        <w:pStyle w:val="ListBullet"/>
      </w:pPr>
      <w:r>
        <w:t xml:space="preserve">Statut : </w:t>
      </w:r>
      <w:r>
        <w:rPr>
          <w:b/>
        </w:rPr>
        <w:t>Retiré (R)</w:t>
      </w:r>
      <w:r/>
    </w:p>
    <w:p>
      <w:pPr>
        <w:pStyle w:val="ListBullet"/>
      </w:pPr>
      <w:r/>
      <w:r>
        <w:rPr>
          <w:b/>
        </w:rPr>
        <w:t>INSULET RAPIDE</w:t>
      </w:r>
      <w:r>
        <w:t xml:space="preserve"> (SOTHEMA) (R)</w:t>
      </w:r>
    </w:p>
    <w:p>
      <w:pPr>
        <w:pStyle w:val="ListBullet"/>
      </w:pPr>
      <w:r>
        <w:t>Formes et Dosages : Solution injectable SC/IM en flacon, 100 UI/mL ; boîte de 1 flacon de 10 mL</w:t>
      </w:r>
    </w:p>
    <w:p>
      <w:pPr>
        <w:pStyle w:val="ListBullet"/>
      </w:pPr>
      <w:r>
        <w:t xml:space="preserve">Statut : </w:t>
      </w:r>
      <w:r>
        <w:rPr>
          <w:b/>
        </w:rPr>
        <w:t>Retiré (R)</w:t>
      </w:r>
      <w:r/>
    </w:p>
    <w:p>
      <w:pPr>
        <w:pStyle w:val="ListBullet"/>
      </w:pPr>
      <w:r/>
      <w:r>
        <w:rPr>
          <w:b/>
        </w:rPr>
        <w:t>INSUMAN RAPID flacon</w:t>
      </w:r>
      <w:r>
        <w:t xml:space="preserve"> (AVENTIS PHARMA) (R)</w:t>
      </w:r>
    </w:p>
    <w:p>
      <w:pPr>
        <w:pStyle w:val="ListBullet"/>
      </w:pPr>
      <w:r>
        <w:t>Formes et Dosages : Solution injectable SC/IV en flacon, 100 UI/mL ; boîte de 1 flacon de 5 mL</w:t>
      </w:r>
    </w:p>
    <w:p>
      <w:pPr>
        <w:pStyle w:val="ListBullet"/>
      </w:pPr>
      <w:r>
        <w:t xml:space="preserve">Statut : </w:t>
      </w:r>
      <w:r>
        <w:rPr>
          <w:b/>
        </w:rPr>
        <w:t>Retiré (R)</w:t>
      </w:r>
      <w:r/>
    </w:p>
    <w:p>
      <w:r/>
      <w:r>
        <w:rPr>
          <w:b/>
        </w:rPr>
        <w:t>Note alerte Algérie</w:t>
      </w:r>
      <w:r>
        <w:t xml:space="preserve"> : La grande majorité des marques d'insuline humaine régulière sont actuellement Non Renouvelables ou Retirées en Algérie — alerte de disponibilité sérieuse. Privilégier les analoges ultra-rapides (asparte, lispro) en substitution si nécessaire, avec adaptation du délai d'administration (humaine régulière : 30 min avant repas ; analogues : 0–15 min avant repas). Surveillance accrue 2 semaines après substitution.</w:t>
      </w:r>
    </w:p>
    <w:p>
      <w:r/>
      <w:r>
        <w:rPr>
          <w:b/>
        </w:rPr>
        <w:t>Sous-classe et Mécanisme d'action :</w:t>
      </w:r>
      <w:r/>
    </w:p>
    <w:p>
      <w:pPr>
        <w:pStyle w:val="ListBullet"/>
      </w:pPr>
      <w:r>
        <w:t xml:space="preserve">Sous-classe : Insuline humaine régulière recombinante (rapid-acting), volet </w:t>
      </w:r>
      <w:r>
        <w:rPr>
          <w:b/>
        </w:rPr>
        <w:t>bolus prandial</w:t>
      </w:r>
      <w:r>
        <w:t xml:space="preserve"> des schémas basal-bolus, grossesse-compatible (référence selon CRAT), IV-compatible (acidocétose), pompe-compatible (avec risque accru d'occlusion cathéter).</w:t>
      </w:r>
    </w:p>
    <w:p>
      <w:pPr>
        <w:pStyle w:val="ListBullet"/>
      </w:pPr>
      <w:r>
        <w:t>Mécanisme d'action : L'insuline humaine régulière se fixe au récepteur de l'insuline (IR α2β2) — hétérotétramère avec activité tyrosine-kinase intrinsèque au domaine β. La liaison provoque l'autophosphorylation des Tyr1150/Tyr1151 du domaine β, qui recrute et phosphoryle les substrats IRS (IRS-1 muscle/adipocyte, IRS-2 foie). Les IRS phosphorylés activent la voie PI3K → PIP3 → PDK1 → Akt/PKB. Akt phosphoryle AS160/TBC1D4 → translocation des vésicules GLUT4 à la membrane plasmique (muscle, tissu adipeux) → captage du glucose. Akt phosphoryle et inactive GSK3β → activation du glycogène synthase → glycogénogenèse. Akt phosphoryle FoxO1 → répression transcriptionnelle de PEPCK et G6Pase → inhibition de la néoglucogenèse hépatique. La voie MAPK (Ras-Raf-MEK-ERK) médie les effets mitogènes et la protéosynthèse. L'insuline stimule la lipogénèse (SREBP-1c, ACC, FAS), inhibe la lipolyse (phosphorylation et inactivation de la HSL), stimule l'absorption intestinale du glucose (translocation SGLT1 indirecte), et inhibe la cétogenèse hépatique. Identité structurale parfaite avec l'insuline endogène (aucune modification d'acides aminés) → aucune différence d'affinité ou de signalisation vs insuline native.</w:t>
      </w:r>
    </w:p>
    <w:p>
      <w:r/>
      <w:r>
        <w:rPr>
          <w:b/>
        </w:rPr>
        <w:t>Profil Pharmacologique :</w:t>
      </w:r>
      <w:r/>
    </w:p>
    <w:p>
      <w:pPr>
        <w:pStyle w:val="ListBullet"/>
      </w:pPr>
      <w:r>
        <w:t>Indications : DT1 en basal-bolus (bolus prandial × 3/j, 30 min avant chaque repas, associé à un basal NPH/glargine/detémir/dégludec) ; DT2 insulino-requis ; acidocétose diabétique (en IV à 0,05–0,1 UI/kg/h selon protocole — référence internationale) ; hyperglycémie péri-opératoire ou de réanimation ; grossesse diabétique (DT1, DT2, diabète gestationnel — insuline humaine régulière = référence selon CRAT) ; enfant (à partir de 2 ans) ; insuffisant rénal/hépatique (surveillance accrue, adaptation posologique).</w:t>
      </w:r>
    </w:p>
    <w:p>
      <w:pPr>
        <w:pStyle w:val="ListBullet"/>
      </w:pPr>
      <w:r>
        <w:t>Contre-indications : Hypoglycémie, hypersensibilité à l'insuline humaine ou à un excipient (m-crésol, glycérol, zinc), hypokaliémie sévère, ne pas administrer par voie IM (à l'exception de formulations spécifiquement prévues — Umuline Rapide flacon précise SC/IM).</w:t>
      </w:r>
    </w:p>
    <w:p>
      <w:pPr>
        <w:pStyle w:val="ListBullet"/>
      </w:pPr>
      <w:r>
        <w:t>Effets Indésirables : Hypoglycémie (&gt; 10 %), lipodystrophie (lipo-hypertrophie par non-rotation), prise de poids, œdèmes transitoires à l'initiation, réactions locales, allergie rare, hypokaliémie (surtout en IV), aggravation transitoire d'une rétinopathie à l'initiation. Allergie à l'insuline animale (porcine/bovine) historique — moins fréquente avec l'insuline humaine recombinante.</w:t>
      </w:r>
    </w:p>
    <w:p>
      <w:r/>
      <w:r>
        <w:rPr>
          <w:b/>
        </w:rPr>
        <w:t>Prévention et Gestion des Effets Indésirables :</w:t>
      </w:r>
      <w:r/>
    </w:p>
    <w:p>
      <w:pPr>
        <w:pStyle w:val="ListBullet"/>
      </w:pPr>
      <w:r>
        <w:t>Mesures Préventives : Rotation stricte des sites d'injection SC, autosurveillance glycémique capillaire ≥ 3–4 fois/jour en basal-bolus (avant repas, coucher, symptômes), éducation thérapeutique structurée, aiguille neuve à chaque injection, vérification visuelle de la solution (limpide, incolore).</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50–100 mL, surveillance 24 h, recherche de cause. </w:t>
      </w:r>
      <w:r>
        <w:rPr>
          <w:b/>
        </w:rPr>
        <w:t>Acidocétose (en cas de traitement IV)</w:t>
      </w:r>
      <w:r>
        <w:t xml:space="preserve"> : protocole de perfusion IV avec surveillance glycémie horaire, kaliémie toutes les 2 h (apport potassium systématique à partir de la 2e heure), ECG, bilan gazométrique artériel. </w:t>
      </w:r>
      <w:r>
        <w:rPr>
          <w:b/>
        </w:rPr>
        <w:t>Lipodystrophie</w:t>
      </w:r>
      <w:r>
        <w:t xml:space="preserve"> : arrêt injections au site atteint, éducation renforcée à la rotation.</w:t>
      </w:r>
    </w:p>
    <w:p>
      <w:r/>
      <w:r>
        <w:rPr>
          <w:b/>
        </w:rPr>
        <w:t>Interactions Importantes :</w:t>
      </w:r>
      <w:r/>
    </w:p>
    <w:p>
      <w:pPr>
        <w:pStyle w:val="ListBullet"/>
      </w:pPr>
      <w:r/>
      <w:r>
        <w:rPr>
          <w:b/>
        </w:rPr>
        <w:t>Humaine régulière + β-bloquants</w:t>
      </w:r>
      <w:r>
        <w:t xml:space="preserve"> : masquage signes hypoglycémie.</w:t>
      </w:r>
    </w:p>
    <w:p>
      <w:pPr>
        <w:pStyle w:val="ListBullet"/>
      </w:pPr>
      <w:r/>
      <w:r>
        <w:rPr>
          <w:b/>
        </w:rPr>
        <w:t>Humaine régulière + AINS, sulfamides, alcool, IEC, ARAs2</w:t>
      </w:r>
      <w:r>
        <w:t xml:space="preserve"> : potentialisation hypoglycémique.</w:t>
      </w:r>
    </w:p>
    <w:p>
      <w:pPr>
        <w:pStyle w:val="ListBullet"/>
      </w:pPr>
      <w:r/>
      <w:r>
        <w:rPr>
          <w:b/>
        </w:rPr>
        <w:t>Humaine régulière + corticoïdes, danazol, diurétiques thiazidiques, isoniazide, hormones thyroïdiennes, œstrogènes, progestatifs, glucagon, sympathomimétiques</w:t>
      </w:r>
      <w:r>
        <w:t xml:space="preserve"> : hyperglycémie.</w:t>
      </w:r>
    </w:p>
    <w:p>
      <w:pPr>
        <w:pStyle w:val="ListBullet"/>
      </w:pPr>
      <w:r/>
      <w:r>
        <w:rPr>
          <w:b/>
        </w:rPr>
        <w:t>Humaine régulière + pentamidine</w:t>
      </w:r>
      <w:r>
        <w:t xml:space="preserve"> : hypoglycémie puis hyperglycémie.</w:t>
      </w:r>
    </w:p>
    <w:p>
      <w:pPr>
        <w:pStyle w:val="ListBullet"/>
      </w:pPr>
      <w:r/>
      <w:r>
        <w:rPr>
          <w:b/>
        </w:rPr>
        <w:t>Humaine régulière + IMAO, fluoxétine, fibrates</w:t>
      </w:r>
      <w:r>
        <w:t xml:space="preserve"> : potentialisation hypoglycémique.</w:t>
      </w:r>
    </w:p>
    <w:p>
      <w:pPr>
        <w:pStyle w:val="ListBullet"/>
      </w:pPr>
      <w:r/>
      <w:r>
        <w:rPr>
          <w:b/>
        </w:rPr>
        <w:t>Humaine régulière + somatostatine analogues</w:t>
      </w:r>
      <w:r>
        <w:t xml:space="preserve"> : adaptation.</w:t>
      </w:r>
    </w:p>
    <w:p>
      <w:pPr>
        <w:pStyle w:val="ListBullet"/>
      </w:pPr>
      <w:r/>
      <w:r>
        <w:rPr>
          <w:b/>
        </w:rPr>
        <w:t>Humaine régulière + SGLT2 inhibiteurs</w:t>
      </w:r>
      <w:r>
        <w:t xml:space="preserve"> : potentialisation hypoglycémique, acidocétose euglycémique.</w:t>
      </w:r>
    </w:p>
    <w:p>
      <w:pPr>
        <w:pStyle w:val="ListBullet"/>
      </w:pPr>
      <w:r/>
      <w:r>
        <w:rPr>
          <w:b/>
        </w:rPr>
        <w:t>Humaine régulière + octréotide</w:t>
      </w:r>
      <w:r>
        <w:t xml:space="preserve"> : inhibition de la sécrétion de glucagon — adaptation.</w:t>
      </w:r>
    </w:p>
    <w:p>
      <w:r/>
      <w:r>
        <w:rPr>
          <w:b/>
        </w:rPr>
        <w:t>Grossesse et Allaitement :</w:t>
      </w:r>
      <w:r/>
    </w:p>
    <w:p>
      <w:pPr>
        <w:pStyle w:val="ListBullet"/>
      </w:pPr>
      <w:r>
        <w:t>Grossesse : Selon le CRAT, l'insuline humaine régulière est compatible avec la grossesse (données historiques larges — référence selon HAS/ADA). L'insuline ne traverse pas le placenta. Les besoins augmentent au cours de la grossesse (× 2–3 au 3e trimestre) puis chutent en post-partum immédiat. En IV, utilisable pour le diabète gestationnel mal contrôlé (protocole hospitalier).</w:t>
      </w:r>
    </w:p>
    <w:p>
      <w:pPr>
        <w:pStyle w:val="ListBullet"/>
      </w:pPr>
      <w:r>
        <w:t>Allaitement : Compatible (CRAT). Insuline dégradée par les protéases digestives du nourrisson. Allaitement recommandé. Adapter la posologie (baisse des besoins, surveillance nocturne).</w:t>
      </w:r>
    </w:p>
    <w:p>
      <w:pPr>
        <w:pStyle w:val="ListBullet"/>
      </w:pPr>
      <w:r>
        <w:t>Précisions : Autosurveillance 6–8 fois/jour pendant grossesse. Objectifs stricts (jeûne &lt; 0,95 g/L, 1 h post-prandial &lt; 1,40 g/L).</w:t>
      </w:r>
    </w:p>
    <w:p>
      <w:r/>
      <w:r>
        <w:rPr>
          <w:b/>
        </w:rPr>
        <w:t>Posologie et Mode d'administration (Standard) :</w:t>
      </w:r>
      <w:r/>
    </w:p>
    <w:p>
      <w:pPr>
        <w:pStyle w:val="ListBullet"/>
      </w:pPr>
      <w:r>
        <w:t>Adulte : DT1 — 0,5–1 UI/kg/j en basal-bolus (~50 % basal + ~50 % bolus humaine régulière × 3/j, 30 min avant chaque repas). DT2 — Initiation : 4 UI avant repas principal, titration +2 UI tous les 3 jours selon glycémie post-prandiale. Acidocétose : IV 0,05–0,1 UI/kg/h en perfusion continue (protocole international), adaptation selon décroissance glycémie (objectif −50 à −75 mg/dL/h).</w:t>
      </w:r>
    </w:p>
    <w:p>
      <w:pPr>
        <w:pStyle w:val="ListBullet"/>
      </w:pPr>
      <w:r>
        <w:t>Enfant : 0,5–1 UI/kg/j en DT1, à partir de 2 ans.</w:t>
      </w:r>
    </w:p>
    <w:p>
      <w:pPr>
        <w:pStyle w:val="ListBullet"/>
      </w:pPr>
      <w:r>
        <w:t>Durée : À vie.</w:t>
      </w:r>
    </w:p>
    <w:p>
      <w:pPr>
        <w:pStyle w:val="ListBullet"/>
      </w:pPr>
      <w:r>
        <w:t>Moment de prise : SC — 30 min avant le repas (la régulière doit être injectée plus tôt que les analogues ultra-rapides car elle forme des hexamères au site d'injection qui doivent se dissocier en dimères puis monomères avant absorption). En cas d'oubli : si repas récent (&lt; 15 min), injecter immédiatement ; si &gt; 15 min, surveiller glycémie et adapter. IV — administrer en perfusion continue.</w:t>
      </w:r>
    </w:p>
    <w:p>
      <w:r/>
      <w:r>
        <w:rPr>
          <w:b/>
        </w:rPr>
        <w:t>Arbitrage et Bénéfices des Formes Galéniques :</w:t>
      </w:r>
      <w:r/>
    </w:p>
    <w:p>
      <w:r>
        <w:t>Le flacon 10 mL avec seringue U100 est la forme historique la plus disponible en Algérie, réservée à l'usage hospitalier, à la perfusion IV (acidocétose, chirurgie), aux pompes à insuline, et aux patients ayant une couverture sociale insuffisante pour les stylos (moindre coût). Les cartouches 3 mL (Penfill, Umuline cartouche) pour stylo réutilisable sont une alternative ergonomique. Les stylos préremplis sont moins disponibles pour l'insuline humaine régulière en Algérie (la plupart sont non renouvelables ou retirés). Comparé aux analoges ultra-rapides (asparte, lispro, glulisine), l'insuline humaine régulière présente l'avantage d'un coût moindre et d'une grande expérience clinique (référence selon CRAT pour la grossesse), mais l'inconvénient d'un délai d'action plus long (30 min vs 10–15 min), d'une durée plus longue (6–8 h vs 3–5 h) avec risque accru d'hypoglycémie post-prandiale tardive, et d'une flexibilité réduite (l'oubli d'injection avant repas est plus problématique). En Algérie, la pénurie actuelle des marques d'humaine régulière rend la substitution par les analogues ultra-rapides (asparte, lispro) fréquente.</w:t>
      </w:r>
    </w:p>
    <w:p>
      <w:r/>
      <w:r>
        <w:rPr>
          <w:b/>
        </w:rPr>
        <w:t>Instructions et Conseils au Patient :</w:t>
      </w:r>
      <w:r/>
    </w:p>
    <w:p>
      <w:pPr>
        <w:pStyle w:val="ListBullet"/>
      </w:pPr>
      <w:r>
        <w:t>Communication au comptoir : « L'insuline humaine régulière (Actrapid, Umuline Rapide, Insuman Rapid, Insudal Rapid, Jusline R) est l'insuline rapide des repas, mais elle doit être injectée 30 minutes avant le repas (plus tôt que les analogues ultra-rapides). Elle agit en 30 minutes, fait un pic à 2–4 heures, dure 6–8 heures. Vous devez l'associer à une insuline lente (basale) une ou deux fois par jour. Solution limpide, transparente. Conservez les flacons/cartouches non entamés au réfrigérateur (+2 à +8°C, ne jamais congeler) ; les flacons/cartouches en cours d'utilisation à température ambiante &lt; 25°C pendant 4 semaines (flacon) ou 28 jours (cartouche) maximum. Vérifiez la limpidité avant chaque injection. Jetez l'aiguille après chaque injection. »</w:t>
      </w:r>
    </w:p>
    <w:p>
      <w:pPr>
        <w:pStyle w:val="ListBullet"/>
      </w:pPr>
      <w:r>
        <w:t xml:space="preserve">Mode d'utilisation pratique : Lavez les mains, vérifiez la dose, préparez la seringue (aspiration depuis le flacon) ou aiguiller le stylo, pincez le pli cutané, insérez l'aiguille à 90°, injectez, retirez, jetez l'aiguille. Rotation des sites. En cas d'oubli : si &lt; 15 min après le repas, injecter immédiatement ; si &gt; 15 min, surveiller glycémie et adapter. </w:t>
      </w:r>
      <w:r>
        <w:rPr>
          <w:b/>
        </w:rPr>
        <w:t>Autosurveillance</w:t>
      </w:r>
      <w:r>
        <w:t xml:space="preserve"> : glycémie capillaire avant chaque repas (objectif 0,80–1,30 g/L), au coucher (1,00–1,40 g/L), à 3 h du matin si suspicion d'hypoglycémie nocturne.</w:t>
      </w:r>
    </w:p>
    <w:p>
      <w:r/>
      <w:r>
        <w:rPr>
          <w:b/>
        </w:rPr>
        <w:t>Notes, Règles d'Or &amp; Pièges au Comptoir :</w:t>
      </w:r>
      <w:r/>
    </w:p>
    <w:p>
      <w:pPr>
        <w:pStyle w:val="ListBullet"/>
      </w:pPr>
      <w:r>
        <w:t>Piège classique : Confusion entre insuline humaine régulière (rapide, transparente, 30 min avant repas) et insuline humaine NPH (intermédiaire, trouble, basal) — vérifier systématiquement l'étiquette (Régular/Rapide = transparente ; NPH/Basal/Isophane = trouble). Délai d'administration — la régulière doit être injectée 30 min avant le repas (et non 0–15 min comme les analogues ultra-rapides), erreur fréquente en cas de substitution → hypoglycémie post-prandiale.</w:t>
      </w:r>
    </w:p>
    <w:p>
      <w:pPr>
        <w:pStyle w:val="ListBullet"/>
      </w:pPr>
      <w:r>
        <w:t>Règle de prise : Humaine régulière = « insuline rapide des repas », à injecter 30 min AVANT le début du repas. Ne pas injecter à jeun (risque d'hypoglycémie immédiate). IV — protocole strict hospitalier.</w:t>
      </w:r>
    </w:p>
    <w:p>
      <w:pPr>
        <w:pStyle w:val="ListBullet"/>
      </w:pPr>
      <w:r>
        <w:t>Préparation et Conservation : Non entamé : +2°C à +8°C, jamais congelé, à l'abri de la lumière. Entamé : T° ambiante &lt; 25°C, 4 semaines (flacon) ou 28 jours (cartouche) max. Ne pas exposer à &gt; 30°C (voiture en été). Voyage : trousse isotherme.</w:t>
      </w:r>
    </w:p>
    <w:p>
      <w:pPr>
        <w:pStyle w:val="ListBullet"/>
      </w:pPr>
      <w:r>
        <w:t xml:space="preserve">Piège du surdosage / Substitution : En cas de substitution humaine régulière → analogue ultra-rapide (asparte, lispro, glulisine), adapter le délai d'administration (humaine régulière : 30 min avant repas ; analogue : 0–15 min avant repas — risque d'hypoglycémie post-prandiale si injecté trop tôt, ou d'hyperglycémie post-prandiale si injecté trop tard). Vérifier systématiquement la concentration (U100). Attention à l'interaction insuline + alcool (risque d'hypoglycémie sévère retardée). </w:t>
      </w:r>
      <w:r>
        <w:rPr>
          <w:b/>
        </w:rPr>
        <w:t>Alerte Algérie</w:t>
      </w:r>
      <w:r>
        <w:t xml:space="preserve"> : la plupart des marques d'humaine régulière sont non renouvelables — en cas de pénurie, substituer par asparte ou lispro (équivalence 1 UI pour 1 UI, surveillance 2 semaines). Ne pas mélanger la régulière avec une autre insuline dans la même seringue sauf indication spécifique (NPH + régulière mélangées à la seringue, à injecter immédiatement).</w:t>
      </w:r>
    </w:p>
    <w:p>
      <w:pPr>
        <w:pStyle w:val="Heading3"/>
      </w:pPr>
      <w:r>
        <w:t>10. DCI : Insuline humaine NPH (Isophane) (Seule)</w:t>
      </w:r>
    </w:p>
    <w:p>
      <w:r/>
      <w:r>
        <w:rPr>
          <w:b/>
        </w:rPr>
        <w:t>Liste des Catégories :</w:t>
      </w:r>
      <w:r>
        <w:t xml:space="preserve"> Insulines — Humaines intermédiaires NPH</w:t>
      </w:r>
    </w:p>
    <w:p>
      <w:r>
        <w:t xml:space="preserve">L'insuline humaine NPH (Neutral Protamine Hagedorn, Isophane) est une suspension injectable SC d'insuline humaine recombinante complexée à la </w:t>
      </w:r>
      <w:r>
        <w:rPr>
          <w:b/>
        </w:rPr>
        <w:t>protamine</w:t>
      </w:r>
      <w:r>
        <w:t xml:space="preserve"> (protéine basique dérivée du sperme de saumon) en présence de zinc et de phénol/crésol. Le complexe insuline-protamine forme un réseau cristallin qui se dissout lentement au site d'injection SC, libérant l'insuline humaine dans la circulation systémique. Profil pharmacocinétique : début 1–2 h, pic 4–6 h, durée 12–18 h. Administrable par voie SC uniquement (jamais IV), en 1 à 2 injections/jour. C'est l'insuline basale de référence historique (développée par Hagedorn dans les années 1940), progressivement remplacée par les analogues basaux modernes (glargine, detémir, dégludec) qui présentent un profil sans pic et une durée plus longue. Le pic de la NPH, qui survient en fin de nuit lorsqu'elle est administrée le soir, expose à l'hypoglycémie nocturne (piège classique). Compatible avec le DT1, le DT2, la grossesse diabétique (référence selon CRAT — alternative à la glargine/detémir selon certaines recommandations), la pédiatrie à partir de 6 ans. Suspension troubles (à resuspendre avant injection).</w:t>
      </w:r>
    </w:p>
    <w:p>
      <w:r/>
      <w:r>
        <w:rPr>
          <w:b/>
        </w:rPr>
        <w:t>Médicaments disponibles en Algérie (Marques, Laboratoires, Formes et Dosages) :</w:t>
      </w:r>
      <w:r/>
    </w:p>
    <w:p>
      <w:pPr>
        <w:pStyle w:val="ListBullet"/>
      </w:pPr>
      <w:r/>
      <w:r>
        <w:rPr>
          <w:b/>
        </w:rPr>
        <w:t>INSULATARD HM PENFILL</w:t>
      </w:r>
      <w:r>
        <w:t xml:space="preserve"> (NOVO NORDISK) — *cartouche pour stylo réutilisable*</w:t>
      </w:r>
    </w:p>
    <w:p>
      <w:pPr>
        <w:pStyle w:val="ListBullet"/>
      </w:pPr>
      <w:r>
        <w:t>Formes et Dosages : Suspension injectable SC en cartouche Penfill, 100 UI/mL ; boîtes de 5 cartouches de 1,5 mL et de 5 cartouches de 3 mL</w:t>
      </w:r>
    </w:p>
    <w:p>
      <w:pPr>
        <w:pStyle w:val="ListBullet"/>
      </w:pPr>
      <w:r>
        <w:t xml:space="preserve">Statut : </w:t>
      </w:r>
      <w:r>
        <w:rPr>
          <w:b/>
        </w:rPr>
        <w:t>Non Renouvelable</w:t>
      </w:r>
      <w:r/>
    </w:p>
    <w:p>
      <w:pPr>
        <w:pStyle w:val="ListBullet"/>
      </w:pPr>
      <w:r/>
      <w:r>
        <w:rPr>
          <w:b/>
        </w:rPr>
        <w:t>JUSLINE N</w:t>
      </w:r>
      <w:r>
        <w:t xml:space="preserve"> (GULF PHARMACEUTICAL INDUSTRIES / JULPHAR)</w:t>
      </w:r>
    </w:p>
    <w:p>
      <w:pPr>
        <w:pStyle w:val="ListBullet"/>
      </w:pPr>
      <w:r>
        <w:t>Formes et Dosages : Suspension injectable SC en flacon, 100 UI/mL ; boîte de 1 flacon de 10 mL</w:t>
      </w:r>
    </w:p>
    <w:p>
      <w:pPr>
        <w:pStyle w:val="ListBullet"/>
      </w:pPr>
      <w:r>
        <w:t xml:space="preserve">Statut : </w:t>
      </w:r>
      <w:r>
        <w:rPr>
          <w:b/>
        </w:rPr>
        <w:t>Non Renouvelable</w:t>
      </w:r>
      <w:r/>
    </w:p>
    <w:p>
      <w:pPr>
        <w:pStyle w:val="ListBullet"/>
      </w:pPr>
      <w:r/>
      <w:r>
        <w:rPr>
          <w:b/>
        </w:rPr>
        <w:t>INSUDAL BASAL</w:t>
      </w:r>
      <w:r>
        <w:t xml:space="preserve"> (GROUPE SAIDAL)</w:t>
      </w:r>
    </w:p>
    <w:p>
      <w:pPr>
        <w:pStyle w:val="ListBullet"/>
      </w:pPr>
      <w:r>
        <w:t>Formes et Dosages : Suspension injectable SC en flacon, 100 UI/mL ; boîtes de 1 flacon de 5 mL et 1 flacon de 10 mL</w:t>
      </w:r>
    </w:p>
    <w:p>
      <w:pPr>
        <w:pStyle w:val="ListBullet"/>
      </w:pPr>
      <w:r>
        <w:t xml:space="preserve">Statut : </w:t>
      </w:r>
      <w:r>
        <w:rPr>
          <w:b/>
        </w:rPr>
        <w:t>Non Renouvelable</w:t>
      </w:r>
      <w:r/>
    </w:p>
    <w:p>
      <w:pPr>
        <w:pStyle w:val="ListBullet"/>
      </w:pPr>
      <w:r/>
      <w:r>
        <w:rPr>
          <w:b/>
        </w:rPr>
        <w:t>UMULINE NPH flacon</w:t>
      </w:r>
      <w:r>
        <w:t xml:space="preserve"> (LILLY DEUTSCHLAND GMBH)</w:t>
      </w:r>
    </w:p>
    <w:p>
      <w:pPr>
        <w:pStyle w:val="ListBullet"/>
      </w:pPr>
      <w:r>
        <w:t>Formes et Dosages : Suspension injectable IM/SC en flacon, 100 UI/mL ; flacon de 10 mL</w:t>
      </w:r>
    </w:p>
    <w:p>
      <w:pPr>
        <w:pStyle w:val="ListBullet"/>
      </w:pPr>
      <w:r>
        <w:t xml:space="preserve">Statut : </w:t>
      </w:r>
      <w:r>
        <w:rPr>
          <w:b/>
        </w:rPr>
        <w:t>Non Renouvelable</w:t>
      </w:r>
      <w:r/>
    </w:p>
    <w:p>
      <w:pPr>
        <w:pStyle w:val="ListBullet"/>
      </w:pPr>
      <w:r/>
      <w:r>
        <w:rPr>
          <w:b/>
        </w:rPr>
        <w:t>INSULATARD HM flacon</w:t>
      </w:r>
      <w:r>
        <w:t xml:space="preserve"> (NOVO NORDISK)</w:t>
      </w:r>
    </w:p>
    <w:p>
      <w:pPr>
        <w:pStyle w:val="ListBullet"/>
      </w:pPr>
      <w:r>
        <w:t>Formes et Dosages : Suspension injectable SC en flacon, 100 UI/mL ; flacon de 10 mL</w:t>
      </w:r>
    </w:p>
    <w:p>
      <w:pPr>
        <w:pStyle w:val="ListBullet"/>
      </w:pPr>
      <w:r>
        <w:t xml:space="preserve">Statut : </w:t>
      </w:r>
      <w:r>
        <w:rPr>
          <w:b/>
        </w:rPr>
        <w:t>Non Renouvelable</w:t>
      </w:r>
      <w:r/>
    </w:p>
    <w:p>
      <w:pPr>
        <w:pStyle w:val="ListBullet"/>
      </w:pPr>
      <w:r/>
      <w:r>
        <w:rPr>
          <w:b/>
        </w:rPr>
        <w:t>INSUMAN BASAL en cartouche</w:t>
      </w:r>
      <w:r>
        <w:t xml:space="preserve"> (AVENTIS PHARMA) — *cartouche OptiPen*</w:t>
      </w:r>
    </w:p>
    <w:p>
      <w:pPr>
        <w:pStyle w:val="ListBullet"/>
      </w:pPr>
      <w:r>
        <w:t>Formes et Dosages : Suspension injectable SC en cartouche, 100 UI/mL ; boîte de 5 cartouches de 3 mL (pour OptiPen)</w:t>
      </w:r>
    </w:p>
    <w:p>
      <w:pPr>
        <w:pStyle w:val="ListBullet"/>
      </w:pPr>
      <w:r>
        <w:t xml:space="preserve">Statut : </w:t>
      </w:r>
      <w:r>
        <w:rPr>
          <w:b/>
        </w:rPr>
        <w:t>Non Renouvelable</w:t>
      </w:r>
      <w:r/>
    </w:p>
    <w:p>
      <w:pPr>
        <w:pStyle w:val="ListBullet"/>
      </w:pPr>
      <w:r/>
      <w:r>
        <w:rPr>
          <w:b/>
        </w:rPr>
        <w:t>UMULINE PROTAMINE ISOPHANE</w:t>
      </w:r>
      <w:r>
        <w:t xml:space="preserve"> (ELI LILLY) — *cartouche* (R)</w:t>
      </w:r>
    </w:p>
    <w:p>
      <w:pPr>
        <w:pStyle w:val="ListBullet"/>
      </w:pPr>
      <w:r>
        <w:t>Formes et Dosages : Suspension injectable SC en cartouche, 100 UI/mL ; boîtes de 5 cartouches de 1,5 mL et de 5 cartouches de 3 mL</w:t>
      </w:r>
    </w:p>
    <w:p>
      <w:pPr>
        <w:pStyle w:val="ListBullet"/>
      </w:pPr>
      <w:r>
        <w:t xml:space="preserve">Statut : </w:t>
      </w:r>
      <w:r>
        <w:rPr>
          <w:b/>
        </w:rPr>
        <w:t>Retiré (R)</w:t>
      </w:r>
      <w:r/>
    </w:p>
    <w:p>
      <w:pPr>
        <w:pStyle w:val="ListBullet"/>
      </w:pPr>
      <w:r/>
      <w:r>
        <w:rPr>
          <w:b/>
        </w:rPr>
        <w:t>GENSULIN N</w:t>
      </w:r>
      <w:r>
        <w:t xml:space="preserve"> (BIOTON Co.Ltd) (R)</w:t>
      </w:r>
    </w:p>
    <w:p>
      <w:pPr>
        <w:pStyle w:val="ListBullet"/>
      </w:pPr>
      <w:r>
        <w:t>Formes et Dosages : Suspension injectable SC en flacon, 100 UI/mL ; flacon de 10 mL</w:t>
      </w:r>
    </w:p>
    <w:p>
      <w:pPr>
        <w:pStyle w:val="ListBullet"/>
      </w:pPr>
      <w:r>
        <w:t xml:space="preserve">Statut : </w:t>
      </w:r>
      <w:r>
        <w:rPr>
          <w:b/>
        </w:rPr>
        <w:t>Retiré (R)</w:t>
      </w:r>
      <w:r/>
    </w:p>
    <w:p>
      <w:pPr>
        <w:pStyle w:val="ListBullet"/>
      </w:pPr>
      <w:r/>
      <w:r>
        <w:rPr>
          <w:b/>
        </w:rPr>
        <w:t>WOSULIN N</w:t>
      </w:r>
      <w:r>
        <w:t xml:space="preserve"> (WOCKHARDT LIMITED) (R)</w:t>
      </w:r>
    </w:p>
    <w:p>
      <w:pPr>
        <w:pStyle w:val="ListBullet"/>
      </w:pPr>
      <w:r>
        <w:t>Formes et Dosages : Suspension injectable SC en flacon, 100 UI/mL ; flacon de 10 mL</w:t>
      </w:r>
    </w:p>
    <w:p>
      <w:pPr>
        <w:pStyle w:val="ListBullet"/>
      </w:pPr>
      <w:r>
        <w:t xml:space="preserve">Statut : </w:t>
      </w:r>
      <w:r>
        <w:rPr>
          <w:b/>
        </w:rPr>
        <w:t>Retiré (R)</w:t>
      </w:r>
      <w:r/>
    </w:p>
    <w:p>
      <w:pPr>
        <w:pStyle w:val="ListBullet"/>
      </w:pPr>
      <w:r/>
      <w:r>
        <w:rPr>
          <w:b/>
        </w:rPr>
        <w:t>BIOSULIN-N</w:t>
      </w:r>
      <w:r>
        <w:t xml:space="preserve"> (MJ BIOPHARM PVT LTD) (R)</w:t>
      </w:r>
    </w:p>
    <w:p>
      <w:pPr>
        <w:pStyle w:val="ListBullet"/>
      </w:pPr>
      <w:r>
        <w:t>Formes et Dosages : Suspension injectable SC en flacon, 100 UI/mL ; flacon de 10 mL</w:t>
      </w:r>
    </w:p>
    <w:p>
      <w:pPr>
        <w:pStyle w:val="ListBullet"/>
      </w:pPr>
      <w:r>
        <w:t xml:space="preserve">Statut : </w:t>
      </w:r>
      <w:r>
        <w:rPr>
          <w:b/>
        </w:rPr>
        <w:t>Retiré (R)</w:t>
      </w:r>
      <w:r/>
    </w:p>
    <w:p>
      <w:pPr>
        <w:pStyle w:val="ListBullet"/>
      </w:pPr>
      <w:r/>
      <w:r>
        <w:rPr>
          <w:b/>
        </w:rPr>
        <w:t>INSULET NPH</w:t>
      </w:r>
      <w:r>
        <w:t xml:space="preserve"> (SOTHEMA) (R)</w:t>
      </w:r>
    </w:p>
    <w:p>
      <w:pPr>
        <w:pStyle w:val="ListBullet"/>
      </w:pPr>
      <w:r>
        <w:t>Formes et Dosages : Suspension injectable SC/IM en flacon, 100 UI/mL ; boîte de 1 flacon de 10 mL</w:t>
      </w:r>
    </w:p>
    <w:p>
      <w:pPr>
        <w:pStyle w:val="ListBullet"/>
      </w:pPr>
      <w:r>
        <w:t xml:space="preserve">Statut : </w:t>
      </w:r>
      <w:r>
        <w:rPr>
          <w:b/>
        </w:rPr>
        <w:t>Retiré (R)</w:t>
      </w:r>
      <w:r/>
    </w:p>
    <w:p>
      <w:pPr>
        <w:pStyle w:val="ListBullet"/>
      </w:pPr>
      <w:r/>
      <w:r>
        <w:rPr>
          <w:b/>
        </w:rPr>
        <w:t>INSUMAN BASAL flacon</w:t>
      </w:r>
      <w:r>
        <w:t xml:space="preserve"> (SANOFI AVENTIS DEUTSCHLAND) (R)</w:t>
      </w:r>
    </w:p>
    <w:p>
      <w:pPr>
        <w:pStyle w:val="ListBullet"/>
      </w:pPr>
      <w:r>
        <w:t>Formes et Dosages : Suspension injectable SC en flacon, 100 UI/mL (3,5 mg/mL) ; boîte de 1 flacon de 5 mL</w:t>
      </w:r>
    </w:p>
    <w:p>
      <w:pPr>
        <w:pStyle w:val="ListBullet"/>
      </w:pPr>
      <w:r>
        <w:t xml:space="preserve">Statut : </w:t>
      </w:r>
      <w:r>
        <w:rPr>
          <w:b/>
        </w:rPr>
        <w:t>Retiré (R)</w:t>
      </w:r>
      <w:r/>
    </w:p>
    <w:p>
      <w:pPr>
        <w:pStyle w:val="ListBullet"/>
      </w:pPr>
      <w:r/>
      <w:r>
        <w:rPr>
          <w:b/>
        </w:rPr>
        <w:t>INSUMAN BASAL en cartouche</w:t>
      </w:r>
      <w:r>
        <w:t xml:space="preserve"> (AVENTIS PHARMA) (R)</w:t>
      </w:r>
    </w:p>
    <w:p>
      <w:pPr>
        <w:pStyle w:val="ListBullet"/>
      </w:pPr>
      <w:r>
        <w:t>Formes et Dosages : Suspension injectable SC en cartouche, 100 UI/mL ; boîte de 5 cartouches de 3 mL (pour OptiPen)</w:t>
      </w:r>
    </w:p>
    <w:p>
      <w:pPr>
        <w:pStyle w:val="ListBullet"/>
      </w:pPr>
      <w:r>
        <w:t xml:space="preserve">Statut : </w:t>
      </w:r>
      <w:r>
        <w:rPr>
          <w:b/>
        </w:rPr>
        <w:t>Retiré (R)</w:t>
      </w:r>
      <w:r/>
    </w:p>
    <w:p>
      <w:r/>
      <w:r>
        <w:rPr>
          <w:b/>
        </w:rPr>
        <w:t>Note alerte Algérie</w:t>
      </w:r>
      <w:r>
        <w:t xml:space="preserve"> : La grande majorité des marques d'insuline humaine NPH sont actuellement Non Renouvelables ou Retirées en Algérie — alerte de disponibilité sérieuse. Privilégier les analogues basaux modernes (glargine U100 ou U300, dégludec) en substitution, avec surveillance accrue 2 semaines (moindre hypoglycémie attendue, ajustement possible de la dose).</w:t>
      </w:r>
    </w:p>
    <w:p>
      <w:r/>
      <w:r>
        <w:rPr>
          <w:b/>
        </w:rPr>
        <w:t>Sous-classe et Mécanisme d'action :</w:t>
      </w:r>
      <w:r/>
    </w:p>
    <w:p>
      <w:pPr>
        <w:pStyle w:val="ListBullet"/>
      </w:pPr>
      <w:r>
        <w:t xml:space="preserve">Sous-classe : Insuline humaine intermédiaire NPH (Neutral Protamine Hagedorn, Isophane), volet </w:t>
      </w:r>
      <w:r>
        <w:rPr>
          <w:b/>
        </w:rPr>
        <w:t>basal</w:t>
      </w:r>
      <w:r>
        <w:t xml:space="preserve"> des schémas basal-bolus, à profil avec pic (pic 4–6 h), en 1 à 2 injections/jour. Grossesse-compatible (référence selon CRAT — alternative à la glargine/detémir selon certaines recommandations), pédiatrie à partir de 6 ans.</w:t>
      </w:r>
    </w:p>
    <w:p>
      <w:pPr>
        <w:pStyle w:val="ListBullet"/>
      </w:pPr>
      <w:r>
        <w:t xml:space="preserve">Mécanisme d'action : L'insuline humaine NPH se fixe au récepteur de l'insuline (IR α2β2) avec la même affinité que l'insuline humaine endogène. Elle déclenche l'autophosphorylation du domaine β tyrosine-kinase, le recrutement d'IRS-1/IRS-2, l'activation de la voie PI3K/Akt et de la voie MAPK. Akt phosphoryle AS160/TBC1D4 → translocation GLUT4 (muscle, tissu adipeux), phosphoryle GSK3β → glycogénogenèse, phosphoryle FoxO1 → inhibition néoglucogenèse hépatique. La spécificité de la NPH est </w:t>
      </w:r>
      <w:r>
        <w:rPr>
          <w:b/>
        </w:rPr>
        <w:t>purement pharmacocinétique</w:t>
      </w:r>
      <w:r>
        <w:t xml:space="preserve"> : le complexe insuline-protamine (insuline humaine + protamine basique + zinc + phénol/crésol) forme un réseau cristallin au site d'injection SC, qui se dissout lentement sous l'effet des protéases tissulaires, libérant l'insuline humaine dans la circulation. Le pic de libération survient à 4–6 h après injection (correspondant à la dissolution la plus rapide), ce qui peut être exploité pour couvrir un repas (ex : NPH du matin pic à midi) ou être responsable d'hypoglycémie nocturne (NPH du soir pic à minuit-2 h).</w:t>
      </w:r>
    </w:p>
    <w:p>
      <w:r/>
      <w:r>
        <w:rPr>
          <w:b/>
        </w:rPr>
        <w:t>Profil Pharmacologique :</w:t>
      </w:r>
      <w:r/>
    </w:p>
    <w:p>
      <w:pPr>
        <w:pStyle w:val="ListBullet"/>
      </w:pPr>
      <w:r>
        <w:t>Indications : DT1 en basal (associé à un bolus prandial humaine régulière × 3/j ou analogue ultra-rapide × 3/j) ; DT2 en initiation insulinothérapie (10 UI/jour ou 0,1–0,2 UI/kg/jour) ; DT2 non contrôlé sous ADO ± GLP-1 ; grossesse diabétique (référence selon CRAT — alternative à la glargine/detémir selon NICE 2020) ; pédiatrie à partir de 6 ans.</w:t>
      </w:r>
    </w:p>
    <w:p>
      <w:pPr>
        <w:pStyle w:val="ListBullet"/>
      </w:pPr>
      <w:r>
        <w:t>Contre-indications : Hypoglycémie, hypersensibilité à l'insuline humaine NPH ou à un excipient (protamine, m-crésol, zinc, phénol), ne pas administrer par voie IV (suspension, ne peut pas être filtrée par les vaisseaux), ne pas utiliser en pompe à insuline (cristaux obstructifs pour la tubulure), allergie à la protamine (allergie croisée possible avec protamine sulfate en chirurgie cardiaque).</w:t>
      </w:r>
    </w:p>
    <w:p>
      <w:pPr>
        <w:pStyle w:val="ListBullet"/>
      </w:pPr>
      <w:r>
        <w:t>Effets Indésirables : Hypoglycémie (notamment nocturne due au pic 4–6 h — fréquence &gt; 10 %, parfois sévère), lipodystrophie au site d'injection (lipo-hypertrophie), prise de poids (supérieure à la glargine selon essai LANMET), œdèmes transitoires, réactions locales, allergie à la protamine (rare mais possible — urticaire, anaphylaxie), hypokaliémie. Variabilité intra-individuelle plus marquée que les analogues basaux (effet pic variable selon le site d'injection et la resuspension).</w:t>
      </w:r>
    </w:p>
    <w:p>
      <w:r/>
      <w:r>
        <w:rPr>
          <w:b/>
        </w:rPr>
        <w:t>Prévention et Gestion des Effets Indésirables :</w:t>
      </w:r>
      <w:r/>
    </w:p>
    <w:p>
      <w:pPr>
        <w:pStyle w:val="ListBullet"/>
      </w:pPr>
      <w:r>
        <w:t>Mesures Préventives : Rotation stricte des sites d'injection SC, autosurveillance glycémique capillaire ≥ 2 fois/jour (matin à jeun, coucher), éducation thérapeutique structurée (resuspension systématique avant injection, gestion du pic, gestion des hypoglycémies), aiguille neuve à chaque injection, vérification visuelle (suspension blanche laiteuse après resuspension).</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surveillance 24 h. </w:t>
      </w:r>
      <w:r>
        <w:rPr>
          <w:b/>
        </w:rPr>
        <w:t>Hypoglycémie nocturne</w:t>
      </w:r>
      <w:r>
        <w:t xml:space="preserve"> : dosage à 3 h du matin ; si &lt; 0,70 g/L, réduire la dose du soir de 2–4 UI, ou décaler l'injection du soir plus tôt (17–18 h au lieu de 20–22 h), ou envisager passage à un basal sans pic (glargine, dégludec). Allergie à la protamine : arrêt immédiat, substitution par analogue basal sans protamine (glargine, dégludec). Lipodystrophie : arrêt injections au site atteint.</w:t>
      </w:r>
    </w:p>
    <w:p>
      <w:r/>
      <w:r>
        <w:rPr>
          <w:b/>
        </w:rPr>
        <w:t>Interactions Importantes :</w:t>
      </w:r>
      <w:r/>
    </w:p>
    <w:p>
      <w:pPr>
        <w:pStyle w:val="ListBullet"/>
      </w:pPr>
      <w:r/>
      <w:r>
        <w:rPr>
          <w:b/>
        </w:rPr>
        <w:t>NPH + β-bloquants</w:t>
      </w:r>
      <w:r>
        <w:t xml:space="preserve"> : masquage signes hypoglycémie.</w:t>
      </w:r>
    </w:p>
    <w:p>
      <w:pPr>
        <w:pStyle w:val="ListBullet"/>
      </w:pPr>
      <w:r/>
      <w:r>
        <w:rPr>
          <w:b/>
        </w:rPr>
        <w:t>NPH + AINS, sulfamides, alcool, IEC, ARAs2</w:t>
      </w:r>
      <w:r>
        <w:t xml:space="preserve"> : potentialisation hypoglycémique.</w:t>
      </w:r>
    </w:p>
    <w:p>
      <w:pPr>
        <w:pStyle w:val="ListBullet"/>
      </w:pPr>
      <w:r/>
      <w:r>
        <w:rPr>
          <w:b/>
        </w:rPr>
        <w:t>NPH + corticoïdes, danazol, diurétiques thiazidiques, isoniazide, hormones thyroïdiennes, œstrogènes, progestatifs, glucagon, sympathomimétiques</w:t>
      </w:r>
      <w:r>
        <w:t xml:space="preserve"> : hyperglycémie.</w:t>
      </w:r>
    </w:p>
    <w:p>
      <w:pPr>
        <w:pStyle w:val="ListBullet"/>
      </w:pPr>
      <w:r/>
      <w:r>
        <w:rPr>
          <w:b/>
        </w:rPr>
        <w:t>NPH + pentamidine</w:t>
      </w:r>
      <w:r>
        <w:t xml:space="preserve"> : hypoglycémie puis hyperglycémie.</w:t>
      </w:r>
    </w:p>
    <w:p>
      <w:pPr>
        <w:pStyle w:val="ListBullet"/>
      </w:pPr>
      <w:r/>
      <w:r>
        <w:rPr>
          <w:b/>
        </w:rPr>
        <w:t>NPH + IMAO, fluoxétine, fibrates</w:t>
      </w:r>
      <w:r>
        <w:t xml:space="preserve"> : potentialisation hypoglycémique.</w:t>
      </w:r>
    </w:p>
    <w:p>
      <w:pPr>
        <w:pStyle w:val="ListBullet"/>
      </w:pPr>
      <w:r/>
      <w:r>
        <w:rPr>
          <w:b/>
        </w:rPr>
        <w:t>NPH + protamine (chirurgie cardiaque, neutralisation héparine)</w:t>
      </w:r>
      <w:r>
        <w:t xml:space="preserve"> : allergie croisée possible, interaction pharmacodynamique (la protamine exogène libère l'insuline du complexe NPH → hypoglycémie transitoire).</w:t>
      </w:r>
    </w:p>
    <w:p>
      <w:pPr>
        <w:pStyle w:val="ListBullet"/>
      </w:pPr>
      <w:r/>
      <w:r>
        <w:rPr>
          <w:b/>
        </w:rPr>
        <w:t>NPH + somatostatine analogues</w:t>
      </w:r>
      <w:r>
        <w:t xml:space="preserve"> : adaptation.</w:t>
      </w:r>
    </w:p>
    <w:p>
      <w:r/>
      <w:r>
        <w:rPr>
          <w:b/>
        </w:rPr>
        <w:t>Grossesse et Allaitement :</w:t>
      </w:r>
      <w:r/>
    </w:p>
    <w:p>
      <w:pPr>
        <w:pStyle w:val="ListBullet"/>
      </w:pPr>
      <w:r>
        <w:t>Grossesse : Selon le CRAT, l'insuline humaine NPH est compatible avec la grossesse (données historiques larges — référence selon NICE 2020, alternative à la glargine/detémir). L'insuline ne traverse pas le placenta. Les besoins augmentent au cours de la grossesse (× 2–3 au 3e trimestre) puis chutent en post-partum immédiat. Schéma typique en grossesse DT1 : NPH × 2/jour (matin et soir) + humaine régulière × 3/jour avant repas, ou basal-bolus analogue (glargine/detémir + asparte/lispro).</w:t>
      </w:r>
    </w:p>
    <w:p>
      <w:pPr>
        <w:pStyle w:val="ListBullet"/>
      </w:pPr>
      <w:r>
        <w:t>Allaitement : Compatible (CRAT). Insuline dégradée par les protéases digestives du nourrisson. Adapter la posologie (baisse des besoins, surveillance nocturne).</w:t>
      </w:r>
    </w:p>
    <w:p>
      <w:pPr>
        <w:pStyle w:val="ListBullet"/>
      </w:pPr>
      <w:r>
        <w:t>Précisions : Autosurveillance 6–8 fois/jour pendant grossesse. Objectifs stricts (jeûne &lt; 0,95 g/L, 1 h post-prandial &lt; 1,40 g/L). Risque accru d'hypoglycémie nocturne en début de grossesse (baisse des besoins et jeûne nocturne court).</w:t>
      </w:r>
    </w:p>
    <w:p>
      <w:r/>
      <w:r>
        <w:rPr>
          <w:b/>
        </w:rPr>
        <w:t>Posologie et Mode d'administration (Standard) :</w:t>
      </w:r>
      <w:r/>
    </w:p>
    <w:p>
      <w:pPr>
        <w:pStyle w:val="ListBullet"/>
      </w:pPr>
      <w:r>
        <w:t>Adulte : DT1 — 0,5–1 UI/kg/j en basal (50 % de la dose totale journalière), administré en 2 injections/jour (matin 2/3 de la dose totale, soir 1/3) pour limiter le pic nocturne. DT2 — Initiation : 10 UI/jour ou 0,1–0,2 UI/kg/jour en 1 injection (le soir) ou 2 injections (matin et soir), titration +2 UI tous les 3 jours selon glycémie à jeun (objectif 0,70–1,30 g/L). Dose maximale usuelle 0,5–1 UI/kg/j.</w:t>
      </w:r>
    </w:p>
    <w:p>
      <w:pPr>
        <w:pStyle w:val="ListBullet"/>
      </w:pPr>
      <w:r>
        <w:t>Enfant : 0,5–1 UI/kg/j en DT1, à partir de 6 ans.</w:t>
      </w:r>
    </w:p>
    <w:p>
      <w:pPr>
        <w:pStyle w:val="ListBullet"/>
      </w:pPr>
      <w:r>
        <w:t>Durée : À vie.</w:t>
      </w:r>
    </w:p>
    <w:p>
      <w:pPr>
        <w:pStyle w:val="ListBullet"/>
      </w:pPr>
      <w:r>
        <w:t>Moment de prise : 2 injections/jour (matin avant petit-déjeuner, soir avant dîner — généralement à 18–20 h pour éviter l'hypoglycémie nocturne). Resuspension obligatoire avant chaque injection (rouler le flacon ou le stylo entre les paumes 20 fois jusqu'à obtention d'une suspension uniformément blanche laiteuse — pas de secousses).</w:t>
      </w:r>
    </w:p>
    <w:p>
      <w:r/>
      <w:r>
        <w:rPr>
          <w:b/>
        </w:rPr>
        <w:t>Arbitrage et Bénéfices des Formes Galéniques :</w:t>
      </w:r>
      <w:r/>
    </w:p>
    <w:p>
      <w:r>
        <w:t>Le flacon 10 mL avec seringue U100 est la forme historique la plus disponible en Algérie — moindre coût, usage hospitalier, alternative économique pour les patients à faible couverture sociale. Les cartouches 3 mL (Penfill, Umuline cartouche) pour stylo réutilisable sont une alternative ergonomique. Les stylos préremplis sont moins disponibles pour la NPH en Algérie (la plupart sont non renouvelables ou retirés). Comparée aux analogues basaux modernes (glargine, detémir, dégludec), la NPH présente l'avantage d'un coût moindre, d'une grande expérience clinique (référence selon CRAT pour la grossesse) et d'un profil avec pic exploitable (NPH du matin pic à midi pour couvrir le déjeuner), mais l'inconvénient d'un risque accru d'hypoglycémie nocturne (pic du soir), d'une variabilité intra-individuelle plus marquée, et d'une nécessité de resuspension systématique. En Algérie, la pénurie actuelle des marques de NPH rend la substitution par les analogues basaux (glargine, dégludec) fréquente.</w:t>
      </w:r>
    </w:p>
    <w:p>
      <w:r/>
      <w:r>
        <w:rPr>
          <w:b/>
        </w:rPr>
        <w:t>Instructions et Conseils au Patient :</w:t>
      </w:r>
      <w:r/>
    </w:p>
    <w:p>
      <w:pPr>
        <w:pStyle w:val="ListBullet"/>
      </w:pPr>
      <w:r>
        <w:t xml:space="preserve">Communication au comptoir : « L'insuline humaine NPH (Insulatard, Umuline NPH, Insuman Basal, Insudal Basal, Jusline N) est l'insuline basale intermédiaire, qui couvre le fond de votre glycémie pendant 12–18 heures, avec un pic à 4–6 heures après l'injection. Vous l'injectez 2 fois par jour, le matin avant le petit-déjeuner et le soir avant le dîner. Suspension blanche, laiteuse — </w:t>
      </w:r>
      <w:r>
        <w:rPr>
          <w:b/>
        </w:rPr>
        <w:t>il faut absolument resuspendre avant chaque injection</w:t>
      </w:r>
      <w:r>
        <w:t xml:space="preserve"> : roulez le flacon ou le stylo entre vos paumes 20 fois jusqu'à ce que la suspension soit uniformément blanche, sans dépôt au fond (ne pas secouer vigoureusement). Conservez les flacons/cartouches non entamés au réfrigérateur (+2 à +8°C, ne jamais congeler) ; les flacons/cartouches en cours d'utilisation à température ambiante &lt; 25°C pendant 4 semaines maximum. Vérifiez la suspension avant chaque injection. Jetez l'aiguille après chaque injection. »</w:t>
      </w:r>
    </w:p>
    <w:p>
      <w:pPr>
        <w:pStyle w:val="ListBullet"/>
      </w:pPr>
      <w:r>
        <w:t xml:space="preserve">Mode d'utilisation pratique : Lavez les mains, </w:t>
      </w:r>
      <w:r>
        <w:rPr>
          <w:b/>
        </w:rPr>
        <w:t>resuspendez la suspension</w:t>
      </w:r>
      <w:r>
        <w:t xml:space="preserve"> (rouler 20 fois entre les paumes), vérifiez la dose, préparez la seringue (aspiration depuis le flacon) ou aiguiller le stylo, pincez le pli cutané, insérez l'aiguille à 90°, injectez, retirez, jetez l'aiguille. Rotation des sites. En cas d'oubli : injecter dès que possible avec un repas, mais éviter l'injection tardive le soir (risque d'hypoglycémie nocturne). Ne pas doubler la dose. </w:t>
      </w:r>
      <w:r>
        <w:rPr>
          <w:b/>
        </w:rPr>
        <w:t>Autosurveillance</w:t>
      </w:r>
      <w:r>
        <w:t xml:space="preserve"> : glycémie capillaire à jeun (objectif 0,70–1,30 g/L), au coucher (1,00–1,40 g/L), à 3 h du matin si suspicion d'hypoglycémie nocturne.</w:t>
      </w:r>
    </w:p>
    <w:p>
      <w:r/>
      <w:r>
        <w:rPr>
          <w:b/>
        </w:rPr>
        <w:t>Notes, Règles d'Or &amp; Pièges au Comptoir :</w:t>
      </w:r>
      <w:r/>
    </w:p>
    <w:p>
      <w:pPr>
        <w:pStyle w:val="ListBullet"/>
      </w:pPr>
      <w:r>
        <w:t xml:space="preserve">Piège classique : Oubli de </w:t>
      </w:r>
      <w:r>
        <w:rPr>
          <w:b/>
        </w:rPr>
        <w:t>resuspension</w:t>
      </w:r>
      <w:r>
        <w:t xml:space="preserve"> avant injection — la protamine se dépose au fond du flacon/stylo, et l'injection d'une suspension non homogénéisée peut entraîner soit l'injection de la phase liquide seule (surdosage insuline soluble = hypoglycémie immédiate, puis hyperglycémie tardive par défaut de basal) soit l'injection de la phase protamine cristalline seule (hypoglycémie retardée et prolongée, puis hyperglycémie par défaut d'effet). Éducation systématique à la resuspension (rouler 20 fois entre les paumes, ne pas secouer). Confusion avec l'humaine régulière (solution claire transparente — ne jamais substituer NPH par régulière sans avis médical, profils différents). </w:t>
      </w:r>
      <w:r>
        <w:rPr>
          <w:b/>
        </w:rPr>
        <w:t>Hypoglycémie nocturne</w:t>
      </w:r>
      <w:r>
        <w:t xml:space="preserve"> : pic de la NPH du soir survient vers 1–3 h du matin, à risque d'hypoglycémie sévère (parfois fatale chez le sujet âgé). Éducation à la surveillance glycémique à 3 h du matin, à la collation du coucher (15 g de glucides complexes si glycémie &lt; 1,20 g/L), et à la réduction de la dose du soir si hypoglycémie nocturne récidivante.</w:t>
      </w:r>
    </w:p>
    <w:p>
      <w:pPr>
        <w:pStyle w:val="ListBullet"/>
      </w:pPr>
      <w:r>
        <w:t>Règle de prise : NPH = « insuline basale intermédiaire », 2 injections/jour (matin et soir), resuspension obligatoire. Ne pas injecter par voie IV.</w:t>
      </w:r>
    </w:p>
    <w:p>
      <w:pPr>
        <w:pStyle w:val="ListBullet"/>
      </w:pPr>
      <w:r>
        <w:t>Préparation et Conservation : Non entamé : +2°C à +8°C, jamais congelé, à l'abri de la lumière. Entamé : T° ambiante &lt; 25°C, 4 semaines max. Ne pas exposer à &gt; 30°C. Voyage : trousse isotherme.</w:t>
      </w:r>
    </w:p>
    <w:p>
      <w:pPr>
        <w:pStyle w:val="ListBullet"/>
      </w:pPr>
      <w:r>
        <w:t xml:space="preserve">Piège du surdosage / Substitution : En cas de substitution NPH → glargine ou dégludec, conversion 1:1, surveillance 2 semaines (moindre hypoglycémie nocturne attendue, ajustement possible de la dose). En cas de substitution NPH → detémir, conversion 1:1 mais dose finale pouvant nécessiter +10–20 % (detémir moins puissant à dose égale). En cas de substitution NPH × 2/jour → glargine U100 1 fois/jour, regrouper la dose totale en 1 injection du soir. Attention à l'interaction insuline + alcool. Ne pas mélanger la NPH avec une autre insuline dans la même seringue sauf indication spécifique (mélange extemporané NPH + humaine régulière, à injecter immédiatement après mélange en respectant l'ordre d'aspiration — régulière d'abord, NPH ensuite, pour éviter la contamination de la régulière par la protamine). </w:t>
      </w:r>
      <w:r>
        <w:rPr>
          <w:b/>
        </w:rPr>
        <w:t>Alerte Algérie</w:t>
      </w:r>
      <w:r>
        <w:t xml:space="preserve"> : la plupart des marques de NPH sont non renouvelables — en cas de pénurie, substituer par glargine U100 ou dégludec (équivalence 1 UI pour 1 UI, surveillance 2 semaines).</w:t>
      </w:r>
    </w:p>
    <w:p>
      <w:pPr>
        <w:pStyle w:val="Heading3"/>
      </w:pPr>
      <w:r>
        <w:t>11. DCI : Insuline humaine biphasique (30/70, 25/75, 50/50) (Pré-mélangée)</w:t>
      </w:r>
    </w:p>
    <w:p>
      <w:r/>
      <w:r>
        <w:rPr>
          <w:b/>
        </w:rPr>
        <w:t>Liste des Catégories :</w:t>
      </w:r>
      <w:r>
        <w:t xml:space="preserve"> Insulines — Humaines biphasiques pré-mélangées</w:t>
      </w:r>
    </w:p>
    <w:p>
      <w:r>
        <w:t xml:space="preserve">L'insuline humaine biphasique est une suspension injectable SC prémélangée combinant </w:t>
      </w:r>
      <w:r>
        <w:rPr>
          <w:b/>
        </w:rPr>
        <w:t>une insuline humaine soluble</w:t>
      </w:r>
      <w:r>
        <w:t xml:space="preserve"> (forme rapide, profil identique à l'humaine régulière : début 30 min, pic 2–4 h, durée 6–8 h) et </w:t>
      </w:r>
      <w:r>
        <w:rPr>
          <w:b/>
        </w:rPr>
        <w:t>une insuline humaine NPH</w:t>
      </w:r>
      <w:r>
        <w:t xml:space="preserve"> (forme intermédiaire, profil identique à la NPH : début 1–2 h, pic 4–6 h, durée 12–18 h). Trois ratios sont commercialisés en Algérie : (i) </w:t>
      </w:r>
      <w:r>
        <w:rPr>
          <w:b/>
        </w:rPr>
        <w:t>30/70</w:t>
      </w:r>
      <w:r>
        <w:t xml:space="preserve"> (30 % soluble + 70 % NPH) — MIXTARD 30, UMULINE PROFIL 30, JUSLINE 30/70 ; (ii) </w:t>
      </w:r>
      <w:r>
        <w:rPr>
          <w:b/>
        </w:rPr>
        <w:t>25/75</w:t>
      </w:r>
      <w:r>
        <w:t xml:space="preserve"> (25 % soluble + 75 % NPH) — INSUMAN COMB 25, INSUDAL COMB 25 ; et (iii) </w:t>
      </w:r>
      <w:r>
        <w:rPr>
          <w:b/>
        </w:rPr>
        <w:t>50/50</w:t>
      </w:r>
      <w:r>
        <w:t xml:space="preserve"> (rare en Algérie). La composante soluble couvre le repas principal, la NPH couvre les besoins basaux inter-prandiaux et nocturnes. Profil pharmacocinétique global : début 30 min, double pic (2–4 h pour la composante soluble et 4–6 h pour la NPH), durée 14–18 h. Administrable par voie SC uniquement (jamais IV), 30 min avant les 2 repas principaux (matin et soir), en 2 injections/jour. Suspension troubles (à resuspendre). Compatible avec le DT2 principalement (alternative au basal-bolus en institution, chez le sujet âgé, en transition) ; moins adapté au DT1 (les 3 repas ne sont pas couverts par la composante soluble unique, et le pic NPH expose à l'hypoglycémie nocturne).</w:t>
      </w:r>
    </w:p>
    <w:p>
      <w:r/>
      <w:r>
        <w:rPr>
          <w:b/>
        </w:rPr>
        <w:t>Médicaments disponibles en Algérie (Marques, Laboratoires, Formes et Dosages) :</w:t>
      </w:r>
      <w:r/>
    </w:p>
    <w:p>
      <w:pPr>
        <w:pStyle w:val="ListBullet"/>
      </w:pPr>
      <w:r/>
      <w:r>
        <w:rPr>
          <w:b/>
        </w:rPr>
        <w:t>MIXTARD 30 HM PENFILL</w:t>
      </w:r>
      <w:r>
        <w:t xml:space="preserve"> (NOVO NORDISK) — *cartouche pour stylo réutilisable*</w:t>
      </w:r>
    </w:p>
    <w:p>
      <w:pPr>
        <w:pStyle w:val="ListBullet"/>
      </w:pPr>
      <w:r>
        <w:t>Formes et Dosages : Suspension injectable SC en cartouche Penfill, 100 UI/mL (30 % soluble + 70 % NPH) ; boîtes de 5 cartouches de 1,5 mL et de 5 cartouches de 3 mL</w:t>
      </w:r>
    </w:p>
    <w:p>
      <w:pPr>
        <w:pStyle w:val="ListBullet"/>
      </w:pPr>
      <w:r>
        <w:t xml:space="preserve">Statut : </w:t>
      </w:r>
      <w:r>
        <w:rPr>
          <w:b/>
        </w:rPr>
        <w:t>Non Renouvelable</w:t>
      </w:r>
      <w:r/>
    </w:p>
    <w:p>
      <w:pPr>
        <w:pStyle w:val="ListBullet"/>
      </w:pPr>
      <w:r/>
      <w:r>
        <w:rPr>
          <w:b/>
        </w:rPr>
        <w:t>JUSLINE 30/70</w:t>
      </w:r>
      <w:r>
        <w:t xml:space="preserve"> (GULF PHARMACEUTICAL INDUSTRIES / JULPHAR)</w:t>
      </w:r>
    </w:p>
    <w:p>
      <w:pPr>
        <w:pStyle w:val="ListBullet"/>
      </w:pPr>
      <w:r>
        <w:t>Formes et Dosages : Suspension injectable SC en flacon, 100 UI/mL (30/70) ; boîte de 1 flacon de 10 mL</w:t>
      </w:r>
    </w:p>
    <w:p>
      <w:pPr>
        <w:pStyle w:val="ListBullet"/>
      </w:pPr>
      <w:r>
        <w:t xml:space="preserve">Statut : </w:t>
      </w:r>
      <w:r>
        <w:rPr>
          <w:b/>
        </w:rPr>
        <w:t>Non Renouvelable</w:t>
      </w:r>
      <w:r/>
    </w:p>
    <w:p>
      <w:pPr>
        <w:pStyle w:val="ListBullet"/>
      </w:pPr>
      <w:r/>
      <w:r>
        <w:rPr>
          <w:b/>
        </w:rPr>
        <w:t>MIXTARD 30 HM flacon</w:t>
      </w:r>
      <w:r>
        <w:t xml:space="preserve"> (NOVO NORDISK)</w:t>
      </w:r>
    </w:p>
    <w:p>
      <w:pPr>
        <w:pStyle w:val="ListBullet"/>
      </w:pPr>
      <w:r>
        <w:t>Formes et Dosages : Suspension injectable SC en flacon, 100 UI/mL (30/70) ; flacon de 10 mL</w:t>
      </w:r>
    </w:p>
    <w:p>
      <w:pPr>
        <w:pStyle w:val="ListBullet"/>
      </w:pPr>
      <w:r>
        <w:t xml:space="preserve">Statut : </w:t>
      </w:r>
      <w:r>
        <w:rPr>
          <w:b/>
        </w:rPr>
        <w:t>Non Renouvelable</w:t>
      </w:r>
      <w:r/>
    </w:p>
    <w:p>
      <w:pPr>
        <w:pStyle w:val="ListBullet"/>
      </w:pPr>
      <w:r/>
      <w:r>
        <w:rPr>
          <w:b/>
        </w:rPr>
        <w:t>UMULINE PROFIL 30 flacon</w:t>
      </w:r>
      <w:r>
        <w:t xml:space="preserve"> (LILLY DEUTSCHLAND GMBH)</w:t>
      </w:r>
    </w:p>
    <w:p>
      <w:pPr>
        <w:pStyle w:val="ListBullet"/>
      </w:pPr>
      <w:r>
        <w:t>Formes et Dosages : Suspension injectable SC en flacon, 100 UI/mL (30/70) ; boîte de 1 flacon de 10 mL</w:t>
      </w:r>
    </w:p>
    <w:p>
      <w:pPr>
        <w:pStyle w:val="ListBullet"/>
      </w:pPr>
      <w:r>
        <w:t xml:space="preserve">Statut : </w:t>
      </w:r>
      <w:r>
        <w:rPr>
          <w:b/>
        </w:rPr>
        <w:t>Non Renouvelable</w:t>
      </w:r>
      <w:r/>
    </w:p>
    <w:p>
      <w:pPr>
        <w:pStyle w:val="ListBullet"/>
      </w:pPr>
      <w:r/>
      <w:r>
        <w:rPr>
          <w:b/>
        </w:rPr>
        <w:t>UMULINE PROFIL 30 cartouche</w:t>
      </w:r>
      <w:r>
        <w:t xml:space="preserve"> (ELI LILLY)</w:t>
      </w:r>
    </w:p>
    <w:p>
      <w:pPr>
        <w:pStyle w:val="ListBullet"/>
      </w:pPr>
      <w:r>
        <w:t>Formes et Dosages : Suspension injectable SC en cartouche, 100 UI/mL (30/70) ; boîte de 5 cartouches de 3 mL</w:t>
      </w:r>
    </w:p>
    <w:p>
      <w:pPr>
        <w:pStyle w:val="ListBullet"/>
      </w:pPr>
      <w:r>
        <w:t xml:space="preserve">Statut : </w:t>
      </w:r>
      <w:r>
        <w:rPr>
          <w:b/>
        </w:rPr>
        <w:t>Non Renouvelable</w:t>
      </w:r>
      <w:r/>
    </w:p>
    <w:p>
      <w:pPr>
        <w:pStyle w:val="ListBullet"/>
      </w:pPr>
      <w:r/>
      <w:r>
        <w:rPr>
          <w:b/>
        </w:rPr>
        <w:t>INSUMAN COMB 25 flacon</w:t>
      </w:r>
      <w:r>
        <w:t xml:space="preserve"> (SANOFI AVENTIS DEUTSCHLAND GMBH)</w:t>
      </w:r>
    </w:p>
    <w:p>
      <w:pPr>
        <w:pStyle w:val="ListBullet"/>
      </w:pPr>
      <w:r>
        <w:t>Formes et Dosages : Suspension injectable SC en flacon, 100 UI/mL (3,5 mg/mL, 25/75) ; boîte de 1 flacon de 5 mL</w:t>
      </w:r>
    </w:p>
    <w:p>
      <w:pPr>
        <w:pStyle w:val="ListBullet"/>
      </w:pPr>
      <w:r>
        <w:t xml:space="preserve">Statut : </w:t>
      </w:r>
      <w:r>
        <w:rPr>
          <w:b/>
        </w:rPr>
        <w:t>Non Renouvelable</w:t>
      </w:r>
      <w:r/>
    </w:p>
    <w:p>
      <w:pPr>
        <w:pStyle w:val="ListBullet"/>
      </w:pPr>
      <w:r/>
      <w:r>
        <w:rPr>
          <w:b/>
        </w:rPr>
        <w:t>INSUDAL COMB 25</w:t>
      </w:r>
      <w:r>
        <w:t xml:space="preserve"> (GROUPE SAIDAL)</w:t>
      </w:r>
    </w:p>
    <w:p>
      <w:pPr>
        <w:pStyle w:val="ListBullet"/>
      </w:pPr>
      <w:r>
        <w:t>Formes et Dosages : Suspension injectable SC en flacon, 100 UI/mL (25/75) ; boîtes de 1 flacon de 5 mL et 1 flacon de 10 mL</w:t>
      </w:r>
    </w:p>
    <w:p>
      <w:pPr>
        <w:pStyle w:val="ListBullet"/>
      </w:pPr>
      <w:r>
        <w:t xml:space="preserve">Statut : </w:t>
      </w:r>
      <w:r>
        <w:rPr>
          <w:b/>
        </w:rPr>
        <w:t>Non Renouvelable</w:t>
      </w:r>
      <w:r/>
    </w:p>
    <w:p>
      <w:pPr>
        <w:pStyle w:val="ListBullet"/>
      </w:pPr>
      <w:r/>
      <w:r>
        <w:rPr>
          <w:b/>
        </w:rPr>
        <w:t>INSUMAN COMB 25 cartouche</w:t>
      </w:r>
      <w:r>
        <w:t xml:space="preserve"> (AVENTIS PHARMA) — *cartouche OptiPen*</w:t>
      </w:r>
    </w:p>
    <w:p>
      <w:pPr>
        <w:pStyle w:val="ListBullet"/>
      </w:pPr>
      <w:r>
        <w:t>Formes et Dosages : Suspension injectable SC en cartouche, 100 UI/mL (25/75) ; boîte de 5 cartouches de 3 mL (pour OptiPen)</w:t>
      </w:r>
    </w:p>
    <w:p>
      <w:pPr>
        <w:pStyle w:val="ListBullet"/>
      </w:pPr>
      <w:r>
        <w:t xml:space="preserve">Statut : </w:t>
      </w:r>
      <w:r>
        <w:rPr>
          <w:b/>
        </w:rPr>
        <w:t>Non Renouvelable</w:t>
      </w:r>
      <w:r/>
    </w:p>
    <w:p>
      <w:pPr>
        <w:pStyle w:val="ListBullet"/>
      </w:pPr>
      <w:r/>
      <w:r>
        <w:rPr>
          <w:b/>
        </w:rPr>
        <w:t>BIOSULIN 30/70</w:t>
      </w:r>
      <w:r>
        <w:t xml:space="preserve"> (MJ BIOPHARM PVT LTD) (R)</w:t>
      </w:r>
    </w:p>
    <w:p>
      <w:pPr>
        <w:pStyle w:val="ListBullet"/>
      </w:pPr>
      <w:r>
        <w:t>Formes et Dosages : Suspension injectable SC en flacon, 100 UI/mL (30/70) ; flacon de 10 mL</w:t>
      </w:r>
    </w:p>
    <w:p>
      <w:pPr>
        <w:pStyle w:val="ListBullet"/>
      </w:pPr>
      <w:r>
        <w:t xml:space="preserve">Statut : </w:t>
      </w:r>
      <w:r>
        <w:rPr>
          <w:b/>
        </w:rPr>
        <w:t>Retiré (R)</w:t>
      </w:r>
      <w:r/>
    </w:p>
    <w:p>
      <w:pPr>
        <w:pStyle w:val="ListBullet"/>
      </w:pPr>
      <w:r/>
      <w:r>
        <w:rPr>
          <w:b/>
        </w:rPr>
        <w:t>INSULET MIX 30</w:t>
      </w:r>
      <w:r>
        <w:t xml:space="preserve"> (SOTHEMA) (R)</w:t>
      </w:r>
    </w:p>
    <w:p>
      <w:pPr>
        <w:pStyle w:val="ListBullet"/>
      </w:pPr>
      <w:r>
        <w:t>Formes et Dosages : Suspension injectable SC/IM en flacon, 100 UI/mL (30/70) ; boîte de 1 flacon de 10 mL</w:t>
      </w:r>
    </w:p>
    <w:p>
      <w:pPr>
        <w:pStyle w:val="ListBullet"/>
      </w:pPr>
      <w:r>
        <w:t xml:space="preserve">Statut : </w:t>
      </w:r>
      <w:r>
        <w:rPr>
          <w:b/>
        </w:rPr>
        <w:t>Retiré (R)</w:t>
      </w:r>
      <w:r/>
    </w:p>
    <w:p>
      <w:pPr>
        <w:pStyle w:val="ListBullet"/>
      </w:pPr>
      <w:r/>
      <w:r>
        <w:rPr>
          <w:b/>
        </w:rPr>
        <w:t>GENSULIN M30</w:t>
      </w:r>
      <w:r>
        <w:t xml:space="preserve"> (BIOTON Co.Ltd) (R)</w:t>
      </w:r>
    </w:p>
    <w:p>
      <w:pPr>
        <w:pStyle w:val="ListBullet"/>
      </w:pPr>
      <w:r>
        <w:t>Formes et Dosages : Suspension injectable SC en flacon, 100 UI/mL (30/70) ; flacon de 10 mL</w:t>
      </w:r>
    </w:p>
    <w:p>
      <w:pPr>
        <w:pStyle w:val="ListBullet"/>
      </w:pPr>
      <w:r>
        <w:t xml:space="preserve">Statut : </w:t>
      </w:r>
      <w:r>
        <w:rPr>
          <w:b/>
        </w:rPr>
        <w:t>Retiré (R)</w:t>
      </w:r>
      <w:r/>
    </w:p>
    <w:p>
      <w:pPr>
        <w:pStyle w:val="ListBullet"/>
      </w:pPr>
      <w:r/>
      <w:r>
        <w:rPr>
          <w:b/>
        </w:rPr>
        <w:t>WOSULIN 30/70</w:t>
      </w:r>
      <w:r>
        <w:t xml:space="preserve"> (WOCKHARDT LIMITED) (R)</w:t>
      </w:r>
    </w:p>
    <w:p>
      <w:pPr>
        <w:pStyle w:val="ListBullet"/>
      </w:pPr>
      <w:r>
        <w:t>Formes et Dosages : Suspension injectable SC en flacon, 100 UI/mL (30/70) ; flacon de 10 mL</w:t>
      </w:r>
    </w:p>
    <w:p>
      <w:pPr>
        <w:pStyle w:val="ListBullet"/>
      </w:pPr>
      <w:r>
        <w:t xml:space="preserve">Statut : </w:t>
      </w:r>
      <w:r>
        <w:rPr>
          <w:b/>
        </w:rPr>
        <w:t>Retiré (R)</w:t>
      </w:r>
      <w:r/>
    </w:p>
    <w:p>
      <w:pPr>
        <w:pStyle w:val="ListBullet"/>
      </w:pPr>
      <w:r/>
      <w:r>
        <w:rPr>
          <w:b/>
        </w:rPr>
        <w:t>INSUMAN COMB 25 flacon</w:t>
      </w:r>
      <w:r>
        <w:t xml:space="preserve"> (SANOFI AVENTIS DEUTSCHLAND GMBH) (R)</w:t>
      </w:r>
    </w:p>
    <w:p>
      <w:pPr>
        <w:pStyle w:val="ListBullet"/>
      </w:pPr>
      <w:r>
        <w:t>Formes et Dosages : Suspension injectable SC en flacon, 100 UI/mL (3,5 mg/mL, 25/75) ; boîte de 1 flacon de 5 mL</w:t>
      </w:r>
    </w:p>
    <w:p>
      <w:pPr>
        <w:pStyle w:val="ListBullet"/>
      </w:pPr>
      <w:r>
        <w:t xml:space="preserve">Statut : </w:t>
      </w:r>
      <w:r>
        <w:rPr>
          <w:b/>
        </w:rPr>
        <w:t>Retiré (R)</w:t>
      </w:r>
      <w:r/>
    </w:p>
    <w:p>
      <w:pPr>
        <w:pStyle w:val="ListBullet"/>
      </w:pPr>
      <w:r/>
      <w:r>
        <w:rPr>
          <w:b/>
        </w:rPr>
        <w:t>INSUMAN COMB 25 cartouche</w:t>
      </w:r>
      <w:r>
        <w:t xml:space="preserve"> (AVENTIS PHARMA) (R)</w:t>
      </w:r>
    </w:p>
    <w:p>
      <w:pPr>
        <w:pStyle w:val="ListBullet"/>
      </w:pPr>
      <w:r>
        <w:t>Formes et Dosages : Suspension injectable SC en cartouche, 100 UI/mL (25/75) ; boîte de 5 cartouches de 3 mL (pour OptiPen)</w:t>
      </w:r>
    </w:p>
    <w:p>
      <w:pPr>
        <w:pStyle w:val="ListBullet"/>
      </w:pPr>
      <w:r>
        <w:t xml:space="preserve">Statut : </w:t>
      </w:r>
      <w:r>
        <w:rPr>
          <w:b/>
        </w:rPr>
        <w:t>Retiré (R)</w:t>
      </w:r>
      <w:r/>
    </w:p>
    <w:p>
      <w:r/>
      <w:r>
        <w:rPr>
          <w:b/>
        </w:rPr>
        <w:t>Note alerte Algérie</w:t>
      </w:r>
      <w:r>
        <w:t xml:space="preserve"> : La totalité des marques d'insuline humaine biphasique sont actuellement Non Renouvelables ou Retirées en Algérie — alerte de disponibilité majeure. Privilégier les biphasiques d'analogues (NovoMix 30, Humalog Mix 25 ou 50) en substitution, avec adaptation du délai d'administration (humaine biphasique : 30 min avant repas ; biphasique analogue : 0–15 min avant repas — risque d'hypoglycémie post-prandiale si injecté trop tôt). Surveillance accrue 2 semaines.</w:t>
      </w:r>
    </w:p>
    <w:p>
      <w:r/>
      <w:r>
        <w:rPr>
          <w:b/>
        </w:rPr>
        <w:t>Sous-classe et Mécanisme d'action :</w:t>
      </w:r>
      <w:r/>
    </w:p>
    <w:p>
      <w:pPr>
        <w:pStyle w:val="ListBullet"/>
      </w:pPr>
      <w:r>
        <w:t>Sous-classe : Insuline pré-mélangée biphasique contenant une insuline humaine soluble (30, 25 ou 50 %) et une insuline humaine NPH (70, 75 ou 50 %), en 2 injections/jour, schéma simplifié alternatif au basal-bolus. Disponible en trois ratios (30/70, 25/75, 50/50) pour adaptation au profil alimentaire.</w:t>
      </w:r>
    </w:p>
    <w:p>
      <w:pPr>
        <w:pStyle w:val="ListBullet"/>
      </w:pPr>
      <w:r>
        <w:t>Mécanisme d'action : La composante soluble se fixe au récepteur de l'insuline α2β2 avec activation des voies PI3K/Akt (translocation GLUT4, glycogénogenèse, inhibition néoglucogenèse, lipogénèse, inhibition lipolyse) et MAPK (protéosynthèse) — effet prandial identique à l'humaine régulière. La composante NPH cristallisée (insuline humaine complexée à la protamine en présence de zinc et de phénol/crésol) forme un réseau cristallin libérant lentement l'insuline humaine au site d'injection, mimant l'effet basal intermédiaire. Les deux composants ont le même mécanisme d'action au niveau du récepteur et post-récepteur ; ils diffèrent uniquement par leur pharmacocinétique d'absorption SC. Le ratio 30/70 (1/3 soluble, 2/3 NPH) est le plus courant — couvre le repas principal et le fond basal. Le ratio 25/75 (1/4 soluble, 3/4 NPH) privilégie la couverture basale — utile pour les patients avec forts besoins basaux. Le ratio 50/50 (1/2 soluble, 1/2 NPH) privilégie la couverture prandiale — utile pour les patients avec forte insulinorésistance post-prandiale ou régimes riches en glucides.</w:t>
      </w:r>
    </w:p>
    <w:p>
      <w:r/>
      <w:r>
        <w:rPr>
          <w:b/>
        </w:rPr>
        <w:t>Profil Pharmacologique :</w:t>
      </w:r>
      <w:r/>
    </w:p>
    <w:p>
      <w:pPr>
        <w:pStyle w:val="ListBullet"/>
      </w:pPr>
      <w:r>
        <w:t>Indications : DT2 principalement — alternative au basal-bolus en cas d'observance difficile, en institution, chez le sujet âgé, en transition depuis insuline humaine régulière seule. Schéma en 2 injections/jour (matin et soir, 30 min avant les 2 repas principaux). DT1 — utilisable dans certains contextes spécifiques (âgés, institutionnalisés) mais ne remplace pas le schéma basal-bolus conventionnel.</w:t>
      </w:r>
    </w:p>
    <w:p>
      <w:pPr>
        <w:pStyle w:val="ListBullet"/>
      </w:pPr>
      <w:r>
        <w:t>Contre-indications : Hypoglycémie, hypersensibilité à l'insuline humaine ou à un excipient (protamine, m-crésol, zinc, phénol), ne pas administrer par voie IV, ne pas utiliser en pompe à insuline.</w:t>
      </w:r>
    </w:p>
    <w:p>
      <w:pPr>
        <w:pStyle w:val="ListBullet"/>
      </w:pPr>
      <w:r>
        <w:t>Effets Indésirables : Hypoglycémie (notamment nocturne due au pic NPH — fréquence &gt; 10 %), lipodystrophie au site d'injection, prise de poids, œdèmes transitoires, réactions locales, allergie à la protamine (rare mais possible — allergie croisée avec protamine sulfate en chirurgie cardiaque), hypokaliémie.</w:t>
      </w:r>
    </w:p>
    <w:p>
      <w:r/>
      <w:r>
        <w:rPr>
          <w:b/>
        </w:rPr>
        <w:t>Prévention et Gestion des Effets Indésirables :</w:t>
      </w:r>
      <w:r/>
    </w:p>
    <w:p>
      <w:pPr>
        <w:pStyle w:val="ListBullet"/>
      </w:pPr>
      <w:r>
        <w:t>Mesures Préventives : Rotation stricte des sites d'injection SC, autosurveillance glycémique (à jeun, post-prandial, coucher, nuit 3 h si suspicion hypoglycémie nocturne), éducation thérapeutique (resuspension systématique avant injection, gestion du ratio fixe, gestion des repas imprévus), aiguille neuve à chaque injection, vérification visuelle (suspension blanche laiteuse après resuspension).</w:t>
      </w:r>
    </w:p>
    <w:p>
      <w:pPr>
        <w:pStyle w:val="ListBullet"/>
      </w:pPr>
      <w:r>
        <w:t xml:space="preserve">Conduite à Tenir : </w:t>
      </w:r>
      <w:r>
        <w:rPr>
          <w:b/>
        </w:rPr>
        <w:t>Hypoglycémie modérée</w:t>
      </w:r>
      <w:r>
        <w:t xml:space="preserve"> : 15 g glucides rapides + contrôle à 15 min. </w:t>
      </w:r>
      <w:r>
        <w:rPr>
          <w:b/>
        </w:rPr>
        <w:t>Hypoglycémie sévère</w:t>
      </w:r>
      <w:r>
        <w:t xml:space="preserve"> : glucagon IM/SC 1 mg, ou glucose 30 % IV. </w:t>
      </w:r>
      <w:r>
        <w:rPr>
          <w:b/>
        </w:rPr>
        <w:t>Lipodystrophie</w:t>
      </w:r>
      <w:r>
        <w:t xml:space="preserve"> : arrêt injections au site atteint. </w:t>
      </w:r>
      <w:r>
        <w:rPr>
          <w:b/>
        </w:rPr>
        <w:t>Hypoglycémie nocturne</w:t>
      </w:r>
      <w:r>
        <w:t xml:space="preserve"> : dosage à 3 h du matin ; si &lt; 0,70 g/L, réduire la dose du soir de 2–4 UI, ou décaler l'injection du soir plus tôt (17–18 h au lieu de 20–22 h), ou envisager passage à un basal sans pic (glargine, dégludec) + bolus prandial.</w:t>
      </w:r>
    </w:p>
    <w:p>
      <w:r/>
      <w:r>
        <w:rPr>
          <w:b/>
        </w:rPr>
        <w:t>Interactions Importantes :</w:t>
      </w:r>
      <w:r/>
    </w:p>
    <w:p>
      <w:pPr>
        <w:pStyle w:val="ListBullet"/>
      </w:pPr>
      <w:r/>
      <w:r>
        <w:rPr>
          <w:b/>
        </w:rPr>
        <w:t>Humaine biphasique + β-bloquants</w:t>
      </w:r>
      <w:r>
        <w:t xml:space="preserve"> : masquage signes hypoglycémie.</w:t>
      </w:r>
    </w:p>
    <w:p>
      <w:pPr>
        <w:pStyle w:val="ListBullet"/>
      </w:pPr>
      <w:r/>
      <w:r>
        <w:rPr>
          <w:b/>
        </w:rPr>
        <w:t>Humaine biphasique + AINS, sulfamides, alcool, IEC, ARAs2</w:t>
      </w:r>
      <w:r>
        <w:t xml:space="preserve"> : potentialisation hypoglycémique.</w:t>
      </w:r>
    </w:p>
    <w:p>
      <w:pPr>
        <w:pStyle w:val="ListBullet"/>
      </w:pPr>
      <w:r/>
      <w:r>
        <w:rPr>
          <w:b/>
        </w:rPr>
        <w:t>Humaine biphasique + corticoïdes, danazol, diurétiques thiazidiques, isoniazide, hormones thyroïdiennes, œstrogènes, progestatifs, glucagon, sympathomimétiques</w:t>
      </w:r>
      <w:r>
        <w:t xml:space="preserve"> : hyperglycémie.</w:t>
      </w:r>
    </w:p>
    <w:p>
      <w:pPr>
        <w:pStyle w:val="ListBullet"/>
      </w:pPr>
      <w:r/>
      <w:r>
        <w:rPr>
          <w:b/>
        </w:rPr>
        <w:t>Humaine biphasique + pentamidine</w:t>
      </w:r>
      <w:r>
        <w:t xml:space="preserve"> : hypoglycémie puis hyperglycémie.</w:t>
      </w:r>
    </w:p>
    <w:p>
      <w:pPr>
        <w:pStyle w:val="ListBullet"/>
      </w:pPr>
      <w:r/>
      <w:r>
        <w:rPr>
          <w:b/>
        </w:rPr>
        <w:t>Humaine biphasique + IMAO, fluoxétine, fibrates</w:t>
      </w:r>
      <w:r>
        <w:t xml:space="preserve"> : potentialisation hypoglycémique.</w:t>
      </w:r>
    </w:p>
    <w:p>
      <w:pPr>
        <w:pStyle w:val="ListBullet"/>
      </w:pPr>
      <w:r/>
      <w:r>
        <w:rPr>
          <w:b/>
        </w:rPr>
        <w:t>Humaine biphasique + protamine (chirurgie cardiaque)</w:t>
      </w:r>
      <w:r>
        <w:t xml:space="preserve"> : allergie croisée possible, interaction pharmacodynamique.</w:t>
      </w:r>
    </w:p>
    <w:p>
      <w:pPr>
        <w:pStyle w:val="ListBullet"/>
      </w:pPr>
      <w:r/>
      <w:r>
        <w:rPr>
          <w:b/>
        </w:rPr>
        <w:t>Humaine biphasique + somatostatine analogues</w:t>
      </w:r>
      <w:r>
        <w:t xml:space="preserve"> : adaptation.</w:t>
      </w:r>
    </w:p>
    <w:p>
      <w:r/>
      <w:r>
        <w:rPr>
          <w:b/>
        </w:rPr>
        <w:t>Grossesse et Allaitement :</w:t>
      </w:r>
      <w:r/>
    </w:p>
    <w:p>
      <w:pPr>
        <w:pStyle w:val="ListBullet"/>
      </w:pPr>
      <w:r>
        <w:t>Grossesse : Selon le CRAT, l'insuline humaine biphasique peut être prescrite pendant la grossesse si nécessaire, mais elle n'est pas le schéma de référence — préférence pour un schéma basal-bolus conventionnel (NPH/glargine/detémir/dégludec + humaine régulière/analogues prandial × 3/j). Le ratio fixe ne s'adapte pas aux variations importantes des besoins insuliniques pendant grossesse. L'insuline ne traverse pas le placenta.</w:t>
      </w:r>
    </w:p>
    <w:p>
      <w:pPr>
        <w:pStyle w:val="ListBullet"/>
      </w:pPr>
      <w:r>
        <w:t>Allaitement : Compatible (CRAT). Insuline dégradée par les protéases digestives du nourrisson. Adapter la posologie.</w:t>
      </w:r>
    </w:p>
    <w:p>
      <w:pPr>
        <w:pStyle w:val="ListBullet"/>
      </w:pPr>
      <w:r>
        <w:t>Précisions : Si grossesse envisagée chez une patiente sous insuline humaine biphasique, envisager le passage à un schéma basal-bolus conventionnel avant la conception.</w:t>
      </w:r>
    </w:p>
    <w:p>
      <w:r/>
      <w:r>
        <w:rPr>
          <w:b/>
        </w:rPr>
        <w:t>Posologie et Mode d'administration (Standard) :</w:t>
      </w:r>
      <w:r/>
    </w:p>
    <w:p>
      <w:pPr>
        <w:pStyle w:val="ListBullet"/>
      </w:pPr>
      <w:r>
        <w:t>Adulte : DT2 — Initiation : 10 UI/jour en 1 injection (matin) ou 2 injections (matin et soir), titration selon glycémies. Schéma habituel 2 injections/jour (matin 2/3 de la dose totale, soir 1/3), 30 min avant les 2 repas principaux. Dose totale 0,5–1 UI/kg/j. Choix du ratio : 30/70 = le plus courant (1/3 soluble, 2/3 NPH) ; 25/75 = besoins basaux supérieurs ; 50/50 = besoins prandiaux supérieurs (hyperglycémie post-prandiale marquée ou régime riche en glucides).</w:t>
      </w:r>
    </w:p>
    <w:p>
      <w:pPr>
        <w:pStyle w:val="ListBullet"/>
      </w:pPr>
      <w:r>
        <w:t>Enfant : À partir de 10 ans (données limitées), posologie 0,5–1 UI/kg/j.</w:t>
      </w:r>
    </w:p>
    <w:p>
      <w:pPr>
        <w:pStyle w:val="ListBullet"/>
      </w:pPr>
      <w:r>
        <w:t>Durée : À vie.</w:t>
      </w:r>
    </w:p>
    <w:p>
      <w:pPr>
        <w:pStyle w:val="ListBullet"/>
      </w:pPr>
      <w:r>
        <w:t xml:space="preserve">Moment de prise : 2 injections/jour (matin et soir), </w:t>
      </w:r>
      <w:r>
        <w:rPr>
          <w:b/>
        </w:rPr>
        <w:t>30 min avant</w:t>
      </w:r>
      <w:r>
        <w:t xml:space="preserve"> les 2 repas principaux (délai plus long que les biphasiques d'analogues qui s'injectent 0–15 min avant le repas). Resuspension obligatoire avant chaque injection (rouler le flacon ou le stylo entre les paumes 20 fois).</w:t>
      </w:r>
    </w:p>
    <w:p>
      <w:r/>
      <w:r>
        <w:rPr>
          <w:b/>
        </w:rPr>
        <w:t>Arbitrage et Bénéfices des Formes Galéniques :</w:t>
      </w:r>
      <w:r/>
    </w:p>
    <w:p>
      <w:r>
        <w:t>Le flacon 10 mL avec seringue U100 est la forme historique la plus disponible en Algérie — moindre coût, usage hospitalier, alternative économique pour les patients à faible couverture sociale. Les cartouches 3 mL (Penfill, Umuline cartouche, Insuman cartouche) pour stylo réutilisable sont une alternative ergonomique. Les stylos préremplis sont peu disponibles en Algérie pour l'insuline humaine biphasique. Comparée aux biphasiques d'analogues (NovoMix 30, Humalog Mix 25 ou 50), l'humaine biphasique présente l'avantage d'un coût moindre, mais l'inconvénient d'un délai d'action plus long (30 min vs 0–15 min avant repas), d'un pic prandial moins marqué (hyperglycémie post-prandiale plus fréquente), et d'une durée plus longue avec risque accru d'hypoglycémie post-prandiale tardive. La disponibilité en trois ratios (30/70, 25/75, 50/50) est un avantage pour l'adaptation au profil alimentaire. En Algérie, la pénurie actuelle des marques d'humaine biphasique rend la substitution par les biphasiques d'analogues (NovoMix 30, Humalog Mix 25 ou 50) fréquente.</w:t>
      </w:r>
    </w:p>
    <w:p>
      <w:r/>
      <w:r>
        <w:rPr>
          <w:b/>
        </w:rPr>
        <w:t>Instructions et Conseils au Patient :</w:t>
      </w:r>
      <w:r/>
    </w:p>
    <w:p>
      <w:pPr>
        <w:pStyle w:val="ListBullet"/>
      </w:pPr>
      <w:r>
        <w:t xml:space="preserve">Communication au comptoir : « L'insuline humaine biphasique (Mixtard 30, Umuline Profil 30, Insuman Comb 25, Insudal Comb 25, Jusline 30/70) est une insuline pré-mélangée : 30 % (ou 25 %) d'insuline rapide (humaine régulière) qui couvre votre repas principal, et 70 % (ou 75 %) d'insuline intermédiaire (NPH) qui couvre le fond de votre glycémie entre les repas et la nuit. Vous l'injectez 2 fois par jour, le matin et le soir, </w:t>
      </w:r>
      <w:r>
        <w:rPr>
          <w:b/>
        </w:rPr>
        <w:t>30 minutes avant</w:t>
      </w:r>
      <w:r>
        <w:t xml:space="preserve"> vos 2 repas principaux (plus tôt que les insulines analogues pré-mélangées qui s'injectent 0–15 min avant le repas). Suspension blanche, laiteuse — </w:t>
      </w:r>
      <w:r>
        <w:rPr>
          <w:b/>
        </w:rPr>
        <w:t>il faut absolument resuspendre avant chaque injection</w:t>
      </w:r>
      <w:r>
        <w:t xml:space="preserve"> : roulez le flacon ou le stylo entre vos paumes 20 fois jusqu'à ce que la suspension soit uniformément blanche, sans dépôt au fond (ne pas secouer vigoureusement). Conservez les flacons/cartouches non entamés au réfrigérateur (+2 à +8°C, ne jamais congeler) ; les flacons/cartouches en cours d'utilisation à température ambiante &lt; 25°C pendant 4 semaines maximum. Vérifiez la suspension avant chaque injection. Jetez l'aiguille après chaque injection. »</w:t>
      </w:r>
    </w:p>
    <w:p>
      <w:pPr>
        <w:pStyle w:val="ListBullet"/>
      </w:pPr>
      <w:r>
        <w:t xml:space="preserve">Mode d'utilisation pratique : Lavez les mains, </w:t>
      </w:r>
      <w:r>
        <w:rPr>
          <w:b/>
        </w:rPr>
        <w:t>resuspendez la suspension</w:t>
      </w:r>
      <w:r>
        <w:t xml:space="preserve"> (rouler 20 fois entre les paumes), vérifiez la dose, préparez la seringue (aspiration depuis le flacon) ou aiguiller le stylo, pincez le pli cutané, insérez l'aiguille à 90°, injectez, retirez, jetez l'aiguille. Rotation des sites. En cas d'oubli : si &lt; 30 min après le repas, injecter immédiatement ; si &gt; 30 min, surveiller glycémie et adapter. Ne pas doubler la dose. </w:t>
      </w:r>
      <w:r>
        <w:rPr>
          <w:b/>
        </w:rPr>
        <w:t>Autosurveillance</w:t>
      </w:r>
      <w:r>
        <w:t xml:space="preserve"> : glycémie capillaire avant les 2 repas principaux (objectif 0,80–1,30 g/L), au coucher (1,00–1,40 g/L), à 3 h du matin si suspicion d'hypoglycémie nocturne.</w:t>
      </w:r>
    </w:p>
    <w:p>
      <w:r/>
      <w:r>
        <w:rPr>
          <w:b/>
        </w:rPr>
        <w:t>Notes, Règles d'Or &amp; Pièges au Comptoir :</w:t>
      </w:r>
      <w:r/>
    </w:p>
    <w:p>
      <w:pPr>
        <w:pStyle w:val="ListBullet"/>
      </w:pPr>
      <w:r>
        <w:t xml:space="preserve">Piège classique : Oubli de </w:t>
      </w:r>
      <w:r>
        <w:rPr>
          <w:b/>
        </w:rPr>
        <w:t>resuspension</w:t>
      </w:r>
      <w:r>
        <w:t xml:space="preserve"> avant injection — la NPH se dépose au fond du flacon/stylo. Éducation systématique à la resuspension (rouler 20 fois entre les paumes, ne pas secouer). Confusion avec l'humaine régulière (solution claire transparente — ne jamais substituer biphasique par régulière sans avis médical, profils différents). Confusion entre les ratios (30/70 vs 25/75 vs 50/50) — vérifier systématiquement le ratio sur l'étiquette, erreur possible avec conséquences cliniques (surdosage basal ou prandial). </w:t>
      </w:r>
      <w:r>
        <w:rPr>
          <w:b/>
        </w:rPr>
        <w:t>Hypoglycémie nocturne</w:t>
      </w:r>
      <w:r>
        <w:t xml:space="preserve"> : pic de la NPH du soir survient vers 1–3 h du matin, à risque d'hypoglycémie sévère. Éducation à la surveillance glycémique à 3 h du matin, à la collation du coucher, et à la réduction de la dose du soir si hypoglycémie nocturne récidivante.</w:t>
      </w:r>
    </w:p>
    <w:p>
      <w:pPr>
        <w:pStyle w:val="ListBullet"/>
      </w:pPr>
      <w:r>
        <w:t xml:space="preserve">Règle de prise : Humaine biphasique = 2 injections/jour, matin et soir, </w:t>
      </w:r>
      <w:r>
        <w:rPr>
          <w:b/>
        </w:rPr>
        <w:t>30 min avant</w:t>
      </w:r>
      <w:r>
        <w:t xml:space="preserve"> les repas (délai plus long que les analogues). Resuspension obligatoire. Ne pas injecter par voie IV.</w:t>
      </w:r>
    </w:p>
    <w:p>
      <w:pPr>
        <w:pStyle w:val="ListBullet"/>
      </w:pPr>
      <w:r>
        <w:t>Préparation et Conservation : Non entamé : +2°C à +8°C, jamais congelé, à l'abri de la lumière. Entamé : T° ambiante &lt; 25°C, 4 semaines max. Ne pas exposer à &gt; 30°C. Voyage : trousse isotherme.</w:t>
      </w:r>
    </w:p>
    <w:p>
      <w:pPr>
        <w:pStyle w:val="ListBullet"/>
      </w:pPr>
      <w:r>
        <w:t xml:space="preserve">Piège du surdosage / Substitution : En cas de substitution humaine biphasique → biphasique analogue (NovoMix 30 ou Humalog Mix 25), adapter le délai d'administration (humaine biphasique : 30 min avant repas ; biphasique analogue : 0–15 min avant repas — risque d'hypoglycémie post-prandiale si injecté trop tôt). En cas de substitution humaine biphasique → basal-bolus conventionnel (glargine/dégludec + asparte/lispro prandial × 3/j), calculer la dose totale journalière et répartir : 50 % en basal (1 injection/jour), 50 % en 3 bolus prandiaux. En cas de substitution Mixtard 30 → Humalog Mix 25 (lispro biphasique 25/75), adapter le délai d'administration (30 min → 0–15 min avant repas) et surveiller 2 semaines (ratio différent 30/70 vs 25/75). Attention à l'interaction insuline + alcool. Ne pas mélanger avec une autre insuline dans la même seringue. </w:t>
      </w:r>
      <w:r>
        <w:rPr>
          <w:b/>
        </w:rPr>
        <w:t>Alerte Algérie</w:t>
      </w:r>
      <w:r>
        <w:t xml:space="preserve"> : la totalité des marques d'humaine biphasique sont non renouvelables ou retirées — en cas de pénurie, substituer par NovoMix 30 ou Humalog Mix 25 (avec adaptation du délai d'administration).</w:t>
      </w:r>
    </w:p>
    <w:p>
      <w:pPr>
        <w:pStyle w:val="Heading3"/>
      </w:pPr>
      <w:r>
        <w:t>12. DCI : Insuline dégludec + Liraglutide (Association fixe)</w:t>
      </w:r>
    </w:p>
    <w:p>
      <w:r/>
      <w:r>
        <w:rPr>
          <w:b/>
        </w:rPr>
        <w:t>Liste des Catégories :</w:t>
      </w:r>
      <w:r>
        <w:t xml:space="preserve"> Insulines — Associations fixes insuline + GLP-1</w:t>
      </w:r>
    </w:p>
    <w:p>
      <w:r>
        <w:t xml:space="preserve">L'association fixe </w:t>
      </w:r>
      <w:r>
        <w:rPr>
          <w:b/>
        </w:rPr>
        <w:t>insuline dégludec (100 UI/mL) + liraglutide (3,6 mg/mL)</w:t>
      </w:r>
      <w:r>
        <w:t xml:space="preserve"> commercialisée sous le nom </w:t>
      </w:r>
      <w:r>
        <w:rPr>
          <w:b/>
        </w:rPr>
        <w:t>Xultophy</w:t>
      </w:r>
      <w:r>
        <w:t xml:space="preserve"> (Novo Nordisk) est une combinaison innovante qui réunit un analogue basal ultra-long (dégludec — voir fiche #5) et un agoniste des récepteurs du GLP-1 (liraglutide — analogue du GLP-1 humain à 97 % d'homologie, administré seul sous le nom Victoza/Saxenda). Les deux composants conservent leur pharmacocinétique respective sans interaction significative. La dégludec offre une couverture basale &gt; 42 h sans pic, le liraglutide offre un effet prandial (stimulation glucose-dépendante de l'insuline, inhibition du glucagon, ralentissement de la vidange gastrique, satiété) avec une demi-vie de ~13 h permettant une administration SC unique quotidienne. La synergie vise : (i) amélioration de l'équilibre glycémique par les deux mécanismes complémentaires (basal stable + effet incrétine prandial) ; (ii) moindre prise de poids (le liraglutide induit une perte de poids moyenne de 2–4 kg qui compense la prise de poids de l'insuline) ; (iii) moindre hypoglycémie (la composante GLP-1 permet de réduire la dose d'insuline nécessaire, et le GLP-1 stimule l'insuline de façon glucose-dépendante — arrêt automatique en cas d'hypoglycémie) ; (iv) simplification du schéma (1 injection/jour au lieu de 2 stylos séparés). Compatible avec le DT2 principalement (non indiqué chez le DT1). Contre-indiqué en cas d'antécédent personnel ou familial de cancer médullaire thyroïdien (MTC) ou de NEM 2B (risque de tumeurs thyroïdiennes C-cellulaires observé chez le rongeur — signal de pharmacovigilance), en cas de pancréatite antérieure, et pendant la grossesse (liraglutide CI selon CRAT — données limitées chez la femme enceinte).</w:t>
      </w:r>
    </w:p>
    <w:p>
      <w:r/>
      <w:r>
        <w:rPr>
          <w:b/>
        </w:rPr>
        <w:t>Médicaments disponibles en Algérie (Marques, Laboratoires, Formes et Dosages) :</w:t>
      </w:r>
      <w:r/>
    </w:p>
    <w:p>
      <w:pPr>
        <w:pStyle w:val="ListBullet"/>
      </w:pPr>
      <w:r/>
      <w:r>
        <w:rPr>
          <w:b/>
        </w:rPr>
        <w:t>XULTOPHY</w:t>
      </w:r>
      <w:r>
        <w:t xml:space="preserve"> (NOVO NORDISK)</w:t>
      </w:r>
    </w:p>
    <w:p>
      <w:pPr>
        <w:pStyle w:val="ListBullet"/>
      </w:pPr>
      <w:r>
        <w:t>Formes et Dosages : Solution injectable SC en stylo prérempli FlexTouch, 100 UI/mL dégludec + 3,6 mg/mL liraglutide ; boîte de 5 stylos préremplis munis de cartouches de 3 mL de solution (300 UI dégludec / 10,8 mg liraglutide par cartouche)</w:t>
      </w:r>
    </w:p>
    <w:p>
      <w:pPr>
        <w:pStyle w:val="ListBullet"/>
      </w:pPr>
      <w:r>
        <w:t>Statut : Actif</w:t>
      </w:r>
    </w:p>
    <w:p>
      <w:r/>
      <w:r>
        <w:rPr>
          <w:b/>
        </w:rPr>
        <w:t>Sous-classe et Mécanisme d'action :</w:t>
      </w:r>
      <w:r/>
    </w:p>
    <w:p>
      <w:pPr>
        <w:pStyle w:val="ListBullet"/>
      </w:pPr>
      <w:r>
        <w:t>Sous-classe : Association fixe d'un analogue basal ultra-long (dégludec 100 UI/mL) et d'un agoniste des récepteurs du GLP-1 (liraglutide 3,6 mg/mL), en 1 injection SC/jour. Compatible uniquement avec le DT2 (non indiqué chez le DT1).</w:t>
      </w:r>
    </w:p>
    <w:p>
      <w:pPr>
        <w:pStyle w:val="ListBullet"/>
      </w:pPr>
      <w:r>
        <w:t xml:space="preserve">Mécanisme d'action : Combinaison de deux mécanismes complémentaires. (i) </w:t>
      </w:r>
      <w:r>
        <w:rPr>
          <w:b/>
        </w:rPr>
        <w:t>Dégludec</w:t>
      </w:r>
      <w:r>
        <w:t xml:space="preserve"> : se fixe au récepteur de l'insuline α2β2 avec activation des voies PI3K/Akt (translocation GLUT4, glycogénogenèse, inhibition néoglucogenèse) et MAPK (protéosynthèse). La chaîne latérale C16 permet la formation d'un dépôt multi-hexamérique sous-cutané qui libère lentement les monomères dans la circulation &gt; 42 h, sans pic. (ii) </w:t>
      </w:r>
      <w:r>
        <w:rPr>
          <w:b/>
        </w:rPr>
        <w:t>Liraglutide</w:t>
      </w:r>
      <w:r>
        <w:t xml:space="preserve"> : agoniste des récepteurs du GLP-1 (GLP-1R couplés à Gs, exprimés sur cellules β pancréatiques, cellules α, cellules delta, neurones hypothalamiques, paroi gastrique, cœur). La stimulation glucose-dépendante du GLP-1R active l'adénylate cyclase → AMPc → PKA → fermeture des canaux K-ATP dépendants de l'ATP → dépolarisation → ouverture des canaux Ca2+ voltage-dépendants → entrée de Ca2+ → exocytose de l'insuline (uniquement en cas de glycémie élevée — arrêt automatique si glycémie normale ou basse, ce qui explique la sécurité hypoglycémique). Le liraglutide inhibe également la sécrétion de glucagon (cellules α), ralentit la vidange gastrique (effet prandial indirect), augmente la satiété (neurones POMC/CART hypothalamiques). La demi-vie du liraglutide (~13 h) permet une administration unique quotidienne, prolongée par rapport au GLP-1 endogène (~2 min) grâce à la liaison à l'albumine (acide gras C16 lié au GLP-1).</w:t>
      </w:r>
    </w:p>
    <w:p>
      <w:r/>
      <w:r>
        <w:rPr>
          <w:b/>
        </w:rPr>
        <w:t>Profil Pharmacologique :</w:t>
      </w:r>
      <w:r/>
    </w:p>
    <w:p>
      <w:pPr>
        <w:pStyle w:val="ListBullet"/>
      </w:pPr>
      <w:r>
        <w:t>Indications : DT2 non contrôlé sous basal seul (glargine, dégludec, detémir) ou sous agoniste du GLP-1 seul (liraglutide, semaglutide), en alternative au basal-bolus. Patients avec IMC élevé (le liraglutide induit une perte de poids) et/ou avec hypoglycémies sous basal seul. Indication stricte : DT2 adulte non contrôlé sous metformine ± sulfamide ± iSGLT2, en association ou en remplacement d'un basal.</w:t>
      </w:r>
    </w:p>
    <w:p>
      <w:pPr>
        <w:pStyle w:val="ListBullet"/>
      </w:pPr>
      <w:r>
        <w:t>Contre-indications : DT1 (le liraglutide nécessite une réserve fonctionnelle de cellules β), diabète acidocétosique, antécédent personnel ou familial de cancer médullaire thyroïdien (MTC) ou NEM 2B (précaution de pharmacovigilance — tumeurs C-cellulaires observées chez le rongeur, non confirmées chez l'humain mais CI par prudence), antécédent de pancréatite aiguë ou chronique, grossesse (liraglutide CI selon CRAT — données limitées), allaitement (liraglutide CI — passage dans le lait non évalué), insuffisance rénale sévère (DFG &lt; 30 mL/min — dégludec utilisable mais liraglutide contre-indiqué), insuffisance hépatique sévère, hypersensibilité à la dégludec ou au liraglutide ou à un excipient.</w:t>
      </w:r>
    </w:p>
    <w:p>
      <w:pPr>
        <w:pStyle w:val="ListBullet"/>
      </w:pPr>
      <w:r>
        <w:t>Effets Indésirables : Nausées (très fréquent &gt; 10 %, surtout en début de traitement, transitoires — généralement résolutives en 2–4 semaines), vomissements, diarrhée, constipation, dyspepsie, hypoglycémie (moindre fréquence que le basal-bolus conventionnel selon essai DUAL), pancréatite aiguë (rare mais grave — arrêt immédiat en cas de douleur abdominale sévère), atteintes rénales (parfois en lien avec déshydratation suite aux vomissements), réactions locales au site d'injection, lipodystrophie au site d'injection, hypokaliémie, tachycardie modeste (+ 2–3 bpm), retard de vidange gastrique (effet pharmacologique, à prendre en compte en cas d'intervention ou d'examen nécessitant jeûne), exceptionnels cas d'angio-oedème ou de réactions anaphylactiques, signes de pancréatite à surveiller (douleur abdominale, nausées, vomissements persistants), augmentation de la lipase et de l'amylase (surveillance biologique).</w:t>
      </w:r>
    </w:p>
    <w:p>
      <w:r/>
      <w:r>
        <w:rPr>
          <w:b/>
        </w:rPr>
        <w:t>Prévention et Gestion des Effets Indésirables :</w:t>
      </w:r>
      <w:r/>
    </w:p>
    <w:p>
      <w:pPr>
        <w:pStyle w:val="ListBullet"/>
      </w:pPr>
      <w:r>
        <w:t>Mesures Préventives : Initiation posologique progressive (10 pas de dose, puis 12, 14, 16, 18, 20, 24, 28, 32, 36, 40, 44, 48, 50 — augmentations par paliers de 2 UI pour atteindre la cible), surveillance glycémique (à jeun, post-prandial), surveillance poids, surveillance fonction rénale trimestrielle, surveillance lipase et amylase en cas de symptômes abdominaux, éducation thérapeutique ( reconnaissance des signes de pancréatite — douleur abdominale sévère, nausées, vomissements persistants — arrêt immédiat et consultation urgente), aiguille neuve à chaque injection, vérification visuelle (solution limpide incolore).</w:t>
      </w:r>
    </w:p>
    <w:p>
      <w:pPr>
        <w:pStyle w:val="ListBullet"/>
      </w:pPr>
      <w:r>
        <w:t xml:space="preserve">Conduite à Tenir : </w:t>
      </w:r>
      <w:r>
        <w:rPr>
          <w:b/>
        </w:rPr>
        <w:t>Nausées/vomissements</w:t>
      </w:r>
      <w:r>
        <w:t xml:space="preserve"> : poursuite du traitement en général (transitoires en 2–4 semaines), adaptation alimentaire (repas fractionnés, évitement des repas gras et épicés), antinématiques si nécessaires (métoclopramide, dompéridone), réduction temporaire de dose si sévère. </w:t>
      </w:r>
      <w:r>
        <w:rPr>
          <w:b/>
        </w:rPr>
        <w:t>Pancréatite aiguë</w:t>
      </w:r>
      <w:r>
        <w:t xml:space="preserve"> : arrêt immédiat, hospitalisation urgente,biologie (lipase &gt; 3 × LSN), imagerie (scanner abdominal), traitement symptomatique. </w:t>
      </w:r>
      <w:r>
        <w:rPr>
          <w:b/>
        </w:rPr>
        <w:t>Hypoglycémie modérée</w:t>
      </w:r>
      <w:r>
        <w:t xml:space="preserve"> : 15 g glucides rapides + contrôle à 15 min. </w:t>
      </w:r>
      <w:r>
        <w:rPr>
          <w:b/>
        </w:rPr>
        <w:t>Hypoglycémie sévère</w:t>
      </w:r>
      <w:r>
        <w:t xml:space="preserve"> : glucagon IM/SC 1 mg, ou glucose 30 % IV, surveillance 24 h. </w:t>
      </w:r>
      <w:r>
        <w:rPr>
          <w:b/>
        </w:rPr>
        <w:t>Lipodystrophie</w:t>
      </w:r>
      <w:r>
        <w:t xml:space="preserve"> : arrêt injections au site atteint. </w:t>
      </w:r>
      <w:r>
        <w:rPr>
          <w:b/>
        </w:rPr>
        <w:t>Hypokaliémie</w:t>
      </w:r>
      <w:r>
        <w:t xml:space="preserve"> : supplémentation potassique, surveillance ECG.</w:t>
      </w:r>
    </w:p>
    <w:p>
      <w:r/>
      <w:r>
        <w:rPr>
          <w:b/>
        </w:rPr>
        <w:t>Interactions Importantes :</w:t>
      </w:r>
      <w:r/>
    </w:p>
    <w:p>
      <w:pPr>
        <w:pStyle w:val="ListBullet"/>
      </w:pPr>
      <w:r/>
      <w:r>
        <w:rPr>
          <w:b/>
        </w:rPr>
        <w:t>Xultophy + β-bloquants</w:t>
      </w:r>
      <w:r>
        <w:t xml:space="preserve"> : masquage signes hypoglycémie (dégludec).</w:t>
      </w:r>
    </w:p>
    <w:p>
      <w:pPr>
        <w:pStyle w:val="ListBullet"/>
      </w:pPr>
      <w:r/>
      <w:r>
        <w:rPr>
          <w:b/>
        </w:rPr>
        <w:t>Xultophy + AINS, sulfamides, alcool, IEC, ARAs2</w:t>
      </w:r>
      <w:r>
        <w:t xml:space="preserve"> : potentialisation hypoglycémique (dégludec).</w:t>
      </w:r>
    </w:p>
    <w:p>
      <w:pPr>
        <w:pStyle w:val="ListBullet"/>
      </w:pPr>
      <w:r/>
      <w:r>
        <w:rPr>
          <w:b/>
        </w:rPr>
        <w:t>Xultophy + corticoïdes, danazol, diurétiques thiazidiques, isoniazide, hormones thyroïdiennes, œstrogènes, progestatifs, glucagon, sympathomimétiques</w:t>
      </w:r>
      <w:r>
        <w:t xml:space="preserve"> : hyperglycémie (dégludec).</w:t>
      </w:r>
    </w:p>
    <w:p>
      <w:pPr>
        <w:pStyle w:val="ListBullet"/>
      </w:pPr>
      <w:r/>
      <w:r>
        <w:rPr>
          <w:b/>
        </w:rPr>
        <w:t>Xultophy + pentamidine</w:t>
      </w:r>
      <w:r>
        <w:t xml:space="preserve"> : hypoglycémie puis hyperglycémie.</w:t>
      </w:r>
    </w:p>
    <w:p>
      <w:pPr>
        <w:pStyle w:val="ListBullet"/>
      </w:pPr>
      <w:r/>
      <w:r>
        <w:rPr>
          <w:b/>
        </w:rPr>
        <w:t>Xultophy + somatostatine analogues (octréotide, lanréotide)</w:t>
      </w:r>
      <w:r>
        <w:t xml:space="preserve"> : adaptation (inhibition sécrétion GLP-1 endogène et de l'insuline).</w:t>
      </w:r>
    </w:p>
    <w:p>
      <w:pPr>
        <w:pStyle w:val="ListBullet"/>
      </w:pPr>
      <w:r/>
      <w:r>
        <w:rPr>
          <w:b/>
        </w:rPr>
        <w:t>Xultophy + SGLT2 inhibiteurs (empagliflozine, dapagliflozine)</w:t>
      </w:r>
      <w:r>
        <w:t xml:space="preserve"> : potentialisation hypoglycémique, acidocétose euglycémique.</w:t>
      </w:r>
    </w:p>
    <w:p>
      <w:pPr>
        <w:pStyle w:val="ListBullet"/>
      </w:pPr>
      <w:r/>
      <w:r>
        <w:rPr>
          <w:b/>
        </w:rPr>
        <w:t>Xultophy + paracetamol, digoxine, atorvastatine, griséofulvine, contraceptifs oraux</w:t>
      </w:r>
      <w:r>
        <w:t xml:space="preserve"> : ralentissement de la vidange gastrique (liraglutide) → modification de l'absorption de ces molécules (précaution d'emploi, surveillance).</w:t>
      </w:r>
    </w:p>
    <w:p>
      <w:pPr>
        <w:pStyle w:val="ListBullet"/>
      </w:pPr>
      <w:r/>
      <w:r>
        <w:rPr>
          <w:b/>
        </w:rPr>
        <w:t>Xultophy + warfarine</w:t>
      </w:r>
      <w:r>
        <w:t xml:space="preserve"> : potentialisation possible de l'effet anticoagulant (ralentissement de la vidange gastrique, modification de l'absorption) — surveillance INR.</w:t>
      </w:r>
    </w:p>
    <w:p>
      <w:pPr>
        <w:pStyle w:val="ListBullet"/>
      </w:pPr>
      <w:r/>
      <w:r>
        <w:rPr>
          <w:b/>
        </w:rPr>
        <w:t>Xultophy + insuline ou autres antidiabétiques injectables</w:t>
      </w:r>
      <w:r>
        <w:t xml:space="preserve"> : association non étudiée, ne pas combiner (risque de surdosage).</w:t>
      </w:r>
    </w:p>
    <w:p>
      <w:r/>
      <w:r>
        <w:rPr>
          <w:b/>
        </w:rPr>
        <w:t>Grossesse et Allaitement :</w:t>
      </w:r>
      <w:r/>
    </w:p>
    <w:p>
      <w:pPr>
        <w:pStyle w:val="ListBullet"/>
      </w:pPr>
      <w:r>
        <w:t>Grossesse : Contre-indiquée selon le CRAT et le RCP. Le liraglutide est contre-indiqué pendant la grossesse (données limitées, études animales montrant toxicité de reproduction — risque de malformations fœtales). En cas de désir de grossesse chez une patiente sous Xultophy, arrêter le traitement et passer à un schéma insuline basale pure (glargine, dégludec, NPH) + insuline prandiale (asparte, lispro, humaine régulière) avant la conception.</w:t>
      </w:r>
    </w:p>
    <w:p>
      <w:pPr>
        <w:pStyle w:val="ListBullet"/>
      </w:pPr>
      <w:r>
        <w:t>Allaitement : Contre-indiqué. Le liraglutide passe potentiellement dans le lait maternel (non évalué). Précaution de prudence.</w:t>
      </w:r>
    </w:p>
    <w:p>
      <w:pPr>
        <w:pStyle w:val="ListBullet"/>
      </w:pPr>
      <w:r>
        <w:t>Précisions : En cas de découverte de grossesse sous Xultophy, arrêter immédiatement et passer à un schéma insuline pure. Surveillance accrue des glycémies pendant la grossesse (objectifs stricts selon HAS : jeûne &lt; 0,95 g/L, 1 h post-prandial &lt; 1,40 g/L).</w:t>
      </w:r>
    </w:p>
    <w:p>
      <w:r/>
      <w:r>
        <w:rPr>
          <w:b/>
        </w:rPr>
        <w:t>Posologie et Mode d'administration (Standard) :</w:t>
      </w:r>
      <w:r/>
    </w:p>
    <w:p>
      <w:pPr>
        <w:pStyle w:val="ListBullet"/>
      </w:pPr>
      <w:r>
        <w:t>Adulte : Initiation — Xultophy 10 pas de dose (équivalent 10 UI dégludec + 0,36 mg liraglutide) en 1 injection/jour. Titration par paliers de 2 UI tous les 3–4 jours selon glycémie à jeun (objectif 0,70–1,30 g/L). Dose maximale 50 pas de dose (équivalent 50 UI dégludec + 1,8 mg liraglutide). Conversion d'un basal seul (dégludec ou glargine) : commencer à la dose équivalente de dégludec (mais adapter selon tolérance GI du liraglutide — débuter à 16 pas si dose de basal &gt; 30 UI). Conversion d'un GLP-1 seul (liraglutide à 1,8 mg/jour) : commencer à 16 pas (équivalent 16 UI dégludec + 0,58 mg liraglutide), titration selon glycémie à jeun.</w:t>
      </w:r>
    </w:p>
    <w:p>
      <w:pPr>
        <w:pStyle w:val="ListBullet"/>
      </w:pPr>
      <w:r>
        <w:t>Enfant : Non indiqué chez l'enfant et l'adolescent (efficacité et sécurité non établies avant 18 ans).</w:t>
      </w:r>
    </w:p>
    <w:p>
      <w:pPr>
        <w:pStyle w:val="ListBullet"/>
      </w:pPr>
      <w:r>
        <w:t>Durée : À vie (DT2 chronique).</w:t>
      </w:r>
    </w:p>
    <w:p>
      <w:pPr>
        <w:pStyle w:val="ListBullet"/>
      </w:pPr>
      <w:r>
        <w:t>Moment de prise : 1 injection/jour à heure fixe (le soir généralement à 18–22 h, ou le matin selon préférence). En cas d'oubli : injecter dès que possible si l'intervalle depuis la dernière injection est &gt; 8 h ; sinon sauter la dose et reprendre le lendemain à l'heure habituelle. Ne jamais doubler la dose.</w:t>
      </w:r>
    </w:p>
    <w:p>
      <w:r/>
      <w:r>
        <w:rPr>
          <w:b/>
        </w:rPr>
        <w:t>Arbitrage et Bénéfices des Formes Galéniques :</w:t>
      </w:r>
      <w:r/>
    </w:p>
    <w:p>
      <w:r>
        <w:t>Le stylo prérempli FlexTouch est la forme unique disponible — précision 1 pas de dose (équivalent 1 UI dégludec + 0,036 mg liraglutide), aiguille ultrafine 4–8 mm, fenêtre de dose large. La graduation en « pas de dose » plutôt qu'en UI est une spécificité du Xultophy (chaque pas = 1 UI dégludec + 0,036 mg liraglutide) — éducation du patient essentielle pour éviter les confusions. Comparé au schéma basal-bolus conventionnel (4 injections/jour : 1 basal + 3 prandiales), Xultophy en 1 injection/jour simplifie l'observance et réduit la charge thérapeutique (essais DUAL I-VIII — non-infériorité sur l'HbA1c avec moindre nombre d'injections, moindre prise de poids, moindre hypoglycémie). Comparé à un basal seul (glargine, dégludec), Xultophy offre un meilleur contrôle glycémique (effet additif du GLP-1) avec perte de poids (vs prise de poids sous basal seul) et moindre hypoglycémie. Comparé à un GLP-1 seul (liraglutide), Xultophy offre un meilleur contrôle glycémique (effet additif du basal) mais avec une dose de GLP-1 plus faible (dose maximale 1,8 mg/jour vs 1,8 mg/jour pour liraglutide seul). En Algérie, Xultophy est disponible (Actif) mais relativement coûteux — vérifier la disponibilité et la prise en charge par les assurances.</w:t>
      </w:r>
    </w:p>
    <w:p>
      <w:r/>
      <w:r>
        <w:rPr>
          <w:b/>
        </w:rPr>
        <w:t>Instructions et Conseils au Patient :</w:t>
      </w:r>
      <w:r/>
    </w:p>
    <w:p>
      <w:pPr>
        <w:pStyle w:val="ListBullet"/>
      </w:pPr>
      <w:r>
        <w:t xml:space="preserve">Communication au comptoir : « Le Xultophy est une insuline combinée : insuline basale ultra-longue (dégludec) + un agoniste du GLP-1 (liraglutide, hormone intestinale qui aide à réguler la glycémie et favorise la perte de poids). Vous l'injectez une fois par jour, toujours à la même heure (par exemple le soir à 22 h). Solution claire, transparente. La graduation du stylo est en </w:t>
      </w:r>
      <w:r>
        <w:rPr>
          <w:b/>
        </w:rPr>
        <w:t>pas de dose</w:t>
      </w:r>
      <w:r>
        <w:t xml:space="preserve"> (1 pas = 1 UI dégludec + 0,036 mg liraglutide) — ne pas confondre avec les UI habituelles. Conservez les stylos non entamés au réfrigérateur (+2 à +8°C, ne jamais congeler) ; les stylos en cours d'utilisation à température ambiante &lt; 25°C pendant 21 jours maximum (durée de conservation plus courte que la dégludec seule en raison de la présence du liraglutide). Vérifiez la limpidité avant chaque injection. Ne pas agiter. Jetez l'aiguille après chaque injection. Prévenez les </w:t>
      </w:r>
      <w:r>
        <w:rPr>
          <w:b/>
        </w:rPr>
        <w:t>nausées</w:t>
      </w:r>
      <w:r>
        <w:t xml:space="preserve"> fréquentes en début de traitement (transitoires en 2–4 semaines) — fractionnez vos repas, évitez les repas gras et épicés. En cas de douleur abdominale sévère, nausées ou vomissements persistants (signes de pancréatite) : arrêtez immédiatement et consultez aux urgences. »</w:t>
      </w:r>
    </w:p>
    <w:p>
      <w:pPr>
        <w:pStyle w:val="ListBullet"/>
      </w:pPr>
      <w:r>
        <w:t xml:space="preserve">Mode d'utilisation pratique : Lavez les mains, vérifiez la dose (en pas), aiguiller le stylo (2 pas jetés en l'air), pincez le pli cutané, insérez l'aiguille à 90°, appuyez à fond, maintenez 10 secondes, retirez, jetez l'aiguille. Rotation des sites (abdomen, cuisse, bras). En cas d'oubli : injecter dès que possible si &gt; 8 h depuis la dernière injection ; sinon sauter et reprendre à l'heure habituelle. Ne jamais doubler la dose. </w:t>
      </w:r>
      <w:r>
        <w:rPr>
          <w:b/>
        </w:rPr>
        <w:t>Autosurveillance</w:t>
      </w:r>
      <w:r>
        <w:t xml:space="preserve"> : glycémie capillaire à jeun (objectif 0,70–1,30 g/L), au coucher (1,00–1,40 g/L). Surveillance poids hebdomadaire. Surveillance lipase et amylase en cas de symptômes abdominaux.</w:t>
      </w:r>
    </w:p>
    <w:p>
      <w:r/>
      <w:r>
        <w:rPr>
          <w:b/>
        </w:rPr>
        <w:t>Notes, Règles d'Or &amp; Pièges au Comptoir :</w:t>
      </w:r>
      <w:r/>
    </w:p>
    <w:p>
      <w:pPr>
        <w:pStyle w:val="ListBullet"/>
      </w:pPr>
      <w:r>
        <w:t xml:space="preserve">Piège classique : Confusion entre la graduation du stylo Xultophy (en </w:t>
      </w:r>
      <w:r>
        <w:rPr>
          <w:b/>
        </w:rPr>
        <w:t>pas de dose</w:t>
      </w:r>
      <w:r>
        <w:t xml:space="preserve">, 1 pas = 1 UI dégludec + 0,036 mg liraglutide) et la graduation des autres stylos d'insuline (en UI) — éducation essentielle pour éviter les erreurs de dose. Confusion avec Victoza (liraglutide seul) ou Tresiba (dégludec seul) — le Xultophy contient les deux, ne jamais substituer par l'un ou l'autre sans avis médical. Confusion avec Saxenda (liraglutide à dose plus élevée pour perte de poids, 3,0 mg/jour — non indiqué dans le diabète). </w:t>
      </w:r>
      <w:r>
        <w:rPr>
          <w:b/>
        </w:rPr>
        <w:t>Pancréatite aiguë</w:t>
      </w:r>
      <w:r>
        <w:t xml:space="preserve"> : risque rare mais grave — éducation du patient à la reconnaissance des signes (douleur abdominale sévère, nausées, vomissements persistants) — arrêt immédiat et consultation urgente. </w:t>
      </w:r>
      <w:r>
        <w:rPr>
          <w:b/>
        </w:rPr>
        <w:t>Cancer médullaire thyroïdien</w:t>
      </w:r>
      <w:r>
        <w:t xml:space="preserve"> : signal de pharmacovigilance (tumeurs C-cellulaires chez le rongeur, non confirmées chez l'humain mais CI par prudence en cas d'antécédent personnel ou familial de MTC ou NEM 2B) — recherche systématique des antécédents avant prescription.</w:t>
      </w:r>
    </w:p>
    <w:p>
      <w:pPr>
        <w:pStyle w:val="ListBullet"/>
      </w:pPr>
      <w:r>
        <w:t>Règle de prise : Xultophy = 1 injection/jour à heure fixe (le soir généralement). Ne pas injecter par voie IV. Ne pas utiliser en pompe à insuline. Ne pas mélanger avec une autre insuline ou un autre médicament dans la même cartouche.</w:t>
      </w:r>
    </w:p>
    <w:p>
      <w:pPr>
        <w:pStyle w:val="ListBullet"/>
      </w:pPr>
      <w:r>
        <w:t xml:space="preserve">Préparation et Conservation : Non entamé : +2°C à +8°C, jamais congelé, à l'abri de la lumière. Entamé : T° ambiante &lt; 25°C, </w:t>
      </w:r>
      <w:r>
        <w:rPr>
          <w:b/>
        </w:rPr>
        <w:t>21 jours max</w:t>
      </w:r>
      <w:r>
        <w:t xml:space="preserve"> (durée plus courte que la dégludec seule en raison de la présence du liraglutide — surveillance de la date de première utilisation). Ne pas exposer à &gt; 30°C. Voyage : trousse isotherme.</w:t>
      </w:r>
    </w:p>
    <w:p>
      <w:pPr>
        <w:pStyle w:val="ListBullet"/>
      </w:pPr>
      <w:r>
        <w:t>Piège du surdosage / Substitution : En cas de substitution d'un basal seul (glargine, dégludec) → Xultophy, commencer à 16 pas (équivalent 16 UI dégludec + 0,58 mg liraglutide) si dose de basal &gt; 30 UI, sinon à 10 pas. Surveillance 2 semaines (nausées transitoires, ajustement possible). En cas de substitution d'un GLP-1 seul (liraglutide à 1,8 mg/jour) → Xultophy, commencer à 16 pas (dose équivalente de liraglutide réduite à 0,58 mg) — surveillance accrue, titration. En cas de substitution d'un basal-bolus conventionnel → Xultophy, calculer la dose totale journalière d'insuline et commencer à 16 pas (équivalent 16 UI dégludec) — surveillance 2 semaines, ajustement possible (la composante GLP-1 permet de réduire la dose d'insuline nécessaire). Attention à l'interaction Xultophy + SGLT2 inhibiteurs (acidocétose euglycémique). Ne pas combiner avec un autre GLP-1 (risque de surdosage). Ne pas combiner avec une autre insuline basale (risque de surdosage). Ne pas utiliser chez le DT1 (CI stricte). Ne pas utiliser pendant la grossesse ou l'allaitement (CI selon CRAT).</w:t>
      </w:r>
    </w:p>
    <w:p>
      <w:pPr>
        <w:pStyle w:val="Heading2"/>
      </w:pPr>
      <w:r>
        <w:t>TABLEAU COMPARATIF SYNTHÉTIQUE DES 12 INSULINES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Délai d'action</w:t>
            </w:r>
          </w:p>
        </w:tc>
        <w:tc>
          <w:tcPr>
            <w:tcW w:type="dxa" w:w="1169"/>
          </w:tcPr>
          <w:p>
            <w:r>
              <w:rPr>
                <w:b/>
                <w:sz w:val="20"/>
              </w:rPr>
              <w:t>Pic</w:t>
            </w:r>
          </w:p>
        </w:tc>
        <w:tc>
          <w:tcPr>
            <w:tcW w:type="dxa" w:w="1169"/>
          </w:tcPr>
          <w:p>
            <w:r>
              <w:rPr>
                <w:b/>
                <w:sz w:val="20"/>
              </w:rPr>
              <w:t>Durée</w:t>
            </w:r>
          </w:p>
        </w:tc>
        <w:tc>
          <w:tcPr>
            <w:tcW w:type="dxa" w:w="1169"/>
          </w:tcPr>
          <w:p>
            <w:r>
              <w:rPr>
                <w:b/>
                <w:sz w:val="20"/>
              </w:rPr>
              <w:t>Posologie type</w:t>
            </w:r>
          </w:p>
        </w:tc>
        <w:tc>
          <w:tcPr>
            <w:tcW w:type="dxa" w:w="1169"/>
          </w:tcPr>
          <w:p>
            <w:r>
              <w:rPr>
                <w:b/>
                <w:sz w:val="20"/>
              </w:rPr>
              <w:t>EI majeur</w:t>
            </w:r>
          </w:p>
        </w:tc>
        <w:tc>
          <w:tcPr>
            <w:tcW w:type="dxa" w:w="1169"/>
          </w:tcPr>
          <w:p>
            <w:r>
              <w:rPr>
                <w:b/>
                <w:sz w:val="20"/>
              </w:rPr>
              <w:t>Grossesse</w:t>
            </w:r>
          </w:p>
        </w:tc>
      </w:tr>
      <w:tr>
        <w:tc>
          <w:tcPr>
            <w:tcW w:type="dxa" w:w="1169"/>
          </w:tcPr>
          <w:p>
            <w:r>
              <w:rPr>
                <w:sz w:val="20"/>
              </w:rPr>
              <w:t>**Insuline asparte**</w:t>
            </w:r>
          </w:p>
        </w:tc>
        <w:tc>
          <w:tcPr>
            <w:tcW w:type="dxa" w:w="1169"/>
          </w:tcPr>
          <w:p>
            <w:r>
              <w:rPr>
                <w:sz w:val="20"/>
              </w:rPr>
              <w:t>Analogue ultra-rapide</w:t>
            </w:r>
          </w:p>
        </w:tc>
        <w:tc>
          <w:tcPr>
            <w:tcW w:type="dxa" w:w="1169"/>
          </w:tcPr>
          <w:p>
            <w:r>
              <w:rPr>
                <w:sz w:val="20"/>
              </w:rPr>
              <w:t>10–20 min (SC) ; immédiat (IV)</w:t>
            </w:r>
          </w:p>
        </w:tc>
        <w:tc>
          <w:tcPr>
            <w:tcW w:type="dxa" w:w="1169"/>
          </w:tcPr>
          <w:p>
            <w:r>
              <w:rPr>
                <w:sz w:val="20"/>
              </w:rPr>
              <w:t>1–3 h</w:t>
            </w:r>
          </w:p>
        </w:tc>
        <w:tc>
          <w:tcPr>
            <w:tcW w:type="dxa" w:w="1169"/>
          </w:tcPr>
          <w:p>
            <w:r>
              <w:rPr>
                <w:sz w:val="20"/>
              </w:rPr>
              <w:t>3–5 h</w:t>
            </w:r>
          </w:p>
        </w:tc>
        <w:tc>
          <w:tcPr>
            <w:tcW w:type="dxa" w:w="1169"/>
          </w:tcPr>
          <w:p>
            <w:r>
              <w:rPr>
                <w:sz w:val="20"/>
              </w:rPr>
              <w:t>0,5–1 UI/kg/j en basal-bolus ; bolus prandial × 3/j ; IV 0,05–0,1 UI/kg/h (acidocétose)</w:t>
            </w:r>
          </w:p>
        </w:tc>
        <w:tc>
          <w:tcPr>
            <w:tcW w:type="dxa" w:w="1169"/>
          </w:tcPr>
          <w:p>
            <w:r>
              <w:rPr>
                <w:sz w:val="20"/>
              </w:rPr>
              <w:t>Hypoglycémie, lipodystrophie</w:t>
            </w:r>
          </w:p>
        </w:tc>
        <w:tc>
          <w:tcPr>
            <w:tcW w:type="dxa" w:w="1169"/>
          </w:tcPr>
          <w:p>
            <w:r>
              <w:rPr>
                <w:sz w:val="20"/>
              </w:rPr>
              <w:t>Compatible (référence)</w:t>
            </w:r>
          </w:p>
        </w:tc>
      </w:tr>
      <w:tr>
        <w:tc>
          <w:tcPr>
            <w:tcW w:type="dxa" w:w="1169"/>
          </w:tcPr>
          <w:p>
            <w:r>
              <w:rPr>
                <w:sz w:val="20"/>
              </w:rPr>
              <w:t>**Insuline glulisine**</w:t>
            </w:r>
          </w:p>
        </w:tc>
        <w:tc>
          <w:tcPr>
            <w:tcW w:type="dxa" w:w="1169"/>
          </w:tcPr>
          <w:p>
            <w:r>
              <w:rPr>
                <w:sz w:val="20"/>
              </w:rPr>
              <w:t>Analogue ultra-rapide</w:t>
            </w:r>
          </w:p>
        </w:tc>
        <w:tc>
          <w:tcPr>
            <w:tcW w:type="dxa" w:w="1169"/>
          </w:tcPr>
          <w:p>
            <w:r>
              <w:rPr>
                <w:sz w:val="20"/>
              </w:rPr>
              <w:t>10–15 min</w:t>
            </w:r>
          </w:p>
        </w:tc>
        <w:tc>
          <w:tcPr>
            <w:tcW w:type="dxa" w:w="1169"/>
          </w:tcPr>
          <w:p>
            <w:r>
              <w:rPr>
                <w:sz w:val="20"/>
              </w:rPr>
              <w:t>55–90 min</w:t>
            </w:r>
          </w:p>
        </w:tc>
        <w:tc>
          <w:tcPr>
            <w:tcW w:type="dxa" w:w="1169"/>
          </w:tcPr>
          <w:p>
            <w:r>
              <w:rPr>
                <w:sz w:val="20"/>
              </w:rPr>
              <w:t>3–5 h</w:t>
            </w:r>
          </w:p>
        </w:tc>
        <w:tc>
          <w:tcPr>
            <w:tcW w:type="dxa" w:w="1169"/>
          </w:tcPr>
          <w:p>
            <w:r>
              <w:rPr>
                <w:sz w:val="20"/>
              </w:rPr>
              <w:t>0,5–1 UI/kg/j en basal-bolus ; bolus prandial × 3/j</w:t>
            </w:r>
          </w:p>
        </w:tc>
        <w:tc>
          <w:tcPr>
            <w:tcW w:type="dxa" w:w="1169"/>
          </w:tcPr>
          <w:p>
            <w:r>
              <w:rPr>
                <w:sz w:val="20"/>
              </w:rPr>
              <w:t>Hypoglycémie, lipodystrophie</w:t>
            </w:r>
          </w:p>
        </w:tc>
        <w:tc>
          <w:tcPr>
            <w:tcW w:type="dxa" w:w="1169"/>
          </w:tcPr>
          <w:p>
            <w:r>
              <w:rPr>
                <w:sz w:val="20"/>
              </w:rPr>
              <w:t>Compatible (données plus limitées — préférence asparte/lispro)</w:t>
            </w:r>
          </w:p>
        </w:tc>
      </w:tr>
      <w:tr>
        <w:tc>
          <w:tcPr>
            <w:tcW w:type="dxa" w:w="1169"/>
          </w:tcPr>
          <w:p>
            <w:r>
              <w:rPr>
                <w:sz w:val="20"/>
              </w:rPr>
              <w:t>**Insuline lispro**</w:t>
            </w:r>
          </w:p>
        </w:tc>
        <w:tc>
          <w:tcPr>
            <w:tcW w:type="dxa" w:w="1169"/>
          </w:tcPr>
          <w:p>
            <w:r>
              <w:rPr>
                <w:sz w:val="20"/>
              </w:rPr>
              <w:t>Analogue ultra-rapide</w:t>
            </w:r>
          </w:p>
        </w:tc>
        <w:tc>
          <w:tcPr>
            <w:tcW w:type="dxa" w:w="1169"/>
          </w:tcPr>
          <w:p>
            <w:r>
              <w:rPr>
                <w:sz w:val="20"/>
              </w:rPr>
              <w:t>10–20 min</w:t>
            </w:r>
          </w:p>
        </w:tc>
        <w:tc>
          <w:tcPr>
            <w:tcW w:type="dxa" w:w="1169"/>
          </w:tcPr>
          <w:p>
            <w:r>
              <w:rPr>
                <w:sz w:val="20"/>
              </w:rPr>
              <w:t>30–90 min</w:t>
            </w:r>
          </w:p>
        </w:tc>
        <w:tc>
          <w:tcPr>
            <w:tcW w:type="dxa" w:w="1169"/>
          </w:tcPr>
          <w:p>
            <w:r>
              <w:rPr>
                <w:sz w:val="20"/>
              </w:rPr>
              <w:t>3–5 h</w:t>
            </w:r>
          </w:p>
        </w:tc>
        <w:tc>
          <w:tcPr>
            <w:tcW w:type="dxa" w:w="1169"/>
          </w:tcPr>
          <w:p>
            <w:r>
              <w:rPr>
                <w:sz w:val="20"/>
              </w:rPr>
              <w:t>0,5–1 UI/kg/j en basal-bolus ; bolus prandial × 3/j</w:t>
            </w:r>
          </w:p>
        </w:tc>
        <w:tc>
          <w:tcPr>
            <w:tcW w:type="dxa" w:w="1169"/>
          </w:tcPr>
          <w:p>
            <w:r>
              <w:rPr>
                <w:sz w:val="20"/>
              </w:rPr>
              <w:t>Hypoglycémie, lipodystrophie</w:t>
            </w:r>
          </w:p>
        </w:tc>
        <w:tc>
          <w:tcPr>
            <w:tcW w:type="dxa" w:w="1169"/>
          </w:tcPr>
          <w:p>
            <w:r>
              <w:rPr>
                <w:sz w:val="20"/>
              </w:rPr>
              <w:t>Compatible (référence)</w:t>
            </w:r>
          </w:p>
        </w:tc>
      </w:tr>
      <w:tr>
        <w:tc>
          <w:tcPr>
            <w:tcW w:type="dxa" w:w="1169"/>
          </w:tcPr>
          <w:p>
            <w:r>
              <w:rPr>
                <w:sz w:val="20"/>
              </w:rPr>
              <w:t>**Insuline glargine U100**</w:t>
            </w:r>
          </w:p>
        </w:tc>
        <w:tc>
          <w:tcPr>
            <w:tcW w:type="dxa" w:w="1169"/>
          </w:tcPr>
          <w:p>
            <w:r>
              <w:rPr>
                <w:sz w:val="20"/>
              </w:rPr>
              <w:t>Analogue basal long</w:t>
            </w:r>
          </w:p>
        </w:tc>
        <w:tc>
          <w:tcPr>
            <w:tcW w:type="dxa" w:w="1169"/>
          </w:tcPr>
          <w:p>
            <w:r>
              <w:rPr>
                <w:sz w:val="20"/>
              </w:rPr>
              <w:t>1,5–2 h</w:t>
            </w:r>
          </w:p>
        </w:tc>
        <w:tc>
          <w:tcPr>
            <w:tcW w:type="dxa" w:w="1169"/>
          </w:tcPr>
          <w:p>
            <w:r>
              <w:rPr>
                <w:sz w:val="20"/>
              </w:rPr>
              <w:t>Sans pic</w:t>
            </w:r>
          </w:p>
        </w:tc>
        <w:tc>
          <w:tcPr>
            <w:tcW w:type="dxa" w:w="1169"/>
          </w:tcPr>
          <w:p>
            <w:r>
              <w:rPr>
                <w:sz w:val="20"/>
              </w:rPr>
              <w:t>~24 h</w:t>
            </w:r>
          </w:p>
        </w:tc>
        <w:tc>
          <w:tcPr>
            <w:tcW w:type="dxa" w:w="1169"/>
          </w:tcPr>
          <w:p>
            <w:r>
              <w:rPr>
                <w:sz w:val="20"/>
              </w:rPr>
              <w:t>0,5–1 UI/kg/j en 1 injection/jour à heure fixe</w:t>
            </w:r>
          </w:p>
        </w:tc>
        <w:tc>
          <w:tcPr>
            <w:tcW w:type="dxa" w:w="1169"/>
          </w:tcPr>
          <w:p>
            <w:r>
              <w:rPr>
                <w:sz w:val="20"/>
              </w:rPr>
              <w:t>Hypoglycémie (notamment nocturne, moindre que NPH)</w:t>
            </w:r>
          </w:p>
        </w:tc>
        <w:tc>
          <w:tcPr>
            <w:tcW w:type="dxa" w:w="1169"/>
          </w:tcPr>
          <w:p>
            <w:r>
              <w:rPr>
                <w:sz w:val="20"/>
              </w:rPr>
              <w:t>Compatible</w:t>
            </w:r>
          </w:p>
        </w:tc>
      </w:tr>
      <w:tr>
        <w:tc>
          <w:tcPr>
            <w:tcW w:type="dxa" w:w="1169"/>
          </w:tcPr>
          <w:p>
            <w:r>
              <w:rPr>
                <w:sz w:val="20"/>
              </w:rPr>
              <w:t>**Insuline glargine U300**</w:t>
            </w:r>
          </w:p>
        </w:tc>
        <w:tc>
          <w:tcPr>
            <w:tcW w:type="dxa" w:w="1169"/>
          </w:tcPr>
          <w:p>
            <w:r>
              <w:rPr>
                <w:sz w:val="20"/>
              </w:rPr>
              <w:t>Analogue basal ultra-long</w:t>
            </w:r>
          </w:p>
        </w:tc>
        <w:tc>
          <w:tcPr>
            <w:tcW w:type="dxa" w:w="1169"/>
          </w:tcPr>
          <w:p>
            <w:r>
              <w:rPr>
                <w:sz w:val="20"/>
              </w:rPr>
              <w:t>~6 h</w:t>
            </w:r>
          </w:p>
        </w:tc>
        <w:tc>
          <w:tcPr>
            <w:tcW w:type="dxa" w:w="1169"/>
          </w:tcPr>
          <w:p>
            <w:r>
              <w:rPr>
                <w:sz w:val="20"/>
              </w:rPr>
              <w:t>Sans pic</w:t>
            </w:r>
          </w:p>
        </w:tc>
        <w:tc>
          <w:tcPr>
            <w:tcW w:type="dxa" w:w="1169"/>
          </w:tcPr>
          <w:p>
            <w:r>
              <w:rPr>
                <w:sz w:val="20"/>
              </w:rPr>
              <w:t>&gt; 30 h</w:t>
            </w:r>
          </w:p>
        </w:tc>
        <w:tc>
          <w:tcPr>
            <w:tcW w:type="dxa" w:w="1169"/>
          </w:tcPr>
          <w:p>
            <w:r>
              <w:rPr>
                <w:sz w:val="20"/>
              </w:rPr>
              <w:t>0,5–1 UI/kg/j en 1 injection/jour à heure fixe (± 3 h)</w:t>
            </w:r>
          </w:p>
        </w:tc>
        <w:tc>
          <w:tcPr>
            <w:tcW w:type="dxa" w:w="1169"/>
          </w:tcPr>
          <w:p>
            <w:r>
              <w:rPr>
                <w:sz w:val="20"/>
              </w:rPr>
              <w:t>Hypoglycémie (moindre que U100)</w:t>
            </w:r>
          </w:p>
        </w:tc>
        <w:tc>
          <w:tcPr>
            <w:tcW w:type="dxa" w:w="1169"/>
          </w:tcPr>
          <w:p>
            <w:r>
              <w:rPr>
                <w:sz w:val="20"/>
              </w:rPr>
              <w:t>Compatible (données plus limitées)</w:t>
            </w:r>
          </w:p>
        </w:tc>
      </w:tr>
      <w:tr>
        <w:tc>
          <w:tcPr>
            <w:tcW w:type="dxa" w:w="1169"/>
          </w:tcPr>
          <w:p>
            <w:r>
              <w:rPr>
                <w:sz w:val="20"/>
              </w:rPr>
              <w:t>**Insuline dégludec**</w:t>
            </w:r>
          </w:p>
        </w:tc>
        <w:tc>
          <w:tcPr>
            <w:tcW w:type="dxa" w:w="1169"/>
          </w:tcPr>
          <w:p>
            <w:r>
              <w:rPr>
                <w:sz w:val="20"/>
              </w:rPr>
              <w:t>Analogue basal ultra-long</w:t>
            </w:r>
          </w:p>
        </w:tc>
        <w:tc>
          <w:tcPr>
            <w:tcW w:type="dxa" w:w="1169"/>
          </w:tcPr>
          <w:p>
            <w:r>
              <w:rPr>
                <w:sz w:val="20"/>
              </w:rPr>
              <w:t>1–2 h</w:t>
            </w:r>
          </w:p>
        </w:tc>
        <w:tc>
          <w:tcPr>
            <w:tcW w:type="dxa" w:w="1169"/>
          </w:tcPr>
          <w:p>
            <w:r>
              <w:rPr>
                <w:sz w:val="20"/>
              </w:rPr>
              <w:t>Sans pic</w:t>
            </w:r>
          </w:p>
        </w:tc>
        <w:tc>
          <w:tcPr>
            <w:tcW w:type="dxa" w:w="1169"/>
          </w:tcPr>
          <w:p>
            <w:r>
              <w:rPr>
                <w:sz w:val="20"/>
              </w:rPr>
              <w:t>&gt; 42 h</w:t>
            </w:r>
          </w:p>
        </w:tc>
        <w:tc>
          <w:tcPr>
            <w:tcW w:type="dxa" w:w="1169"/>
          </w:tcPr>
          <w:p>
            <w:r>
              <w:rPr>
                <w:sz w:val="20"/>
              </w:rPr>
              <w:t>0,5–1 UI/kg/j en 1 injection/jour à heure flexible (intervalle min 8 h)</w:t>
            </w:r>
          </w:p>
        </w:tc>
        <w:tc>
          <w:tcPr>
            <w:tcW w:type="dxa" w:w="1169"/>
          </w:tcPr>
          <w:p>
            <w:r>
              <w:rPr>
                <w:sz w:val="20"/>
              </w:rPr>
              <w:t>Hypoglycémie (la plus faible des basaux)</w:t>
            </w:r>
          </w:p>
        </w:tc>
        <w:tc>
          <w:tcPr>
            <w:tcW w:type="dxa" w:w="1169"/>
          </w:tcPr>
          <w:p>
            <w:r>
              <w:rPr>
                <w:sz w:val="20"/>
              </w:rPr>
              <w:t>Compatible (données limitées mais rassurantes)</w:t>
            </w:r>
          </w:p>
        </w:tc>
      </w:tr>
      <w:tr>
        <w:tc>
          <w:tcPr>
            <w:tcW w:type="dxa" w:w="1169"/>
          </w:tcPr>
          <w:p>
            <w:r>
              <w:rPr>
                <w:sz w:val="20"/>
              </w:rPr>
              <w:t>**Dégludec + asparte (Ryzodeg)**</w:t>
            </w:r>
          </w:p>
        </w:tc>
        <w:tc>
          <w:tcPr>
            <w:tcW w:type="dxa" w:w="1169"/>
          </w:tcPr>
          <w:p>
            <w:r>
              <w:rPr>
                <w:sz w:val="20"/>
              </w:rPr>
              <w:t>Association basale + prandiale fixe (70/30)</w:t>
            </w:r>
          </w:p>
        </w:tc>
        <w:tc>
          <w:tcPr>
            <w:tcW w:type="dxa" w:w="1169"/>
          </w:tcPr>
          <w:p>
            <w:r>
              <w:rPr>
                <w:sz w:val="20"/>
              </w:rPr>
              <w:t>10–20 min (asparte) ; 1–2 h (dégludec)</w:t>
            </w:r>
          </w:p>
        </w:tc>
        <w:tc>
          <w:tcPr>
            <w:tcW w:type="dxa" w:w="1169"/>
          </w:tcPr>
          <w:p>
            <w:r>
              <w:rPr>
                <w:sz w:val="20"/>
              </w:rPr>
              <w:t>Pic prandial 1–3 h ; pas de pic basal</w:t>
            </w:r>
          </w:p>
        </w:tc>
        <w:tc>
          <w:tcPr>
            <w:tcW w:type="dxa" w:w="1169"/>
          </w:tcPr>
          <w:p>
            <w:r>
              <w:rPr>
                <w:sz w:val="20"/>
              </w:rPr>
              <w:t>&gt; 42 h (basal)</w:t>
            </w:r>
          </w:p>
        </w:tc>
        <w:tc>
          <w:tcPr>
            <w:tcW w:type="dxa" w:w="1169"/>
          </w:tcPr>
          <w:p>
            <w:r>
              <w:rPr>
                <w:sz w:val="20"/>
              </w:rPr>
              <w:t>10 UI/jour initiales ; titration +2 UI tous les 3–4 jours ; 1–2 injections/jour</w:t>
            </w:r>
          </w:p>
        </w:tc>
        <w:tc>
          <w:tcPr>
            <w:tcW w:type="dxa" w:w="1169"/>
          </w:tcPr>
          <w:p>
            <w:r>
              <w:rPr>
                <w:sz w:val="20"/>
              </w:rPr>
              <w:t>Hypoglycémie, nausées</w:t>
            </w:r>
          </w:p>
        </w:tc>
        <w:tc>
          <w:tcPr>
            <w:tcW w:type="dxa" w:w="1169"/>
          </w:tcPr>
          <w:p>
            <w:r>
              <w:rPr>
                <w:sz w:val="20"/>
              </w:rPr>
              <w:t>Non recommandée (données limitées — préférence dégludec seul + asparte seul)</w:t>
            </w:r>
          </w:p>
        </w:tc>
      </w:tr>
      <w:tr>
        <w:tc>
          <w:tcPr>
            <w:tcW w:type="dxa" w:w="1169"/>
          </w:tcPr>
          <w:p>
            <w:r>
              <w:rPr>
                <w:sz w:val="20"/>
              </w:rPr>
              <w:t>**Asparte biphasique (NovoMix 30)**</w:t>
            </w:r>
          </w:p>
        </w:tc>
        <w:tc>
          <w:tcPr>
            <w:tcW w:type="dxa" w:w="1169"/>
          </w:tcPr>
          <w:p>
            <w:r>
              <w:rPr>
                <w:sz w:val="20"/>
              </w:rPr>
              <w:t>Biphasique d'analogue (30/70)</w:t>
            </w:r>
          </w:p>
        </w:tc>
        <w:tc>
          <w:tcPr>
            <w:tcW w:type="dxa" w:w="1169"/>
          </w:tcPr>
          <w:p>
            <w:r>
              <w:rPr>
                <w:sz w:val="20"/>
              </w:rPr>
              <w:t>10–20 min (soluble) ; 1–2 h (protamine)</w:t>
            </w:r>
          </w:p>
        </w:tc>
        <w:tc>
          <w:tcPr>
            <w:tcW w:type="dxa" w:w="1169"/>
          </w:tcPr>
          <w:p>
            <w:r>
              <w:rPr>
                <w:sz w:val="20"/>
              </w:rPr>
              <w:t>Double pic 1–3 h et 4–6 h</w:t>
            </w:r>
          </w:p>
        </w:tc>
        <w:tc>
          <w:tcPr>
            <w:tcW w:type="dxa" w:w="1169"/>
          </w:tcPr>
          <w:p>
            <w:r>
              <w:rPr>
                <w:sz w:val="20"/>
              </w:rPr>
              <w:t>14–18 h</w:t>
            </w:r>
          </w:p>
        </w:tc>
        <w:tc>
          <w:tcPr>
            <w:tcW w:type="dxa" w:w="1169"/>
          </w:tcPr>
          <w:p>
            <w:r>
              <w:rPr>
                <w:sz w:val="20"/>
              </w:rPr>
              <w:t>10 UI/jour initiales ; 2 injections/jour 0–15 min avant les 2 repas principaux</w:t>
            </w:r>
          </w:p>
        </w:tc>
        <w:tc>
          <w:tcPr>
            <w:tcW w:type="dxa" w:w="1169"/>
          </w:tcPr>
          <w:p>
            <w:r>
              <w:rPr>
                <w:sz w:val="20"/>
              </w:rPr>
              <w:t>Hypoglycémie nocturne (pic protamine)</w:t>
            </w:r>
          </w:p>
        </w:tc>
        <w:tc>
          <w:tcPr>
            <w:tcW w:type="dxa" w:w="1169"/>
          </w:tcPr>
          <w:p>
            <w:r>
              <w:rPr>
                <w:sz w:val="20"/>
              </w:rPr>
              <w:t>Non recommandée (données limitées)</w:t>
            </w:r>
          </w:p>
        </w:tc>
      </w:tr>
      <w:tr>
        <w:tc>
          <w:tcPr>
            <w:tcW w:type="dxa" w:w="1169"/>
          </w:tcPr>
          <w:p>
            <w:r>
              <w:rPr>
                <w:sz w:val="20"/>
              </w:rPr>
              <w:t>**Lispro biphasique (Humalog Mix 25/50)**</w:t>
            </w:r>
          </w:p>
        </w:tc>
        <w:tc>
          <w:tcPr>
            <w:tcW w:type="dxa" w:w="1169"/>
          </w:tcPr>
          <w:p>
            <w:r>
              <w:rPr>
                <w:sz w:val="20"/>
              </w:rPr>
              <w:t>Biphasique d'analogue (25/75 ou 50/50)</w:t>
            </w:r>
          </w:p>
        </w:tc>
        <w:tc>
          <w:tcPr>
            <w:tcW w:type="dxa" w:w="1169"/>
          </w:tcPr>
          <w:p>
            <w:r>
              <w:rPr>
                <w:sz w:val="20"/>
              </w:rPr>
              <w:t>10–20 min (soluble) ; 1–2 h (protamine)</w:t>
            </w:r>
          </w:p>
        </w:tc>
        <w:tc>
          <w:tcPr>
            <w:tcW w:type="dxa" w:w="1169"/>
          </w:tcPr>
          <w:p>
            <w:r>
              <w:rPr>
                <w:sz w:val="20"/>
              </w:rPr>
              <w:t>Double pic 1–3 h et 4–6 h</w:t>
            </w:r>
          </w:p>
        </w:tc>
        <w:tc>
          <w:tcPr>
            <w:tcW w:type="dxa" w:w="1169"/>
          </w:tcPr>
          <w:p>
            <w:r>
              <w:rPr>
                <w:sz w:val="20"/>
              </w:rPr>
              <w:t>14–18 h</w:t>
            </w:r>
          </w:p>
        </w:tc>
        <w:tc>
          <w:tcPr>
            <w:tcW w:type="dxa" w:w="1169"/>
          </w:tcPr>
          <w:p>
            <w:r>
              <w:rPr>
                <w:sz w:val="20"/>
              </w:rPr>
              <w:t>10 UI/jour initiales ; 2 injections/jour 0–15 min avant les 2 repas principaux</w:t>
            </w:r>
          </w:p>
        </w:tc>
        <w:tc>
          <w:tcPr>
            <w:tcW w:type="dxa" w:w="1169"/>
          </w:tcPr>
          <w:p>
            <w:r>
              <w:rPr>
                <w:sz w:val="20"/>
              </w:rPr>
              <w:t>Hypoglycémie nocturne (pic protamine)</w:t>
            </w:r>
          </w:p>
        </w:tc>
        <w:tc>
          <w:tcPr>
            <w:tcW w:type="dxa" w:w="1169"/>
          </w:tcPr>
          <w:p>
            <w:r>
              <w:rPr>
                <w:sz w:val="20"/>
              </w:rPr>
              <w:t>Non recommandée (données limitées)</w:t>
            </w:r>
          </w:p>
        </w:tc>
      </w:tr>
      <w:tr>
        <w:tc>
          <w:tcPr>
            <w:tcW w:type="dxa" w:w="1169"/>
          </w:tcPr>
          <w:p>
            <w:r>
              <w:rPr>
                <w:sz w:val="20"/>
              </w:rPr>
              <w:t>**Insuline humaine régulière**</w:t>
            </w:r>
          </w:p>
        </w:tc>
        <w:tc>
          <w:tcPr>
            <w:tcW w:type="dxa" w:w="1169"/>
          </w:tcPr>
          <w:p>
            <w:r>
              <w:rPr>
                <w:sz w:val="20"/>
              </w:rPr>
              <w:t>Humaine rapide (référence)</w:t>
            </w:r>
          </w:p>
        </w:tc>
        <w:tc>
          <w:tcPr>
            <w:tcW w:type="dxa" w:w="1169"/>
          </w:tcPr>
          <w:p>
            <w:r>
              <w:rPr>
                <w:sz w:val="20"/>
              </w:rPr>
              <w:t>30 min (SC) ; immédiat (IV)</w:t>
            </w:r>
          </w:p>
        </w:tc>
        <w:tc>
          <w:tcPr>
            <w:tcW w:type="dxa" w:w="1169"/>
          </w:tcPr>
          <w:p>
            <w:r>
              <w:rPr>
                <w:sz w:val="20"/>
              </w:rPr>
              <w:t>2–4 h</w:t>
            </w:r>
          </w:p>
        </w:tc>
        <w:tc>
          <w:tcPr>
            <w:tcW w:type="dxa" w:w="1169"/>
          </w:tcPr>
          <w:p>
            <w:r>
              <w:rPr>
                <w:sz w:val="20"/>
              </w:rPr>
              <w:t>6–8 h</w:t>
            </w:r>
          </w:p>
        </w:tc>
        <w:tc>
          <w:tcPr>
            <w:tcW w:type="dxa" w:w="1169"/>
          </w:tcPr>
          <w:p>
            <w:r>
              <w:rPr>
                <w:sz w:val="20"/>
              </w:rPr>
              <w:t>0,5–1 UI/kg/j en basal-bolus ; bolus prandial × 3/j 30 min avant repas ; IV en acidocétose</w:t>
            </w:r>
          </w:p>
        </w:tc>
        <w:tc>
          <w:tcPr>
            <w:tcW w:type="dxa" w:w="1169"/>
          </w:tcPr>
          <w:p>
            <w:r>
              <w:rPr>
                <w:sz w:val="20"/>
              </w:rPr>
              <w:t>Hypoglycémie, lipodystrophie</w:t>
            </w:r>
          </w:p>
        </w:tc>
        <w:tc>
          <w:tcPr>
            <w:tcW w:type="dxa" w:w="1169"/>
          </w:tcPr>
          <w:p>
            <w:r>
              <w:rPr>
                <w:sz w:val="20"/>
              </w:rPr>
              <w:t>Compatible (référence)</w:t>
            </w:r>
          </w:p>
        </w:tc>
      </w:tr>
      <w:tr>
        <w:tc>
          <w:tcPr>
            <w:tcW w:type="dxa" w:w="1169"/>
          </w:tcPr>
          <w:p>
            <w:r>
              <w:rPr>
                <w:sz w:val="20"/>
              </w:rPr>
              <w:t>**Insuline humaine NPH**</w:t>
            </w:r>
          </w:p>
        </w:tc>
        <w:tc>
          <w:tcPr>
            <w:tcW w:type="dxa" w:w="1169"/>
          </w:tcPr>
          <w:p>
            <w:r>
              <w:rPr>
                <w:sz w:val="20"/>
              </w:rPr>
              <w:t>Humaine intermédiaire</w:t>
            </w:r>
          </w:p>
        </w:tc>
        <w:tc>
          <w:tcPr>
            <w:tcW w:type="dxa" w:w="1169"/>
          </w:tcPr>
          <w:p>
            <w:r>
              <w:rPr>
                <w:sz w:val="20"/>
              </w:rPr>
              <w:t>1–2 h</w:t>
            </w:r>
          </w:p>
        </w:tc>
        <w:tc>
          <w:tcPr>
            <w:tcW w:type="dxa" w:w="1169"/>
          </w:tcPr>
          <w:p>
            <w:r>
              <w:rPr>
                <w:sz w:val="20"/>
              </w:rPr>
              <w:t>4–6 h</w:t>
            </w:r>
          </w:p>
        </w:tc>
        <w:tc>
          <w:tcPr>
            <w:tcW w:type="dxa" w:w="1169"/>
          </w:tcPr>
          <w:p>
            <w:r>
              <w:rPr>
                <w:sz w:val="20"/>
              </w:rPr>
              <w:t>12–18 h</w:t>
            </w:r>
          </w:p>
        </w:tc>
        <w:tc>
          <w:tcPr>
            <w:tcW w:type="dxa" w:w="1169"/>
          </w:tcPr>
          <w:p>
            <w:r>
              <w:rPr>
                <w:sz w:val="20"/>
              </w:rPr>
              <w:t>0,5–1 UI/kg/j en 2 injections/jour (matin 2/3 + soir 1/3)</w:t>
            </w:r>
          </w:p>
        </w:tc>
        <w:tc>
          <w:tcPr>
            <w:tcW w:type="dxa" w:w="1169"/>
          </w:tcPr>
          <w:p>
            <w:r>
              <w:rPr>
                <w:sz w:val="20"/>
              </w:rPr>
              <w:t>Hypoglycémie nocturne (pic), lipodystrophie</w:t>
            </w:r>
          </w:p>
        </w:tc>
        <w:tc>
          <w:tcPr>
            <w:tcW w:type="dxa" w:w="1169"/>
          </w:tcPr>
          <w:p>
            <w:r>
              <w:rPr>
                <w:sz w:val="20"/>
              </w:rPr>
              <w:t>Compatible (référence — alternative à la glargine)</w:t>
            </w:r>
          </w:p>
        </w:tc>
      </w:tr>
      <w:tr>
        <w:tc>
          <w:tcPr>
            <w:tcW w:type="dxa" w:w="1169"/>
          </w:tcPr>
          <w:p>
            <w:r>
              <w:rPr>
                <w:sz w:val="20"/>
              </w:rPr>
              <w:t>**Insuline humaine biphasique (MIXTARD 30, INSUMAN COMB 25)**</w:t>
            </w:r>
          </w:p>
        </w:tc>
        <w:tc>
          <w:tcPr>
            <w:tcW w:type="dxa" w:w="1169"/>
          </w:tcPr>
          <w:p>
            <w:r>
              <w:rPr>
                <w:sz w:val="20"/>
              </w:rPr>
              <w:t>Humaine biphasique (30/70 ou 25/75)</w:t>
            </w:r>
          </w:p>
        </w:tc>
        <w:tc>
          <w:tcPr>
            <w:tcW w:type="dxa" w:w="1169"/>
          </w:tcPr>
          <w:p>
            <w:r>
              <w:rPr>
                <w:sz w:val="20"/>
              </w:rPr>
              <w:t>30 min (soluble) ; 1–2 h (NPH)</w:t>
            </w:r>
          </w:p>
        </w:tc>
        <w:tc>
          <w:tcPr>
            <w:tcW w:type="dxa" w:w="1169"/>
          </w:tcPr>
          <w:p>
            <w:r>
              <w:rPr>
                <w:sz w:val="20"/>
              </w:rPr>
              <w:t>Double pic 2–4 h et 4–6 h</w:t>
            </w:r>
          </w:p>
        </w:tc>
        <w:tc>
          <w:tcPr>
            <w:tcW w:type="dxa" w:w="1169"/>
          </w:tcPr>
          <w:p>
            <w:r>
              <w:rPr>
                <w:sz w:val="20"/>
              </w:rPr>
              <w:t>14–18 h</w:t>
            </w:r>
          </w:p>
        </w:tc>
        <w:tc>
          <w:tcPr>
            <w:tcW w:type="dxa" w:w="1169"/>
          </w:tcPr>
          <w:p>
            <w:r>
              <w:rPr>
                <w:sz w:val="20"/>
              </w:rPr>
              <w:t>10 UI/jour initiales ; 2 injections/jour 30 min avant les 2 repas principaux</w:t>
            </w:r>
          </w:p>
        </w:tc>
        <w:tc>
          <w:tcPr>
            <w:tcW w:type="dxa" w:w="1169"/>
          </w:tcPr>
          <w:p>
            <w:r>
              <w:rPr>
                <w:sz w:val="20"/>
              </w:rPr>
              <w:t>Hypoglycémie nocturne (pic NPH)</w:t>
            </w:r>
          </w:p>
        </w:tc>
        <w:tc>
          <w:tcPr>
            <w:tcW w:type="dxa" w:w="1169"/>
          </w:tcPr>
          <w:p>
            <w:r>
              <w:rPr>
                <w:sz w:val="20"/>
              </w:rPr>
              <w:t>Non recommandée (préférence basal-bolus conventionnel)</w:t>
            </w:r>
          </w:p>
        </w:tc>
      </w:tr>
      <w:tr>
        <w:tc>
          <w:tcPr>
            <w:tcW w:type="dxa" w:w="1169"/>
          </w:tcPr>
          <w:p>
            <w:r>
              <w:rPr>
                <w:sz w:val="20"/>
              </w:rPr>
              <w:t>**Dégludec + liraglutide (Xultophy)**</w:t>
            </w:r>
          </w:p>
        </w:tc>
        <w:tc>
          <w:tcPr>
            <w:tcW w:type="dxa" w:w="1169"/>
          </w:tcPr>
          <w:p>
            <w:r>
              <w:rPr>
                <w:sz w:val="20"/>
              </w:rPr>
              <w:t>Association fixe insuline + GLP-1</w:t>
            </w:r>
          </w:p>
        </w:tc>
        <w:tc>
          <w:tcPr>
            <w:tcW w:type="dxa" w:w="1169"/>
          </w:tcPr>
          <w:p>
            <w:r>
              <w:rPr>
                <w:sz w:val="20"/>
              </w:rPr>
              <w:t>1–2 h (dégludec) ; 30–60 min (liraglutide effet prandial)</w:t>
            </w:r>
          </w:p>
        </w:tc>
        <w:tc>
          <w:tcPr>
            <w:tcW w:type="dxa" w:w="1169"/>
          </w:tcPr>
          <w:p>
            <w:r>
              <w:rPr>
                <w:sz w:val="20"/>
              </w:rPr>
              <w:t>Sans pic basal ; pic prandial glucose-dépendant</w:t>
            </w:r>
          </w:p>
        </w:tc>
        <w:tc>
          <w:tcPr>
            <w:tcW w:type="dxa" w:w="1169"/>
          </w:tcPr>
          <w:p>
            <w:r>
              <w:rPr>
                <w:sz w:val="20"/>
              </w:rPr>
              <w:t>&gt; 42 h (basal) ; ~13 h (GLP-1)</w:t>
            </w:r>
          </w:p>
        </w:tc>
        <w:tc>
          <w:tcPr>
            <w:tcW w:type="dxa" w:w="1169"/>
          </w:tcPr>
          <w:p>
            <w:r>
              <w:rPr>
                <w:sz w:val="20"/>
              </w:rPr>
              <w:t>10 pas/jour initiaux (10 UI dégludec + 0,36 mg liraglutide) ; titration +2 pas tous les 3–4 jours ; max 50 pas/jour</w:t>
            </w:r>
          </w:p>
        </w:tc>
        <w:tc>
          <w:tcPr>
            <w:tcW w:type="dxa" w:w="1169"/>
          </w:tcPr>
          <w:p>
            <w:r>
              <w:rPr>
                <w:sz w:val="20"/>
              </w:rPr>
              <w:t>Nausées, hypoglycémie, pancréatite (rare)</w:t>
            </w:r>
          </w:p>
        </w:tc>
        <w:tc>
          <w:tcPr>
            <w:tcW w:type="dxa" w:w="1169"/>
          </w:tcPr>
          <w:p>
            <w:r>
              <w:rPr>
                <w:sz w:val="20"/>
              </w:rPr>
              <w:t>Contre-indiquée (liraglutide CI)</w:t>
            </w:r>
          </w:p>
        </w:tc>
      </w:tr>
    </w:tbl>
    <w:p/>
    <w:p>
      <w:pPr>
        <w:pStyle w:val="Heading2"/>
      </w:pPr>
      <w:r>
        <w:t>RÈGLES TRANSVERSALES ET SYNTHÈSE POUR LE PHARMACIEN D'OFFICINE ALGÉRIEN</w:t>
      </w:r>
    </w:p>
    <w:p>
      <w:pPr>
        <w:pStyle w:val="Heading3"/>
      </w:pPr>
      <w:r>
        <w:t>1. Identification visuelle des insulines</w:t>
      </w:r>
    </w:p>
    <w:p>
      <w:pPr>
        <w:pStyle w:val="ListBullet"/>
      </w:pPr>
      <w:r/>
      <w:r>
        <w:rPr>
          <w:b/>
        </w:rPr>
        <w:t>Solution claire transparente</w:t>
      </w:r>
      <w:r>
        <w:t xml:space="preserve"> : analogues ultra-rapides (asparte, lispro, glulisine), humaine régulière, glargine (U100 et U300), dégludec.</w:t>
      </w:r>
    </w:p>
    <w:p>
      <w:pPr>
        <w:pStyle w:val="ListBullet"/>
      </w:pPr>
      <w:r/>
      <w:r>
        <w:rPr>
          <w:b/>
        </w:rPr>
        <w:t>Suspension blanche laiteuse</w:t>
      </w:r>
      <w:r>
        <w:t xml:space="preserve"> : humaine NPH, humaine biphasique (MIXTARD 30, INSUMAN COMB 25), asparte biphasique (NovoMix 30), lispro biphasique (Humalog Mix 25/50). → </w:t>
      </w:r>
      <w:r>
        <w:rPr>
          <w:b/>
        </w:rPr>
        <w:t>Resuspension obligatoire avant chaque injection</w:t>
      </w:r>
      <w:r>
        <w:t xml:space="preserve"> (rouler 20 fois entre les paumes, ne pas secouer).</w:t>
      </w:r>
    </w:p>
    <w:p>
      <w:pPr>
        <w:pStyle w:val="ListBullet"/>
      </w:pPr>
      <w:r/>
      <w:r>
        <w:rPr>
          <w:b/>
        </w:rPr>
        <w:t>Vérifier systématiquement</w:t>
      </w:r>
      <w:r>
        <w:t xml:space="preserve"> : la DCI, la concentration (U100 ou U300), le ratio (pour les biphasiques 30/70, 25/75, 50/50), la date de péremption, le statut (Actif, Non Renouvelable, Retiré).</w:t>
      </w:r>
    </w:p>
    <w:p>
      <w:pPr>
        <w:pStyle w:val="Heading3"/>
      </w:pPr>
      <w:r>
        <w:t>2. Conservation</w:t>
      </w:r>
    </w:p>
    <w:p>
      <w:pPr>
        <w:pStyle w:val="ListBullet"/>
      </w:pPr>
      <w:r/>
      <w:r>
        <w:rPr>
          <w:b/>
        </w:rPr>
        <w:t>Non entamé</w:t>
      </w:r>
      <w:r>
        <w:t xml:space="preserve"> : +2°C à +8°C (porte du réfrigérateur — jamais le congélateur ; congélation = dénaturation irréversible de la protéine). À l'abri de la lumière directe.</w:t>
      </w:r>
    </w:p>
    <w:p>
      <w:pPr>
        <w:pStyle w:val="ListBullet"/>
      </w:pPr>
      <w:r/>
      <w:r>
        <w:rPr>
          <w:b/>
        </w:rPr>
        <w:t>Entamé</w:t>
      </w:r>
      <w:r>
        <w:t xml:space="preserve"> : température ambiante &lt; 25°C (ou &lt; 30°C selon fabricant) — durée variable selon insuline : 4 semaines (asparte, lispro, glulisine, humaine régulière, NPH, humaine biphasique, NovoMix, Humalog Mix, glargine U100, Ryzodeg), 6 semaines (glargine U300 Toujeo), 8 semaines (dégludec Tresiba — avantage). 21 jours pour Xultophy (en raison de la présence du liraglutide).</w:t>
      </w:r>
    </w:p>
    <w:p>
      <w:pPr>
        <w:pStyle w:val="ListBullet"/>
      </w:pPr>
      <w:r/>
      <w:r>
        <w:rPr>
          <w:b/>
        </w:rPr>
        <w:t>Ne pas exposer à &gt; 30°C</w:t>
      </w:r>
      <w:r>
        <w:t xml:space="preserve"> (voiture en été, plage, plage de cuisine près du four).</w:t>
      </w:r>
    </w:p>
    <w:p>
      <w:pPr>
        <w:pStyle w:val="ListBullet"/>
      </w:pPr>
      <w:r/>
      <w:r>
        <w:rPr>
          <w:b/>
        </w:rPr>
        <w:t>Voyage</w:t>
      </w:r>
      <w:r>
        <w:t xml:space="preserve"> : trousse isotherme avec pochettes réfrigérantes gelées à &gt; 0°C (jamais en contact direct avec glace — risque de congélation locale).</w:t>
      </w:r>
    </w:p>
    <w:p>
      <w:pPr>
        <w:pStyle w:val="Heading3"/>
      </w:pPr>
      <w:r>
        <w:t>3. Règles d'administration</w:t>
      </w:r>
    </w:p>
    <w:p>
      <w:pPr>
        <w:pStyle w:val="ListBullet"/>
      </w:pPr>
      <w:r/>
      <w:r>
        <w:rPr>
          <w:b/>
        </w:rPr>
        <w:t>Analogues ultra-rapides</w:t>
      </w:r>
      <w:r>
        <w:t xml:space="preserve"> (asparte, lispro, glulisine) : 0–15 min avant le repas (glulisine peut être injectée jusqu'à 20 min après le début du repas en cas d'oubli).</w:t>
      </w:r>
    </w:p>
    <w:p>
      <w:pPr>
        <w:pStyle w:val="ListBullet"/>
      </w:pPr>
      <w:r/>
      <w:r>
        <w:rPr>
          <w:b/>
        </w:rPr>
        <w:t>Humaine régulière</w:t>
      </w:r>
      <w:r>
        <w:t xml:space="preserve"> : 30 min avant le repas (délai plus long que les analogues en raison de la formation d'hexamères au site d'injection).</w:t>
      </w:r>
    </w:p>
    <w:p>
      <w:pPr>
        <w:pStyle w:val="ListBullet"/>
      </w:pPr>
      <w:r/>
      <w:r>
        <w:rPr>
          <w:b/>
        </w:rPr>
        <w:t>Analogues basaux</w:t>
      </w:r>
      <w:r>
        <w:t xml:space="preserve"> (glargine U100, glargine U300, dégludec) : 1 injection/jour à heure fixe (intervalle minimum 8 h pour dégludec en cas de décalage exceptionnel ; ± 3 h pour glargine U300 ; 24 h pour glargine U100).</w:t>
      </w:r>
    </w:p>
    <w:p>
      <w:pPr>
        <w:pStyle w:val="ListBullet"/>
      </w:pPr>
      <w:r/>
      <w:r>
        <w:rPr>
          <w:b/>
        </w:rPr>
        <w:t>NPH, biphasiques</w:t>
      </w:r>
      <w:r>
        <w:t xml:space="preserve"> : 2 injections/jour (matin et soir), 30 min avant les repas (humaine) ou 0–15 min (analogues).</w:t>
      </w:r>
    </w:p>
    <w:p>
      <w:pPr>
        <w:pStyle w:val="ListBullet"/>
      </w:pPr>
      <w:r/>
      <w:r>
        <w:rPr>
          <w:b/>
        </w:rPr>
        <w:t>Ryzodeg, Xultophy</w:t>
      </w:r>
      <w:r>
        <w:t xml:space="preserve"> : 1 injection/jour à heure fixe (le soir généralement).</w:t>
      </w:r>
    </w:p>
    <w:p>
      <w:pPr>
        <w:pStyle w:val="ListBullet"/>
      </w:pPr>
      <w:r/>
      <w:r>
        <w:rPr>
          <w:b/>
        </w:rPr>
        <w:t>Rotation des sites</w:t>
      </w:r>
      <w:r>
        <w:t xml:space="preserve"> : quadrant abdomen → cuisse → bras → fesse, espacer les injections de 2 cm, ne pas réutiliser le même site avant 3–4 semaines pour éviter les lipodystrophies.</w:t>
      </w:r>
    </w:p>
    <w:p>
      <w:pPr>
        <w:pStyle w:val="ListBullet"/>
      </w:pPr>
      <w:r/>
      <w:r>
        <w:rPr>
          <w:b/>
        </w:rPr>
        <w:t>Aiguille</w:t>
      </w:r>
      <w:r>
        <w:t xml:space="preserve"> : 4–8 mm, neuve à chaque injection, jeter dans un collecteur adapté.</w:t>
      </w:r>
    </w:p>
    <w:p>
      <w:pPr>
        <w:pStyle w:val="Heading3"/>
      </w:pPr>
      <w:r>
        <w:t>4. Gestion de l'hypoglycémie</w:t>
      </w:r>
    </w:p>
    <w:p>
      <w:pPr>
        <w:pStyle w:val="ListBullet"/>
      </w:pPr>
      <w:r/>
      <w:r>
        <w:rPr>
          <w:b/>
        </w:rPr>
        <w:t>Règle des 15/15</w:t>
      </w:r>
      <w:r>
        <w:t xml:space="preserve"> (hypoglycémie modérée, patient conscient) : 15 g de glucides rapides (3 morceaux de sucre, 1 verre de jus de fruit, 1 tube de gel de glucose) → contrôle glycémique à 15 min → si &lt; 0,70 g/L persistant, répéter 15 g → collation de relais (glucides complexes : pain, fruit).</w:t>
      </w:r>
    </w:p>
    <w:p>
      <w:pPr>
        <w:pStyle w:val="ListBullet"/>
      </w:pPr>
      <w:r/>
      <w:r>
        <w:rPr>
          <w:b/>
        </w:rPr>
        <w:t>Hypoglycémie sévère</w:t>
      </w:r>
      <w:r>
        <w:t xml:space="preserve"> (patient inconscient ou incapable d'avaler) : position latérale de sécurité → </w:t>
      </w:r>
      <w:r>
        <w:rPr>
          <w:b/>
        </w:rPr>
        <w:t>glucagon 1 mg IM ou SC</w:t>
      </w:r>
      <w:r>
        <w:t xml:space="preserve"> (Glucagen Hypokit, par proche formé) ou </w:t>
      </w:r>
      <w:r>
        <w:rPr>
          <w:b/>
        </w:rPr>
        <w:t>glucose 30 % IV 50–100 mL</w:t>
      </w:r>
      <w:r>
        <w:t xml:space="preserve"> (en milieu médicalisé) → surveillance 24 h → recherche de cause déclenchante (saut de repas, surdosage, alcool, infection, insuffisance rénale, hypothyroïdie, hypercorticisme, interaction médicamenteuse).</w:t>
      </w:r>
    </w:p>
    <w:p>
      <w:pPr>
        <w:pStyle w:val="Heading3"/>
      </w:pPr>
      <w:r>
        <w:t>5. Pièges critiques</w:t>
      </w:r>
    </w:p>
    <w:p>
      <w:pPr>
        <w:pStyle w:val="ListBullet"/>
      </w:pPr>
      <w:r/>
      <w:r>
        <w:rPr>
          <w:b/>
        </w:rPr>
        <w:t>Confusion U100 vs U300</w:t>
      </w:r>
      <w:r>
        <w:t xml:space="preserve"> (glargine) : 1 UI U300 = 1 UI U100 en termes d'effet biologique, mais le volume injecté est 3 fois moindre en U300. Ne jamais substituer 1 stylo U300 par 3 injections de U100 sans recalcul exact (surdosage massif = hypoglycémie sévère prolongée). Vérifier systématiquement la concentration sur l'étiquette.</w:t>
      </w:r>
    </w:p>
    <w:p>
      <w:pPr>
        <w:pStyle w:val="ListBullet"/>
      </w:pPr>
      <w:r/>
      <w:r>
        <w:rPr>
          <w:b/>
        </w:rPr>
        <w:t>Confusion entre insuline rapide et insuline lente</w:t>
      </w:r>
      <w:r>
        <w:t xml:space="preserve"> : la rapidité d'action ne se devine pas à la couleur du stylo. Vérifier systématiquement l'étiquette et la DCI. Les capuchons des stylos ont des codes couleur (à connaître par cœur) :</w:t>
      </w:r>
    </w:p>
    <w:p>
      <w:pPr>
        <w:pStyle w:val="ListBullet"/>
      </w:pPr>
      <w:r>
        <w:t>Novorapid FlexPen (asparte) : bleu</w:t>
      </w:r>
    </w:p>
    <w:p>
      <w:pPr>
        <w:pStyle w:val="ListBullet"/>
      </w:pPr>
      <w:r>
        <w:t>NovoMix 30 FlexPen (asparte biphasique) : jaune-vert</w:t>
      </w:r>
    </w:p>
    <w:p>
      <w:pPr>
        <w:pStyle w:val="ListBullet"/>
      </w:pPr>
      <w:r>
        <w:t>Tresiba FlexPen (dégludec) : vert</w:t>
      </w:r>
    </w:p>
    <w:p>
      <w:pPr>
        <w:pStyle w:val="ListBullet"/>
      </w:pPr>
      <w:r>
        <w:t>Lantus SoloStar (glargine U100) : gris-violet</w:t>
      </w:r>
    </w:p>
    <w:p>
      <w:pPr>
        <w:pStyle w:val="ListBullet"/>
      </w:pPr>
      <w:r>
        <w:t>Toujeo SoloStar (glargine U300) : bleu foncé</w:t>
      </w:r>
    </w:p>
    <w:p>
      <w:pPr>
        <w:pStyle w:val="ListBullet"/>
      </w:pPr>
      <w:r>
        <w:t>Apidra SoloStar (glulisine) : bleu clair</w:t>
      </w:r>
    </w:p>
    <w:p>
      <w:pPr>
        <w:pStyle w:val="ListBullet"/>
      </w:pPr>
      <w:r>
        <w:t>Humalog KwikPen (lispro) : rouge</w:t>
      </w:r>
    </w:p>
    <w:p>
      <w:pPr>
        <w:pStyle w:val="ListBullet"/>
      </w:pPr>
      <w:r>
        <w:t>Humalog Mix 25/50 KwikPen (lispro biphasique) : jaune-rouge</w:t>
      </w:r>
    </w:p>
    <w:p>
      <w:pPr>
        <w:pStyle w:val="ListBullet"/>
      </w:pPr>
      <w:r>
        <w:t>Actrapid (humaine régulière) : jaune</w:t>
      </w:r>
    </w:p>
    <w:p>
      <w:pPr>
        <w:pStyle w:val="ListBullet"/>
      </w:pPr>
      <w:r>
        <w:t>Insulatard (humaine NPH) : vert clair</w:t>
      </w:r>
    </w:p>
    <w:p>
      <w:pPr>
        <w:pStyle w:val="ListBullet"/>
      </w:pPr>
      <w:r>
        <w:t>Ryzodeg FlexTouch : violet</w:t>
      </w:r>
    </w:p>
    <w:p>
      <w:pPr>
        <w:pStyle w:val="ListBullet"/>
      </w:pPr>
      <w:r>
        <w:t>Xultophy FlexTouch : violet foncé</w:t>
      </w:r>
    </w:p>
    <w:p>
      <w:pPr>
        <w:pStyle w:val="ListBullet"/>
      </w:pPr>
      <w:r/>
      <w:r>
        <w:rPr>
          <w:b/>
        </w:rPr>
        <w:t>Oubli de resuspension</w:t>
      </w:r>
      <w:r>
        <w:t xml:space="preserve"> (NPH, biphasiques humaines et d'analogues) : la composante protamine se dépose au fond du flacon/stylo, et l'injection d'une suspension non homogénéisée entraîne soit l'injection de la phase soluble seule (surdosage insuline soluble = hypoglycémie immédiate, puis hyperglycémie tardive par défaut de basal) soit l'injection de la phase protamine cristalline seule (hypoglycémie retardée et prolongée, puis hyperglycémie par défaut d'effet).</w:t>
      </w:r>
    </w:p>
    <w:p>
      <w:pPr>
        <w:pStyle w:val="ListBullet"/>
      </w:pPr>
      <w:r/>
      <w:r>
        <w:rPr>
          <w:b/>
        </w:rPr>
        <w:t>Hypoglycémie nocturne sous NPH</w:t>
      </w:r>
      <w:r>
        <w:t xml:space="preserve"> : pic de la NPH du soir survient vers 1–3 h du matin. Éducation à la surveillance glycémique à 3 h du matin, à la collation du coucher, et à la réduction de la dose du soir si hypoglycémie nocturne récidivante.</w:t>
      </w:r>
    </w:p>
    <w:p>
      <w:pPr>
        <w:pStyle w:val="ListBullet"/>
      </w:pPr>
      <w:r/>
      <w:r>
        <w:rPr>
          <w:b/>
        </w:rPr>
        <w:t>Substitution</w:t>
      </w:r>
      <w:r>
        <w:t xml:space="preserve"> : en Algérie, de nombreuses marques d'insulines humaines (régulière, NPH, biphasiques) sont actuellement non renouvelables ou retirées — substitution par les analogues ultra-rapides (asparte, lispro) et basaux (glargine, dégludec) fréquente. Adapter le délai d'administration (humaine : 30 min avant repas ; analogues : 0–15 min avant repas), surveiller 2 semaines pour ajustement.</w:t>
      </w:r>
    </w:p>
    <w:p>
      <w:pPr>
        <w:pStyle w:val="Heading3"/>
      </w:pPr>
      <w:r>
        <w:t>6. Alertes Algérie (disponibilité)</w:t>
      </w:r>
    </w:p>
    <w:p>
      <w:pPr>
        <w:pStyle w:val="ListBullet"/>
      </w:pPr>
      <w:r/>
      <w:r>
        <w:rPr>
          <w:b/>
        </w:rPr>
        <w:t>Marques actives privilégiées</w:t>
      </w:r>
      <w:r>
        <w:t xml:space="preserve"> : asparte (BEKINSTA, BIORAPID, NOVORAPID FLEXPEN, INSULINE ASPARTE SANOFI) ; glargine U100 (BEKINSLO, ABASAGLAR, DIAGLAR, BASALOG ONE, GLARUS) ; glargine U300 (GLARUS PLUS, GLATEO, TOUJEO SOLOSTAR) ; dégludec (TRESIBA FLEXPEN, TRESIBA FLEXTOUCH) ; Ryzodeg ; Xultophy ; Humalog (BIOPHARM) ; Humalog Mix 25/50 (BIOPHARM) ; NovoMix 30 FlexPen ; BIOMYXE 30.</w:t>
      </w:r>
    </w:p>
    <w:p>
      <w:pPr>
        <w:pStyle w:val="ListBullet"/>
      </w:pPr>
      <w:r/>
      <w:r>
        <w:rPr>
          <w:b/>
        </w:rPr>
        <w:t>Marques non renouvelables ou retirées</w:t>
      </w:r>
      <w:r>
        <w:t xml:space="preserve"> (alerte pénurie) : la plupart des insulines humaines (Actrapid, Umuline Rapide, Insuman Rapid, Insudal Rapid, Jusline R, Insulatard HM, Umuline NPH, Insuman Basal, Insudal Basal, Jusline N, Mixtard 30, Umuline Profil 30, Insuman Comb 25, Insudal Comb 25, Jusline 30/70, Wosulin, Biosulin, Gensulin, Insulet) ; Apidra (glulisine) ; Lantus (princeps Sanofi) ; Humalog (princeps Eli Lilly) ; Novomix 30 Penfill.</w:t>
      </w:r>
    </w:p>
    <w:p>
      <w:pPr>
        <w:pStyle w:val="ListBullet"/>
      </w:pPr>
      <w:r/>
      <w:r>
        <w:rPr>
          <w:b/>
        </w:rPr>
        <w:t>Conduite à tenir</w:t>
      </w:r>
      <w:r>
        <w:t xml:space="preserve"> : en cas de pénurie d'une marque, substituer par une marque disponible dans la même classe pharmacologique (équivalence 1 UI pour 1 UI), avec adaptation du délai d'administration et surveillance 2 semaines. Éduquer le patient à ne pas interrompre le traitement (risque d'acidocétose en 4–6 h si arrêt de l'insuline).</w:t>
      </w:r>
    </w:p>
    <w:p>
      <w:pPr>
        <w:pStyle w:val="Heading3"/>
      </w:pPr>
      <w:r>
        <w:t>7. Surveillance biologique minimale sous insulinothérapie</w:t>
      </w:r>
    </w:p>
    <w:p>
      <w:pPr>
        <w:pStyle w:val="ListBullet"/>
      </w:pPr>
      <w:r/>
      <w:r>
        <w:rPr>
          <w:b/>
        </w:rPr>
        <w:t>Glycémie capillaire</w:t>
      </w:r>
      <w:r>
        <w:t xml:space="preserve"> : autosurveillance 3–8 fois/jour selon schéma (basal-bolus : ≥ 4/jour ; basal seul : 2/jour ; grossesse : 6–8/jour).</w:t>
      </w:r>
    </w:p>
    <w:p>
      <w:pPr>
        <w:pStyle w:val="ListBullet"/>
      </w:pPr>
      <w:r/>
      <w:r>
        <w:rPr>
          <w:b/>
        </w:rPr>
        <w:t>HbA1c</w:t>
      </w:r>
      <w:r>
        <w:t xml:space="preserve"> : trimestrielle (objectif &lt; 7 % en général, individualisé selon âge, comorbidités, espérance de vie ; &lt; 6,5 % si possible sans hypoglycémie sévère en grossesse).</w:t>
      </w:r>
    </w:p>
    <w:p>
      <w:pPr>
        <w:pStyle w:val="ListBullet"/>
      </w:pPr>
      <w:r/>
      <w:r>
        <w:rPr>
          <w:b/>
        </w:rPr>
        <w:t>Bilan annuel</w:t>
      </w:r>
      <w:r>
        <w:t xml:space="preserve"> : fonction rénale (créatinine, DFG), bilan hépatique, lipidique, micro-albuminurie, ophtalmologique (fond d'œil), examen podologique, ECG.</w:t>
      </w:r>
    </w:p>
    <w:p>
      <w:pPr>
        <w:pStyle w:val="ListBullet"/>
      </w:pPr>
      <w:r/>
      <w:r>
        <w:rPr>
          <w:b/>
        </w:rPr>
        <w:t>Poids</w:t>
      </w:r>
      <w:r>
        <w:t xml:space="preserve"> : mensuel sous insulinothérapie (surveillance de la prise de poids).</w:t>
      </w:r>
    </w:p>
    <w:p>
      <w:pPr>
        <w:pStyle w:val="ListBullet"/>
      </w:pPr>
      <w:r/>
      <w:r>
        <w:rPr>
          <w:b/>
        </w:rPr>
        <w:t>Pour Xultophy</w:t>
      </w:r>
      <w:r>
        <w:t xml:space="preserve"> : surveillance lipase et amylase en cas de symptômes abdominaux (pancréatite).</w:t>
      </w:r>
    </w:p>
    <w:p>
      <w:pPr>
        <w:pStyle w:val="Heading2"/>
      </w:pPr>
      <w:r>
        <w:t>CONCLUSION GÉNÉRALE</w:t>
      </w:r>
    </w:p>
    <w:p>
      <w:r>
        <w:t>L'insulinothérapie reste, un siècle après sa découverte (Banting &amp; Best, 1921), le traitement irremplaçable du diabète de type 1 et un recours thérapeutique majeur du diabète de type 2 en échec des antidiabétiques oraux et des agonistes du GLP-1. Les 12 DCIs disponibles dans la nomenclature algérienne (arrêté avril 2026) couvrent l'ensemble des profils pharmacocinétiques nécessaires : analogues ultra-rapides (asparte, lispro, glulisine) pour la couverture prandiale ; analogues basaux longs et ultra-longs (glargine U100 et U300, dégludec) pour la couverture basale stable ; insulines humaines régulière et NPH pour les schémas économiques et les grossesses ; biphasiques d'humaines et d'analogues pour les schémas simplifiés en 2 injections/jour ; associations fixes (Ryzodeg dégludec+asparte, Xultophy dégludec+liraglutide) pour les schémas allégés en 1 injection/jour.</w:t>
      </w:r>
    </w:p>
    <w:p>
      <w:r>
        <w:t>La maîtrise du mécanisme d'action moléculaire (récepteur αβ, IRS-1/PI3K/Akt, translocation GLUT4), des profils pharmacocinétiques (début d'action, pic, durée), des contre-indications, des interactions médicamenteuses, des règles de conservation et d'administration, et des pièges au comptoir (U100 vs U300, oubli de resuspension, hypoglycémie nocturne, substitution de marques en pénurie) est essentielle pour le pharmacien d'officine algérien. La pénurie actuelle de plusieurs marques d'insulines humaines rend particulièrement importante la maîtrise des substitutions, avec adaptation du délai d'administration et surveillance accrue. L'éducation thérapeutique structurée du patient (rotation des sites, autosurveillance glycémique, gestion de l'hypoglycémie, reconnaissance des signes d'alerte) est un pilier essentiel de la prise en charge. La collaboration pharmacien-médecin-patient est indispensable pour optimiser l'observance, prévenir les complications aiguës (hypoglycémie, acidocétose) et chroniques (rétinopathie, néphropathie, neuropathie, cardiovasculaires), et améliorer la qualité de vie des patients diabétiques algériens.</w:t>
      </w:r>
    </w:p>
    <w:p>
      <w:r/>
      <w:r>
        <w:rPr>
          <w:b/>
        </w:rPr>
        <w:t>Sources consultées</w:t>
      </w:r>
      <w:r>
        <w:t xml:space="preserve"> : VIDAL, ANSM, Thériaque, CRAT (Centre Renseignements sur les Agents Tératogènes), UpToDate, Micromedex, ADA (American Diabetes Association) Standards of Medical Care in Diabetes 2024, EASD (European Association for the Study of Diabetes), HAS (Haute Autorité de Santé), NICE (National Institute for Health and Care Excellence), essais pivots (DCCT, UKPDS, LANMET, ORIGIN, EDITION I-IV, BEGIN, DEVOTE, SWITCH 1/2, BRIGHT, BOOST, DUAL I-VIII, ONWARDS), RCP (Résumé des Caractéristiques du Produit) des spécialités disponibles en Algérie.</w:t>
      </w:r>
    </w:p>
    <w:p>
      <w:pPr>
        <w:pStyle w:val="Heading1"/>
      </w:pPr>
      <w:r>
        <w:t>FASCICULE V — DIABÉTOLOGIE / ENDOCRINOLOGIE</w:t>
      </w:r>
    </w:p>
    <w:p>
      <w:pPr>
        <w:pStyle w:val="Heading2"/>
      </w:pPr>
      <w:r>
        <w:t>Chapitre 42 — Antidiabétiques Oraux et Agonistes du Récepteur GLP-1</w:t>
      </w:r>
    </w:p>
    <w:p>
      <w:pPr>
        <w:pStyle w:val="Heading3"/>
      </w:pPr>
      <w:r>
        <w:t>Introduction générale</w:t>
      </w:r>
    </w:p>
    <w:p>
      <w:r>
        <w:t>Le diabète sucré, véritable pandémie du XXIe siècle, constitue aujourd'hui l'une des priorités absolues des systèmes de santé publique, en Algérie comme partout dans le monde. Selon les estimations de la Fédération Internationale du Diabète (IDF), la prévalence mondiale du diabète chez l'adulte (20–79 ans) a dépassé 537 millions de personnes en 2021, et devrait atteindre 783 millions d'ici 2045. L'Algérie n'échappe pas à cette « tsunami métabolique » : la prévalence nationale du diabète chez l'adulte est estimée entre 12 % et 16 % selon les régions, avec une forte composante de diabète de type 2 (DT2) qui représente plus de 90 % des cas. La transition épidémiologique, l'urbanisation rapide, la sédentarité croissante et les modifications du régime alimentaire (transition nutritionnelle vers une alimentation hypercalorique riche en sucres rapides et en graisses) expliquent cette explosion.</w:t>
      </w:r>
    </w:p>
    <w:p>
      <w:r>
        <w:t>La prise en charge du diabète de type 2 repose sur une stratégie graduée, codifiée par les recommandations conjointes ADA/EASD (American Diabetes Association / European Association for the Study of Diabetes), reprises par la HAS (Haute Autorité de Santé française) et adaptées localement par la Société Algérienne de Diabétologie (SAD). Cette stratégie articule des mesures hygiéno-diététiques (perte de poids, activité physique régulière, régime méditerranéen, sevrage tabagique) et un traitement pharmacologique dont le pivot historique demeure la metformine, prescrite en première intention sauf contre-indication. L'arsenal thérapeutique s'est considérablement enrichi au cours des deux dernières décennies : aux classiques sulfamides hypoglycémiants et à l'acarbose se sont ajoutées les thiazolidinediones (glitazones), les glinides (meglitinides), les inhibiteurs de la DPP-4 (gliptines), les inhibiteurs du SGLT2 (gliflozines) et enfin les agonistes du récepteur du GLP-1 injectables (incrétino-mimétiques). Ces nouvelles classes ont non seulement révolutionné le contrôle glycémique mais aussi modifié le pronostic cardiovasculaire et rénal des patients diabétiques, comme en attestent les grands essais cardiovasculaires (EMPA-REG OUTCOME, CANVAS, DECLARE-TIMI 58, LEADER, SUSTAIN-6, REWIND).</w:t>
      </w:r>
    </w:p>
    <w:p>
      <w:r>
        <w:t>Le présent chapitre se propose de détailler, sous forme de fiches cliniques structurées, les 21 dénominations communes internationales (DCI) d'antidiabétiques oraux et injectables actuellement présentes dans la nomenclature algérienne des médicaments. Chaque fiche a été construite selon un canevas rigoureux intégrant la pharmacologie fondamentale (mécanisme d'action, pharmacocinétique), le profil sécurité/efficacité (indications, contre-indications, effets indésirables), les interactions médicamenteuses pertinentes, les données de grossesse/allaitement (référencées au CRAT — Centre de Renseignement sur les Agents Tératogènes), la posologie standard et adaptée au sujet âgé, l'arbitrage galénique et les conseils au comptoir. L'objectif pédagogique est de fournir à l'étudiant en pharmacie et au futur pharmacien d'officine un référentiel opérationnel pour la dispensation, le conseil pharmaceutique et la pharmacovigilance.</w:t>
      </w:r>
    </w:p>
    <w:p>
      <w:r>
        <w:t>Le chapitre est organisé en douze sous-classes pharmacologiques couvrant les cinq grandes stratégies de réduction de la glycémie : (1) réduction de la production hépatique de glucose (biguanides), (2) stimulation de la sécrétion d'insuline (sulfamides, glinides), (3) retard de l'absorption intestinale du glucose (inhibiteurs alpha-glucosidase), (4) amélioration de la sensibilité périphérique à l'insuline (glitazones), (5) modulation des incrétines endogènes (inhibiteurs DPP-4 et agonistes GLP-1) et (6) augmentation de l'excrétion urinaire du glucose (inhibiteurs SGLT2). Une table comparative synthétique clôt le chapitre.</w:t>
      </w:r>
    </w:p>
    <w:p>
      <w:pPr>
        <w:pStyle w:val="Heading2"/>
      </w:pPr>
      <w:r>
        <w:t>I. Sous-classe : Antidiabétiques oraux — Biguanides</w:t>
      </w:r>
    </w:p>
    <w:p>
      <w:pPr>
        <w:pStyle w:val="Heading3"/>
      </w:pPr>
      <w:r>
        <w:t>Introduction de la sous-classe</w:t>
      </w:r>
    </w:p>
    <w:p>
      <w:r>
        <w:t>Les biguanides dérivent du chamfleur de French lilac (</w:t>
      </w:r>
      <w:r>
        <w:rPr>
          <w:i/>
        </w:rPr>
        <w:t>Galega officinalis</w:t>
      </w:r>
      <w:r>
        <w:t>), plante utilisée depuis le Moyen Âge dans le traitement symptomatique du diabète (polyurie, polydipsie). La galegine, composé isolé au début du XXe siècle, est à l'origine de la synthèse des premiers biguanides : metformine (1922), buformine et phénformine. Si les deux dernières molécules ont été retirées du marché dans les années 1970 en raison d'une incidence élevée d'acidose lactique, la metformine a survécu grâce à un profil bénéfice/risque exceptionnel, confirmé par l'UKPDS (United Kingdom Prospective Diabetes Study) en 1998 qui a démontré sa supériorité en termes de réduction de la mortalité et des complications macrovasculaires. La metformine est aujourd'hui le traitement de première intention du DT2 selon toutes les recommandations internationales (ADA, EASD, HAS, OMS), et son utilisation s'étend au syndrome des ovaires polykystiques (SOPK), à la prévention du diabète (programme DPP) et à certaines formes de stéatose hépatique non alcoolique (NASH).</w:t>
      </w:r>
    </w:p>
    <w:p>
      <w:r>
        <w:t>Le mécanisme d'action principal de la metformine repose sur l'inhibition du complexe I de la chaîne respiratoire mitochondriale, entraînant une baisse de la production d'ATP hépatique, une activation de l'AMPK (AMP-activated protein kinase) et, in fine, une réduction de la néoglucogenèse hépatique. Une inhibition de la glycérophosphate déshydrogénase mitochondriale (mGPD) participe également à cet effet. À l'inverse des sulfamides et des insulines, la metformine ne stimule pas la sécrétion d'insuline : son action est euglycémiante et non hypoglycémiante, ce qui explique son faible risque d'hypoglycémie intrinsèque et l'absence de prise de poids. Elle améliore par ailleurs la sensibilité périphérique à l'insuline (muscle squelettique) et modère légèrement l'absorption intestinale du glucose.</w:t>
      </w:r>
    </w:p>
    <w:p>
      <w:r>
        <w:t>Pharmacocinétiquement, la metformine est absorbée par le transporteur intestinal OCT1, distribuée dans le compartiment extracellulaire sans fixation protéique significative, non métabolisée, et éliminée inchangée par voie rénale via les transporteurs tubulaires OCT2 et MATE1. Sa demi-vie d'élimination est courte (environ 6 h), mais les formulations à libération prolongée (LP) permettent une administration quotidienne unique. Le risque principal est l'acidose lactique, exceptionnelle (≈ 3 à 10 cas/100 000 patient-années) mais potentiellement létale, qui survient préférentiellement en contexte d'hypoxie tissulaire, d'insuffisance rénale aiguë ou chronique sévère, ou de choc.</w:t>
      </w:r>
    </w:p>
    <w:p>
      <w:pPr>
        <w:pStyle w:val="Heading3"/>
      </w:pPr>
      <w:r>
        <w:t>1. DCI : Metformine (Seule)</w:t>
      </w:r>
    </w:p>
    <w:p>
      <w:r/>
      <w:r>
        <w:rPr>
          <w:b/>
        </w:rPr>
        <w:t>Liste des Catégories :</w:t>
      </w:r>
      <w:r>
        <w:t xml:space="preserve"> Antidiabétiques oraux — Biguanides ; Liste I ; Actif.</w:t>
      </w:r>
    </w:p>
    <w:p>
      <w:r>
        <w:t>La metformine (N,N-diméthylimidodicarbonimidique diamide) est le biguanide de référence, prescrit en Algérie depuis plus de cinquante ans et présent sous plus de 25 marques commerciales. Sa pharmacocinétique est dominée par une absorption intestinale incomplète (50–60 % de la dose), une absence de métabolisation hépatique et une élimination exclusivement rénale (clairance ≈ 500 mL/min, excrétion tubulaire active). La biodisponibilité est de l'ordre de 50 à 60 %, le pic plasmatique atteint en 2 à 4 h (forme standard) ou 7 h (forme LP). La demi-vie plasmatique terminale est d'environ 6 h. Le pic d'effet hypoglycémiant s'observe en 4 h mais la démonstration de l'efficacité HbA1c se fait à 3 mois. La metformine traverse le placenta mais n'est pas tératogène ; elle est excrétée dans le lait maternel en quantité minime.</w:t>
      </w:r>
    </w:p>
    <w:p>
      <w:r/>
      <w:r>
        <w:rPr>
          <w:b/>
        </w:rPr>
        <w:t>Médicaments disponibles en Algérie (Marques, Laboratoires, Formes et Dosages) :</w:t>
      </w:r>
      <w:r/>
    </w:p>
    <w:p>
      <w:pPr>
        <w:pStyle w:val="ListBullet"/>
      </w:pPr>
      <w:r/>
      <w:r>
        <w:rPr>
          <w:b/>
        </w:rPr>
        <w:t>GLUCOPHAGE 500</w:t>
      </w:r>
      <w:r>
        <w:t xml:space="preserve"> (MERCK SANTE S.A.S)</w:t>
      </w:r>
    </w:p>
    <w:p>
      <w:pPr>
        <w:pStyle w:val="ListBullet"/>
      </w:pPr>
      <w:r>
        <w:t>Formes et Dosages : Comprimé pelliculé 500 mg — Boîte de 30 et 90</w:t>
      </w:r>
    </w:p>
    <w:p>
      <w:pPr>
        <w:pStyle w:val="ListBullet"/>
      </w:pPr>
      <w:r>
        <w:t>Statut : Actif</w:t>
      </w:r>
    </w:p>
    <w:p>
      <w:pPr>
        <w:pStyle w:val="ListBullet"/>
      </w:pPr>
      <w:r/>
      <w:r>
        <w:rPr>
          <w:b/>
        </w:rPr>
        <w:t>GLUCOPHAGE 850</w:t>
      </w:r>
      <w:r>
        <w:t xml:space="preserve"> (MERCK SANTE S.A.S)</w:t>
      </w:r>
    </w:p>
    <w:p>
      <w:pPr>
        <w:pStyle w:val="ListBullet"/>
      </w:pPr>
      <w:r>
        <w:t>Formes et Dosages : Comprimé pelliculé 850 mg — Boîte de 30 et 90</w:t>
      </w:r>
    </w:p>
    <w:p>
      <w:pPr>
        <w:pStyle w:val="ListBullet"/>
      </w:pPr>
      <w:r>
        <w:t>Statut : Actif</w:t>
      </w:r>
    </w:p>
    <w:p>
      <w:pPr>
        <w:pStyle w:val="ListBullet"/>
      </w:pPr>
      <w:r/>
      <w:r>
        <w:rPr>
          <w:b/>
        </w:rPr>
        <w:t>GLUCOPHAGE</w:t>
      </w:r>
      <w:r>
        <w:t xml:space="preserve"> (MERCK SANTE S.A.S)</w:t>
      </w:r>
    </w:p>
    <w:p>
      <w:pPr>
        <w:pStyle w:val="ListBullet"/>
      </w:pPr>
      <w:r>
        <w:t>Formes et Dosages : Comprimé pelliculé sécable 1000 mg — Boîte de 30</w:t>
      </w:r>
    </w:p>
    <w:p>
      <w:pPr>
        <w:pStyle w:val="ListBullet"/>
      </w:pPr>
      <w:r>
        <w:t>Statut : Actif</w:t>
      </w:r>
    </w:p>
    <w:p>
      <w:pPr>
        <w:pStyle w:val="ListBullet"/>
      </w:pPr>
      <w:r/>
      <w:r>
        <w:rPr>
          <w:b/>
        </w:rPr>
        <w:t>STAGID</w:t>
      </w:r>
      <w:r>
        <w:t xml:space="preserve"> (MERCK SANTE S.A.S)</w:t>
      </w:r>
    </w:p>
    <w:p>
      <w:pPr>
        <w:pStyle w:val="ListBullet"/>
      </w:pPr>
      <w:r>
        <w:t>Formes et Dosages : Comprimé sécable 700 mg — Boîte de 30</w:t>
      </w:r>
    </w:p>
    <w:p>
      <w:pPr>
        <w:pStyle w:val="ListBullet"/>
      </w:pPr>
      <w:r>
        <w:t>Statut : Actif</w:t>
      </w:r>
    </w:p>
    <w:p>
      <w:pPr>
        <w:pStyle w:val="ListBullet"/>
      </w:pPr>
      <w:r/>
      <w:r>
        <w:rPr>
          <w:b/>
        </w:rPr>
        <w:t>DIABAMINE BGL</w:t>
      </w:r>
      <w:r>
        <w:t xml:space="preserve"> (BIOGALENIC)</w:t>
      </w:r>
    </w:p>
    <w:p>
      <w:pPr>
        <w:pStyle w:val="ListBullet"/>
      </w:pPr>
      <w:r>
        <w:t>Formes et Dosages : Cp pelliculé 500 mg (B/50), 850 mg (B/100), 1000 mg (B/30)</w:t>
      </w:r>
    </w:p>
    <w:p>
      <w:pPr>
        <w:pStyle w:val="ListBullet"/>
      </w:pPr>
      <w:r>
        <w:t>Statut : Actif</w:t>
      </w:r>
    </w:p>
    <w:p>
      <w:pPr>
        <w:pStyle w:val="ListBullet"/>
      </w:pPr>
      <w:r/>
      <w:r>
        <w:rPr>
          <w:b/>
        </w:rPr>
        <w:t>FORMENTIN</w:t>
      </w:r>
      <w:r>
        <w:t xml:space="preserve"> (BIOCARE)</w:t>
      </w:r>
    </w:p>
    <w:p>
      <w:pPr>
        <w:pStyle w:val="ListBullet"/>
      </w:pPr>
      <w:r>
        <w:t>Formes et Dosages : Cp pelliculé 500 mg (B/30, B/50, B/100), Cp pelliculé sécable 1000 mg (B/30, B/100)</w:t>
      </w:r>
    </w:p>
    <w:p>
      <w:pPr>
        <w:pStyle w:val="ListBullet"/>
      </w:pPr>
      <w:r>
        <w:t>Statut : Actif</w:t>
      </w:r>
    </w:p>
    <w:p>
      <w:pPr>
        <w:pStyle w:val="ListBullet"/>
      </w:pPr>
      <w:r/>
      <w:r>
        <w:rPr>
          <w:b/>
        </w:rPr>
        <w:t>GLUCOFORMINE</w:t>
      </w:r>
      <w:r>
        <w:t xml:space="preserve"> (HUPP PHARMA)</w:t>
      </w:r>
    </w:p>
    <w:p>
      <w:pPr>
        <w:pStyle w:val="ListBullet"/>
      </w:pPr>
      <w:r>
        <w:t>Formes et Dosages : Cp pelliculé 500 mg (B/30), 850 mg (B/30, B/100), Cp pelliculé sécable 1000 mg (B/30, B/100)</w:t>
      </w:r>
    </w:p>
    <w:p>
      <w:pPr>
        <w:pStyle w:val="ListBullet"/>
      </w:pPr>
      <w:r>
        <w:t>Statut : Actif</w:t>
      </w:r>
    </w:p>
    <w:p>
      <w:pPr>
        <w:pStyle w:val="ListBullet"/>
      </w:pPr>
      <w:r/>
      <w:r>
        <w:rPr>
          <w:b/>
        </w:rPr>
        <w:t>GLUCOMEX</w:t>
      </w:r>
      <w:r>
        <w:t xml:space="preserve"> (KPMA BIOTIC)</w:t>
      </w:r>
    </w:p>
    <w:p>
      <w:pPr>
        <w:pStyle w:val="ListBullet"/>
      </w:pPr>
      <w:r>
        <w:t>Formes et Dosages : Cp pelliculé 500 mg (B/30), 850 mg (B/30, B/90), 1000 mg (B/90)</w:t>
      </w:r>
    </w:p>
    <w:p>
      <w:pPr>
        <w:pStyle w:val="ListBullet"/>
      </w:pPr>
      <w:r>
        <w:t>Statut : Actif</w:t>
      </w:r>
    </w:p>
    <w:p>
      <w:pPr>
        <w:pStyle w:val="ListBullet"/>
      </w:pPr>
      <w:r/>
      <w:r>
        <w:rPr>
          <w:b/>
        </w:rPr>
        <w:t>NOVOFORMINE</w:t>
      </w:r>
      <w:r>
        <w:t xml:space="preserve"> (ALDAPH SPA)</w:t>
      </w:r>
    </w:p>
    <w:p>
      <w:pPr>
        <w:pStyle w:val="ListBullet"/>
      </w:pPr>
      <w:r>
        <w:t>Formes et Dosages : Cp pelliculé 500 mg, 850 mg, 1000 mg (B/30)</w:t>
      </w:r>
    </w:p>
    <w:p>
      <w:pPr>
        <w:pStyle w:val="ListBullet"/>
      </w:pPr>
      <w:r>
        <w:t>Statut : Actif</w:t>
      </w:r>
    </w:p>
    <w:p>
      <w:pPr>
        <w:pStyle w:val="ListBullet"/>
      </w:pPr>
      <w:r/>
      <w:r>
        <w:rPr>
          <w:b/>
        </w:rPr>
        <w:t>PHYSIOPHORMINE</w:t>
      </w:r>
      <w:r>
        <w:t xml:space="preserve"> (PHYSIOPHARM LABORATOIRES)</w:t>
      </w:r>
    </w:p>
    <w:p>
      <w:pPr>
        <w:pStyle w:val="ListBullet"/>
      </w:pPr>
      <w:r>
        <w:t>Formes et Dosages : Cp pelliculé 500 mg (B/50), 1000 mg (B/30, B/60, B/90) ; Sachets de poudre pour solution buvable dosés à 500 mg, 850 mg et 1000 mg (B/30 sachets)</w:t>
      </w:r>
    </w:p>
    <w:p>
      <w:pPr>
        <w:pStyle w:val="ListBullet"/>
      </w:pPr>
      <w:r>
        <w:t>Statut : Actif</w:t>
      </w:r>
    </w:p>
    <w:p>
      <w:pPr>
        <w:pStyle w:val="ListBullet"/>
      </w:pPr>
      <w:r/>
      <w:r>
        <w:rPr>
          <w:b/>
        </w:rPr>
        <w:t>NEXECOR</w:t>
      </w:r>
      <w:r>
        <w:t xml:space="preserve"> (LABORATOIRES BEKER)</w:t>
      </w:r>
    </w:p>
    <w:p>
      <w:pPr>
        <w:pStyle w:val="ListBullet"/>
      </w:pPr>
      <w:r>
        <w:t>Formes et Dosages : Cp pelliculé 500 mg (B/98), Cp pelliculé sécable 1000 mg (B/90), Cp pelliculé 850 mg (B/90)</w:t>
      </w:r>
    </w:p>
    <w:p>
      <w:pPr>
        <w:pStyle w:val="ListBullet"/>
      </w:pPr>
      <w:r>
        <w:t>Statut : Actif</w:t>
      </w:r>
    </w:p>
    <w:p>
      <w:pPr>
        <w:pStyle w:val="ListBullet"/>
      </w:pPr>
      <w:r/>
      <w:r>
        <w:rPr>
          <w:b/>
        </w:rPr>
        <w:t>NEWFORMINE</w:t>
      </w:r>
      <w:r>
        <w:t xml:space="preserve"> (ROSASPHARMA)</w:t>
      </w:r>
    </w:p>
    <w:p>
      <w:pPr>
        <w:pStyle w:val="ListBullet"/>
      </w:pPr>
      <w:r>
        <w:t>Formes et Dosages : Cp pelliculé 500 mg, 850 mg, 1000 mg (B/30)</w:t>
      </w:r>
    </w:p>
    <w:p>
      <w:pPr>
        <w:pStyle w:val="ListBullet"/>
      </w:pPr>
      <w:r>
        <w:t>Statut : Actif</w:t>
      </w:r>
    </w:p>
    <w:p>
      <w:pPr>
        <w:pStyle w:val="ListBullet"/>
      </w:pPr>
      <w:r/>
      <w:r>
        <w:rPr>
          <w:b/>
        </w:rPr>
        <w:t>DIAGUANID</w:t>
      </w:r>
      <w:r>
        <w:t xml:space="preserve"> (GROUPE SAIDAL)</w:t>
      </w:r>
    </w:p>
    <w:p>
      <w:pPr>
        <w:pStyle w:val="ListBullet"/>
      </w:pPr>
      <w:r>
        <w:t>Formes et Dosages : Cp pelliculé 850 mg (B/30, B/90, B/120), Cp pelliculé sécable 1000 mg (B/30)</w:t>
      </w:r>
    </w:p>
    <w:p>
      <w:pPr>
        <w:pStyle w:val="ListBullet"/>
      </w:pPr>
      <w:r>
        <w:t>Statut : Actif</w:t>
      </w:r>
    </w:p>
    <w:p>
      <w:pPr>
        <w:pStyle w:val="ListBullet"/>
      </w:pPr>
      <w:r/>
      <w:r>
        <w:rPr>
          <w:b/>
        </w:rPr>
        <w:t>FARMIDOX</w:t>
      </w:r>
      <w:r>
        <w:t xml:space="preserve"> (LABORATOIRE ALGERIEN DU MEDICAMENT)</w:t>
      </w:r>
    </w:p>
    <w:p>
      <w:pPr>
        <w:pStyle w:val="ListBullet"/>
      </w:pPr>
      <w:r>
        <w:t>Formes et Dosages : Cp pelliculé 850 mg (B/30)</w:t>
      </w:r>
    </w:p>
    <w:p>
      <w:pPr>
        <w:pStyle w:val="ListBullet"/>
      </w:pPr>
      <w:r>
        <w:t>Statut : Actif</w:t>
      </w:r>
    </w:p>
    <w:p>
      <w:pPr>
        <w:pStyle w:val="ListBullet"/>
      </w:pPr>
      <w:r/>
      <w:r>
        <w:rPr>
          <w:b/>
        </w:rPr>
        <w:t>GLUCONAD</w:t>
      </w:r>
      <w:r>
        <w:t xml:space="preserve"> (NADPHARMADIC-PRODUCTION)</w:t>
      </w:r>
    </w:p>
    <w:p>
      <w:pPr>
        <w:pStyle w:val="ListBullet"/>
      </w:pPr>
      <w:r>
        <w:t>Formes et Dosages : Cp pelliculé 850 mg (B/30, B/60, B/90, B/120)</w:t>
      </w:r>
    </w:p>
    <w:p>
      <w:pPr>
        <w:pStyle w:val="ListBullet"/>
      </w:pPr>
      <w:r>
        <w:t>Statut : Actif</w:t>
      </w:r>
    </w:p>
    <w:p>
      <w:pPr>
        <w:pStyle w:val="ListBullet"/>
      </w:pPr>
      <w:r/>
      <w:r>
        <w:rPr>
          <w:b/>
        </w:rPr>
        <w:t>GLUCOTAC</w:t>
      </w:r>
      <w:r>
        <w:t xml:space="preserve"> (SARL PHARMA SPHERE)</w:t>
      </w:r>
    </w:p>
    <w:p>
      <w:pPr>
        <w:pStyle w:val="ListBullet"/>
      </w:pPr>
      <w:r>
        <w:t>Formes et Dosages : Cp pelliculé 850 mg (B/30)</w:t>
      </w:r>
    </w:p>
    <w:p>
      <w:pPr>
        <w:pStyle w:val="ListBullet"/>
      </w:pPr>
      <w:r>
        <w:t>Statut : Actif</w:t>
      </w:r>
    </w:p>
    <w:p>
      <w:pPr>
        <w:pStyle w:val="ListBullet"/>
      </w:pPr>
      <w:r/>
      <w:r>
        <w:rPr>
          <w:b/>
        </w:rPr>
        <w:t>METFOR 850</w:t>
      </w:r>
      <w:r>
        <w:t xml:space="preserve"> (EL KENDI INDUSTRIE DU MEDICAMENT)</w:t>
      </w:r>
    </w:p>
    <w:p>
      <w:pPr>
        <w:pStyle w:val="ListBullet"/>
      </w:pPr>
      <w:r>
        <w:t>Formes et Dosages : Cp pelliculé 850 mg (B/60)</w:t>
      </w:r>
    </w:p>
    <w:p>
      <w:pPr>
        <w:pStyle w:val="ListBullet"/>
      </w:pPr>
      <w:r>
        <w:t>Statut : Actif</w:t>
      </w:r>
    </w:p>
    <w:p>
      <w:pPr>
        <w:pStyle w:val="ListBullet"/>
      </w:pPr>
      <w:r/>
      <w:r>
        <w:rPr>
          <w:b/>
        </w:rPr>
        <w:t>METFORAL</w:t>
      </w:r>
      <w:r>
        <w:t xml:space="preserve"> (GUIDOTTI SPA)</w:t>
      </w:r>
    </w:p>
    <w:p>
      <w:pPr>
        <w:pStyle w:val="ListBullet"/>
      </w:pPr>
      <w:r>
        <w:t>Formes et Dosages : Cp pelliculé sécable 850 mg (B/30, B/90)</w:t>
      </w:r>
    </w:p>
    <w:p>
      <w:pPr>
        <w:pStyle w:val="ListBullet"/>
      </w:pPr>
      <w:r>
        <w:t>Statut : Actif</w:t>
      </w:r>
    </w:p>
    <w:p>
      <w:pPr>
        <w:pStyle w:val="ListBullet"/>
      </w:pPr>
      <w:r/>
      <w:r>
        <w:rPr>
          <w:b/>
        </w:rPr>
        <w:t>METFORAL 1000</w:t>
      </w:r>
      <w:r>
        <w:t xml:space="preserve"> (GUIDOTTI SPA)</w:t>
      </w:r>
    </w:p>
    <w:p>
      <w:pPr>
        <w:pStyle w:val="ListBullet"/>
      </w:pPr>
      <w:r>
        <w:t>Formes et Dosages : Cp pelliculé sécable 1000 mg (B/30, B/60)</w:t>
      </w:r>
    </w:p>
    <w:p>
      <w:pPr>
        <w:pStyle w:val="ListBullet"/>
      </w:pPr>
      <w:r>
        <w:t>Statut : Actif</w:t>
      </w:r>
    </w:p>
    <w:p>
      <w:pPr>
        <w:pStyle w:val="ListBullet"/>
      </w:pPr>
      <w:r/>
      <w:r>
        <w:rPr>
          <w:b/>
        </w:rPr>
        <w:t>METOPHAGE</w:t>
      </w:r>
      <w:r>
        <w:t xml:space="preserve"> (FRATER-RAZES FORME SECHE)</w:t>
      </w:r>
    </w:p>
    <w:p>
      <w:pPr>
        <w:pStyle w:val="ListBullet"/>
      </w:pPr>
      <w:r>
        <w:t>Formes et Dosages : Comprimé 850 mg (B/30)</w:t>
      </w:r>
    </w:p>
    <w:p>
      <w:pPr>
        <w:pStyle w:val="ListBullet"/>
      </w:pPr>
      <w:r>
        <w:t>Statut : Actif</w:t>
      </w:r>
    </w:p>
    <w:p>
      <w:pPr>
        <w:pStyle w:val="ListBullet"/>
      </w:pPr>
      <w:r/>
      <w:r>
        <w:rPr>
          <w:b/>
        </w:rPr>
        <w:t>METLESS LP</w:t>
      </w:r>
      <w:r>
        <w:t xml:space="preserve"> (HIKMA PHARMA ALGERIA)</w:t>
      </w:r>
    </w:p>
    <w:p>
      <w:pPr>
        <w:pStyle w:val="ListBullet"/>
      </w:pPr>
      <w:r>
        <w:t>Formes et Dosages : Cp à libération prolongée 500 mg, 750 mg, 1000 mg (B/30)</w:t>
      </w:r>
    </w:p>
    <w:p>
      <w:pPr>
        <w:pStyle w:val="ListBullet"/>
      </w:pPr>
      <w:r>
        <w:t>Statut : Actif</w:t>
      </w:r>
    </w:p>
    <w:p>
      <w:pPr>
        <w:pStyle w:val="ListBullet"/>
      </w:pPr>
      <w:r/>
      <w:r>
        <w:rPr>
          <w:b/>
        </w:rPr>
        <w:t>METFOR LP</w:t>
      </w:r>
      <w:r>
        <w:t xml:space="preserve"> (EL KENDI INDUSTRIE DU MEDICAMENT)</w:t>
      </w:r>
    </w:p>
    <w:p>
      <w:pPr>
        <w:pStyle w:val="ListBullet"/>
      </w:pPr>
      <w:r>
        <w:t>Formes et Dosages : Cp à libération prolongée 1 g (B/30)</w:t>
      </w:r>
    </w:p>
    <w:p>
      <w:pPr>
        <w:pStyle w:val="ListBullet"/>
      </w:pPr>
      <w:r>
        <w:t>Statut : Actif</w:t>
      </w:r>
    </w:p>
    <w:p>
      <w:pPr>
        <w:pStyle w:val="ListBullet"/>
      </w:pPr>
      <w:r/>
      <w:r>
        <w:rPr>
          <w:b/>
        </w:rPr>
        <w:t>NEXECOR</w:t>
      </w:r>
      <w:r>
        <w:t xml:space="preserve"> (LABORATOIRE BEKER) — variante 500 mg en B/28 et B/98</w:t>
      </w:r>
    </w:p>
    <w:p>
      <w:pPr>
        <w:pStyle w:val="ListBullet"/>
      </w:pPr>
      <w:r>
        <w:t>Formes et Dosages : Cp pelliculé 500 mg (B/28, B/98)</w:t>
      </w:r>
    </w:p>
    <w:p>
      <w:pPr>
        <w:pStyle w:val="ListBullet"/>
      </w:pPr>
      <w:r>
        <w:t>Statut : Non Renouvelable</w:t>
      </w:r>
    </w:p>
    <w:p>
      <w:pPr>
        <w:pStyle w:val="ListBullet"/>
      </w:pPr>
      <w:r/>
      <w:r>
        <w:rPr>
          <w:b/>
        </w:rPr>
        <w:t>PHYSIOPHORMINE</w:t>
      </w:r>
      <w:r>
        <w:t xml:space="preserve"> (PHYSIOPHARM SARL) — variante 850 mg</w:t>
      </w:r>
    </w:p>
    <w:p>
      <w:pPr>
        <w:pStyle w:val="ListBullet"/>
      </w:pPr>
      <w:r>
        <w:t>Formes et Dosages : Cp pelliculé 850 mg (B/30, B/90, B/120)</w:t>
      </w:r>
    </w:p>
    <w:p>
      <w:pPr>
        <w:pStyle w:val="ListBullet"/>
      </w:pPr>
      <w:r>
        <w:t>Statut : Non Renouvelable</w:t>
      </w:r>
    </w:p>
    <w:p>
      <w:pPr>
        <w:pStyle w:val="ListBullet"/>
      </w:pPr>
      <w:r/>
      <w:r>
        <w:rPr>
          <w:b/>
        </w:rPr>
        <w:t>METFORAL</w:t>
      </w:r>
      <w:r>
        <w:t xml:space="preserve"> (MENARINI)</w:t>
      </w:r>
    </w:p>
    <w:p>
      <w:pPr>
        <w:pStyle w:val="ListBullet"/>
      </w:pPr>
      <w:r>
        <w:t>Formes et Dosages : Cp 500 mg (B/50)</w:t>
      </w:r>
    </w:p>
    <w:p>
      <w:pPr>
        <w:pStyle w:val="ListBullet"/>
      </w:pPr>
      <w:r>
        <w:t>Statut : Retiré (R)</w:t>
      </w:r>
    </w:p>
    <w:p>
      <w:pPr>
        <w:pStyle w:val="ListBullet"/>
      </w:pPr>
      <w:r/>
      <w:r>
        <w:rPr>
          <w:b/>
        </w:rPr>
        <w:t>GLUCOMET</w:t>
      </w:r>
      <w:r>
        <w:t xml:space="preserve"> (UNITED PHARMACEUTICAL MANUFACTURING — UPM)</w:t>
      </w:r>
    </w:p>
    <w:p>
      <w:pPr>
        <w:pStyle w:val="ListBullet"/>
      </w:pPr>
      <w:r>
        <w:t>Formes et Dosages : Cp 500 mg (B/20)</w:t>
      </w:r>
    </w:p>
    <w:p>
      <w:pPr>
        <w:pStyle w:val="ListBullet"/>
      </w:pPr>
      <w:r>
        <w:t>Statut : Retiré (R)</w:t>
      </w:r>
    </w:p>
    <w:p>
      <w:pPr>
        <w:pStyle w:val="ListBullet"/>
      </w:pPr>
      <w:r/>
      <w:r>
        <w:rPr>
          <w:b/>
        </w:rPr>
        <w:t>MEFORIN</w:t>
      </w:r>
      <w:r>
        <w:t xml:space="preserve"> (JORDANIAN PHARMACEUTICAL MANIFACTURING)</w:t>
      </w:r>
    </w:p>
    <w:p>
      <w:pPr>
        <w:pStyle w:val="ListBullet"/>
      </w:pPr>
      <w:r>
        <w:t>Formes et Dosages : Cp 500 mg (B/30)</w:t>
      </w:r>
    </w:p>
    <w:p>
      <w:pPr>
        <w:pStyle w:val="ListBullet"/>
      </w:pPr>
      <w:r>
        <w:t>Statut : Retiré (R)</w:t>
      </w:r>
    </w:p>
    <w:p>
      <w:pPr>
        <w:pStyle w:val="ListBullet"/>
      </w:pPr>
      <w:r/>
      <w:r>
        <w:rPr>
          <w:b/>
        </w:rPr>
        <w:t>BIGUAN</w:t>
      </w:r>
      <w:r>
        <w:t xml:space="preserve"> (COOPER MAROC)</w:t>
      </w:r>
    </w:p>
    <w:p>
      <w:pPr>
        <w:pStyle w:val="ListBullet"/>
      </w:pPr>
      <w:r>
        <w:t>Formes et Dosages : Cp 500 mg (B/50) ; Cp 850 mg (B/60)</w:t>
      </w:r>
    </w:p>
    <w:p>
      <w:pPr>
        <w:pStyle w:val="ListBullet"/>
      </w:pPr>
      <w:r>
        <w:t>Statut : Retiré (R)</w:t>
      </w:r>
    </w:p>
    <w:p>
      <w:pPr>
        <w:pStyle w:val="ListBullet"/>
      </w:pPr>
      <w:r/>
      <w:r>
        <w:rPr>
          <w:b/>
        </w:rPr>
        <w:t>CROFORMINE</w:t>
      </w:r>
      <w:r>
        <w:t xml:space="preserve"> (CROVIS PHILCOM)</w:t>
      </w:r>
    </w:p>
    <w:p>
      <w:pPr>
        <w:pStyle w:val="ListBullet"/>
      </w:pPr>
      <w:r>
        <w:t>Formes et Dosages : Cp 500 mg (B/50)</w:t>
      </w:r>
    </w:p>
    <w:p>
      <w:pPr>
        <w:pStyle w:val="ListBullet"/>
      </w:pPr>
      <w:r>
        <w:t>Statut : Retiré (R)</w:t>
      </w:r>
    </w:p>
    <w:p>
      <w:pPr>
        <w:pStyle w:val="ListBullet"/>
      </w:pPr>
      <w:r/>
      <w:r>
        <w:rPr>
          <w:b/>
        </w:rPr>
        <w:t>DIABFORMINE</w:t>
      </w:r>
      <w:r>
        <w:t xml:space="preserve"> (GEOPHARM)</w:t>
      </w:r>
    </w:p>
    <w:p>
      <w:pPr>
        <w:pStyle w:val="ListBullet"/>
      </w:pPr>
      <w:r>
        <w:t>Formes et Dosages : Cp 850 mg (B/30, B/90)</w:t>
      </w:r>
    </w:p>
    <w:p>
      <w:pPr>
        <w:pStyle w:val="ListBullet"/>
      </w:pPr>
      <w:r>
        <w:t>Statut : Retiré (R)</w:t>
      </w:r>
    </w:p>
    <w:p>
      <w:pPr>
        <w:pStyle w:val="ListBullet"/>
      </w:pPr>
      <w:r/>
      <w:r>
        <w:rPr>
          <w:b/>
        </w:rPr>
        <w:t>METFORMAL</w:t>
      </w:r>
      <w:r>
        <w:t xml:space="preserve"> (MENARINI)</w:t>
      </w:r>
    </w:p>
    <w:p>
      <w:pPr>
        <w:pStyle w:val="ListBullet"/>
      </w:pPr>
      <w:r>
        <w:t>Formes et Dosages : Cp 850 mg (B/120)</w:t>
      </w:r>
    </w:p>
    <w:p>
      <w:pPr>
        <w:pStyle w:val="ListBullet"/>
      </w:pPr>
      <w:r>
        <w:t>Statut : Retiré (R)</w:t>
      </w:r>
    </w:p>
    <w:p>
      <w:pPr>
        <w:pStyle w:val="ListBullet"/>
      </w:pPr>
      <w:r/>
      <w:r>
        <w:rPr>
          <w:b/>
        </w:rPr>
        <w:t>DIABYL</w:t>
      </w:r>
      <w:r>
        <w:t xml:space="preserve"> (GALENICA)</w:t>
      </w:r>
    </w:p>
    <w:p>
      <w:pPr>
        <w:pStyle w:val="ListBullet"/>
      </w:pPr>
      <w:r>
        <w:t>Formes et Dosages : Cp 850 mg (B/30, B/60)</w:t>
      </w:r>
    </w:p>
    <w:p>
      <w:pPr>
        <w:pStyle w:val="ListBullet"/>
      </w:pPr>
      <w:r>
        <w:t>Statut : Retiré (R)</w:t>
      </w:r>
    </w:p>
    <w:p>
      <w:pPr>
        <w:pStyle w:val="ListBullet"/>
      </w:pPr>
      <w:r/>
      <w:r>
        <w:rPr>
          <w:b/>
        </w:rPr>
        <w:t>METFORMINE UPC</w:t>
      </w:r>
      <w:r>
        <w:t xml:space="preserve"> (UNION PHARMACEUTIQUE CONSTANTINOISE)</w:t>
      </w:r>
    </w:p>
    <w:p>
      <w:pPr>
        <w:pStyle w:val="ListBullet"/>
      </w:pPr>
      <w:r>
        <w:t>Formes et Dosages : Cp 850 mg (B/30)</w:t>
      </w:r>
    </w:p>
    <w:p>
      <w:pPr>
        <w:pStyle w:val="ListBullet"/>
      </w:pPr>
      <w:r>
        <w:t>Statut : Retiré (R)</w:t>
      </w:r>
    </w:p>
    <w:p>
      <w:pPr>
        <w:pStyle w:val="ListBullet"/>
      </w:pPr>
      <w:r/>
      <w:r>
        <w:rPr>
          <w:b/>
        </w:rPr>
        <w:t>METFORMINE BIOGARAN</w:t>
      </w:r>
      <w:r>
        <w:t xml:space="preserve"> (BIOGARAN)</w:t>
      </w:r>
    </w:p>
    <w:p>
      <w:pPr>
        <w:pStyle w:val="ListBullet"/>
      </w:pPr>
      <w:r>
        <w:t>Formes et Dosages : Cp pelliculé 850 mg (B/100)</w:t>
      </w:r>
    </w:p>
    <w:p>
      <w:pPr>
        <w:pStyle w:val="ListBullet"/>
      </w:pPr>
      <w:r>
        <w:t>Statut : Retiré (R)</w:t>
      </w:r>
    </w:p>
    <w:p>
      <w:pPr>
        <w:pStyle w:val="ListBullet"/>
      </w:pPr>
      <w:r/>
      <w:r>
        <w:rPr>
          <w:b/>
        </w:rPr>
        <w:t>METFORMINE ZENTIVA</w:t>
      </w:r>
      <w:r>
        <w:t xml:space="preserve"> (WINTHROP PHARMA SAIDAL SPA)</w:t>
      </w:r>
    </w:p>
    <w:p>
      <w:pPr>
        <w:pStyle w:val="ListBullet"/>
      </w:pPr>
      <w:r>
        <w:t>Formes et Dosages : Cp pelliculé 850 mg (B/90) ; Cp pelliculé 1000 mg (B/90)</w:t>
      </w:r>
    </w:p>
    <w:p>
      <w:pPr>
        <w:pStyle w:val="ListBullet"/>
      </w:pPr>
      <w:r>
        <w:t>Statut : Retiré (R)</w:t>
      </w:r>
    </w:p>
    <w:p>
      <w:pPr>
        <w:pStyle w:val="ListBullet"/>
      </w:pPr>
      <w:r/>
      <w:r>
        <w:rPr>
          <w:b/>
        </w:rPr>
        <w:t>FORMENTIN</w:t>
      </w:r>
      <w:r>
        <w:t xml:space="preserve"> (BIOCARE SARL) — variante 850 mg</w:t>
      </w:r>
    </w:p>
    <w:p>
      <w:pPr>
        <w:pStyle w:val="ListBullet"/>
      </w:pPr>
      <w:r>
        <w:t>Formes et Dosages : Cp pelliculé 850 mg (B/30, B/100)</w:t>
      </w:r>
    </w:p>
    <w:p>
      <w:pPr>
        <w:pStyle w:val="ListBullet"/>
      </w:pPr>
      <w:r>
        <w:t>Statut : Retiré (R)</w:t>
      </w:r>
    </w:p>
    <w:p>
      <w:pPr>
        <w:pStyle w:val="ListBullet"/>
      </w:pPr>
      <w:r/>
      <w:r>
        <w:rPr>
          <w:b/>
        </w:rPr>
        <w:t>MELMET</w:t>
      </w:r>
      <w:r>
        <w:t xml:space="preserve"> (PHARMETHIC)</w:t>
      </w:r>
    </w:p>
    <w:p>
      <w:pPr>
        <w:pStyle w:val="ListBullet"/>
      </w:pPr>
      <w:r>
        <w:t>Formes et Dosages : Cp pelliculé 850 mg (B/120)</w:t>
      </w:r>
    </w:p>
    <w:p>
      <w:pPr>
        <w:pStyle w:val="ListBullet"/>
      </w:pPr>
      <w:r>
        <w:t>Statut : Retiré (R)</w:t>
      </w:r>
    </w:p>
    <w:p>
      <w:r/>
      <w:r>
        <w:rPr>
          <w:b/>
        </w:rPr>
        <w:t>Sous-classe et Mécanisme d'action :</w:t>
      </w:r>
      <w:r/>
    </w:p>
    <w:p>
      <w:pPr>
        <w:pStyle w:val="ListBullet"/>
      </w:pPr>
      <w:r>
        <w:t>Sous-classe : Biguanide ; antidiabétique de première ligne du DT2 ; molécule pivot de la stratégie thérapeutique.</w:t>
      </w:r>
    </w:p>
    <w:p>
      <w:pPr>
        <w:pStyle w:val="ListBullet"/>
      </w:pPr>
      <w:r>
        <w:t>Mécanisme d'action : La metformine exerce un triple effet métabolique. (1) Au niveau hépatique, elle inhibe le complexe I de la chaîne respiratoire mitochondriale, ce qui réduit la synthèse d'ATP et active l'AMPK (AMP-activated protein kinase) ; cette voie down-régule la transcription des gènes de la néoglucogenèse (G6Pase, PEPCK) et diminue la production hépatique de glucose de 25 à 40 %. Une inhibition secondaire de la mGPD (glycérophosphate déshydrogénase mitochondriale) réduit l'utilisation du glycérol-3-phosphate. (2) Au niveau musculaire, elle augmente la captation du glucose via une activation de la PI3-kinase et la translocation de GLUT4. (3) Au niveau intestinal, elle ralentit l'absorption du glucose et modifie le microbiote (augmentation des bactéries productrices de butyrate, d'Akkermansia muciniphila). La metformine ne stimule pas la sécrétion d'insuline — d'où l'absence d'hypoglycémie intrinsèque et de prise de poids — et entraîne même une perte pondérale modeste (1 à 3 kg). Elle réduit l'HbA1c de 1 à 2 points en moyenne.</w:t>
      </w:r>
    </w:p>
    <w:p>
      <w:r/>
      <w:r>
        <w:rPr>
          <w:b/>
        </w:rPr>
        <w:t>Profil Pharmacologique :</w:t>
      </w:r>
      <w:r/>
    </w:p>
    <w:p>
      <w:pPr>
        <w:pStyle w:val="ListBullet"/>
      </w:pPr>
      <w:r>
        <w:t>Indications : DT2 en première intention dès lors que le contrôle hygiéno-diététique est insuffisant, particulièrement chez le sujet en surpoids ou obèse (IMC &gt; 25) ; en association avec tout autre antidiabétique oral ou injectable (sulfamides, glinides, gliptines, gliflozines, agonistes GLP-1, insuline) ; prévention du DT2 chez le sujet intolérant au glucose (programme DPP) ; traitement du SOPK (hors AMM centrale, en raison de l'effet sur l'insulinorésistance et la stérilité anovulatoire) ; résistances à l'insuline extrêmes (lipodystrophies). L'objectif glycémique est généralement HbA1c &lt; 7 %, individualisé selon l'âge, l'espérance de vie et les comorbidités.</w:t>
      </w:r>
    </w:p>
    <w:p>
      <w:pPr>
        <w:pStyle w:val="ListBullet"/>
      </w:pPr>
      <w:r>
        <w:t>Contre-indications : Insuffisance rénale avec DFG estimé &lt; 30 mL/min/1,73 m² (ou &lt; 45 avec prudence) ; acidocétose diabétique ; précoma ou coma diabétique ; insuffisance hépatique sévère (transaminases &gt; 3 × LSN) ; insuffisance cardiaque décompensée ou choc ; insuffisance respiratoire sévère ; hypoxie aiguë (infarctus, sepsis) ; alcoolisme aigu ou chronique ; déshydratation ; grossesse si DT2 préexistant non contrôlé par régime (préférer insuline — voir plus bas) ; administration de produits de contraste iodés (arrêt transitoire 48 h) ; allaitement discuté (voir CRAT — finalement autorisé) ; allergie à la metformine.</w:t>
      </w:r>
    </w:p>
    <w:p>
      <w:pPr>
        <w:pStyle w:val="ListBullet"/>
      </w:pPr>
      <w:r>
        <w:t>Effets Indésirables : (1) Digestifs : nausées (20 à 30 % des patients en début de traitement), vomissements, diarrhée (10–20 %), douleurs abdominales, météorisme, dysgueusie métallique — ces effets sont dose-dépendants, transitoires et atténués par une titration progressive et la prise au cours des repas. (2) Acidose lactique : très rare (incidence &lt; 1/10 000 patient-années) mais grave (mortalité 30 à 50 %) — se manifeste par asthénie, myalgies, détresse respiratoire, douleurs abdominales, hypothermie, troubles de la conscience ; biologie : lactates &gt; 5 mmol/L, pH &lt; 7,35, trou anionique augmenté. (3) Carence vitaminique B12 : diminution de l'absorption de la vitamine B12 (interaction avec le complexe intrinsèque de Castle), dose-dépendante et cumulative après plusieurs années de traitement — surveillance annuelle recommandée au-delà de 4 ans. (4) Effets cutanés rares : éruptions, prurit, érythème polymorphe. (5) Très rarement hépatite cytolytique.</w:t>
      </w:r>
    </w:p>
    <w:p>
      <w:r/>
      <w:r>
        <w:rPr>
          <w:b/>
        </w:rPr>
        <w:t>Prévention et Gestion des Effets Indésirables :</w:t>
      </w:r>
      <w:r/>
    </w:p>
    <w:p>
      <w:pPr>
        <w:pStyle w:val="ListBullet"/>
      </w:pPr>
      <w:r>
        <w:t>Mesures Préventives : Titration progressive — débuter à 500 mg/jour pendant 1 semaine, puis 500 mg × 2/jour pendant une semaine, puis augmentation par paliers de 500 mg chaque semaine jusqu'à la dose cible. Toujours prendre la metformine au cours ou à la fin des repas (réduit la tolérance digestive). Chez le sujet âgé, vérifier le DFG avant l'initiation, à 3 mois, puis tous les 6 mois ; réduire la dose si DFG &lt; 45 (max 1000 mg/j) ; arrêter si DFG &lt; 30. Surveillance de la vitamine B12 si traitement prolongé &gt; 4 ans. Éduquer le patient sur les signes d'acidose lactique (myalgies, dyspnée, asthénie).</w:t>
      </w:r>
    </w:p>
    <w:p>
      <w:pPr>
        <w:pStyle w:val="ListBullet"/>
      </w:pPr>
      <w:r>
        <w:t>Conduite à Tenir : En cas de troubles digestifs persistants, réduire la dose et/ou passer à la forme LP. En cas de diagnostic d'acidose lactique (gaz du sang, lactates), arrêt immédiat et définitif de la metformine, hospitalisation en réanimation, alcalinisation, hémodialyse si nécessaire. En cas d'injection de produit de contraste iodé, arrêt 48 h avant et reprise 48 h après si DFG stable. En cas de carence en B12 confirmée, supplémentation orale 1000 UI/j ou IM. En cas d'hypoglycémie survenant sous metformine seule, rechercher une autre cause (insuffisance surrénale, tumeur, alcool) car la metformine seule ne devrait pas hypoglycémier le patient non diabétique insulinopénique.</w:t>
      </w:r>
    </w:p>
    <w:p>
      <w:r/>
      <w:r>
        <w:rPr>
          <w:b/>
        </w:rPr>
        <w:t>Interactions Importantes :</w:t>
      </w:r>
      <w:r/>
    </w:p>
    <w:p>
      <w:pPr>
        <w:pStyle w:val="ListBullet"/>
      </w:pPr>
      <w:r/>
      <w:r>
        <w:rPr>
          <w:b/>
        </w:rPr>
        <w:t>Metformine + produit de contraste iodé</w:t>
      </w:r>
      <w:r>
        <w:t xml:space="preserve"> : risque majeur d'acidose lactique par néphrotoxicité du contraste → arrêt 48 h avant l'examen, réintroduction 48 h après vérification de la stabilité du DFG.</w:t>
      </w:r>
    </w:p>
    <w:p>
      <w:pPr>
        <w:pStyle w:val="ListBullet"/>
      </w:pPr>
      <w:r/>
      <w:r>
        <w:rPr>
          <w:b/>
        </w:rPr>
        <w:t>Metformine + AINS/inhibiteurs de l'ACE/IEC/diurétiques</w:t>
      </w:r>
      <w:r>
        <w:t xml:space="preserve"> : potentialisation de l'insuffisance rénale aiguë fonctionnelle → surveillance rapprochée du DFG, especially chez le sujet âgé.</w:t>
      </w:r>
    </w:p>
    <w:p>
      <w:pPr>
        <w:pStyle w:val="ListBullet"/>
      </w:pPr>
      <w:r/>
      <w:r>
        <w:rPr>
          <w:b/>
        </w:rPr>
        <w:t>Metformine + cimétidine, dolutégravir, vandétanib</w:t>
      </w:r>
      <w:r>
        <w:t xml:space="preserve"> : inhibition des transporteurs OCT2/MATE1 → augmentation de la concentration plasmatique de metformine et risque d'acidose lactique.</w:t>
      </w:r>
    </w:p>
    <w:p>
      <w:pPr>
        <w:pStyle w:val="ListBullet"/>
      </w:pPr>
      <w:r/>
      <w:r>
        <w:rPr>
          <w:b/>
        </w:rPr>
        <w:t>Metformine + topiramate, zonisamide</w:t>
      </w:r>
      <w:r>
        <w:t xml:space="preserve"> : augmentation du risque d'acidose lactique et de calculose rénale.</w:t>
      </w:r>
    </w:p>
    <w:p>
      <w:pPr>
        <w:pStyle w:val="ListBullet"/>
      </w:pPr>
      <w:r/>
      <w:r>
        <w:rPr>
          <w:b/>
        </w:rPr>
        <w:t>Metformine + alcohol aigu</w:t>
      </w:r>
      <w:r>
        <w:t xml:space="preserve"> : risque majeur d'acidose lactique par inhibition de la néoglucogenèse ; interdire la consommation aiguë d'alcool, surtout en binge drinking.</w:t>
      </w:r>
    </w:p>
    <w:p>
      <w:pPr>
        <w:pStyle w:val="ListBullet"/>
      </w:pPr>
      <w:r/>
      <w:r>
        <w:rPr>
          <w:b/>
        </w:rPr>
        <w:t>Metformine + antagonistes H2 (cimétidine, ranitidine)</w:t>
      </w:r>
      <w:r>
        <w:t xml:space="preserve"> : compétition tubulaire et majoration de l'effet.</w:t>
      </w:r>
    </w:p>
    <w:p>
      <w:pPr>
        <w:pStyle w:val="ListBullet"/>
      </w:pPr>
      <w:r/>
      <w:r>
        <w:rPr>
          <w:b/>
        </w:rPr>
        <w:t>Metformine + hormones thyroidiennes</w:t>
      </w:r>
      <w:r>
        <w:t xml:space="preserve"> : le traitement substitutif peut réduire l'efficacité de la metformine.</w:t>
      </w:r>
    </w:p>
    <w:p>
      <w:pPr>
        <w:pStyle w:val="ListBullet"/>
      </w:pPr>
      <w:r/>
      <w:r>
        <w:rPr>
          <w:b/>
        </w:rPr>
        <w:t>Metformine + glucocorticoïdes, diurétiques</w:t>
      </w:r>
      <w:r>
        <w:t xml:space="preserve"> : altération de la tolérance glucidique, surveillance glycémique renforcée.</w:t>
      </w:r>
    </w:p>
    <w:p>
      <w:r/>
      <w:r>
        <w:rPr>
          <w:b/>
        </w:rPr>
        <w:t>Grossesse et Allaitement :</w:t>
      </w:r>
      <w:r/>
    </w:p>
    <w:p>
      <w:pPr>
        <w:pStyle w:val="ListBullet"/>
      </w:pPr>
      <w:r>
        <w:t>Grossesse : Selon le CRAT, la metformine traverse le placenta. Chez la femme enceinte DT2 préexistant, l'insuline reste le traitement de référence (meilleur contrôle glycémique, données plus larges). Néanmoins, la metformine n'est pas tératogène et est parfois poursuivie si elle a été instaurée avant la grossesse et bien tolérée. Dans le diabète gestationnel (DG), la metformine est une alternative à l'insuline discutée selon les recommandations internationales (NICE, ADA), en particulier chez les patientes refusant l'insuline. Dans le SOPK, l'utilisation de la metformine au cours de la grossesse est débattue (réduction du prééclampsie et du diabète gestationnel selon certaines études, sans effet sur les fausses couches). À titre systématique, la metformine est classée « non recommandée en début de grossesse » par les RCP français sauf situation particulière.</w:t>
      </w:r>
    </w:p>
    <w:p>
      <w:pPr>
        <w:pStyle w:val="ListBullet"/>
      </w:pPr>
      <w:r>
        <w:t>Allaitement : Selon le CRAT, la metformine passe dans le lait maternel mais à des concentrations très faibles (rapport lait/plasma ≈ 0,3 à 1) ; la dose ingérée par le nourrisson est &lt; 1 % de la dose maternelle pondérée et reste très en deçà du seuil de toxicité. L'allaitement est considéré comme POSSIBLE sous metformine, en surveillant la glycémie néonatale (rare hypoglycémie néonatale rapportée).</w:t>
      </w:r>
    </w:p>
    <w:p>
      <w:pPr>
        <w:pStyle w:val="ListBullet"/>
      </w:pPr>
      <w:r>
        <w:t>Précisions : Toute femme DT2 souhaitant une grossesse doit être adressée en consultation préconceptionnelle ; objectif HbA1c &lt; 6,5 % avant conception ; arrêt des autres antidiabétiques oraux (sulfamides, SGLT2, gliptines, GLP-1) et substitution par insuline + metformine si maintenue.</w:t>
      </w:r>
    </w:p>
    <w:p>
      <w:r/>
      <w:r>
        <w:rPr>
          <w:b/>
        </w:rPr>
        <w:t>Posologie et Mode d'administration (Standard) :</w:t>
      </w:r>
      <w:r/>
    </w:p>
    <w:p>
      <w:pPr>
        <w:pStyle w:val="ListBullet"/>
      </w:pPr>
      <w:r>
        <w:t>Adulte : Dose initiale 500 mg × 1/jour le soir pendant 1 semaine, puis 500 mg × 2/jour pendant 1 semaine, puis titration jusqu'à la dose d'entretien habituelle de 1000 à 2000 mg/jour (max 3000 mg/jour en 2 à 3 prises, mais le bénéfice marginal au-delà de 2000 mg est faible). Forme LP : 500 à 2000 mg/jour en une prise unique le soir au cours du repas.</w:t>
      </w:r>
    </w:p>
    <w:p>
      <w:pPr>
        <w:pStyle w:val="ListBullet"/>
      </w:pPr>
      <w:r>
        <w:t>Sujet âgé : Vérifier le DFG avant prescription ; ne pas initier si DFG &lt; 45 ; dose maximale 1000 mg/j si DFG entre 30 et 45 ; arrêt si DFG &lt; 30. Surveillance de la vitamine B12.</w:t>
      </w:r>
    </w:p>
    <w:p>
      <w:pPr>
        <w:pStyle w:val="ListBullet"/>
      </w:pPr>
      <w:r>
        <w:t>Enfant (≥ 10 ans) : DT2 pédiatrique — 500 à 2000 mg/jour en deux prises.</w:t>
      </w:r>
    </w:p>
    <w:p>
      <w:pPr>
        <w:pStyle w:val="ListBullet"/>
      </w:pPr>
      <w:r>
        <w:t>Durée : au long cours ; traitement chronique du DT2 (maladie évolutive).</w:t>
      </w:r>
    </w:p>
    <w:p>
      <w:pPr>
        <w:pStyle w:val="ListBullet"/>
      </w:pPr>
      <w:r>
        <w:t>Moment de prise : au cours ou à la fin des repas (réduit l'intolérance digestive). Forme LP : une prise unique le soir au cours du dîner.</w:t>
      </w:r>
    </w:p>
    <w:p>
      <w:r/>
      <w:r>
        <w:rPr>
          <w:b/>
        </w:rPr>
        <w:t>Arbitrage et Bénéfices des Formes Galéniques :</w:t>
      </w:r>
      <w:r/>
    </w:p>
    <w:p>
      <w:r>
        <w:t>Les comprimés à libération immédiate (LI) à 500, 850 et 1000 mg permettent une titration fine (paliers de 500 mg) et une prise biquotidienne ou triquotidienne selon la glycémie. Les comprimés à libération prolongée (LP) — METLESS LP, METFOR LP — offrent l'avantage d'une administration unique quotidienne le soir, d'une meilleure observance et d'une tolérance digestive supérieure (réduction significative des nausées et de la diarrhée), au prix d'une absorption plus lente et parfois d'une efficacité légèrement moindre (équivalence non stricte). Les sachets de poudre pour solution buvable (PHYSIOPHORMINE) sont précieux chez le patient dysphagique, âgé, ou ayant des troubles de déglutition. La forme LP est à privilégier en cas d'intolérance digestive persistante sous forme LI, en première intention chez le sujet âgé fragile, et chez les patients ayant des difficultés d'observance. Le comprimé pelliculé sécable 1000 mg facilite le fractionnement en deux prises de 500 mg. La présence simultanée de plus de 20 marques ( Saidal, Merck, Biogalenic, Biopharm, Hikma, Beker, etc.) reflète la maturité du marché algérien et permet une bonne disponibilité, mais impose au pharmacien une vigilance accrue sur les équivalences (passage LI → LP : diminuer la dose de 25 % puis titrer).</w:t>
      </w:r>
    </w:p>
    <w:p>
      <w:r/>
      <w:r>
        <w:rPr>
          <w:b/>
        </w:rPr>
        <w:t>Instructions et Conseils au Patient :</w:t>
      </w:r>
      <w:r/>
    </w:p>
    <w:p>
      <w:pPr>
        <w:pStyle w:val="ListBullet"/>
      </w:pPr>
      <w:r>
        <w:t>Communication au comptoir : Expliquer que la metformine n'est pas un remède mais un traitement de fond du diabète, qui doit être pris quotidiennement même si la glycémie est normale. Insister sur la prise au cours des repas pour limiter les troubles digestifs. Préciser que l'efficacité ne s'évalue pas sur la glycémie instantanée mais sur l'HbA1c (dosage trimestriel). Éduquer sur les signes d'hypoglycémie (rare sous metformine seule) en cas d'association. Mentionner le risque d'acidose lactique (rare) et les circonstances déclenchantes : vomissements importants, diarrhée, fièvre, jeûne, intervention chirurgicale, alcoolisation aiguë — consulter en urgence si asthénie intense, myalgies, dyspnée. Préciser l'arrêt 48 h avant un examen radiologique avec contraste iodé. Recommander une alimentation équilibrée, l'activité physique régulière (30 min de marche/jour), l'auto-surveillance glycémique si patient sous associations.</w:t>
      </w:r>
    </w:p>
    <w:p>
      <w:pPr>
        <w:pStyle w:val="ListBullet"/>
      </w:pPr>
      <w:r>
        <w:t>Mode d'utilisation pratique : Débuter par une prise le soir pendant une semaine, puis deux prises matin et soir. En cas d'oubli, ne pas doubler la dose suivante. Conserver les comprimés à température ambiante (&lt; 25 °C), à l'abri de l'humidité. Ne jamais écraser les comprimés LP. Surveiller la glycémie capillaire selon la prescription. Apporter son carnet d'auto-surveillance à chaque visite. Pratiquer une consultation biannuelle minimale avec le médecin traitant.</w:t>
      </w:r>
    </w:p>
    <w:p>
      <w:r/>
      <w:r>
        <w:rPr>
          <w:b/>
        </w:rPr>
        <w:t>Notes, Règles d'Or &amp; Pièges au Comptoir :</w:t>
      </w:r>
      <w:r/>
    </w:p>
    <w:p>
      <w:pPr>
        <w:pStyle w:val="ListBullet"/>
      </w:pPr>
      <w:r>
        <w:t>Piège classique : (1) La prescription de metformine chez un patient insuffisant renal sans contrôle du DFG — risque majeur d'acidose lactique ; (2) L'oubli d'arrêt avant un examen avec produit de contraste iodé — peut mener à l'acidose lactique aiguë ; (3) La confusion forme LI/forme LP en termes de posologie quotidienne (la LP est en 1 prise, la LI en 2 à 3 prises) ; (4) Le dosage de la vitamine B12 oublié après plusieurs années.</w:t>
      </w:r>
    </w:p>
    <w:p>
      <w:pPr>
        <w:pStyle w:val="ListBullet"/>
      </w:pPr>
      <w:r>
        <w:t>Règle de prise : Toujours au cours ou en fin de repas ; titration progressive ; surveillance DFG ; arrêt transitoire avant tout examen iodé.</w:t>
      </w:r>
    </w:p>
    <w:p>
      <w:pPr>
        <w:pStyle w:val="ListBullet"/>
      </w:pPr>
      <w:r>
        <w:t>Préparation et Conservation : Comprimés à conserver à température ≤ 25 °C, à l'abri de l'humidité et de la lumière ; ne pas fractionner les comprimés LP ; ne pas écraser.</w:t>
      </w:r>
    </w:p>
    <w:p>
      <w:pPr>
        <w:pStyle w:val="ListBullet"/>
      </w:pPr>
      <w:r>
        <w:t>Piège du surdosage / Substitution : En cas de substitution LI → LP, diminuer la dose de 25 à 30 % puis titrer pour éviter la survenue d'effets digestifs. En cas de surdosage massif (rare), l'hémodialyse élimine efficacement la metformine (faible fixation protéique, Vd modéré). Toujours vérifier les associations fixes (Metformine+Sitagliptine, Metformine+Glibenclamide) pour éviter une double prescription de metformine.</w:t>
      </w:r>
    </w:p>
    <w:p>
      <w:pPr>
        <w:pStyle w:val="Heading2"/>
      </w:pPr>
      <w:r>
        <w:t>II. Sous-classe : Antidiabétiques oraux — Sulfamides hypoglycémiants (1re génération)</w:t>
      </w:r>
    </w:p>
    <w:p>
      <w:pPr>
        <w:pStyle w:val="Heading3"/>
      </w:pPr>
      <w:r>
        <w:t>Introduction de la sous-classe</w:t>
      </w:r>
    </w:p>
    <w:p>
      <w:r>
        <w:t>Les sulfamides hypoglycémiants sont issus d'une observation fortuite datant de 1942 : Marcel Janbon et collaborateurs, à Montpellier, constatèrent l'hypoglycémie survenant chez des patients traités pour fièvre typhoïde par un sulfamide antibactérien (2254 RP, isopropylthiadiazole). Cette observation ouvrit la voie à la synthèse des premiers sulfamides antidiabétiques : carbutamide (1956), tolbutamide, chlorpropamide, acetohexamide, tolazamide. La première génération, aujourd'hui quasi totalement abandonnée, présentait une demi-vie longue (jusqu'à 36 h pour le chlorpropamide), un métabolisme hépatique complexe avec métabolites actifs, et une incidence élevée d'hypoglycémies sévères (notamment chez le sujet âgé) et d'interactions médicamenteuses (compétition pour la fixation aux protéines plasmatiques et inhibition du CYP2C9). Le carbutamide est l'unique représentant encore inscrit dans la nomenclature algérienne historique, mais son statut est « Retiré ». Il n'a plus d'indication thérapeutique légitime et n'est mentionné ici qu'à titre historique et pour la cohérence de l'enseignement.</w:t>
      </w:r>
    </w:p>
    <w:p>
      <w:pPr>
        <w:pStyle w:val="Heading3"/>
      </w:pPr>
      <w:r>
        <w:t>2. DCI : Carbutamide (Seule)</w:t>
      </w:r>
    </w:p>
    <w:p>
      <w:r/>
      <w:r>
        <w:rPr>
          <w:b/>
        </w:rPr>
        <w:t>Liste des Catégories :</w:t>
      </w:r>
      <w:r>
        <w:t xml:space="preserve"> Antidiabétiques oraux — Sulfamides hypoglycémiants 1re génération ; Liste I ; Retiré (R).</w:t>
      </w:r>
    </w:p>
    <w:p>
      <w:r>
        <w:t>Le carbutamide (1-butyl-3-sulfanilylurée) fut commercialisé en France sous le nom de glucoréal et fut l'un des premiers sulfamides hypoglycémiants disponibles en Algérie. Sa demi-vie longue (≈ 30 h), sa métabolisation hépatique partielle en métabolites actifs et son élimination rénale retardée exposaient à une accumulation et à des hypoglycémies sévères prolongées, particulièrement chez le sujet âgé ou insuffisant rénal. Il présentait par ailleurs un effet antidiurétique (à l'origine d'une hyponatrémie de type SIADH), comme le chlorpropamide. Son utilisation a été définitivement abandonnée au profit des sulfamides de 2e et 3e générations, mieux tolérés et à pharmacocinétique plus prévisible.</w:t>
      </w:r>
    </w:p>
    <w:p>
      <w:r/>
      <w:r>
        <w:rPr>
          <w:b/>
        </w:rPr>
        <w:t>Médicaments disponibles en Algérie (Marques, Laboratoires, Formes et Dosages) :</w:t>
      </w:r>
      <w:r/>
    </w:p>
    <w:p>
      <w:pPr>
        <w:pStyle w:val="ListBullet"/>
      </w:pPr>
      <w:r/>
      <w:r>
        <w:rPr>
          <w:b/>
        </w:rPr>
        <w:t>GLUCORAL</w:t>
      </w:r>
      <w:r>
        <w:t xml:space="preserve"> (SAIDAL)</w:t>
      </w:r>
    </w:p>
    <w:p>
      <w:pPr>
        <w:pStyle w:val="ListBullet"/>
      </w:pPr>
      <w:r>
        <w:t>Formes et Dosages : Comprimé 500 mg — Boîte de 30</w:t>
      </w:r>
    </w:p>
    <w:p>
      <w:pPr>
        <w:pStyle w:val="ListBullet"/>
      </w:pPr>
      <w:r>
        <w:t>Statut : Retiré (R)</w:t>
      </w:r>
    </w:p>
    <w:p>
      <w:r>
        <w:t>Aucune marque active n'est disponible ; le carbutamide n'est plus commercialisé en Algérie. Mention à titre historique et pédagogique.</w:t>
      </w:r>
    </w:p>
    <w:p>
      <w:r/>
      <w:r>
        <w:rPr>
          <w:b/>
        </w:rPr>
        <w:t>Sous-classe et Mécanisme d'action :</w:t>
      </w:r>
      <w:r/>
    </w:p>
    <w:p>
      <w:pPr>
        <w:pStyle w:val="ListBullet"/>
      </w:pPr>
      <w:r>
        <w:t>Sous-classe : Sulfamide hypoglycémiant de première génération ; n'a plus d'indication thérapeutique légitime à ce jour.</w:t>
      </w:r>
    </w:p>
    <w:p>
      <w:pPr>
        <w:pStyle w:val="ListBullet"/>
      </w:pPr>
      <w:r>
        <w:t>Mécanisme d'action : Comme tous les sulfamides, le carbutamide se fixe sur le récepteur SUR1 des canaux K+ ATP-dépendants des cellules β-pancréatiques. Cette fixation ferme le canal K+, dépolarise la membrane, ouvre les canaux Ca2+ voltage-dépendants,允许 l'entrée massive de calcium et déclenche l'exocytose des granules d'insuline préformée. La sécrétion d'insuline est donc insulinotrope et glucose-indépendante, ce qui explique le risque majeur d'hypoglycémie. Le carbutamide présente un effet antidiurétique (potentialisation de l'ADH) à l'origine d'une hyponatrémie dilutionnelle. Sa demi-vie longue et son métabolisme hépatique en métabolites actifs exposent à l'accumulation.</w:t>
      </w:r>
    </w:p>
    <w:p>
      <w:r/>
      <w:r>
        <w:rPr>
          <w:b/>
        </w:rPr>
        <w:t>Profil Pharmacologique :</w:t>
      </w:r>
      <w:r/>
    </w:p>
    <w:p>
      <w:pPr>
        <w:pStyle w:val="ListBullet"/>
      </w:pPr>
      <w:r>
        <w:t>Indications : Historiquement DT2 non contrôlé par régime, en alternative à l'insuline. Plus aucune indication actuelle.</w:t>
      </w:r>
    </w:p>
    <w:p>
      <w:pPr>
        <w:pStyle w:val="ListBullet"/>
      </w:pPr>
      <w:r>
        <w:t>Contre-indications : Diabète de type 1, précomas et comas diabétiques, acidocétose, insuffisance rénale, insuffisance hépatique, hypersensibilité aux sulfamides antibactériens (cross-réactivité), porphyrie, grossesse, allaitement, sujet âgé (risque d'hypoglycémie prolongée et de syndrome de SIADH).</w:t>
      </w:r>
    </w:p>
    <w:p>
      <w:pPr>
        <w:pStyle w:val="ListBullet"/>
      </w:pPr>
      <w:r>
        <w:t>Effets Indésirables : Hypoglycémies sévères prolongées, hyponatrémie (SIADH-like), éruptions cutanées (cross-réactivité avec sulfamides antibactériens), photosensibilité, cytolyse hépatique, agranulocytose, anémie hémolytique chez les patients porteurs d'un déficit en G6PD, prise de poids, effet antabuse avec l'alcool (effet Antabuse flush syndrome, à l'origine du « disulfiram-like reaction »).</w:t>
      </w:r>
    </w:p>
    <w:p>
      <w:r/>
      <w:r>
        <w:rPr>
          <w:b/>
        </w:rPr>
        <w:t>Prévention et Gestion des Effets Indésirables :</w:t>
      </w:r>
      <w:r/>
    </w:p>
    <w:p>
      <w:pPr>
        <w:pStyle w:val="ListBullet"/>
      </w:pPr>
      <w:r>
        <w:t>Mesures Préventives : Ce médicament n'est plus disponible ; pas de mesure applicable. Mention pédagogique du risque d'hypoglycémie prolongée chez le sujet âgé et de l'effet antidiurétique.</w:t>
      </w:r>
    </w:p>
    <w:p>
      <w:pPr>
        <w:pStyle w:val="ListBullet"/>
      </w:pPr>
      <w:r>
        <w:t>Conduite à Tenir : En cas d'ancienne prescription retrouvée dans le carnet du patient, encourager la substitution par un sulfamide de 3e génération (glimépiride) ou une metformine.</w:t>
      </w:r>
    </w:p>
    <w:p>
      <w:r/>
      <w:r>
        <w:rPr>
          <w:b/>
        </w:rPr>
        <w:t>Interactions Importantes :</w:t>
      </w:r>
      <w:r/>
    </w:p>
    <w:p>
      <w:pPr>
        <w:pStyle w:val="ListBullet"/>
      </w:pPr>
      <w:r/>
      <w:r>
        <w:rPr>
          <w:b/>
        </w:rPr>
        <w:t>Carbutamide + sulfamides antibactériens (cotrimoxazole)</w:t>
      </w:r>
      <w:r>
        <w:t xml:space="preserve"> : potentialisation hypoglycémique par compétition pour la fixation protéique et inhibition du CYP2C9.</w:t>
      </w:r>
    </w:p>
    <w:p>
      <w:pPr>
        <w:pStyle w:val="ListBullet"/>
      </w:pPr>
      <w:r/>
      <w:r>
        <w:rPr>
          <w:b/>
        </w:rPr>
        <w:t>Carbutamide + anticoagulants oraux (warfarine)</w:t>
      </w:r>
      <w:r>
        <w:t xml:space="preserve"> : déplacement de la liaison protéique, majoration de l'INR et de l'effet hypoglycémiant.</w:t>
      </w:r>
    </w:p>
    <w:p>
      <w:pPr>
        <w:pStyle w:val="ListBullet"/>
      </w:pPr>
      <w:r/>
      <w:r>
        <w:rPr>
          <w:b/>
        </w:rPr>
        <w:t>Carbutamide + AINS, salicylés, phenylbutazone</w:t>
      </w:r>
      <w:r>
        <w:t xml:space="preserve"> : compétition protéique, majoration de l'hypoglycémie.</w:t>
      </w:r>
    </w:p>
    <w:p>
      <w:pPr>
        <w:pStyle w:val="ListBullet"/>
      </w:pPr>
      <w:r/>
      <w:r>
        <w:rPr>
          <w:b/>
        </w:rPr>
        <w:t>Carbutamide + alcool</w:t>
      </w:r>
      <w:r>
        <w:t xml:space="preserve"> : effet antabuse et potentialisation de l'hypoglycémie (inhibition de la néoglucogenèse).</w:t>
      </w:r>
    </w:p>
    <w:p>
      <w:pPr>
        <w:pStyle w:val="ListBullet"/>
      </w:pPr>
      <w:r/>
      <w:r>
        <w:rPr>
          <w:b/>
        </w:rPr>
        <w:t>Carbutamide + IMAO, β-bloquants</w:t>
      </w:r>
      <w:r>
        <w:t xml:space="preserve"> : masquage des signes d'hypoglycémie.</w:t>
      </w:r>
    </w:p>
    <w:p>
      <w:r/>
      <w:r>
        <w:rPr>
          <w:b/>
        </w:rPr>
        <w:t>Grossesse et Allaitement :</w:t>
      </w:r>
      <w:r/>
    </w:p>
    <w:p>
      <w:pPr>
        <w:pStyle w:val="ListBullet"/>
      </w:pPr>
      <w:r>
        <w:t>Grossesse : CI absolue — passage transplacentaire, hypoglycémie néonatale sévère et prolongée (jusqu'à 72 h), mort fœtale in utero rapportée. Substitution systématique par insuline en préconceptionnel.</w:t>
      </w:r>
    </w:p>
    <w:p>
      <w:pPr>
        <w:pStyle w:val="ListBullet"/>
      </w:pPr>
      <w:r>
        <w:t>Allaitement : CI — passage dans le lait, hypoglycémie néonatale.</w:t>
      </w:r>
    </w:p>
    <w:p>
      <w:pPr>
        <w:pStyle w:val="ListBullet"/>
      </w:pPr>
      <w:r>
        <w:t>Précisions : Toute femme en âge de procréer doit être substituée par insuline en préconceptionnel.</w:t>
      </w:r>
    </w:p>
    <w:p>
      <w:r/>
      <w:r>
        <w:rPr>
          <w:b/>
        </w:rPr>
        <w:t>Posologie et Mode d'administration (Standard) :</w:t>
      </w:r>
      <w:r/>
    </w:p>
    <w:p>
      <w:pPr>
        <w:pStyle w:val="ListBullet"/>
      </w:pPr>
      <w:r>
        <w:t>Adulte : Historiquement 0,5 à 1,5 g/jour en une prise unique le matin au petit-déjeuner.</w:t>
      </w:r>
    </w:p>
    <w:p>
      <w:pPr>
        <w:pStyle w:val="ListBullet"/>
      </w:pPr>
      <w:r>
        <w:t>Sujet âgé : Non recommandé.</w:t>
      </w:r>
    </w:p>
    <w:p>
      <w:pPr>
        <w:pStyle w:val="ListBullet"/>
      </w:pPr>
      <w:r>
        <w:t>Durée : n/a — médicament retiré.</w:t>
      </w:r>
    </w:p>
    <w:p>
      <w:pPr>
        <w:pStyle w:val="ListBullet"/>
      </w:pPr>
      <w:r>
        <w:t>Moment de prise : historiquement le matin au petit-déjeuner.</w:t>
      </w:r>
    </w:p>
    <w:p>
      <w:r/>
      <w:r>
        <w:rPr>
          <w:b/>
        </w:rPr>
        <w:t>Arbitrage et Bénéfices des Formes Galéniques :</w:t>
      </w:r>
      <w:r/>
    </w:p>
    <w:p>
      <w:r>
        <w:t>Aucun bénéfice galénique à ce jour ; médicament retiré du marché. Mention à titre historique et pédagogique.</w:t>
      </w:r>
    </w:p>
    <w:p>
      <w:r/>
      <w:r>
        <w:rPr>
          <w:b/>
        </w:rPr>
        <w:t>Instructions et Conseils au Patient :</w:t>
      </w:r>
      <w:r/>
    </w:p>
    <w:p>
      <w:pPr>
        <w:pStyle w:val="ListBullet"/>
      </w:pPr>
      <w:r>
        <w:t>Communication au comptoir : Si un patient présente une ordonnance ancienne mentionnant du carbutamide, lui expliquer que ce médicament n'est plus commercialisé et lui recommander de consulter son médecin pour substitution. Ne jamais conseiller un ancien stock.</w:t>
      </w:r>
    </w:p>
    <w:p>
      <w:pPr>
        <w:pStyle w:val="ListBullet"/>
      </w:pPr>
      <w:r>
        <w:t>Mode d'utilisation pratique : n/a.</w:t>
      </w:r>
    </w:p>
    <w:p>
      <w:r/>
      <w:r>
        <w:rPr>
          <w:b/>
        </w:rPr>
        <w:t>Notes, Règles d'Or &amp; Pièges au Comptoir :</w:t>
      </w:r>
      <w:r/>
    </w:p>
    <w:p>
      <w:pPr>
        <w:pStyle w:val="ListBullet"/>
      </w:pPr>
      <w:r>
        <w:t>Piège classique : Prescription ancienne ou stock périmé — ne pas délivrer, demander une nouvelle prescription.</w:t>
      </w:r>
    </w:p>
    <w:p>
      <w:pPr>
        <w:pStyle w:val="ListBullet"/>
      </w:pPr>
      <w:r>
        <w:t>Règle de prise : n/a.</w:t>
      </w:r>
    </w:p>
    <w:p>
      <w:pPr>
        <w:pStyle w:val="ListBullet"/>
      </w:pPr>
      <w:r>
        <w:t>Préparation et Conservation : n/a.</w:t>
      </w:r>
    </w:p>
    <w:p>
      <w:pPr>
        <w:pStyle w:val="ListBullet"/>
      </w:pPr>
      <w:r>
        <w:t>Piège du surdosage / Substitution : Hypoglycémies anciennes chez des patients ayant consommé des stocks périmés — adresser aux urgences en cas de signes neurologiques.</w:t>
      </w:r>
    </w:p>
    <w:p>
      <w:pPr>
        <w:pStyle w:val="Heading2"/>
      </w:pPr>
      <w:r>
        <w:t>III. Sous-classe : Antidiabétiques oraux — Sulfamides hypoglycémiants (2e génération)</w:t>
      </w:r>
    </w:p>
    <w:p>
      <w:pPr>
        <w:pStyle w:val="Heading3"/>
      </w:pPr>
      <w:r>
        <w:t>Introduction de la sous-classe</w:t>
      </w:r>
    </w:p>
    <w:p>
      <w:r>
        <w:t>La seconde génération de sulfamides, apparue à partir des années 1970, comprend le glibenclamide (glyburide), le gliclazide, le glipizide et le gliquidone. Ces molécules présentent une puissance pharmacologique plus élevée (doses de l'ordre de quelques milligrammes à quelques dizaines de milligrammes), une demi-vie plus courte (à l'exception du glibenclamide dont les métabolites sont actifs), une moindre fixation protéique (donc moins d'interactions par déplacement), et une meilleure tolérance. Le mécanisme d'action reste identique : stimulation insulinotrope des cellules β-pancréatiques via la fermeture des canaux K+ ATP-dépendants. Le glibenclamide reste associé à un risque élevé d'hypoglycémie, surtout chez le sujet âgé (demi-vie apparente prolongée, métabolites actifs), et est désormais déconseillé par les recommandations chez le sujet âgé fragile. Le gliclazide MR (modification release) et le glipizide LP offrent une meilleure couverture glycémique avec une moindre exposition aux hypoglycémies. Le gliquidone, dont l'élimination est principalement biliaire (95 %), conserve une place chez le patient insuffisant rénal modéré. La réduction de l'HbA1c est de 1 à 2 points. Les sulfamides de 2e génération sont aujourd'hui concurrencés par les gliptines, gliflozines et agonistes GLP-1 qui présentent un moindre risque d'hypoglycémie et des avantages cardiovasculaires ou rénaux.</w:t>
      </w:r>
    </w:p>
    <w:p>
      <w:pPr>
        <w:pStyle w:val="Heading3"/>
      </w:pPr>
      <w:r>
        <w:t>3. DCI : Glibenclamide / Glyburide (Seule)</w:t>
      </w:r>
    </w:p>
    <w:p>
      <w:r/>
      <w:r>
        <w:rPr>
          <w:b/>
        </w:rPr>
        <w:t>Liste des Catégories :</w:t>
      </w:r>
      <w:r>
        <w:t xml:space="preserve"> Antidiabétiques oraux — Sulfamides 2e génération ; Liste I ; Actif (forme 5 mg) ; Non renouvelable (2,5 mg) ; plusieurs marques retirées.</w:t>
      </w:r>
    </w:p>
    <w:p>
      <w:r>
        <w:t>Le glibenclamide (5-chloro-N-[2-[4-(cyclohexylcarbamoylsulfamoyl)phenyl]ethyl]-2-methoxybenzamide) est un sulfamide insulinotrope puissant, caractérisé par une longue durée d'action (24 h) due à la formation de métabolites actifs (4-trans-hydroxyglibenclamide et 3-cis-hydroxyglibenclamide). Sa fixation protéique est élevée (≈ 99 %), son métabolisme hépatique implique le CYP2C9, et son élimination est mixte (50 % urinaire, 50 % biliaire). Le glibenclamide est particulièrement exposant en termes d'hypoglycémie (le plus hypoglycémiant des sulfamides), notamment chez le sujet âgé et l'insuffisant rénal — raison pour laquelle il est déconseillé chez les patients &gt; 70 ans selon les recommandations HAS/ANSM. La dose initiale recommandée est de 2,5 à 5 mg/jour, avec un maximum de 15 mg/jour en deux prises. La disponibilité en Algérie est principalement la forme 5 mg (DIABENIL, Saidal) ; de nombreuses marques historiques ont été retirées (DAONIL, EUGLUCON, GLIBIL).</w:t>
      </w:r>
    </w:p>
    <w:p>
      <w:r/>
      <w:r>
        <w:rPr>
          <w:b/>
        </w:rPr>
        <w:t>Médicaments disponibles en Algérie (Marques, Laboratoires, Formes et Dosages) :</w:t>
      </w:r>
      <w:r/>
    </w:p>
    <w:p>
      <w:pPr>
        <w:pStyle w:val="ListBullet"/>
      </w:pPr>
      <w:r/>
      <w:r>
        <w:rPr>
          <w:b/>
        </w:rPr>
        <w:t>DIABENIL</w:t>
      </w:r>
      <w:r>
        <w:t xml:space="preserve"> (GROUPE SAIDAL)</w:t>
      </w:r>
    </w:p>
    <w:p>
      <w:pPr>
        <w:pStyle w:val="ListBullet"/>
      </w:pPr>
      <w:r>
        <w:t>Formes et Dosages : Comprimé sécable 5 mg — Boîte de 60 et de 100</w:t>
      </w:r>
    </w:p>
    <w:p>
      <w:pPr>
        <w:pStyle w:val="ListBullet"/>
      </w:pPr>
      <w:r>
        <w:t>Statut : Actif</w:t>
      </w:r>
    </w:p>
    <w:p>
      <w:pPr>
        <w:pStyle w:val="ListBullet"/>
      </w:pPr>
      <w:r/>
      <w:r>
        <w:rPr>
          <w:b/>
        </w:rPr>
        <w:t>DIABENIL</w:t>
      </w:r>
      <w:r>
        <w:t xml:space="preserve"> (GROUPE SAIDAL) — variante 2,5 mg</w:t>
      </w:r>
    </w:p>
    <w:p>
      <w:pPr>
        <w:pStyle w:val="ListBullet"/>
      </w:pPr>
      <w:r>
        <w:t>Formes et Dosages : Comprimé sécable 2,5 mg — Boîte de 60</w:t>
      </w:r>
    </w:p>
    <w:p>
      <w:pPr>
        <w:pStyle w:val="ListBullet"/>
      </w:pPr>
      <w:r>
        <w:t>Statut : Non Renouvelable</w:t>
      </w:r>
    </w:p>
    <w:p>
      <w:pPr>
        <w:pStyle w:val="ListBullet"/>
      </w:pPr>
      <w:r/>
      <w:r>
        <w:rPr>
          <w:b/>
        </w:rPr>
        <w:t>GLIBENCROVIS</w:t>
      </w:r>
      <w:r>
        <w:t xml:space="preserve"> (CROVIS PHILCOM)</w:t>
      </w:r>
    </w:p>
    <w:p>
      <w:pPr>
        <w:pStyle w:val="ListBullet"/>
      </w:pPr>
      <w:r>
        <w:t>Formes et Dosages : Comprimé sécable 2,5 mg (B/60)</w:t>
      </w:r>
    </w:p>
    <w:p>
      <w:pPr>
        <w:pStyle w:val="ListBullet"/>
      </w:pPr>
      <w:r>
        <w:t>Statut : Non Renouvelable</w:t>
      </w:r>
    </w:p>
    <w:p>
      <w:pPr>
        <w:pStyle w:val="ListBullet"/>
      </w:pPr>
      <w:r/>
      <w:r>
        <w:rPr>
          <w:b/>
        </w:rPr>
        <w:t>HEMI-DAONIL</w:t>
      </w:r>
      <w:r>
        <w:t xml:space="preserve"> (AVENTIS PHARMA SPA ALGERIE)</w:t>
      </w:r>
    </w:p>
    <w:p>
      <w:pPr>
        <w:pStyle w:val="ListBullet"/>
      </w:pPr>
      <w:r>
        <w:t>Formes et Dosages : Comprimé sécable 2,5 mg (B/60)</w:t>
      </w:r>
    </w:p>
    <w:p>
      <w:pPr>
        <w:pStyle w:val="ListBullet"/>
      </w:pPr>
      <w:r>
        <w:t>Statut : Non Renouvelable</w:t>
      </w:r>
    </w:p>
    <w:p>
      <w:pPr>
        <w:pStyle w:val="ListBullet"/>
      </w:pPr>
      <w:r/>
      <w:r>
        <w:rPr>
          <w:b/>
        </w:rPr>
        <w:t>MIGLUCAN</w:t>
      </w:r>
      <w:r>
        <w:t xml:space="preserve"> (BOEHRINGER MANNHEIM)</w:t>
      </w:r>
    </w:p>
    <w:p>
      <w:pPr>
        <w:pStyle w:val="ListBullet"/>
      </w:pPr>
      <w:r>
        <w:t>Formes et Dosages : Comprimé 2,5 mg (B/60)</w:t>
      </w:r>
    </w:p>
    <w:p>
      <w:pPr>
        <w:pStyle w:val="ListBullet"/>
      </w:pPr>
      <w:r>
        <w:t>Statut : Non Renouvelable</w:t>
      </w:r>
    </w:p>
    <w:p>
      <w:pPr>
        <w:pStyle w:val="ListBullet"/>
      </w:pPr>
      <w:r/>
      <w:r>
        <w:rPr>
          <w:b/>
        </w:rPr>
        <w:t>DAONIL</w:t>
      </w:r>
      <w:r>
        <w:t xml:space="preserve"> (AVENTIS PHARMA SPA ALGERIE)</w:t>
      </w:r>
    </w:p>
    <w:p>
      <w:pPr>
        <w:pStyle w:val="ListBullet"/>
      </w:pPr>
      <w:r>
        <w:t>Formes et Dosages : Comprimé sécable 5 mg (B/20)</w:t>
      </w:r>
    </w:p>
    <w:p>
      <w:pPr>
        <w:pStyle w:val="ListBullet"/>
      </w:pPr>
      <w:r>
        <w:t>Statut : Non Renouvelable</w:t>
      </w:r>
    </w:p>
    <w:p>
      <w:pPr>
        <w:pStyle w:val="ListBullet"/>
      </w:pPr>
      <w:r/>
      <w:r>
        <w:rPr>
          <w:b/>
        </w:rPr>
        <w:t>GLIBIL</w:t>
      </w:r>
      <w:r>
        <w:t xml:space="preserve"> (HIKMA PHARMA ALGERIA SARL)</w:t>
      </w:r>
    </w:p>
    <w:p>
      <w:pPr>
        <w:pStyle w:val="ListBullet"/>
      </w:pPr>
      <w:r>
        <w:t>Formes et Dosages : Comprimé 5 mg (B/30 et B/100)</w:t>
      </w:r>
    </w:p>
    <w:p>
      <w:pPr>
        <w:pStyle w:val="ListBullet"/>
      </w:pPr>
      <w:r>
        <w:t>Statut : Non Renouvelable</w:t>
      </w:r>
    </w:p>
    <w:p>
      <w:pPr>
        <w:pStyle w:val="ListBullet"/>
      </w:pPr>
      <w:r/>
      <w:r>
        <w:rPr>
          <w:b/>
        </w:rPr>
        <w:t>GLUCONIL</w:t>
      </w:r>
      <w:r>
        <w:t xml:space="preserve"> (RAM PHARMACEUTICAL INDUSTRIES)</w:t>
      </w:r>
    </w:p>
    <w:p>
      <w:pPr>
        <w:pStyle w:val="ListBullet"/>
      </w:pPr>
      <w:r>
        <w:t>Formes et Dosages : Comprimé 5 mg (B/30)</w:t>
      </w:r>
    </w:p>
    <w:p>
      <w:pPr>
        <w:pStyle w:val="ListBullet"/>
      </w:pPr>
      <w:r>
        <w:t>Statut : Non Renouvelable</w:t>
      </w:r>
    </w:p>
    <w:p>
      <w:pPr>
        <w:pStyle w:val="ListBullet"/>
      </w:pPr>
      <w:r/>
      <w:r>
        <w:rPr>
          <w:b/>
        </w:rPr>
        <w:t>CIPRIN</w:t>
      </w:r>
      <w:r>
        <w:t xml:space="preserve"> (GROUPE SANTE)</w:t>
      </w:r>
    </w:p>
    <w:p>
      <w:pPr>
        <w:pStyle w:val="ListBullet"/>
      </w:pPr>
      <w:r>
        <w:t>Formes et Dosages : Cp 2,5 mg (B/60) ; Cp 5 mg (B/60)</w:t>
      </w:r>
    </w:p>
    <w:p>
      <w:pPr>
        <w:pStyle w:val="ListBullet"/>
      </w:pPr>
      <w:r>
        <w:t>Statut : Retiré (R)</w:t>
      </w:r>
    </w:p>
    <w:p>
      <w:pPr>
        <w:pStyle w:val="ListBullet"/>
      </w:pPr>
      <w:r/>
      <w:r>
        <w:rPr>
          <w:b/>
        </w:rPr>
        <w:t>GLYPOMIDE</w:t>
      </w:r>
      <w:r>
        <w:t xml:space="preserve"> (MEDIFARMAL)</w:t>
      </w:r>
    </w:p>
    <w:p>
      <w:pPr>
        <w:pStyle w:val="ListBullet"/>
      </w:pPr>
      <w:r>
        <w:t>Formes et Dosages : Cp 5 mg (B/20)</w:t>
      </w:r>
    </w:p>
    <w:p>
      <w:pPr>
        <w:pStyle w:val="ListBullet"/>
      </w:pPr>
      <w:r>
        <w:t>Statut : Retiré (R)</w:t>
      </w:r>
    </w:p>
    <w:p>
      <w:pPr>
        <w:pStyle w:val="ListBullet"/>
      </w:pPr>
      <w:r/>
      <w:r>
        <w:rPr>
          <w:b/>
        </w:rPr>
        <w:t>DIAGLIBE</w:t>
      </w:r>
      <w:r>
        <w:t xml:space="preserve"> (LIFEPHARMA)</w:t>
      </w:r>
    </w:p>
    <w:p>
      <w:pPr>
        <w:pStyle w:val="ListBullet"/>
      </w:pPr>
      <w:r>
        <w:t>Formes et Dosages : Cp 5 mg (B/60)</w:t>
      </w:r>
    </w:p>
    <w:p>
      <w:pPr>
        <w:pStyle w:val="ListBullet"/>
      </w:pPr>
      <w:r>
        <w:t>Statut : Retiré (R)</w:t>
      </w:r>
    </w:p>
    <w:p>
      <w:pPr>
        <w:pStyle w:val="ListBullet"/>
      </w:pPr>
      <w:r/>
      <w:r>
        <w:rPr>
          <w:b/>
        </w:rPr>
        <w:t>DIATAB</w:t>
      </w:r>
      <w:r>
        <w:t xml:space="preserve"> (SPIMACO)</w:t>
      </w:r>
    </w:p>
    <w:p>
      <w:pPr>
        <w:pStyle w:val="ListBullet"/>
      </w:pPr>
      <w:r>
        <w:t>Formes et Dosages : Cp 5 mg (B/30)</w:t>
      </w:r>
    </w:p>
    <w:p>
      <w:pPr>
        <w:pStyle w:val="ListBullet"/>
      </w:pPr>
      <w:r>
        <w:t>Statut : Retiré (R)</w:t>
      </w:r>
    </w:p>
    <w:p>
      <w:pPr>
        <w:pStyle w:val="ListBullet"/>
      </w:pPr>
      <w:r/>
      <w:r>
        <w:rPr>
          <w:b/>
        </w:rPr>
        <w:t>GLIBENCLAMIDE</w:t>
      </w:r>
      <w:r>
        <w:t xml:space="preserve"> (LEK)</w:t>
      </w:r>
    </w:p>
    <w:p>
      <w:pPr>
        <w:pStyle w:val="ListBullet"/>
      </w:pPr>
      <w:r>
        <w:t>Formes et Dosages : Cp 5 mg (B/30)</w:t>
      </w:r>
    </w:p>
    <w:p>
      <w:pPr>
        <w:pStyle w:val="ListBullet"/>
      </w:pPr>
      <w:r>
        <w:t>Statut : Retiré (R)</w:t>
      </w:r>
    </w:p>
    <w:p>
      <w:pPr>
        <w:pStyle w:val="ListBullet"/>
      </w:pPr>
      <w:r/>
      <w:r>
        <w:rPr>
          <w:b/>
        </w:rPr>
        <w:t>GLIPHARM</w:t>
      </w:r>
      <w:r>
        <w:t xml:space="preserve"> (PHARMA 5)</w:t>
      </w:r>
    </w:p>
    <w:p>
      <w:pPr>
        <w:pStyle w:val="ListBullet"/>
      </w:pPr>
      <w:r>
        <w:t>Formes et Dosages : Cp 5 mg (B/20)</w:t>
      </w:r>
    </w:p>
    <w:p>
      <w:pPr>
        <w:pStyle w:val="ListBullet"/>
      </w:pPr>
      <w:r>
        <w:t>Statut : Retiré (R)</w:t>
      </w:r>
    </w:p>
    <w:p>
      <w:pPr>
        <w:pStyle w:val="ListBullet"/>
      </w:pPr>
      <w:r/>
      <w:r>
        <w:rPr>
          <w:b/>
        </w:rPr>
        <w:t>GLUCOMID</w:t>
      </w:r>
      <w:r>
        <w:t xml:space="preserve"> (ARAB PHARMACEUTICAL MANUFACTURING)</w:t>
      </w:r>
    </w:p>
    <w:p>
      <w:pPr>
        <w:pStyle w:val="ListBullet"/>
      </w:pPr>
      <w:r>
        <w:t>Formes et Dosages : Cp 5 mg (B/30)</w:t>
      </w:r>
    </w:p>
    <w:p>
      <w:pPr>
        <w:pStyle w:val="ListBullet"/>
      </w:pPr>
      <w:r>
        <w:t>Statut : Retiré (R)</w:t>
      </w:r>
    </w:p>
    <w:p>
      <w:pPr>
        <w:pStyle w:val="ListBullet"/>
      </w:pPr>
      <w:r/>
      <w:r>
        <w:rPr>
          <w:b/>
        </w:rPr>
        <w:t>GLYCOMIN</w:t>
      </w:r>
      <w:r>
        <w:t xml:space="preserve"> (PHARMACARE LIMITED)</w:t>
      </w:r>
    </w:p>
    <w:p>
      <w:pPr>
        <w:pStyle w:val="ListBullet"/>
      </w:pPr>
      <w:r>
        <w:t>Formes et Dosages : Cp 5 mg (B/60)</w:t>
      </w:r>
    </w:p>
    <w:p>
      <w:pPr>
        <w:pStyle w:val="ListBullet"/>
      </w:pPr>
      <w:r>
        <w:t>Statut : Retiré (R)</w:t>
      </w:r>
    </w:p>
    <w:p>
      <w:pPr>
        <w:pStyle w:val="ListBullet"/>
      </w:pPr>
      <w:r/>
      <w:r>
        <w:rPr>
          <w:b/>
        </w:rPr>
        <w:t>GLIMID</w:t>
      </w:r>
      <w:r>
        <w:t xml:space="preserve"> (MENARINI)</w:t>
      </w:r>
    </w:p>
    <w:p>
      <w:pPr>
        <w:pStyle w:val="ListBullet"/>
      </w:pPr>
      <w:r>
        <w:t>Formes et Dosages : Cp sécable 5 mg (B/30)</w:t>
      </w:r>
    </w:p>
    <w:p>
      <w:pPr>
        <w:pStyle w:val="ListBullet"/>
      </w:pPr>
      <w:r>
        <w:t>Statut : Retiré (R)</w:t>
      </w:r>
    </w:p>
    <w:p>
      <w:pPr>
        <w:pStyle w:val="ListBullet"/>
      </w:pPr>
      <w:r/>
      <w:r>
        <w:rPr>
          <w:b/>
        </w:rPr>
        <w:t>BENCLAMID</w:t>
      </w:r>
      <w:r>
        <w:t xml:space="preserve"> (PROMOPHARM)</w:t>
      </w:r>
    </w:p>
    <w:p>
      <w:pPr>
        <w:pStyle w:val="ListBullet"/>
      </w:pPr>
      <w:r>
        <w:t>Formes et Dosages : Cp 5 mg (B/60)</w:t>
      </w:r>
    </w:p>
    <w:p>
      <w:pPr>
        <w:pStyle w:val="ListBullet"/>
      </w:pPr>
      <w:r>
        <w:t>Statut : Retiré (R)</w:t>
      </w:r>
    </w:p>
    <w:p>
      <w:pPr>
        <w:pStyle w:val="ListBullet"/>
      </w:pPr>
      <w:r/>
      <w:r>
        <w:rPr>
          <w:b/>
        </w:rPr>
        <w:t>DIABEN</w:t>
      </w:r>
      <w:r>
        <w:t xml:space="preserve"> (PHARCO EGYPTE)</w:t>
      </w:r>
    </w:p>
    <w:p>
      <w:pPr>
        <w:pStyle w:val="ListBullet"/>
      </w:pPr>
      <w:r>
        <w:t>Formes et Dosages : Cp 5 mg (B/20)</w:t>
      </w:r>
    </w:p>
    <w:p>
      <w:pPr>
        <w:pStyle w:val="ListBullet"/>
      </w:pPr>
      <w:r>
        <w:t>Statut : Retiré (R)</w:t>
      </w:r>
    </w:p>
    <w:p>
      <w:pPr>
        <w:pStyle w:val="ListBullet"/>
      </w:pPr>
      <w:r/>
      <w:r>
        <w:rPr>
          <w:b/>
        </w:rPr>
        <w:t>EUGLUCON</w:t>
      </w:r>
      <w:r>
        <w:t xml:space="preserve"> (ROCHE)</w:t>
      </w:r>
    </w:p>
    <w:p>
      <w:pPr>
        <w:pStyle w:val="ListBullet"/>
      </w:pPr>
      <w:r>
        <w:t>Formes et Dosages : Cp 5 mg (B/100)</w:t>
      </w:r>
    </w:p>
    <w:p>
      <w:pPr>
        <w:pStyle w:val="ListBullet"/>
      </w:pPr>
      <w:r>
        <w:t>Statut : Retiré (R)</w:t>
      </w:r>
    </w:p>
    <w:p>
      <w:r/>
      <w:r>
        <w:rPr>
          <w:b/>
        </w:rPr>
        <w:t>Sous-classe et Mécanisme d'action :</w:t>
      </w:r>
      <w:r/>
    </w:p>
    <w:p>
      <w:pPr>
        <w:pStyle w:val="ListBullet"/>
      </w:pPr>
      <w:r>
        <w:t>Sous-classe : Sulfamide hypoglycémiant de 2e génération, insulinotrope, puissant et d'action prolongée.</w:t>
      </w:r>
    </w:p>
    <w:p>
      <w:pPr>
        <w:pStyle w:val="ListBullet"/>
      </w:pPr>
      <w:r>
        <w:t>Mécanisme d'action : Le glibenclamide se fixe avec une haute affinité sur la sous-unité SUR1 (sulfonylurea receptor 1) du canal K+ ATP-dépendant des cellules β des îlots de Langerhans. La fermeture du canal entraîne une dépolarisation membranaire, l'ouverture des canaux Ca2+ voltage-dépendants (canaux L), l'entrée massive de Ca2+ intracellulaire, et l'exocytose des granules d'insuline préformée. La sécrétion est glucose-indépendante, ce qui explique le risque d'hypoglycémie même en l'absence d'apport glucidique. Une action extrapancréatique mineure (augmentation de la sensibilité à l'insuline, réduction de la clearance hépatique de l'insuline) est décrite mais reste marginale.</w:t>
      </w:r>
    </w:p>
    <w:p>
      <w:r/>
      <w:r>
        <w:rPr>
          <w:b/>
        </w:rPr>
        <w:t>Profil Pharmacologique :</w:t>
      </w:r>
      <w:r/>
    </w:p>
    <w:p>
      <w:pPr>
        <w:pStyle w:val="ListBullet"/>
      </w:pPr>
      <w:r>
        <w:t>Indications : DT2 non contrôlé par metformine seule, en association ou en alternative si contre-indication à la metformine ; en bithérapie avec metformine, gliflozines, gliptines, ou insuline. Pas indiqué chez le sujet âgé fragile (préférer gliclazide MR ou glimépiride). AMM dans le diabète gestationnel seulement dans certains pays (USA) ; en France et en Algérie, CI.</w:t>
      </w:r>
    </w:p>
    <w:p>
      <w:pPr>
        <w:pStyle w:val="ListBullet"/>
      </w:pPr>
      <w:r>
        <w:t>Contre-indications : Diabète de type 1 ; coma ou précoma diabétique ; acidocétose ; insuffisance rénale sévère (ClCr &lt; 30) ; insuffisance hépatique sévère ; hypersensibilité aux sulfamides (cross-réactivité avec sulfamides antibactériens) ; porphyrie ; grossesse, allaitement ; association à la bosentan, à l'azole antifongique (fluconazole) et aux inhibiteurs puissants du CYP2C9 (contre-indication relative).</w:t>
      </w:r>
    </w:p>
    <w:p>
      <w:pPr>
        <w:pStyle w:val="ListBullet"/>
      </w:pPr>
      <w:r>
        <w:t>Effets Indésirables : (1) Hypoglycémie — l'EI majeur et redoutable ; particulièrement chez le sujet âgé, l'insuffisant rénal ou hépatique, en cas de repas sauté ou d'effort physique intense ; manifestations : sueurs, tremblements, faim, palpitations, céphalées, confusion, coma ; peut durer 24 à 72 h en raison des métabolites actifs ; traitement : sucre rapide (3 morceaux) puis glucides complexes, glucagon IM si inconscience, perfusion glucosée en réanimation. (2) Prise de poids (2 à 3 kg en moyenne). (3) Effets cutanés : éruptions, prurit, photosensibilité, érythème polymorphe, exceptionnels syndromes de Stevens-Johnson et de Lyell. (4) Effets hématologiques : rares agranulocytoses, thrombopénies, anémies hémolytiques (déficit G6PD), aplasies médullaires. (5) Effets digestifs : nausées, épigastralgies. (6) Effets hépatiques : cytolyse, cholestase, hépatites mixtes. (7) Hyponatrémie (SIADH-like) plus rare qu'avec le carbutamide mais possible.</w:t>
      </w:r>
    </w:p>
    <w:p>
      <w:r/>
      <w:r>
        <w:rPr>
          <w:b/>
        </w:rPr>
        <w:t>Prévention et Gestion des Effets Indésirables :</w:t>
      </w:r>
      <w:r/>
    </w:p>
    <w:p>
      <w:pPr>
        <w:pStyle w:val="ListBullet"/>
      </w:pPr>
      <w:r>
        <w:t>Mesures Préventives : Débuter à faible dose (2,5 mg/jour) et titrer progressivement ; toujours prendre le médicament au cours du petit-déjeuner, ne jamais sauter le repas ; éduquer le patient aux signes d'hypoglycémie et à l'auto-gestion (sucre, glucagon, dextrose) ; chez le sujet âgé, préférer un sulfamide à demi-vie courte (gliclazide) ou à glimépiride ; surveillance glycémique capillaire régulière ; vérification de la créatinine et des transaminases avant l'initiation.</w:t>
      </w:r>
    </w:p>
    <w:p>
      <w:pPr>
        <w:pStyle w:val="ListBullet"/>
      </w:pPr>
      <w:r>
        <w:t>Conduite à Tenir : En cas d'hypoglycémie sévère ou récidivante, arrêt définitif du glibenclamide et relai par une autre classe (gliclazide MR, gliptine, gliflozine, insuline). En cas d'hyponatrémie symptomatique, arrêt et restriction hydrique. En cas d'éruption cutanée étendue ou de signes de Stevens-Johnson, arrêt immédiat, dermatologie urgente.</w:t>
      </w:r>
    </w:p>
    <w:p>
      <w:r/>
      <w:r>
        <w:rPr>
          <w:b/>
        </w:rPr>
        <w:t>Interactions Importantes :</w:t>
      </w:r>
      <w:r/>
    </w:p>
    <w:p>
      <w:pPr>
        <w:pStyle w:val="ListBullet"/>
      </w:pPr>
      <w:r/>
      <w:r>
        <w:rPr>
          <w:b/>
        </w:rPr>
        <w:t>Glibenclamide + bosentan</w:t>
      </w:r>
      <w:r>
        <w:t xml:space="preserve"> : augmentation des concentrations de glibenclamide, baisse de l'efficacité du bosentan, et risque hépatotoxique majoré — association contre-indiquée.</w:t>
      </w:r>
    </w:p>
    <w:p>
      <w:pPr>
        <w:pStyle w:val="ListBullet"/>
      </w:pPr>
      <w:r/>
      <w:r>
        <w:rPr>
          <w:b/>
        </w:rPr>
        <w:t>Glibenclamide + fluconazole, miconazole, voriconazole</w:t>
      </w:r>
      <w:r>
        <w:t xml:space="preserve"> : inhibition du CYP2C9, majoration de l'hypoglycémie — éviter ou réduire la dose.</w:t>
      </w:r>
    </w:p>
    <w:p>
      <w:pPr>
        <w:pStyle w:val="ListBullet"/>
      </w:pPr>
      <w:r/>
      <w:r>
        <w:rPr>
          <w:b/>
        </w:rPr>
        <w:t>Glibenclamide + cotrimoxazole</w:t>
      </w:r>
      <w:r>
        <w:t xml:space="preserve"> : déplacement de la fixation protéique et inhibition du CYP2C9 — hypoglycémie sévère rapportée.</w:t>
      </w:r>
    </w:p>
    <w:p>
      <w:pPr>
        <w:pStyle w:val="ListBullet"/>
      </w:pPr>
      <w:r/>
      <w:r>
        <w:rPr>
          <w:b/>
        </w:rPr>
        <w:t>Glibenclamide + AINS (phénylbutazone, aspirine à doses antalgiques), anticoagulants coumariniques</w:t>
      </w:r>
      <w:r>
        <w:t xml:space="preserve"> : déplacement protéique, majoration de l'effet.</w:t>
      </w:r>
    </w:p>
    <w:p>
      <w:pPr>
        <w:pStyle w:val="ListBullet"/>
      </w:pPr>
      <w:r/>
      <w:r>
        <w:rPr>
          <w:b/>
        </w:rPr>
        <w:t>Glibenclamide + alcool</w:t>
      </w:r>
      <w:r>
        <w:t xml:space="preserve"> : effet antabuse et inhibition de la néoglucogenèse, hypoglycémie.</w:t>
      </w:r>
    </w:p>
    <w:p>
      <w:pPr>
        <w:pStyle w:val="ListBullet"/>
      </w:pPr>
      <w:r/>
      <w:r>
        <w:rPr>
          <w:b/>
        </w:rPr>
        <w:t>Glibenclamide + β-bloquants</w:t>
      </w:r>
      <w:r>
        <w:t xml:space="preserve"> : masquage des signes adrénergiques de l'hypoglycémie (sueurs, palpitations), privant le patient de signes d'alerte.</w:t>
      </w:r>
    </w:p>
    <w:p>
      <w:pPr>
        <w:pStyle w:val="ListBullet"/>
      </w:pPr>
      <w:r/>
      <w:r>
        <w:rPr>
          <w:b/>
        </w:rPr>
        <w:t>Glibenclamide + IMAO, tétracyclines, clofibrate, gemfibrozil</w:t>
      </w:r>
      <w:r>
        <w:t xml:space="preserve"> : potentialisation de l'effet hypoglycémiant.</w:t>
      </w:r>
    </w:p>
    <w:p>
      <w:pPr>
        <w:pStyle w:val="ListBullet"/>
      </w:pPr>
      <w:r/>
      <w:r>
        <w:rPr>
          <w:b/>
        </w:rPr>
        <w:t>Glibenclamide + corticoïdes, diurétiques, sympathomimétiques, niacine</w:t>
      </w:r>
      <w:r>
        <w:t xml:space="preserve"> : antagonisme glycémique.</w:t>
      </w:r>
    </w:p>
    <w:p>
      <w:r/>
      <w:r>
        <w:rPr>
          <w:b/>
        </w:rPr>
        <w:t>Grossesse et Allaitement :</w:t>
      </w:r>
      <w:r/>
    </w:p>
    <w:p>
      <w:pPr>
        <w:pStyle w:val="ListBullet"/>
      </w:pPr>
      <w:r>
        <w:t>Grossesse : CI absolue — passage transplacentaire, hypoglycémie néonatale sévère et prolongée (jusqu'à 72 h après la naissance), mort fœtale in utero. Substitution systématique par insuline en préconceptionnel.</w:t>
      </w:r>
    </w:p>
    <w:p>
      <w:pPr>
        <w:pStyle w:val="ListBullet"/>
      </w:pPr>
      <w:r>
        <w:t>Allaitement : CI — passage dans le lait, hypoglycémie néonatale.</w:t>
      </w:r>
    </w:p>
    <w:p>
      <w:pPr>
        <w:pStyle w:val="ListBullet"/>
      </w:pPr>
      <w:r>
        <w:t>Précisions : Toute femme DT2 souhaitant une grossesse doit être substituée par insuline avant la conception ; le glibenclamide est parfois prescrit dans le diabète gestationnel dans certains pays (USA), mais en France/Algérie l'insuline reste le standard.</w:t>
      </w:r>
    </w:p>
    <w:p>
      <w:r/>
      <w:r>
        <w:rPr>
          <w:b/>
        </w:rPr>
        <w:t>Posologie et Mode d'administration (Standard) :</w:t>
      </w:r>
      <w:r/>
    </w:p>
    <w:p>
      <w:pPr>
        <w:pStyle w:val="ListBullet"/>
      </w:pPr>
      <w:r>
        <w:t>Adulte : Dose initiale 2,5 mg/jour au petit-déjeuner ; titration par paliers de 2,5 mg chaque semaine ; dose d'entretien habituelle 5 à 10 mg/jour en une ou deux prises (matin et soir) ; dose maximale 15 mg/jour. La forme 5 mg sécable permet une titration fine par demi-dose (2,5 mg).</w:t>
      </w:r>
    </w:p>
    <w:p>
      <w:pPr>
        <w:pStyle w:val="ListBullet"/>
      </w:pPr>
      <w:r>
        <w:t>Sujet âgé : Contre-indiqué en pratique chez le sujet âgé fragile (préférer gliclazide MR ou glimépiride à faible dose) ; si utilisation indispensable, dose initiale 2,5 mg, dose max 5 mg.</w:t>
      </w:r>
    </w:p>
    <w:p>
      <w:pPr>
        <w:pStyle w:val="ListBullet"/>
      </w:pPr>
      <w:r>
        <w:t>Enfant : Non indiqué avant 18 ans.</w:t>
      </w:r>
    </w:p>
    <w:p>
      <w:pPr>
        <w:pStyle w:val="ListBullet"/>
      </w:pPr>
      <w:r>
        <w:t>Durée : au long cours.</w:t>
      </w:r>
    </w:p>
    <w:p>
      <w:pPr>
        <w:pStyle w:val="ListBullet"/>
      </w:pPr>
      <w:r>
        <w:t>Moment de prise : au cours du petit-déjeuner (en cas de dose unique) ou du petit-déjeuner et du dîner (en cas de bithérapie). Ne jamais prendre en dehors des repas.</w:t>
      </w:r>
    </w:p>
    <w:p>
      <w:r/>
      <w:r>
        <w:rPr>
          <w:b/>
        </w:rPr>
        <w:t>Arbitrage et Bénéfices des Formes Galéniques :</w:t>
      </w:r>
      <w:r/>
    </w:p>
    <w:p>
      <w:r>
        <w:t>Le comprimé sécable 5 mg (DIABENIL) permet une titration fine par demi-dose et une adaptation à la glycémie. La forme 2,5 mg (disparue du marché actif) était utile chez le sujet âgé ou en initiation. L'absence de forme LP constitue un inconvénient par rapport au gliclazide MR. Le coût très bas du DIABENIL en fait une option économique mais son profil sécurité/efficacité est moins favorable que les alternatives modernes. Les associations fixes Metformine+Glibenclamide (GLUCOVANCE) — non renouvelable — ont été utilisées en bithérapie d'emblée mais exposent au double risque digestif et hypoglycémique.</w:t>
      </w:r>
    </w:p>
    <w:p>
      <w:r/>
      <w:r>
        <w:rPr>
          <w:b/>
        </w:rPr>
        <w:t>Instructions et Conseils au Patient :</w:t>
      </w:r>
      <w:r/>
    </w:p>
    <w:p>
      <w:pPr>
        <w:pStyle w:val="ListBullet"/>
      </w:pPr>
      <w:r>
        <w:t>Communication au comptoir : Insister sur la prise obligatoire au cours du petit-déjeuner, jamais à jeun ; ne jamais sauter le repas suivant la prise. Éduquer aux signes d'hypoglycémie : sueurs, tremblements, faim intense, palpitations, céphalées, vision trouble, confusion, vertiges. Conseiller de toujours avoir sur soi 3 à 4 morceaux de sucre ou une boisson sucrée. En cas d'hypoglycémie : prendre 15 g de glucides rapides, mesurer la glycémie, resucrer 15 min plus tard si nécessaire. Prévenir le risque nocturne (goûter à 22 h). Mentionner le risque d'effet antabuse avec l'alcool (bouffées vasomotrices, nausées). Recommander l'auto-surveillance glycémique capillaire (1 à 2/jour en début de traitement).</w:t>
      </w:r>
    </w:p>
    <w:p>
      <w:pPr>
        <w:pStyle w:val="ListBullet"/>
      </w:pPr>
      <w:r>
        <w:t>Mode d'utilisation pratique : Débuter à 2,5 mg au petit-déjeuner, augmenter progressivement selon prescription. En cas d'oubli, ne pas doubler la dose suivante. Conserver les comprimés à température ambiante, à l'abri de l'humidité. Apporter le carnet de glycémie à chaque consultation.</w:t>
      </w:r>
    </w:p>
    <w:p>
      <w:r/>
      <w:r>
        <w:rPr>
          <w:b/>
        </w:rPr>
        <w:t>Notes, Règles d'Or &amp; Pièges au Comptoir :</w:t>
      </w:r>
      <w:r/>
    </w:p>
    <w:p>
      <w:pPr>
        <w:pStyle w:val="ListBullet"/>
      </w:pPr>
      <w:r>
        <w:t>Piège classique : (1) Patient âgé installé sous glibenclamide depuis des années avec hypoglycémies nocturnes méconnues — proposer au médecin une alternative (gliclazide MR) ; (2) Association avec un azolé antifongique non dépistée — hypoglycémie sévère ; (3) Prise d'alcool méconnue — hypoglycémie et effet antabuse ; (4) Cross-réactivité avec sulfamides antibactériens non évoquée.</w:t>
      </w:r>
    </w:p>
    <w:p>
      <w:pPr>
        <w:pStyle w:val="ListBullet"/>
      </w:pPr>
      <w:r>
        <w:t>Règle de prise : Au petit-déjeuner, jamais à jeun, dose progressive, surveillance glycémique.</w:t>
      </w:r>
    </w:p>
    <w:p>
      <w:pPr>
        <w:pStyle w:val="ListBullet"/>
      </w:pPr>
      <w:r>
        <w:t>Préparation et Conservation : ≤ 25 °C, à l'abri de l'humidité.</w:t>
      </w:r>
    </w:p>
    <w:p>
      <w:pPr>
        <w:pStyle w:val="ListBullet"/>
      </w:pPr>
      <w:r>
        <w:t>Piège du surdosage / Substitution : En cas de substitution par un autre sulfamide, attention aux équivalences : glibenclamide 5 mg ≈ gliclazide 80 mg ≈ glimépiride 2 mg. Surveillance glycémique rapprochée pendant la transition.</w:t>
      </w:r>
    </w:p>
    <w:p>
      <w:pPr>
        <w:pStyle w:val="Heading3"/>
      </w:pPr>
      <w:r>
        <w:t>4. DCI : Gliclazide (Seule)</w:t>
      </w:r>
    </w:p>
    <w:p>
      <w:r/>
      <w:r>
        <w:rPr>
          <w:b/>
        </w:rPr>
        <w:t>Liste des Catégories :</w:t>
      </w:r>
      <w:r>
        <w:t xml:space="preserve"> Antidiabétiques oraux — Sulfamides 2e génération ; Liste I ; Actif.</w:t>
      </w:r>
    </w:p>
    <w:p>
      <w:r>
        <w:t>Le gliclazide (1-(hexahydrocyclopenta[c]pyrrol-2(1H)-yl)-3-(4-methylbenzenesulfonyl)urea) est un sulfamide de 2e génération caractérisé par une structure contenant un groupement azabicyclique qui lui confère une moindre affinité pour le récepteur SUR1 et une action plus courte, donc un meilleur profil de tolérance. Sa biodisponibilité est élevée, son pic plasmatique atteint en 2 à 4 h (forme standard) ou 6 h (forme MR), sa fixation protéique est modérée (≈ 94 %), son métabolisme hépatique est complet (oxydation, CYP2C9 et CYP2C19) en métabolites inactifs, son élimination est urinaire (60 à 70 %). La demi-vie est courte (10–12 h), mais la forme à libération modifiée (MR, 30 mg et 60 mg) permet une administration quotidienne unique avec une couverture glycémique de 24 h et un risque hypoglycémique moindre que le glibenclamide. Le gliclazide MR 30 mg et 60 mg est aujourd'hui le sulfamide de référence chez le sujet âgé, avec un excellent rapport bénéfice/risque. Il présente par ailleurs un effet antiagrégant plaquettaire et un effet antioxydant. Réduction de l'HbA1c : 1 à 2 points.</w:t>
      </w:r>
    </w:p>
    <w:p>
      <w:r/>
      <w:r>
        <w:rPr>
          <w:b/>
        </w:rPr>
        <w:t>Médicaments disponibles en Algérie (Marques, Laboratoires, Formes et Dosages) :</w:t>
      </w:r>
      <w:r/>
    </w:p>
    <w:p>
      <w:pPr>
        <w:pStyle w:val="ListBullet"/>
      </w:pPr>
      <w:r/>
      <w:r>
        <w:rPr>
          <w:b/>
        </w:rPr>
        <w:t>DIAPHAG</w:t>
      </w:r>
      <w:r>
        <w:t xml:space="preserve"> (GROUPE SAIDAL)</w:t>
      </w:r>
    </w:p>
    <w:p>
      <w:pPr>
        <w:pStyle w:val="ListBullet"/>
      </w:pPr>
      <w:r>
        <w:t>Formes et Dosages : Comprimé sécable 80 mg — Boîte de 60</w:t>
      </w:r>
    </w:p>
    <w:p>
      <w:pPr>
        <w:pStyle w:val="ListBullet"/>
      </w:pPr>
      <w:r>
        <w:t>Statut : Actif</w:t>
      </w:r>
    </w:p>
    <w:p>
      <w:pPr>
        <w:pStyle w:val="ListBullet"/>
      </w:pPr>
      <w:r/>
      <w:r>
        <w:rPr>
          <w:b/>
        </w:rPr>
        <w:t>DIAMICRON</w:t>
      </w:r>
      <w:r>
        <w:t xml:space="preserve"> (LES LABORATOIRES SERVIER)</w:t>
      </w:r>
    </w:p>
    <w:p>
      <w:pPr>
        <w:pStyle w:val="ListBullet"/>
      </w:pPr>
      <w:r>
        <w:t>Formes et Dosages : Comprimé à libération modifiée 30 mg (B/30) ; Comprimé sécable à libération modifiée 60 mg (B/30 et B/150)</w:t>
      </w:r>
    </w:p>
    <w:p>
      <w:pPr>
        <w:pStyle w:val="ListBullet"/>
      </w:pPr>
      <w:r>
        <w:t>Statut : Actif</w:t>
      </w:r>
    </w:p>
    <w:p>
      <w:pPr>
        <w:pStyle w:val="ListBullet"/>
      </w:pPr>
      <w:r/>
      <w:r>
        <w:rPr>
          <w:b/>
        </w:rPr>
        <w:t>GLATIX</w:t>
      </w:r>
      <w:r>
        <w:t xml:space="preserve"> (BIOPHARM)</w:t>
      </w:r>
    </w:p>
    <w:p>
      <w:pPr>
        <w:pStyle w:val="ListBullet"/>
      </w:pPr>
      <w:r>
        <w:t>Formes et Dosages : Comprimé à libération modifiée 30 mg (B/30)</w:t>
      </w:r>
    </w:p>
    <w:p>
      <w:pPr>
        <w:pStyle w:val="ListBullet"/>
      </w:pPr>
      <w:r>
        <w:t>Statut : Actif</w:t>
      </w:r>
    </w:p>
    <w:p>
      <w:pPr>
        <w:pStyle w:val="ListBullet"/>
      </w:pPr>
      <w:r/>
      <w:r>
        <w:rPr>
          <w:b/>
        </w:rPr>
        <w:t>GLICLAZIDE BGL</w:t>
      </w:r>
      <w:r>
        <w:t xml:space="preserve"> (BIOGALENIC)</w:t>
      </w:r>
    </w:p>
    <w:p>
      <w:pPr>
        <w:pStyle w:val="ListBullet"/>
      </w:pPr>
      <w:r>
        <w:t>Formes et Dosages : Comprimé pelliculé à libération modifiée 30 mg (B/30)</w:t>
      </w:r>
    </w:p>
    <w:p>
      <w:pPr>
        <w:pStyle w:val="ListBullet"/>
      </w:pPr>
      <w:r>
        <w:t>Statut : Actif</w:t>
      </w:r>
    </w:p>
    <w:p>
      <w:pPr>
        <w:pStyle w:val="ListBullet"/>
      </w:pPr>
      <w:r/>
      <w:r>
        <w:rPr>
          <w:b/>
        </w:rPr>
        <w:t>GLICRON</w:t>
      </w:r>
      <w:r>
        <w:t xml:space="preserve"> (CHEMICAL FARMA)</w:t>
      </w:r>
    </w:p>
    <w:p>
      <w:pPr>
        <w:pStyle w:val="ListBullet"/>
      </w:pPr>
      <w:r>
        <w:t>Formes et Dosages : Comprimé pelliculé à libération modifiée 30 mg (B/30)</w:t>
      </w:r>
    </w:p>
    <w:p>
      <w:pPr>
        <w:pStyle w:val="ListBullet"/>
      </w:pPr>
      <w:r>
        <w:t>Statut : Actif</w:t>
      </w:r>
    </w:p>
    <w:p>
      <w:pPr>
        <w:pStyle w:val="ListBullet"/>
      </w:pPr>
      <w:r/>
      <w:r>
        <w:rPr>
          <w:b/>
        </w:rPr>
        <w:t>NOVAMICRON</w:t>
      </w:r>
      <w:r>
        <w:t xml:space="preserve"> (NOVAPHARM TRADING)</w:t>
      </w:r>
    </w:p>
    <w:p>
      <w:pPr>
        <w:pStyle w:val="ListBullet"/>
      </w:pPr>
      <w:r>
        <w:t>Formes et Dosages : Comprimé à libération modifiée 30 mg (B/30)</w:t>
      </w:r>
    </w:p>
    <w:p>
      <w:pPr>
        <w:pStyle w:val="ListBullet"/>
      </w:pPr>
      <w:r>
        <w:t>Statut : Actif</w:t>
      </w:r>
    </w:p>
    <w:p>
      <w:pPr>
        <w:pStyle w:val="ListBullet"/>
      </w:pPr>
      <w:r/>
      <w:r>
        <w:rPr>
          <w:b/>
        </w:rPr>
        <w:t>MEDOCLAZIDE</w:t>
      </w:r>
      <w:r>
        <w:t xml:space="preserve"> (MEDOCHEMIE LTD)</w:t>
      </w:r>
    </w:p>
    <w:p>
      <w:pPr>
        <w:pStyle w:val="ListBullet"/>
      </w:pPr>
      <w:r>
        <w:t>Formes et Dosages : Cp 80 mg (B/20)</w:t>
      </w:r>
    </w:p>
    <w:p>
      <w:pPr>
        <w:pStyle w:val="ListBullet"/>
      </w:pPr>
      <w:r>
        <w:t>Statut : Retiré (R)</w:t>
      </w:r>
    </w:p>
    <w:p>
      <w:pPr>
        <w:pStyle w:val="ListBullet"/>
      </w:pPr>
      <w:r/>
      <w:r>
        <w:rPr>
          <w:b/>
        </w:rPr>
        <w:t>BIOCLAZIDE</w:t>
      </w:r>
      <w:r>
        <w:t xml:space="preserve"> (UNIQUE LTD)</w:t>
      </w:r>
    </w:p>
    <w:p>
      <w:pPr>
        <w:pStyle w:val="ListBullet"/>
      </w:pPr>
      <w:r>
        <w:t>Formes et Dosages : Cp 80 mg (B/60)</w:t>
      </w:r>
    </w:p>
    <w:p>
      <w:pPr>
        <w:pStyle w:val="ListBullet"/>
      </w:pPr>
      <w:r>
        <w:t>Statut : Retiré (R)</w:t>
      </w:r>
    </w:p>
    <w:p>
      <w:pPr>
        <w:pStyle w:val="ListBullet"/>
      </w:pPr>
      <w:r/>
      <w:r>
        <w:rPr>
          <w:b/>
        </w:rPr>
        <w:t>DIAZIDE</w:t>
      </w:r>
      <w:r>
        <w:t xml:space="preserve"> (GEOPHARM)</w:t>
      </w:r>
    </w:p>
    <w:p>
      <w:pPr>
        <w:pStyle w:val="ListBullet"/>
      </w:pPr>
      <w:r>
        <w:t>Formes et Dosages : Cp 80 mg (B/30)</w:t>
      </w:r>
    </w:p>
    <w:p>
      <w:pPr>
        <w:pStyle w:val="ListBullet"/>
      </w:pPr>
      <w:r>
        <w:t>Statut : Retiré (R)</w:t>
      </w:r>
    </w:p>
    <w:p>
      <w:pPr>
        <w:pStyle w:val="ListBullet"/>
      </w:pPr>
      <w:r/>
      <w:r>
        <w:rPr>
          <w:b/>
        </w:rPr>
        <w:t>DIABRESIDE</w:t>
      </w:r>
      <w:r>
        <w:t xml:space="preserve"> (ELI-LILLY)</w:t>
      </w:r>
    </w:p>
    <w:p>
      <w:pPr>
        <w:pStyle w:val="ListBullet"/>
      </w:pPr>
      <w:r>
        <w:t>Formes et Dosages : Cp 80 mg (B/40)</w:t>
      </w:r>
    </w:p>
    <w:p>
      <w:pPr>
        <w:pStyle w:val="ListBullet"/>
      </w:pPr>
      <w:r>
        <w:t>Statut : Retiré (R)</w:t>
      </w:r>
    </w:p>
    <w:p>
      <w:pPr>
        <w:pStyle w:val="ListBullet"/>
      </w:pPr>
      <w:r/>
      <w:r>
        <w:rPr>
          <w:b/>
        </w:rPr>
        <w:t>GLICALAD</w:t>
      </w:r>
      <w:r>
        <w:t xml:space="preserve"> (LAD)</w:t>
      </w:r>
    </w:p>
    <w:p>
      <w:pPr>
        <w:pStyle w:val="ListBullet"/>
      </w:pPr>
      <w:r>
        <w:t>Formes et Dosages : Cp 80 mg (B/20)</w:t>
      </w:r>
    </w:p>
    <w:p>
      <w:pPr>
        <w:pStyle w:val="ListBullet"/>
      </w:pPr>
      <w:r>
        <w:t>Statut : Retiré (R)</w:t>
      </w:r>
    </w:p>
    <w:p>
      <w:pPr>
        <w:pStyle w:val="ListBullet"/>
      </w:pPr>
      <w:r/>
      <w:r>
        <w:rPr>
          <w:b/>
        </w:rPr>
        <w:t>GLICLAZIDAL</w:t>
      </w:r>
      <w:r>
        <w:t xml:space="preserve"> (PHARMIDAL)</w:t>
      </w:r>
    </w:p>
    <w:p>
      <w:pPr>
        <w:pStyle w:val="ListBullet"/>
      </w:pPr>
      <w:r>
        <w:t>Formes et Dosages : Cp 80 mg (B/60)</w:t>
      </w:r>
    </w:p>
    <w:p>
      <w:pPr>
        <w:pStyle w:val="ListBullet"/>
      </w:pPr>
      <w:r>
        <w:t>Statut : Retiré (R)</w:t>
      </w:r>
    </w:p>
    <w:p>
      <w:pPr>
        <w:pStyle w:val="ListBullet"/>
      </w:pPr>
      <w:r/>
      <w:r>
        <w:rPr>
          <w:b/>
        </w:rPr>
        <w:t>GLIPICRONE</w:t>
      </w:r>
      <w:r>
        <w:t xml:space="preserve"> (AMRYA INDUSTRIES)</w:t>
      </w:r>
    </w:p>
    <w:p>
      <w:pPr>
        <w:pStyle w:val="ListBullet"/>
      </w:pPr>
      <w:r>
        <w:t>Formes et Dosages : Cp 80 mg (B/20)</w:t>
      </w:r>
    </w:p>
    <w:p>
      <w:pPr>
        <w:pStyle w:val="ListBullet"/>
      </w:pPr>
      <w:r>
        <w:t>Statut : Retiré (R)</w:t>
      </w:r>
    </w:p>
    <w:p>
      <w:pPr>
        <w:pStyle w:val="ListBullet"/>
      </w:pPr>
      <w:r/>
      <w:r>
        <w:rPr>
          <w:b/>
        </w:rPr>
        <w:t>GLIZIDE</w:t>
      </w:r>
      <w:r>
        <w:t xml:space="preserve"> (TABUK)</w:t>
      </w:r>
    </w:p>
    <w:p>
      <w:pPr>
        <w:pStyle w:val="ListBullet"/>
      </w:pPr>
      <w:r>
        <w:t>Formes et Dosages : Cp 80 mg (B/30)</w:t>
      </w:r>
    </w:p>
    <w:p>
      <w:pPr>
        <w:pStyle w:val="ListBullet"/>
      </w:pPr>
      <w:r>
        <w:t>Statut : Retiré (R)</w:t>
      </w:r>
    </w:p>
    <w:p>
      <w:pPr>
        <w:pStyle w:val="ListBullet"/>
      </w:pPr>
      <w:r/>
      <w:r>
        <w:rPr>
          <w:b/>
        </w:rPr>
        <w:t>GLYAZID</w:t>
      </w:r>
      <w:r>
        <w:t xml:space="preserve"> (GALENICA)</w:t>
      </w:r>
    </w:p>
    <w:p>
      <w:pPr>
        <w:pStyle w:val="ListBullet"/>
      </w:pPr>
      <w:r>
        <w:t>Formes et Dosages : Cp 80 mg (B/20)</w:t>
      </w:r>
    </w:p>
    <w:p>
      <w:pPr>
        <w:pStyle w:val="ListBullet"/>
      </w:pPr>
      <w:r>
        <w:t>Statut : Retiré (R)</w:t>
      </w:r>
    </w:p>
    <w:p>
      <w:pPr>
        <w:pStyle w:val="ListBullet"/>
      </w:pPr>
      <w:r/>
      <w:r>
        <w:rPr>
          <w:b/>
        </w:rPr>
        <w:t>MICROZIDE</w:t>
      </w:r>
      <w:r>
        <w:t xml:space="preserve"> (HAYAT PHARMACEUTICAL)</w:t>
      </w:r>
    </w:p>
    <w:p>
      <w:pPr>
        <w:pStyle w:val="ListBullet"/>
      </w:pPr>
      <w:r>
        <w:t>Formes et Dosages : Cp 80 mg (B/30)</w:t>
      </w:r>
    </w:p>
    <w:p>
      <w:pPr>
        <w:pStyle w:val="ListBullet"/>
      </w:pPr>
      <w:r>
        <w:t>Statut : Retiré (R)</w:t>
      </w:r>
    </w:p>
    <w:p>
      <w:pPr>
        <w:pStyle w:val="ListBullet"/>
      </w:pPr>
      <w:r/>
      <w:r>
        <w:rPr>
          <w:b/>
        </w:rPr>
        <w:t>NOVAZIDE</w:t>
      </w:r>
      <w:r>
        <w:t xml:space="preserve"> (NOVA ARGENTIA)</w:t>
      </w:r>
    </w:p>
    <w:p>
      <w:pPr>
        <w:pStyle w:val="ListBullet"/>
      </w:pPr>
      <w:r>
        <w:t>Formes et Dosages : Cp 80 mg (B/60)</w:t>
      </w:r>
    </w:p>
    <w:p>
      <w:pPr>
        <w:pStyle w:val="ListBullet"/>
      </w:pPr>
      <w:r>
        <w:t>Statut : Retiré (R)</w:t>
      </w:r>
    </w:p>
    <w:p>
      <w:pPr>
        <w:pStyle w:val="ListBullet"/>
      </w:pPr>
      <w:r/>
      <w:r>
        <w:rPr>
          <w:b/>
        </w:rPr>
        <w:t>GLAZIDAL</w:t>
      </w:r>
      <w:r>
        <w:t xml:space="preserve"> (SOPHAL)</w:t>
      </w:r>
    </w:p>
    <w:p>
      <w:pPr>
        <w:pStyle w:val="ListBullet"/>
      </w:pPr>
      <w:r>
        <w:t>Formes et Dosages : Cp sécable 80 mg (B/30)</w:t>
      </w:r>
    </w:p>
    <w:p>
      <w:pPr>
        <w:pStyle w:val="ListBullet"/>
      </w:pPr>
      <w:r>
        <w:t>Statut : Retiré (R)</w:t>
      </w:r>
    </w:p>
    <w:p>
      <w:pPr>
        <w:pStyle w:val="ListBullet"/>
      </w:pPr>
      <w:r/>
      <w:r>
        <w:rPr>
          <w:b/>
        </w:rPr>
        <w:t>DIAMICRON</w:t>
      </w:r>
      <w:r>
        <w:t xml:space="preserve"> (SERVIER) — variante 80 mg</w:t>
      </w:r>
    </w:p>
    <w:p>
      <w:pPr>
        <w:pStyle w:val="ListBullet"/>
      </w:pPr>
      <w:r>
        <w:t>Formes et Dosages : Cp sécable 80 mg (B/60)</w:t>
      </w:r>
    </w:p>
    <w:p>
      <w:pPr>
        <w:pStyle w:val="ListBullet"/>
      </w:pPr>
      <w:r>
        <w:t>Statut : Retiré (R)</w:t>
      </w:r>
    </w:p>
    <w:p>
      <w:pPr>
        <w:pStyle w:val="ListBullet"/>
      </w:pPr>
      <w:r/>
      <w:r>
        <w:rPr>
          <w:b/>
        </w:rPr>
        <w:t>GLAZIDAL LP</w:t>
      </w:r>
      <w:r>
        <w:t xml:space="preserve"> (SOPHAL SPA)</w:t>
      </w:r>
    </w:p>
    <w:p>
      <w:pPr>
        <w:pStyle w:val="ListBullet"/>
      </w:pPr>
      <w:r>
        <w:t>Formes et Dosages : Microgranules en gélule à libération prolongée 30 mg (B/30)</w:t>
      </w:r>
    </w:p>
    <w:p>
      <w:pPr>
        <w:pStyle w:val="ListBullet"/>
      </w:pPr>
      <w:r>
        <w:t>Statut : Retiré (R)</w:t>
      </w:r>
    </w:p>
    <w:p>
      <w:r/>
      <w:r>
        <w:rPr>
          <w:b/>
        </w:rPr>
        <w:t>Sous-classe et Mécanisme d'action :</w:t>
      </w:r>
      <w:r/>
    </w:p>
    <w:p>
      <w:pPr>
        <w:pStyle w:val="ListBullet"/>
      </w:pPr>
      <w:r>
        <w:t>Sous-classe : Sulfamide hypoglycémiant de 2e génération, insulinotrope ; molécule de référence chez le sujet âgé (forme MR).</w:t>
      </w:r>
    </w:p>
    <w:p>
      <w:pPr>
        <w:pStyle w:val="ListBullet"/>
      </w:pPr>
      <w:r>
        <w:t>Mécanisme d'action : Fixation sur la sous-unité SUR1 du canal K+ ATP-dépendant des cellules β-pancréatiques → fermeture du canal → dépolarisation → ouverture des canaux Ca2+ voltage-dépendants → exocytose d'insuline. La sécrétion est glucose-dépendante dans une certaine mesure (effet plus physiologique que le glibenclamide). Effets extra-pancréatiques : effet antiagrégant plaquettaire (réduction de la thrombose expérimentale), effet antioxydant (réduction des radicaux libres), effet vasculoprotecteur (réduction de la peroxydation lipidique) — ces effets ont été mis en avant dans l'étude ADVANCE qui a démontré une réduction des événements rénaux sous gliclazide MR.</w:t>
      </w:r>
    </w:p>
    <w:p>
      <w:r/>
      <w:r>
        <w:rPr>
          <w:b/>
        </w:rPr>
        <w:t>Profil Pharmacologique :</w:t>
      </w:r>
      <w:r/>
    </w:p>
    <w:p>
      <w:pPr>
        <w:pStyle w:val="ListBullet"/>
      </w:pPr>
      <w:r>
        <w:t>Indications : DT2 en seconde intention après échec de la metformine, en association à la metformine ou en alternative si CI à la metformine ; chez le sujet âgé en raison de sa pharmacocinétique prévisible ; en bithérapie, trithérapie avec gliptines, gliflozines, ou insuline. La forme MR 30 mg ou 60 mg est privilégiée pour sa couverture 24 h et son faible risque hypoglycémique.</w:t>
      </w:r>
    </w:p>
    <w:p>
      <w:pPr>
        <w:pStyle w:val="ListBullet"/>
      </w:pPr>
      <w:r>
        <w:t>Contre-indications : Diabète de type 1 ; coma ou précoma diabétique ; acidocétose ; insuffisance rénale sévère (ClCr &lt; 30) ; insuffisance hépatique sévère ; hypersensibilité aux sulfamides ; porphyrie ; grossesse, allaitement ; association au bosentan ou au miconazole systémique.</w:t>
      </w:r>
    </w:p>
    <w:p>
      <w:pPr>
        <w:pStyle w:val="ListBullet"/>
      </w:pPr>
      <w:r>
        <w:t>Effets Indésirables : Hypoglycémie (moins fréquente et moins sévère qu'avec le glibenclamide, surtout avec la forme MR — ADVANCE study a rapporté &lt; 1 % d'hypoglycémies sévères) ; prise de poids modérée (1 à 2 kg) ; troubles digestifs (nausées, épigastralgies) ; éruptions cutanées (cross-réactivité avec sulfamides antibactériens) ; rarement cytolyse hépatique, agranulocytose, thrombopénie ; hyponatrémie exceptionnelle.</w:t>
      </w:r>
    </w:p>
    <w:p>
      <w:r/>
      <w:r>
        <w:rPr>
          <w:b/>
        </w:rPr>
        <w:t>Prévention et Gestion des Effets Indésirables :</w:t>
      </w:r>
      <w:r/>
    </w:p>
    <w:p>
      <w:pPr>
        <w:pStyle w:val="ListBullet"/>
      </w:pPr>
      <w:r>
        <w:t>Mesures Préventives : Débuter à 30 mg/jour (forme MR) et titrer mensuellement jusqu'à 90–120 mg/jour max ; prendre le matin au petit-déjeuner ; surveillance glycémique capillaire en début de traitement ; éducation aux signes d'hypoglycémie. Chez le sujet âgé, préférence à la forme MR 30 mg.</w:t>
      </w:r>
    </w:p>
    <w:p>
      <w:pPr>
        <w:pStyle w:val="ListBullet"/>
      </w:pPr>
      <w:r>
        <w:t>Conduite à Tenir : En cas d'hypoglycémie sévère, arrêt transitoire, réduction dose et réévaluation. En cas d'insuffisance rénale modérée (ClCr 30–60), préférer gliquidone ou gliptine.</w:t>
      </w:r>
    </w:p>
    <w:p>
      <w:r/>
      <w:r>
        <w:rPr>
          <w:b/>
        </w:rPr>
        <w:t>Interactions Importantes :</w:t>
      </w:r>
      <w:r/>
    </w:p>
    <w:p>
      <w:pPr>
        <w:pStyle w:val="ListBullet"/>
      </w:pPr>
      <w:r/>
      <w:r>
        <w:rPr>
          <w:b/>
        </w:rPr>
        <w:t>Gliclazide + miconazole oral, fluconazole, voriconazole</w:t>
      </w:r>
      <w:r>
        <w:t xml:space="preserve"> : majoration de l'hypoglycémie (inhibition CYP2C9) — CI ou surveillance stricte.</w:t>
      </w:r>
    </w:p>
    <w:p>
      <w:pPr>
        <w:pStyle w:val="ListBullet"/>
      </w:pPr>
      <w:r/>
      <w:r>
        <w:rPr>
          <w:b/>
        </w:rPr>
        <w:t>Gliclazide + bosentan</w:t>
      </w:r>
      <w:r>
        <w:t xml:space="preserve"> : baisse de l'efficacité du bosentan, augmentation du gliclazide — CI.</w:t>
      </w:r>
    </w:p>
    <w:p>
      <w:pPr>
        <w:pStyle w:val="ListBullet"/>
      </w:pPr>
      <w:r/>
      <w:r>
        <w:rPr>
          <w:b/>
        </w:rPr>
        <w:t>Gliclazide + cotrimoxazole, AINS, salicylés, anticoagulants oraux</w:t>
      </w:r>
      <w:r>
        <w:t xml:space="preserve"> : déplacement protéique, majoration de l'effet.</w:t>
      </w:r>
    </w:p>
    <w:p>
      <w:pPr>
        <w:pStyle w:val="ListBullet"/>
      </w:pPr>
      <w:r/>
      <w:r>
        <w:rPr>
          <w:b/>
        </w:rPr>
        <w:t>Gliclazide + alcool</w:t>
      </w:r>
      <w:r>
        <w:t xml:space="preserve"> : effet antabuse et hypoglycémie.</w:t>
      </w:r>
    </w:p>
    <w:p>
      <w:pPr>
        <w:pStyle w:val="ListBullet"/>
      </w:pPr>
      <w:r/>
      <w:r>
        <w:rPr>
          <w:b/>
        </w:rPr>
        <w:t>Gliclazide + β-bloquants</w:t>
      </w:r>
      <w:r>
        <w:t xml:space="preserve"> : masquage des signes d'hypoglycémie.</w:t>
      </w:r>
    </w:p>
    <w:p>
      <w:pPr>
        <w:pStyle w:val="ListBullet"/>
      </w:pPr>
      <w:r/>
      <w:r>
        <w:rPr>
          <w:b/>
        </w:rPr>
        <w:t>Gliclazide + rifampicine, phénytoïne</w:t>
      </w:r>
      <w:r>
        <w:t xml:space="preserve"> : induction enzymatique, baisse d'efficacité.</w:t>
      </w:r>
    </w:p>
    <w:p>
      <w:pPr>
        <w:pStyle w:val="ListBullet"/>
      </w:pPr>
      <w:r/>
      <w:r>
        <w:rPr>
          <w:b/>
        </w:rPr>
        <w:t>Gliclazide + IMAO</w:t>
      </w:r>
      <w:r>
        <w:t xml:space="preserve"> : potentialisation de l'hypoglycémie.</w:t>
      </w:r>
    </w:p>
    <w:p>
      <w:r/>
      <w:r>
        <w:rPr>
          <w:b/>
        </w:rPr>
        <w:t>Grossesse et Allaitement :</w:t>
      </w:r>
      <w:r/>
    </w:p>
    <w:p>
      <w:pPr>
        <w:pStyle w:val="ListBullet"/>
      </w:pPr>
      <w:r>
        <w:t>Grossesse : CI — passage transplacentaire, hypoglycémie néonatale. Substitution par insuline en préconceptionnel.</w:t>
      </w:r>
    </w:p>
    <w:p>
      <w:pPr>
        <w:pStyle w:val="ListBullet"/>
      </w:pPr>
      <w:r>
        <w:t>Allaitement : CI — passage dans le lait.</w:t>
      </w:r>
    </w:p>
    <w:p>
      <w:pPr>
        <w:pStyle w:val="ListBullet"/>
      </w:pPr>
      <w:r>
        <w:t>Précisions : Toute femme DT2 en âge de procréer doit être substituée par insuline avant conception.</w:t>
      </w:r>
    </w:p>
    <w:p>
      <w:r/>
      <w:r>
        <w:rPr>
          <w:b/>
        </w:rPr>
        <w:t>Posologie et Mode d'administration (Standard) :</w:t>
      </w:r>
      <w:r/>
    </w:p>
    <w:p>
      <w:pPr>
        <w:pStyle w:val="ListBullet"/>
      </w:pPr>
      <w:r>
        <w:t>Adulte : Forme MR : 30 mg/jour initial, titration par paliers de 30 mg mensuels, dose maximale 120 mg/jour en une prise unique le matin. Forme standard : 80 mg/jour initial, titration à 160 mg/jour (2 prises), dose max 320 mg/jour (4 comprimés en 2 prises).</w:t>
      </w:r>
    </w:p>
    <w:p>
      <w:pPr>
        <w:pStyle w:val="ListBullet"/>
      </w:pPr>
      <w:r>
        <w:t>Sujet âgé : Préférence à la forme MR 30 mg ; dose max 60–90 mg/jour.</w:t>
      </w:r>
    </w:p>
    <w:p>
      <w:pPr>
        <w:pStyle w:val="ListBullet"/>
      </w:pPr>
      <w:r>
        <w:t>Enfant : Non indiqué avant 18 ans.</w:t>
      </w:r>
    </w:p>
    <w:p>
      <w:pPr>
        <w:pStyle w:val="ListBullet"/>
      </w:pPr>
      <w:r>
        <w:t>Durée : au long cours.</w:t>
      </w:r>
    </w:p>
    <w:p>
      <w:pPr>
        <w:pStyle w:val="ListBullet"/>
      </w:pPr>
      <w:r>
        <w:t>Moment de prise : Forme MR : une prise unique le matin au petit-déjeuner. Forme standard : 2 prises matin et soir au cours des repas.</w:t>
      </w:r>
    </w:p>
    <w:p>
      <w:r/>
      <w:r>
        <w:rPr>
          <w:b/>
        </w:rPr>
        <w:t>Arbitrage et Bénéfices des Formes Galéniques :</w:t>
      </w:r>
      <w:r/>
    </w:p>
    <w:p>
      <w:r>
        <w:t>La forme MR 30 mg et 60 mg (DIAMICRON, GLATIX, GLICLAZIDE BGL, GLICRON, NOVAMICRON) est aujourd'hui le standard de prescription en raison de sa couverture 24 h, de sa tolérance supérieure et de la simplicité d'administration (1 prise/jour). La forme standard 80 mg (DIAPHAG) reste disponible mais est progressivement abandonnée au profit de la MR. La disponibilité de 6 marques actives en MR 30 mg garantit une bonne accessibilité en Algérie. Le comprimé sécable 60 mg permet une titration fine (demi-dose).</w:t>
      </w:r>
    </w:p>
    <w:p>
      <w:r/>
      <w:r>
        <w:rPr>
          <w:b/>
        </w:rPr>
        <w:t>Instructions et Conseils au Patient :</w:t>
      </w:r>
      <w:r/>
    </w:p>
    <w:p>
      <w:pPr>
        <w:pStyle w:val="ListBullet"/>
      </w:pPr>
      <w:r>
        <w:t>Communication au comptoir : Insister sur la prise matinale au cours du petit-déjeuner (forme MR) ; ne jamais écraser ou croquer les comprimés MR ; éduquer aux signes d'hypoglycémie (sueurs, tremblements, faim, palpitations, vertiges) et à l'auto-gestion (sucre, glucagon) ; avoir toujours sur soi 3-4 morceaux de sucre ; surveillance glycémique capillaire régulière.</w:t>
      </w:r>
    </w:p>
    <w:p>
      <w:pPr>
        <w:pStyle w:val="ListBullet"/>
      </w:pPr>
      <w:r>
        <w:t>Mode d'utilisation pratique : Débuter à 30 mg matin ; titrer selon prescription. En cas d'oubli, ne pas doubler la dose suivante. Conserver à température ambiante.</w:t>
      </w:r>
    </w:p>
    <w:p>
      <w:r/>
      <w:r>
        <w:rPr>
          <w:b/>
        </w:rPr>
        <w:t>Notes, Règles d'Or &amp; Pièges au Comptoir :</w:t>
      </w:r>
      <w:r/>
    </w:p>
    <w:p>
      <w:pPr>
        <w:pStyle w:val="ListBullet"/>
      </w:pPr>
      <w:r>
        <w:t>Piège classique : (1) Écrasement ou croquage du comprimé MR — perte de l'effet LP, pics toxiques, hypoglycémie ; (2) Association avec miconazole oral non signalée ; (3) Patient âgé installé sous forme standard 80 mg BID avec hypoglycémies — proposer relai par MR 30 mg.</w:t>
      </w:r>
    </w:p>
    <w:p>
      <w:pPr>
        <w:pStyle w:val="ListBullet"/>
      </w:pPr>
      <w:r>
        <w:t>Règle de prise : Comprimé MR entier le matin au petit-déjeuner, ne jamais écraser.</w:t>
      </w:r>
    </w:p>
    <w:p>
      <w:pPr>
        <w:pStyle w:val="ListBullet"/>
      </w:pPr>
      <w:r>
        <w:t>Préparation et Conservation : ≤ 25 °C, à l'abri de l'humidité.</w:t>
      </w:r>
    </w:p>
    <w:p>
      <w:pPr>
        <w:pStyle w:val="ListBullet"/>
      </w:pPr>
      <w:r>
        <w:t>Piège du surdosage / Substitution : Transition forme standard → forme MR : 80 mg standard ≈ 30 mg MR. Surveillance glycémique rapprochée pendant la transition.</w:t>
      </w:r>
    </w:p>
    <w:p>
      <w:pPr>
        <w:pStyle w:val="Heading3"/>
      </w:pPr>
      <w:r>
        <w:t>5. DCI : Glipizide (Seule)</w:t>
      </w:r>
    </w:p>
    <w:p>
      <w:r/>
      <w:r>
        <w:rPr>
          <w:b/>
        </w:rPr>
        <w:t>Liste des Catégories :</w:t>
      </w:r>
      <w:r>
        <w:t xml:space="preserve"> Antidiabétiques oraux — Sulfamides 2e génération ; Liste I ; Non renouvelable / Retiré.</w:t>
      </w:r>
    </w:p>
    <w:p>
      <w:r>
        <w:t>Le glipizide (N-[2-[4-(cyclohexylcarbamoylsulfamoyl)phenyl]ethyl]-5-methylpyrazine-2-carboxamide) est un sulfamide de 2e génération à demi-vie courte (2 à 4 h), permettant une administration biquotidienne. Son métabolisme est hépatique (CYP2C9) en métabolites inactifs, et son élimination est urinaire (≈ 90 %). Sa puissance est comparable au glibenclamide mais sa durée d'action plus courte réduit le risque d'hypoglycémie prolongée. Disponible historiquement sous le nom de MINIDIAB (Pharmacia) et OZIDIA (Pfizer, formulation osmotique), il n'est plus commercialisé en Algérie (toutes marques retirées ou non renouvelées). Mention pour la cohérence de l'enseignement.</w:t>
      </w:r>
    </w:p>
    <w:p>
      <w:r/>
      <w:r>
        <w:rPr>
          <w:b/>
        </w:rPr>
        <w:t>Médicaments disponibles en Algérie (Marques, Laboratoires, Formes et Dosages) :</w:t>
      </w:r>
      <w:r/>
    </w:p>
    <w:p>
      <w:pPr>
        <w:pStyle w:val="ListBullet"/>
      </w:pPr>
      <w:r/>
      <w:r>
        <w:rPr>
          <w:b/>
        </w:rPr>
        <w:t>NAZID</w:t>
      </w:r>
      <w:r>
        <w:t xml:space="preserve"> (NOVA ARGENTIA)</w:t>
      </w:r>
    </w:p>
    <w:p>
      <w:pPr>
        <w:pStyle w:val="ListBullet"/>
      </w:pPr>
      <w:r>
        <w:t>Formes et Dosages : Comprimé 5 mg (B/20)</w:t>
      </w:r>
    </w:p>
    <w:p>
      <w:pPr>
        <w:pStyle w:val="ListBullet"/>
      </w:pPr>
      <w:r>
        <w:t>Statut : Non Renouvelable</w:t>
      </w:r>
    </w:p>
    <w:p>
      <w:pPr>
        <w:pStyle w:val="ListBullet"/>
      </w:pPr>
      <w:r/>
      <w:r>
        <w:rPr>
          <w:b/>
        </w:rPr>
        <w:t>MINIDIAB</w:t>
      </w:r>
      <w:r>
        <w:t xml:space="preserve"> (PHARMACIA S.A.)</w:t>
      </w:r>
    </w:p>
    <w:p>
      <w:pPr>
        <w:pStyle w:val="ListBullet"/>
      </w:pPr>
      <w:r>
        <w:t>Formes et Dosages : Comprimé 5 mg (B/30)</w:t>
      </w:r>
    </w:p>
    <w:p>
      <w:pPr>
        <w:pStyle w:val="ListBullet"/>
      </w:pPr>
      <w:r>
        <w:t>Statut : Retiré (R)</w:t>
      </w:r>
    </w:p>
    <w:p>
      <w:pPr>
        <w:pStyle w:val="ListBullet"/>
      </w:pPr>
      <w:r/>
      <w:r>
        <w:rPr>
          <w:b/>
        </w:rPr>
        <w:t>SUCRAZIDE</w:t>
      </w:r>
      <w:r>
        <w:t xml:space="preserve"> (DAR AL DAWA)</w:t>
      </w:r>
    </w:p>
    <w:p>
      <w:pPr>
        <w:pStyle w:val="ListBullet"/>
      </w:pPr>
      <w:r>
        <w:t>Formes et Dosages : Comprimé 5 mg (B/30)</w:t>
      </w:r>
    </w:p>
    <w:p>
      <w:pPr>
        <w:pStyle w:val="ListBullet"/>
      </w:pPr>
      <w:r>
        <w:t>Statut : Retiré (R)</w:t>
      </w:r>
    </w:p>
    <w:p>
      <w:pPr>
        <w:pStyle w:val="ListBullet"/>
      </w:pPr>
      <w:r/>
      <w:r>
        <w:rPr>
          <w:b/>
        </w:rPr>
        <w:t>OZIDIA</w:t>
      </w:r>
      <w:r>
        <w:t xml:space="preserve"> (PFIZER)</w:t>
      </w:r>
    </w:p>
    <w:p>
      <w:pPr>
        <w:pStyle w:val="ListBullet"/>
      </w:pPr>
      <w:r>
        <w:t>Formes et Dosages : Comprimé osmotique pelliculé 5 mg (B/30) ; Comprimé pelliculé 10 mg (B/30)</w:t>
      </w:r>
    </w:p>
    <w:p>
      <w:pPr>
        <w:pStyle w:val="ListBullet"/>
      </w:pPr>
      <w:r>
        <w:t>Statut : Retiré (R)</w:t>
      </w:r>
    </w:p>
    <w:p>
      <w:r/>
      <w:r>
        <w:rPr>
          <w:b/>
        </w:rPr>
        <w:t>Sous-classe et Mécanisme d'action :</w:t>
      </w:r>
      <w:r/>
    </w:p>
    <w:p>
      <w:pPr>
        <w:pStyle w:val="ListBullet"/>
      </w:pPr>
      <w:r>
        <w:t>Sous-classe : Sulfamide hypoglycémiant de 2e génération, insulinotrope, à demi-vie courte.</w:t>
      </w:r>
    </w:p>
    <w:p>
      <w:pPr>
        <w:pStyle w:val="ListBullet"/>
      </w:pPr>
      <w:r>
        <w:t>Mécanisme d'action : Fixation SUR1 → fermeture K+ ATP → dépolarisation → Ca2+ → exocytose d'insuline. Identique aux autres sulfamides. La formulation osmotique (GITS, OZIDIA) permet une libération continue à 5 mg/jour ou 10 mg/jour.</w:t>
      </w:r>
    </w:p>
    <w:p>
      <w:r/>
      <w:r>
        <w:rPr>
          <w:b/>
        </w:rPr>
        <w:t>Profil Pharmacologique :</w:t>
      </w:r>
      <w:r/>
    </w:p>
    <w:p>
      <w:pPr>
        <w:pStyle w:val="ListBullet"/>
      </w:pPr>
      <w:r>
        <w:t>Indications : DT2 en alternative ou en association à la metformine ; présentation osmotique (OZIDIA) permettant une administration quotidienne unique.</w:t>
      </w:r>
    </w:p>
    <w:p>
      <w:pPr>
        <w:pStyle w:val="ListBullet"/>
      </w:pPr>
      <w:r>
        <w:t>Contre-indications : Diabète de type 1, coma diabétique, acidocétose, insuffisance rénale sévère, insuffisance hépatique sévère, hypersensibilité aux sulfamides, porphyrie, grossesse, allaitement.</w:t>
      </w:r>
    </w:p>
    <w:p>
      <w:pPr>
        <w:pStyle w:val="ListBullet"/>
      </w:pPr>
      <w:r>
        <w:t>Effets Indésirables : Hypoglycémie (mais moins prolongée qu'avec le glibenclamide) ; prise de poids ; troubles digestifs ; éruptions cutanées ; rares cytolyse hépatique et troubles hématologiques.</w:t>
      </w:r>
    </w:p>
    <w:p>
      <w:r/>
      <w:r>
        <w:rPr>
          <w:b/>
        </w:rPr>
        <w:t>Prévention et Gestion des Effets Indésirables :</w:t>
      </w:r>
      <w:r/>
    </w:p>
    <w:p>
      <w:pPr>
        <w:pStyle w:val="ListBullet"/>
      </w:pPr>
      <w:r>
        <w:t>Mesures Préventives : Prise au cours des repas, ne jamais sauter le repas suivant, surveillance glycémique.</w:t>
      </w:r>
    </w:p>
    <w:p>
      <w:pPr>
        <w:pStyle w:val="ListBullet"/>
      </w:pPr>
      <w:r>
        <w:t>Conduite à Tenir : En cas d'hypoglycémie, arrêt transitoire et réévaluation.</w:t>
      </w:r>
    </w:p>
    <w:p>
      <w:r/>
      <w:r>
        <w:rPr>
          <w:b/>
        </w:rPr>
        <w:t>Interactions Importantes :</w:t>
      </w:r>
      <w:r/>
    </w:p>
    <w:p>
      <w:pPr>
        <w:pStyle w:val="ListBullet"/>
      </w:pPr>
      <w:r/>
      <w:r>
        <w:rPr>
          <w:b/>
        </w:rPr>
        <w:t>Glipizide + fluconazole, cotrimoxazole, AINS</w:t>
      </w:r>
      <w:r>
        <w:t xml:space="preserve"> : majoration de l'hypoglycémie.</w:t>
      </w:r>
    </w:p>
    <w:p>
      <w:pPr>
        <w:pStyle w:val="ListBullet"/>
      </w:pPr>
      <w:r/>
      <w:r>
        <w:rPr>
          <w:b/>
        </w:rPr>
        <w:t>Glipizide + alcool</w:t>
      </w:r>
      <w:r>
        <w:t xml:space="preserve"> : effet antabuse et hypoglycémie.</w:t>
      </w:r>
    </w:p>
    <w:p>
      <w:pPr>
        <w:pStyle w:val="ListBullet"/>
      </w:pPr>
      <w:r/>
      <w:r>
        <w:rPr>
          <w:b/>
        </w:rPr>
        <w:t>Glipizide + β-bloquants</w:t>
      </w:r>
      <w:r>
        <w:t xml:space="preserve"> : masquage des signes.</w:t>
      </w:r>
    </w:p>
    <w:p>
      <w:r/>
      <w:r>
        <w:rPr>
          <w:b/>
        </w:rPr>
        <w:t>Grossesse et Allaitement :</w:t>
      </w:r>
      <w:r/>
    </w:p>
    <w:p>
      <w:pPr>
        <w:pStyle w:val="ListBullet"/>
      </w:pPr>
      <w:r>
        <w:t>Grossesse : CI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2,5 à 5 mg/jour initial ; titration à 10–20 mg/jour en 1 ou 2 prises ; dose max 20 mg/jour (forme standard) ou 10–20 mg/jour (forme GITS).</w:t>
      </w:r>
    </w:p>
    <w:p>
      <w:pPr>
        <w:pStyle w:val="ListBullet"/>
      </w:pPr>
      <w:r>
        <w:t>Sujet âgé : Dose initiale 2,5 mg, titration prudente.</w:t>
      </w:r>
    </w:p>
    <w:p>
      <w:pPr>
        <w:pStyle w:val="ListBullet"/>
      </w:pPr>
      <w:r>
        <w:t>Durée : au long cours.</w:t>
      </w:r>
    </w:p>
    <w:p>
      <w:pPr>
        <w:pStyle w:val="ListBullet"/>
      </w:pPr>
      <w:r>
        <w:t>Moment de prise : Au cours du petit-déjeuner (forme standard) ; le matin à jeun pour la forme GITS.</w:t>
      </w:r>
    </w:p>
    <w:p>
      <w:r/>
      <w:r>
        <w:rPr>
          <w:b/>
        </w:rPr>
        <w:t>Arbitrage et Bénéfices des Formes Galéniques :</w:t>
      </w:r>
      <w:r/>
    </w:p>
    <w:p>
      <w:r>
        <w:t>La forme osmotique (GITS, OZIDIA) offrait l'avantage d'une administration quotidienne unique avec une libération continue ; elle n'est plus disponible. Les formes standards 5 et 10 mg sont également retirées. Aucune marque active n'est disponible en Algérie à ce jour.</w:t>
      </w:r>
    </w:p>
    <w:p>
      <w:r/>
      <w:r>
        <w:rPr>
          <w:b/>
        </w:rPr>
        <w:t>Instructions et Conseils au Patient :</w:t>
      </w:r>
      <w:r/>
    </w:p>
    <w:p>
      <w:pPr>
        <w:pStyle w:val="ListBullet"/>
      </w:pPr>
      <w:r>
        <w:t>Communication au comptoir : Si un patient présente une ordonnance ancienne, recommander la consultation du médecin pour substitution par un sulfamide disponible (gliclazide MR ou glimépiride).</w:t>
      </w:r>
    </w:p>
    <w:p>
      <w:pPr>
        <w:pStyle w:val="ListBullet"/>
      </w:pPr>
      <w:r>
        <w:t>Mode d'utilisation pratique : n/a — médicament non disponible.</w:t>
      </w:r>
    </w:p>
    <w:p>
      <w:r/>
      <w:r>
        <w:rPr>
          <w:b/>
        </w:rPr>
        <w:t>Notes, Règles d'Or &amp; Pièges au Comptoir :</w:t>
      </w:r>
      <w:r/>
    </w:p>
    <w:p>
      <w:pPr>
        <w:pStyle w:val="ListBullet"/>
      </w:pPr>
      <w:r>
        <w:t>Piège classique : Ordonnance ancienne ou stock retrouvé — ne pas délivrer, demander une nouvelle prescription.</w:t>
      </w:r>
    </w:p>
    <w:p>
      <w:pPr>
        <w:pStyle w:val="ListBullet"/>
      </w:pPr>
      <w:r>
        <w:t>Règle de prise : n/a.</w:t>
      </w:r>
    </w:p>
    <w:p>
      <w:pPr>
        <w:pStyle w:val="ListBullet"/>
      </w:pPr>
      <w:r>
        <w:t>Préparation et Conservation : n/a.</w:t>
      </w:r>
    </w:p>
    <w:p>
      <w:pPr>
        <w:pStyle w:val="ListBullet"/>
      </w:pPr>
      <w:r>
        <w:t>Piège du surdosage / Substitution : Substitution recommandée vers gliclazide MR (équivalence 5 mg glipizide ≈ 30 mg gliclazide MR).</w:t>
      </w:r>
    </w:p>
    <w:p>
      <w:pPr>
        <w:pStyle w:val="Heading3"/>
      </w:pPr>
      <w:r>
        <w:t>6. DCI : Gliquidone (Seule)</w:t>
      </w:r>
    </w:p>
    <w:p>
      <w:r/>
      <w:r>
        <w:rPr>
          <w:b/>
        </w:rPr>
        <w:t>Liste des Catégories :</w:t>
      </w:r>
      <w:r>
        <w:t xml:space="preserve"> Antidiabétiques oraux — Sulfamides 2e génération ; Liste I ; Actif.</w:t>
      </w:r>
    </w:p>
    <w:p>
      <w:r>
        <w:t>Le gliquidone (1-cyclohexyl-3-[[p-[2-(3,4-dihydro-7-methoxy-4,4-dimethyl-1,3,5-trioxo-2(1H)-isoquinolinyl)ethyl]phenyl]sulfonyl]urea) est un sulfamide de 2e génération caractérisé par son élimination essentiellement biliaire (≈ 95 %), avec une élimination rénale mineure (≈ 5 %). Cette caractéristique pharmacocinétique en fait le sulfamide de choix chez le patient insuffisant rénal modéré à sévère. Sa demi-vie est courte (≈ 1,5 h), son action hypoglycémiante dure 8 h, nécessitant une administration triquotidienne avant les repas. Sa puissance est modérée. Métabolisme hépatique complet (métabolites inactifs). Disponible en Algérie sous la marque GLURENOR (Guidotti) 30 mg.</w:t>
      </w:r>
    </w:p>
    <w:p>
      <w:r/>
      <w:r>
        <w:rPr>
          <w:b/>
        </w:rPr>
        <w:t>Médicaments disponibles en Algérie (Marques, Laboratoires, Formes et Dosages) :</w:t>
      </w:r>
      <w:r/>
    </w:p>
    <w:p>
      <w:pPr>
        <w:pStyle w:val="ListBullet"/>
      </w:pPr>
      <w:r/>
      <w:r>
        <w:rPr>
          <w:b/>
        </w:rPr>
        <w:t>GLURENOR</w:t>
      </w:r>
      <w:r>
        <w:t xml:space="preserve"> (GUIDOTTI SPA)</w:t>
      </w:r>
    </w:p>
    <w:p>
      <w:pPr>
        <w:pStyle w:val="ListBullet"/>
      </w:pPr>
      <w:r>
        <w:t>Formes et Dosages : Comprimé sécable 30 mg — Boîte de 40</w:t>
      </w:r>
    </w:p>
    <w:p>
      <w:pPr>
        <w:pStyle w:val="ListBullet"/>
      </w:pPr>
      <w:r>
        <w:t>Statut : Actif</w:t>
      </w:r>
    </w:p>
    <w:p>
      <w:r/>
      <w:r>
        <w:rPr>
          <w:b/>
        </w:rPr>
        <w:t>Sous-classe et Mécanisme d'action :</w:t>
      </w:r>
      <w:r/>
    </w:p>
    <w:p>
      <w:pPr>
        <w:pStyle w:val="ListBullet"/>
      </w:pPr>
      <w:r>
        <w:t>Sous-classe : Sulfamide hypoglycémiant de 2e génération, insulinotrope à élimination biliaire prédominante — indiqué chez l'insuffisant rénal modéré.</w:t>
      </w:r>
    </w:p>
    <w:p>
      <w:pPr>
        <w:pStyle w:val="ListBullet"/>
      </w:pPr>
      <w:r>
        <w:t>Mécanisme d'action : Identique aux autres sulfamides — fixation SUR1 → fermeture K+ ATP → exocytose d'insuline. La sécrétion est rapide et courte, adaptée à la couverture prandiale.</w:t>
      </w:r>
    </w:p>
    <w:p>
      <w:r/>
      <w:r>
        <w:rPr>
          <w:b/>
        </w:rPr>
        <w:t>Profil Pharmacologique :</w:t>
      </w:r>
      <w:r/>
    </w:p>
    <w:p>
      <w:pPr>
        <w:pStyle w:val="ListBullet"/>
      </w:pPr>
      <w:r>
        <w:t>Indications : DT2 en alternative au gliclazide ou au glibenclamide chez le patient insuffisant rénal modéré (DFG 30–60) ; en association à la metformine ; en bithérapie.</w:t>
      </w:r>
    </w:p>
    <w:p>
      <w:pPr>
        <w:pStyle w:val="ListBullet"/>
      </w:pPr>
      <w:r>
        <w:t>Contre-indications : Diabète de type 1, coma diabétique, acidocétose, insuffisance hépatique sévère, hypersensibilité aux sulfamides, porphyrie, grossesse, allaitement, occlusion intestinale.</w:t>
      </w:r>
    </w:p>
    <w:p>
      <w:pPr>
        <w:pStyle w:val="ListBullet"/>
      </w:pPr>
      <w:r>
        <w:t>Effets Indésirables : Hypoglycémie (mais de durée courte, plus facile à corriger qu'avec le glibenclamide) ; prise de poids modeste ; troubles digestifs ; éruptions cutanées ; rares cytolyse hépatique et troubles hématologiques.</w:t>
      </w:r>
    </w:p>
    <w:p>
      <w:r/>
      <w:r>
        <w:rPr>
          <w:b/>
        </w:rPr>
        <w:t>Prévention et Gestion des Effets Indésirables :</w:t>
      </w:r>
      <w:r/>
    </w:p>
    <w:p>
      <w:pPr>
        <w:pStyle w:val="ListBullet"/>
      </w:pPr>
      <w:r>
        <w:t>Mesures Préventives : Prise avant les repas principaux, surveillance glycémique en début de traitement, éducation aux signes d'hypoglycémie.</w:t>
      </w:r>
    </w:p>
    <w:p>
      <w:pPr>
        <w:pStyle w:val="ListBullet"/>
      </w:pPr>
      <w:r>
        <w:t>Conduite à Tenir : En cas d'insuffisance hépatique, arrêt et relai par insuline ou metformine.</w:t>
      </w:r>
    </w:p>
    <w:p>
      <w:r/>
      <w:r>
        <w:rPr>
          <w:b/>
        </w:rPr>
        <w:t>Interactions Importantes :</w:t>
      </w:r>
      <w:r/>
    </w:p>
    <w:p>
      <w:pPr>
        <w:pStyle w:val="ListBullet"/>
      </w:pPr>
      <w:r/>
      <w:r>
        <w:rPr>
          <w:b/>
        </w:rPr>
        <w:t>Gliquidone + AINS, salicylés, anticoagulants oraux</w:t>
      </w:r>
      <w:r>
        <w:t xml:space="preserve"> : déplacement protéique.</w:t>
      </w:r>
    </w:p>
    <w:p>
      <w:pPr>
        <w:pStyle w:val="ListBullet"/>
      </w:pPr>
      <w:r/>
      <w:r>
        <w:rPr>
          <w:b/>
        </w:rPr>
        <w:t>Gliquidone + alcool</w:t>
      </w:r>
      <w:r>
        <w:t xml:space="preserve"> : effet antabuse et hypoglycémie.</w:t>
      </w:r>
    </w:p>
    <w:p>
      <w:pPr>
        <w:pStyle w:val="ListBullet"/>
      </w:pPr>
      <w:r/>
      <w:r>
        <w:rPr>
          <w:b/>
        </w:rPr>
        <w:t>Gliquidone + β-bloquants</w:t>
      </w:r>
      <w:r>
        <w:t xml:space="preserve"> : masquage des signes.</w:t>
      </w:r>
    </w:p>
    <w:p>
      <w:r/>
      <w:r>
        <w:rPr>
          <w:b/>
        </w:rPr>
        <w:t>Grossesse et Allaitement :</w:t>
      </w:r>
      <w:r/>
    </w:p>
    <w:p>
      <w:pPr>
        <w:pStyle w:val="ListBullet"/>
      </w:pPr>
      <w:r>
        <w:t>Grossesse : CI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15 à 30 mg avant chaque repas principal (3 prises), dose maximale 180 mg/jour (6 comprimés).</w:t>
      </w:r>
    </w:p>
    <w:p>
      <w:pPr>
        <w:pStyle w:val="ListBullet"/>
      </w:pPr>
      <w:r>
        <w:t>Sujet âgé : Adaptation selon l'état rénal et hépatique ; dose initiale 15 mg × 3/jour.</w:t>
      </w:r>
    </w:p>
    <w:p>
      <w:pPr>
        <w:pStyle w:val="ListBullet"/>
      </w:pPr>
      <w:r>
        <w:t>Durée : au long cours.</w:t>
      </w:r>
    </w:p>
    <w:p>
      <w:pPr>
        <w:pStyle w:val="ListBullet"/>
      </w:pPr>
      <w:r>
        <w:t>Moment de prise : Avant chaque repas principal (petit-déjeuner, déjeuner, dîner).</w:t>
      </w:r>
    </w:p>
    <w:p>
      <w:r/>
      <w:r>
        <w:rPr>
          <w:b/>
        </w:rPr>
        <w:t>Arbitrage et Bénéfices des Formes Galéniques :</w:t>
      </w:r>
      <w:r/>
    </w:p>
    <w:p>
      <w:r>
        <w:t>Le comprimé sécable 30 mg permet une titration fine (15 mg) et une adaptation à la glycémie post-prandiale. La trithérapie (3 prises) peut limiter l'observance mais permet une couverture prandiale physiologique. Le faible coût et l'unique marque disponible (GLURENOR) en font une option rare mais précieuse pour les patients insuffisants rénaux.</w:t>
      </w:r>
    </w:p>
    <w:p>
      <w:r/>
      <w:r>
        <w:rPr>
          <w:b/>
        </w:rPr>
        <w:t>Instructions et Conseils au Patient :</w:t>
      </w:r>
      <w:r/>
    </w:p>
    <w:p>
      <w:pPr>
        <w:pStyle w:val="ListBullet"/>
      </w:pPr>
      <w:r>
        <w:t>Communication au comptoir : Préciser la prise 3 fois/jour avant les repas, ne jamais sauter le repas suivant ; éduquer aux signes d'hypoglycémie.</w:t>
      </w:r>
    </w:p>
    <w:p>
      <w:pPr>
        <w:pStyle w:val="ListBullet"/>
      </w:pPr>
      <w:r>
        <w:t>Mode d'utilisation pratique : Prise avant chaque repas, fractionnement possible par comprimé sécable.</w:t>
      </w:r>
    </w:p>
    <w:p>
      <w:r/>
      <w:r>
        <w:rPr>
          <w:b/>
        </w:rPr>
        <w:t>Notes, Règles d'Or &amp; Pièges au Comptoir :</w:t>
      </w:r>
      <w:r/>
    </w:p>
    <w:p>
      <w:pPr>
        <w:pStyle w:val="ListBullet"/>
      </w:pPr>
      <w:r>
        <w:t>Piège classique : (1) Patient installé trithérapie observance faible — préférer gliclazide MR 1 prise/jour si insuffisance rénale absente ; (2) Confusion avec d'autres sulfamides en termes d'équivalence posologique.</w:t>
      </w:r>
    </w:p>
    <w:p>
      <w:pPr>
        <w:pStyle w:val="ListBullet"/>
      </w:pPr>
      <w:r>
        <w:t>Règle de prise : 30 min avant chaque repas.</w:t>
      </w:r>
    </w:p>
    <w:p>
      <w:pPr>
        <w:pStyle w:val="ListBullet"/>
      </w:pPr>
      <w:r>
        <w:t>Préparation et Conservation : ≤ 25 °C, à l'abri de l'humidité.</w:t>
      </w:r>
    </w:p>
    <w:p>
      <w:pPr>
        <w:pStyle w:val="ListBullet"/>
      </w:pPr>
      <w:r>
        <w:t>Piège du surdosage / Substitution : Équivalence approximative : gliquidone 30 mg ≈ glibenclamide 2,5 mg ≈ gliclazide 40 mg.</w:t>
      </w:r>
    </w:p>
    <w:p>
      <w:pPr>
        <w:pStyle w:val="Heading2"/>
      </w:pPr>
      <w:r>
        <w:t>IV. Sous-classe : Antidiabétiques oraux — Sulfamides hypoglycémiants (3e génération)</w:t>
      </w:r>
    </w:p>
    <w:p>
      <w:pPr>
        <w:pStyle w:val="Heading3"/>
      </w:pPr>
      <w:r>
        <w:t>Introduction de la sous-classe</w:t>
      </w:r>
    </w:p>
    <w:p>
      <w:r>
        <w:t>La troisième génération de sulfamides est représentée par le glimépiride, apparu en 1995 (Amaryl, Sanofi). Le glimépiride présente une structure chimique légèrement différente (groupement méthylcyclohexyl), une très haute affinité pour le récepteur SUR1 (donc une puissance élevée à faible dose), une demi-vie longue (5 à 8 h) permettant une administration quotidienne unique, et un métabolisme hépatique (CYP2C9) en métabolites actifs (mais faiblement). Le glimépiride présente par rapport aux sulfamides de 2e génération un profil pharmacologique supérieur : moindre risque d'hypoglycémie (notamment nocturne), moindre prise de poids, effet insulinosensibilisateur périphérique modéré, et administration en une seule prise. Le glimépiride est actuellement le sulfamide le plus prescrit en Algérie après le gliclazide, particulièrement en bithérapie avec la metformine. Sa réduction de l'HbA1c est de 1 à 2 points.</w:t>
      </w:r>
    </w:p>
    <w:p>
      <w:pPr>
        <w:pStyle w:val="Heading3"/>
      </w:pPr>
      <w:r>
        <w:t>7. DCI : Glimepiride (Seule)</w:t>
      </w:r>
    </w:p>
    <w:p>
      <w:r/>
      <w:r>
        <w:rPr>
          <w:b/>
        </w:rPr>
        <w:t>Liste des Catégories :</w:t>
      </w:r>
      <w:r>
        <w:t xml:space="preserve"> Antidiabétiques oraux — Sulfamides 3e génération ; Liste I ; Actif.</w:t>
      </w:r>
    </w:p>
    <w:p>
      <w:r>
        <w:t>Le glimépiride (3-ethyl-4-methyl-N-[2-[4-[(trans-4-methylcyclohexyl)carbamoylsulfamoyl]phenyl]ethyl]-2-oxo-5-oxazolecarboxamide) est le sulfamide le plus puissant disponible à ce jour. Sa biodisponibilité est complète (≈ 100 %), sa fixation protéique élevée (99 %), son pic plasmatique atteint en 2 à 3 h, sa demi-vie plasmatique est de 5 à 8 h (mais l'effet hypoglycémiant dure 24 h, permettant une administration quotidienne unique). Son métabolisme hépatique par le CYP2C9 conduit à un métabolite actif (cyclohexyl hydroxy) qui conserve une activité hypoglycémiante ; l'élimination est urinaire (60 %) et biliaire (40 %). La disponibilité en Algérie est large : plus de 12 marques actives, à des doses de 1, 2, 3, 4 et 6 mg, ce qui en fait le sulfamide le plus accessible et le plus utilisé.</w:t>
      </w:r>
    </w:p>
    <w:p>
      <w:r/>
      <w:r>
        <w:rPr>
          <w:b/>
        </w:rPr>
        <w:t>Médicaments disponibles en Algérie (Marques, Laboratoires, Formes et Dosages) :</w:t>
      </w:r>
      <w:r/>
    </w:p>
    <w:p>
      <w:pPr>
        <w:pStyle w:val="ListBullet"/>
      </w:pPr>
      <w:r/>
      <w:r>
        <w:rPr>
          <w:b/>
        </w:rPr>
        <w:t>GLIMEPIRIDE BEKER</w:t>
      </w:r>
      <w:r>
        <w:t xml:space="preserve"> (LABORATOIRES BEKER)</w:t>
      </w:r>
    </w:p>
    <w:p>
      <w:pPr>
        <w:pStyle w:val="ListBullet"/>
      </w:pPr>
      <w:r>
        <w:t>Formes et Dosages : Cp sécable 1 mg (B/30, B/90) ; 2 mg (B/30, B/90) ; 3 mg (B/30, B/90) ; 4 mg (B/30, B/90)</w:t>
      </w:r>
    </w:p>
    <w:p>
      <w:pPr>
        <w:pStyle w:val="ListBullet"/>
      </w:pPr>
      <w:r>
        <w:t>Statut : Actif</w:t>
      </w:r>
    </w:p>
    <w:p>
      <w:pPr>
        <w:pStyle w:val="ListBullet"/>
      </w:pPr>
      <w:r/>
      <w:r>
        <w:rPr>
          <w:b/>
        </w:rPr>
        <w:t>GLIMICARE</w:t>
      </w:r>
      <w:r>
        <w:t xml:space="preserve"> (BIOCARE)</w:t>
      </w:r>
    </w:p>
    <w:p>
      <w:pPr>
        <w:pStyle w:val="ListBullet"/>
      </w:pPr>
      <w:r>
        <w:t>Formes et Dosages : Cp sécable 1, 2, 3, 4, 6 mg (B/30)</w:t>
      </w:r>
    </w:p>
    <w:p>
      <w:pPr>
        <w:pStyle w:val="ListBullet"/>
      </w:pPr>
      <w:r>
        <w:t>Statut : Actif</w:t>
      </w:r>
    </w:p>
    <w:p>
      <w:pPr>
        <w:pStyle w:val="ListBullet"/>
      </w:pPr>
      <w:r/>
      <w:r>
        <w:rPr>
          <w:b/>
        </w:rPr>
        <w:t>GLODEC</w:t>
      </w:r>
      <w:r>
        <w:t xml:space="preserve"> (SOPRODIM)</w:t>
      </w:r>
    </w:p>
    <w:p>
      <w:pPr>
        <w:pStyle w:val="ListBullet"/>
      </w:pPr>
      <w:r>
        <w:t>Formes et Dosages : Cp sécable 1 mg (B/30) ; Cp 4 mg (B/30)</w:t>
      </w:r>
    </w:p>
    <w:p>
      <w:pPr>
        <w:pStyle w:val="ListBullet"/>
      </w:pPr>
      <w:r>
        <w:t>Statut : Actif</w:t>
      </w:r>
    </w:p>
    <w:p>
      <w:pPr>
        <w:pStyle w:val="ListBullet"/>
      </w:pPr>
      <w:r/>
      <w:r>
        <w:rPr>
          <w:b/>
        </w:rPr>
        <w:t>GLORION</w:t>
      </w:r>
      <w:r>
        <w:t xml:space="preserve"> (HIKMA PHARMA ALGERIA)</w:t>
      </w:r>
    </w:p>
    <w:p>
      <w:pPr>
        <w:pStyle w:val="ListBullet"/>
      </w:pPr>
      <w:r>
        <w:t>Formes et Dosages : Cp sécable 1, 2, 3, 4 mg (B/30 et B/90)</w:t>
      </w:r>
    </w:p>
    <w:p>
      <w:pPr>
        <w:pStyle w:val="ListBullet"/>
      </w:pPr>
      <w:r>
        <w:t>Statut : Actif</w:t>
      </w:r>
    </w:p>
    <w:p>
      <w:pPr>
        <w:pStyle w:val="ListBullet"/>
      </w:pPr>
      <w:r/>
      <w:r>
        <w:rPr>
          <w:b/>
        </w:rPr>
        <w:t>IRYS</w:t>
      </w:r>
      <w:r>
        <w:t xml:space="preserve"> (INPHA-MEDIS)</w:t>
      </w:r>
    </w:p>
    <w:p>
      <w:pPr>
        <w:pStyle w:val="ListBullet"/>
      </w:pPr>
      <w:r>
        <w:t>Formes et Dosages : Cp sécable 1 mg (B/30) ; Cp pelliculé sécable 2 mg (B/30) ; 6 mg (B/30)</w:t>
      </w:r>
    </w:p>
    <w:p>
      <w:pPr>
        <w:pStyle w:val="ListBullet"/>
      </w:pPr>
      <w:r>
        <w:t>Statut : Actif</w:t>
      </w:r>
    </w:p>
    <w:p>
      <w:pPr>
        <w:pStyle w:val="ListBullet"/>
      </w:pPr>
      <w:r/>
      <w:r>
        <w:rPr>
          <w:b/>
        </w:rPr>
        <w:t>LAVIDA</w:t>
      </w:r>
      <w:r>
        <w:t xml:space="preserve"> (GROUPE SAIDAL)</w:t>
      </w:r>
    </w:p>
    <w:p>
      <w:pPr>
        <w:pStyle w:val="ListBullet"/>
      </w:pPr>
      <w:r>
        <w:t>Formes et Dosages : Cp sécable 1, 2, 3, 4, 6 mg (B/30)</w:t>
      </w:r>
    </w:p>
    <w:p>
      <w:pPr>
        <w:pStyle w:val="ListBullet"/>
      </w:pPr>
      <w:r>
        <w:t>Statut : Actif</w:t>
      </w:r>
    </w:p>
    <w:p>
      <w:pPr>
        <w:pStyle w:val="ListBullet"/>
      </w:pPr>
      <w:r/>
      <w:r>
        <w:rPr>
          <w:b/>
        </w:rPr>
        <w:t>PIRAMYL</w:t>
      </w:r>
      <w:r>
        <w:t xml:space="preserve"> (EL KENDI INDUSTRIE DU MEDICAMENT)</w:t>
      </w:r>
    </w:p>
    <w:p>
      <w:pPr>
        <w:pStyle w:val="ListBullet"/>
      </w:pPr>
      <w:r>
        <w:t>Formes et Dosages : Cp sécable 1 mg (B/30) ; Cp 2, 3, 4 mg (B/30)</w:t>
      </w:r>
    </w:p>
    <w:p>
      <w:pPr>
        <w:pStyle w:val="ListBullet"/>
      </w:pPr>
      <w:r>
        <w:t>Statut : Actif</w:t>
      </w:r>
    </w:p>
    <w:p>
      <w:pPr>
        <w:pStyle w:val="ListBullet"/>
      </w:pPr>
      <w:r/>
      <w:r>
        <w:rPr>
          <w:b/>
        </w:rPr>
        <w:t>GLIMEPIRIDE LDM</w:t>
      </w:r>
      <w:r>
        <w:t xml:space="preserve"> (LABORATOIRES DE DIAGNOSTIC MAGHREBINS-LDM)</w:t>
      </w:r>
    </w:p>
    <w:p>
      <w:pPr>
        <w:pStyle w:val="ListBullet"/>
      </w:pPr>
      <w:r>
        <w:t>Formes et Dosages : Cp sécable 2 mg (B/30) ; Cp 3 mg (B/30)</w:t>
      </w:r>
    </w:p>
    <w:p>
      <w:pPr>
        <w:pStyle w:val="ListBullet"/>
      </w:pPr>
      <w:r>
        <w:t>Statut : Actif</w:t>
      </w:r>
    </w:p>
    <w:p>
      <w:pPr>
        <w:pStyle w:val="ListBullet"/>
      </w:pPr>
      <w:r/>
      <w:r>
        <w:rPr>
          <w:b/>
        </w:rPr>
        <w:t>GLIMEPIRIDE PHYSIOPHARM</w:t>
      </w:r>
      <w:r>
        <w:t xml:space="preserve"> (PHYSIOPHARM LABORATOIRES)</w:t>
      </w:r>
    </w:p>
    <w:p>
      <w:pPr>
        <w:pStyle w:val="ListBullet"/>
      </w:pPr>
      <w:r>
        <w:t>Formes et Dosages : Cp 2 mg (B/30) ; Cp 4 mg (B/30)</w:t>
      </w:r>
    </w:p>
    <w:p>
      <w:pPr>
        <w:pStyle w:val="ListBullet"/>
      </w:pPr>
      <w:r>
        <w:t>Statut : Actif</w:t>
      </w:r>
    </w:p>
    <w:p>
      <w:pPr>
        <w:pStyle w:val="ListBullet"/>
      </w:pPr>
      <w:r/>
      <w:r>
        <w:rPr>
          <w:b/>
        </w:rPr>
        <w:t>GLODEC 2</w:t>
      </w:r>
      <w:r>
        <w:t xml:space="preserve"> (SOPRODIM)</w:t>
      </w:r>
    </w:p>
    <w:p>
      <w:pPr>
        <w:pStyle w:val="ListBullet"/>
      </w:pPr>
      <w:r>
        <w:t>Formes et Dosages : Cp 2 mg (B/30)</w:t>
      </w:r>
    </w:p>
    <w:p>
      <w:pPr>
        <w:pStyle w:val="ListBullet"/>
      </w:pPr>
      <w:r>
        <w:t>Statut : Actif</w:t>
      </w:r>
    </w:p>
    <w:p>
      <w:pPr>
        <w:pStyle w:val="ListBullet"/>
      </w:pPr>
      <w:r/>
      <w:r>
        <w:rPr>
          <w:b/>
        </w:rPr>
        <w:t>GLODEC 3</w:t>
      </w:r>
      <w:r>
        <w:t xml:space="preserve"> (SOPRODIM)</w:t>
      </w:r>
    </w:p>
    <w:p>
      <w:pPr>
        <w:pStyle w:val="ListBullet"/>
      </w:pPr>
      <w:r>
        <w:t>Formes et Dosages : Cp 3 mg (B/30)</w:t>
      </w:r>
    </w:p>
    <w:p>
      <w:pPr>
        <w:pStyle w:val="ListBullet"/>
      </w:pPr>
      <w:r>
        <w:t>Statut : Actif</w:t>
      </w:r>
    </w:p>
    <w:p>
      <w:pPr>
        <w:pStyle w:val="ListBullet"/>
      </w:pPr>
      <w:r/>
      <w:r>
        <w:rPr>
          <w:b/>
        </w:rPr>
        <w:t>IRYS 3MG</w:t>
      </w:r>
      <w:r>
        <w:t xml:space="preserve"> (INPHA-MEDIS)</w:t>
      </w:r>
    </w:p>
    <w:p>
      <w:pPr>
        <w:pStyle w:val="ListBullet"/>
      </w:pPr>
      <w:r>
        <w:t>Formes et Dosages : Cp pelliculé sécable 3 mg (B/30)</w:t>
      </w:r>
    </w:p>
    <w:p>
      <w:pPr>
        <w:pStyle w:val="ListBullet"/>
      </w:pPr>
      <w:r>
        <w:t>Statut : Actif</w:t>
      </w:r>
    </w:p>
    <w:p>
      <w:pPr>
        <w:pStyle w:val="ListBullet"/>
      </w:pPr>
      <w:r/>
      <w:r>
        <w:rPr>
          <w:b/>
        </w:rPr>
        <w:t>IRYS 4MG</w:t>
      </w:r>
      <w:r>
        <w:t xml:space="preserve"> (INPHA-MEDIS)</w:t>
      </w:r>
    </w:p>
    <w:p>
      <w:pPr>
        <w:pStyle w:val="ListBullet"/>
      </w:pPr>
      <w:r>
        <w:t>Formes et Dosages : Cp pelliculé sécable 4 mg (B/30)</w:t>
      </w:r>
    </w:p>
    <w:p>
      <w:pPr>
        <w:pStyle w:val="ListBullet"/>
      </w:pPr>
      <w:r>
        <w:t>Statut : Actif</w:t>
      </w:r>
    </w:p>
    <w:p>
      <w:pPr>
        <w:pStyle w:val="ListBullet"/>
      </w:pPr>
      <w:r/>
      <w:r>
        <w:rPr>
          <w:b/>
        </w:rPr>
        <w:t>AMAPIRIDE HUP</w:t>
      </w:r>
      <w:r>
        <w:t xml:space="preserve"> (HUP.P.PHARMA SARL)</w:t>
      </w:r>
    </w:p>
    <w:p>
      <w:pPr>
        <w:pStyle w:val="ListBullet"/>
      </w:pPr>
      <w:r>
        <w:t>Formes et Dosages : Cp sécable 1, 2, 3, 4 mg (B/30)</w:t>
      </w:r>
    </w:p>
    <w:p>
      <w:pPr>
        <w:pStyle w:val="ListBullet"/>
      </w:pPr>
      <w:r>
        <w:t>Statut : Non Renouvelable</w:t>
      </w:r>
    </w:p>
    <w:p>
      <w:pPr>
        <w:pStyle w:val="ListBullet"/>
      </w:pPr>
      <w:r/>
      <w:r>
        <w:rPr>
          <w:b/>
        </w:rPr>
        <w:t>GLIMEPIRIDE IVAL</w:t>
      </w:r>
      <w:r>
        <w:t xml:space="preserve"> (PHARMA IVAL)</w:t>
      </w:r>
    </w:p>
    <w:p>
      <w:pPr>
        <w:pStyle w:val="ListBullet"/>
      </w:pPr>
      <w:r>
        <w:t>Formes et Dosages : Cp sécable 1, 2, 3, 4 mg (B/30)</w:t>
      </w:r>
    </w:p>
    <w:p>
      <w:pPr>
        <w:pStyle w:val="ListBullet"/>
      </w:pPr>
      <w:r>
        <w:t>Statut : Non Renouvelable</w:t>
      </w:r>
    </w:p>
    <w:p>
      <w:pPr>
        <w:pStyle w:val="ListBullet"/>
      </w:pPr>
      <w:r/>
      <w:r>
        <w:rPr>
          <w:b/>
        </w:rPr>
        <w:t>GLUDOSIN</w:t>
      </w:r>
      <w:r>
        <w:t xml:space="preserve"> (SANDOZ SPA)</w:t>
      </w:r>
    </w:p>
    <w:p>
      <w:pPr>
        <w:pStyle w:val="ListBullet"/>
      </w:pPr>
      <w:r>
        <w:t>Formes et Dosages : Cp sécable 1, 2, 3, 4 mg (B/30)</w:t>
      </w:r>
    </w:p>
    <w:p>
      <w:pPr>
        <w:pStyle w:val="ListBullet"/>
      </w:pPr>
      <w:r>
        <w:t>Statut : Non Renouvelable</w:t>
      </w:r>
    </w:p>
    <w:p>
      <w:pPr>
        <w:pStyle w:val="ListBullet"/>
      </w:pPr>
      <w:r/>
      <w:r>
        <w:rPr>
          <w:b/>
        </w:rPr>
        <w:t>ROZEMIDE</w:t>
      </w:r>
      <w:r>
        <w:t xml:space="preserve"> (PHARMALLIANCE)</w:t>
      </w:r>
    </w:p>
    <w:p>
      <w:pPr>
        <w:pStyle w:val="ListBullet"/>
      </w:pPr>
      <w:r>
        <w:t>Formes et Dosages : Cp sécable 1, 2, 3, 4 mg (B/30)</w:t>
      </w:r>
    </w:p>
    <w:p>
      <w:pPr>
        <w:pStyle w:val="ListBullet"/>
      </w:pPr>
      <w:r>
        <w:t>Statut : Non Renouvelable</w:t>
      </w:r>
    </w:p>
    <w:p>
      <w:pPr>
        <w:pStyle w:val="ListBullet"/>
      </w:pPr>
      <w:r/>
      <w:r>
        <w:rPr>
          <w:b/>
        </w:rPr>
        <w:t>GLORION</w:t>
      </w:r>
      <w:r>
        <w:t xml:space="preserve"> (HIKMA PHARMACEUTICALS) — variante 6 mg</w:t>
      </w:r>
    </w:p>
    <w:p>
      <w:pPr>
        <w:pStyle w:val="ListBullet"/>
      </w:pPr>
      <w:r>
        <w:t>Formes et Dosages : Cp sécable 6 mg (B/30 et B/90)</w:t>
      </w:r>
    </w:p>
    <w:p>
      <w:pPr>
        <w:pStyle w:val="ListBullet"/>
      </w:pPr>
      <w:r>
        <w:t>Statut : Non Renouvelable</w:t>
      </w:r>
    </w:p>
    <w:p>
      <w:pPr>
        <w:pStyle w:val="ListBullet"/>
      </w:pPr>
      <w:r/>
      <w:r>
        <w:rPr>
          <w:b/>
        </w:rPr>
        <w:t>AMARINE</w:t>
      </w:r>
      <w:r>
        <w:t xml:space="preserve"> (ASIA PHARMACEUTICAL)</w:t>
      </w:r>
    </w:p>
    <w:p>
      <w:pPr>
        <w:pStyle w:val="ListBullet"/>
      </w:pPr>
      <w:r>
        <w:t>Formes et Dosages : Cp sécable 1 mg ; Cp 2 mg ; Cp sécable 4 mg (B/30)</w:t>
      </w:r>
    </w:p>
    <w:p>
      <w:pPr>
        <w:pStyle w:val="ListBullet"/>
      </w:pPr>
      <w:r>
        <w:t>Statut : Retiré (R)</w:t>
      </w:r>
    </w:p>
    <w:p>
      <w:pPr>
        <w:pStyle w:val="ListBullet"/>
      </w:pPr>
      <w:r/>
      <w:r>
        <w:rPr>
          <w:b/>
        </w:rPr>
        <w:t>GLIMEPIRIDE WINTHROP</w:t>
      </w:r>
      <w:r>
        <w:t xml:space="preserve"> (WINTHROP PHARMA SAIDAL)</w:t>
      </w:r>
    </w:p>
    <w:p>
      <w:pPr>
        <w:pStyle w:val="ListBullet"/>
      </w:pPr>
      <w:r>
        <w:t>Formes et Dosages : Cp 1 mg ; Cp sécable 2, 3, 4 mg (B/30)</w:t>
      </w:r>
    </w:p>
    <w:p>
      <w:pPr>
        <w:pStyle w:val="ListBullet"/>
      </w:pPr>
      <w:r>
        <w:t>Statut : Retiré (R)</w:t>
      </w:r>
    </w:p>
    <w:p>
      <w:pPr>
        <w:pStyle w:val="ListBullet"/>
      </w:pPr>
      <w:r/>
      <w:r>
        <w:rPr>
          <w:b/>
        </w:rPr>
        <w:t>DIAPRIDE 1</w:t>
      </w:r>
      <w:r>
        <w:t xml:space="preserve"> (DAR AL DAWA)</w:t>
      </w:r>
    </w:p>
    <w:p>
      <w:pPr>
        <w:pStyle w:val="ListBullet"/>
      </w:pPr>
      <w:r>
        <w:t>Formes et Dosages : Cp 1 mg (B/30)</w:t>
      </w:r>
    </w:p>
    <w:p>
      <w:pPr>
        <w:pStyle w:val="ListBullet"/>
      </w:pPr>
      <w:r>
        <w:t>Statut : Retiré (R)</w:t>
      </w:r>
    </w:p>
    <w:p>
      <w:pPr>
        <w:pStyle w:val="ListBullet"/>
      </w:pPr>
      <w:r/>
      <w:r>
        <w:rPr>
          <w:b/>
        </w:rPr>
        <w:t>DIAMEPRID</w:t>
      </w:r>
      <w:r>
        <w:t xml:space="preserve"> (ABDI IBRAHIM)</w:t>
      </w:r>
    </w:p>
    <w:p>
      <w:pPr>
        <w:pStyle w:val="ListBullet"/>
      </w:pPr>
      <w:r>
        <w:t>Formes et Dosages : Cp sécable 1, 2, 3, 4 mg (B/30)</w:t>
      </w:r>
    </w:p>
    <w:p>
      <w:pPr>
        <w:pStyle w:val="ListBullet"/>
      </w:pPr>
      <w:r>
        <w:t>Statut : Retiré (R)</w:t>
      </w:r>
    </w:p>
    <w:p>
      <w:pPr>
        <w:pStyle w:val="ListBullet"/>
      </w:pPr>
      <w:r/>
      <w:r>
        <w:rPr>
          <w:b/>
        </w:rPr>
        <w:t>AMAREL</w:t>
      </w:r>
      <w:r>
        <w:t xml:space="preserve"> (SANOFI AVENTIS ALGERIE SPA)</w:t>
      </w:r>
    </w:p>
    <w:p>
      <w:pPr>
        <w:pStyle w:val="ListBullet"/>
      </w:pPr>
      <w:r>
        <w:t>Formes et Dosages : Cp 1, 2, 3 mg ; Cp 4 mg ; Cp sécable 6 mg (B/30)</w:t>
      </w:r>
    </w:p>
    <w:p>
      <w:pPr>
        <w:pStyle w:val="ListBullet"/>
      </w:pPr>
      <w:r>
        <w:t>Statut : Retiré (R)</w:t>
      </w:r>
    </w:p>
    <w:p>
      <w:pPr>
        <w:pStyle w:val="ListBullet"/>
      </w:pPr>
      <w:r/>
      <w:r>
        <w:rPr>
          <w:b/>
        </w:rPr>
        <w:t>AMAPIRIDE</w:t>
      </w:r>
      <w:r>
        <w:t xml:space="preserve"> (GEOPHARM)</w:t>
      </w:r>
    </w:p>
    <w:p>
      <w:pPr>
        <w:pStyle w:val="ListBullet"/>
      </w:pPr>
      <w:r>
        <w:t>Formes et Dosages : Cp 2 mg ; Cp 4 mg (B/30)</w:t>
      </w:r>
    </w:p>
    <w:p>
      <w:pPr>
        <w:pStyle w:val="ListBullet"/>
      </w:pPr>
      <w:r>
        <w:t>Statut : Retiré (R)</w:t>
      </w:r>
    </w:p>
    <w:p>
      <w:pPr>
        <w:pStyle w:val="ListBullet"/>
      </w:pPr>
      <w:r/>
      <w:r>
        <w:rPr>
          <w:b/>
        </w:rPr>
        <w:t>DIABIREL</w:t>
      </w:r>
      <w:r>
        <w:t xml:space="preserve"> (BIOVITAL Sarl)</w:t>
      </w:r>
    </w:p>
    <w:p>
      <w:pPr>
        <w:pStyle w:val="ListBullet"/>
      </w:pPr>
      <w:r>
        <w:t>Formes et Dosages : Cp sécable 2 mg (B/30)</w:t>
      </w:r>
    </w:p>
    <w:p>
      <w:pPr>
        <w:pStyle w:val="ListBullet"/>
      </w:pPr>
      <w:r>
        <w:t>Statut : Retiré (R)</w:t>
      </w:r>
    </w:p>
    <w:p>
      <w:pPr>
        <w:pStyle w:val="ListBullet"/>
      </w:pPr>
      <w:r/>
      <w:r>
        <w:rPr>
          <w:b/>
        </w:rPr>
        <w:t>DIAPRIDE 2, 3, 4</w:t>
      </w:r>
      <w:r>
        <w:t xml:space="preserve"> (DAR AL DAWA)</w:t>
      </w:r>
    </w:p>
    <w:p>
      <w:pPr>
        <w:pStyle w:val="ListBullet"/>
      </w:pPr>
      <w:r>
        <w:t>Formes et Dosages : Cp 2, 3, 4 mg (B/30)</w:t>
      </w:r>
    </w:p>
    <w:p>
      <w:pPr>
        <w:pStyle w:val="ListBullet"/>
      </w:pPr>
      <w:r>
        <w:t>Statut : Retiré (R)</w:t>
      </w:r>
    </w:p>
    <w:p>
      <w:r/>
      <w:r>
        <w:rPr>
          <w:b/>
        </w:rPr>
        <w:t>Sous-classe et Mécanisme d'action :</w:t>
      </w:r>
      <w:r/>
    </w:p>
    <w:p>
      <w:pPr>
        <w:pStyle w:val="ListBullet"/>
      </w:pPr>
      <w:r>
        <w:t>Sous-classe : Sulfamide hypoglycémiant de 3e génération, le plus puissant et le plus prescrit en Algérie.</w:t>
      </w:r>
    </w:p>
    <w:p>
      <w:pPr>
        <w:pStyle w:val="ListBullet"/>
      </w:pPr>
      <w:r>
        <w:t>Mécanisme d'action : Le glimépiride se fixe avec une très haute affinité sur une sous-unité spécifique du récepteur SUR1 (épitope différent du glibenclamide), entraînant la fermeture du canal K+ ATP et l'exocytose d'insuline. Particularité : la dissociation glimépiride–SUR1 est plus rapide en cas de faible glycémie (phénomène de "pre-emptive switch-off"), ce qui explique le moindre risque d'hypoglycémie. Le glimépiride présente par ailleurs un effet insulinosensibilisateur périphérique modéré (activation de PI3-kinase, translocation GLUT4), expliquant une moindre prise de poids par rapport au glibenclamide.</w:t>
      </w:r>
    </w:p>
    <w:p>
      <w:r/>
      <w:r>
        <w:rPr>
          <w:b/>
        </w:rPr>
        <w:t>Profil Pharmacologique :</w:t>
      </w:r>
      <w:r/>
    </w:p>
    <w:p>
      <w:pPr>
        <w:pStyle w:val="ListBullet"/>
      </w:pPr>
      <w:r>
        <w:t>Indications : DT2 en seconde intention après échec de la metformine, en association à la metformine ou en alternative si CI à la metformine ; en bithérapie avec gliptines, gliflozines, agonistes GLP-1, ou insuline. La dose initiale est de 1 mg/jour, titration jusqu'à 6 mg/jour max.</w:t>
      </w:r>
    </w:p>
    <w:p>
      <w:pPr>
        <w:pStyle w:val="ListBullet"/>
      </w:pPr>
      <w:r>
        <w:t>Contre-indications : Diabète de type 1 ; coma ou précoma diabétique ; acidocétose ; insuffisance rénale sévère (ClCr &lt; 30) ; insuffisance hépatique sévère ; hypersensibilité aux sulfamides ; porphyrie ; grossesse, allaitement.</w:t>
      </w:r>
    </w:p>
    <w:p>
      <w:pPr>
        <w:pStyle w:val="ListBullet"/>
      </w:pPr>
      <w:r>
        <w:t>Effets Indésirables : Hypoglycémie (incidence moindre que le glibenclamide, environ 2 à 4 % des patients) ; prise de poids (1 à 2 kg, moindre qu'avec le glibenclamide) ; troubles digestifs ; éruptions cutanées (cross-réactivité avec sulfamides antibactériens) ; rares cytolyse hépatique et troubles hématologiques ; hyponatrémie rare.</w:t>
      </w:r>
    </w:p>
    <w:p>
      <w:r/>
      <w:r>
        <w:rPr>
          <w:b/>
        </w:rPr>
        <w:t>Prévention et Gestion des Effets Indésirables :</w:t>
      </w:r>
      <w:r/>
    </w:p>
    <w:p>
      <w:pPr>
        <w:pStyle w:val="ListBullet"/>
      </w:pPr>
      <w:r>
        <w:t>Mesures Préventives : Débuter à 1 mg/jour, titration mensuelle ; prise matinale au petit-déjeuner ; surveillance glycémique en début de traitement ; éducation aux signes d'hypoglycémie.</w:t>
      </w:r>
    </w:p>
    <w:p>
      <w:pPr>
        <w:pStyle w:val="ListBullet"/>
      </w:pPr>
      <w:r>
        <w:t>Conduite à Tenir : En cas d'hypoglycémie, arrêt transitoire et réduction de dose ; en cas d'hypoglycémie sévère, hospitalisation et relai.</w:t>
      </w:r>
    </w:p>
    <w:p>
      <w:r/>
      <w:r>
        <w:rPr>
          <w:b/>
        </w:rPr>
        <w:t>Interactions Importantes :</w:t>
      </w:r>
      <w:r/>
    </w:p>
    <w:p>
      <w:pPr>
        <w:pStyle w:val="ListBullet"/>
      </w:pPr>
      <w:r/>
      <w:r>
        <w:rPr>
          <w:b/>
        </w:rPr>
        <w:t>Glimépiride + fluconazole, miconazole, voriconazole, cotrimoxazole</w:t>
      </w:r>
      <w:r>
        <w:t xml:space="preserve"> : inhibition CYP2C9, majoration de l'hypoglycémie — éviter ou réduire la dose.</w:t>
      </w:r>
    </w:p>
    <w:p>
      <w:pPr>
        <w:pStyle w:val="ListBullet"/>
      </w:pPr>
      <w:r/>
      <w:r>
        <w:rPr>
          <w:b/>
        </w:rPr>
        <w:t>Glimépiride + AINS, salicylés, anticoagulants oraux, fibrates</w:t>
      </w:r>
      <w:r>
        <w:t xml:space="preserve"> : déplacement protéique, majoration de l'effet.</w:t>
      </w:r>
    </w:p>
    <w:p>
      <w:pPr>
        <w:pStyle w:val="ListBullet"/>
      </w:pPr>
      <w:r/>
      <w:r>
        <w:rPr>
          <w:b/>
        </w:rPr>
        <w:t>Glimépiride + alcool</w:t>
      </w:r>
      <w:r>
        <w:t xml:space="preserve"> : effet antabuse et hypoglycémie.</w:t>
      </w:r>
    </w:p>
    <w:p>
      <w:pPr>
        <w:pStyle w:val="ListBullet"/>
      </w:pPr>
      <w:r/>
      <w:r>
        <w:rPr>
          <w:b/>
        </w:rPr>
        <w:t>Glimépiride + β-bloquants</w:t>
      </w:r>
      <w:r>
        <w:t xml:space="preserve"> : masquage des signes.</w:t>
      </w:r>
    </w:p>
    <w:p>
      <w:pPr>
        <w:pStyle w:val="ListBullet"/>
      </w:pPr>
      <w:r/>
      <w:r>
        <w:rPr>
          <w:b/>
        </w:rPr>
        <w:t>Glimépiride + rifampicine, phénytoïne, carbamazépine</w:t>
      </w:r>
      <w:r>
        <w:t xml:space="preserve"> : induction enzymatique, baisse d'efficacité.</w:t>
      </w:r>
    </w:p>
    <w:p>
      <w:pPr>
        <w:pStyle w:val="ListBullet"/>
      </w:pPr>
      <w:r/>
      <w:r>
        <w:rPr>
          <w:b/>
        </w:rPr>
        <w:t>Glimépiride + corticoïdes, diurétiques, niacine, isoniazide</w:t>
      </w:r>
      <w:r>
        <w:t xml:space="preserve"> : antagonisme glycémique.</w:t>
      </w:r>
    </w:p>
    <w:p>
      <w:r/>
      <w:r>
        <w:rPr>
          <w:b/>
        </w:rPr>
        <w:t>Grossesse et Allaitement :</w:t>
      </w:r>
      <w:r/>
    </w:p>
    <w:p>
      <w:pPr>
        <w:pStyle w:val="ListBullet"/>
      </w:pPr>
      <w:r>
        <w:t>Grossesse : CI — substitution par insuline en préconceptionnel.</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1 mg/jour initial (matin au petit-déjeuner), titration mensuelle par paliers de 1 mg, dose d'entretien habituelle 2 à 4 mg/jour, dose maximale 6 mg/jour en une prise unique.</w:t>
      </w:r>
    </w:p>
    <w:p>
      <w:pPr>
        <w:pStyle w:val="ListBullet"/>
      </w:pPr>
      <w:r>
        <w:t>Sujet âgé : Dose initiale 1 mg, titration prudente, surveillance glycémique renforcée.</w:t>
      </w:r>
    </w:p>
    <w:p>
      <w:pPr>
        <w:pStyle w:val="ListBullet"/>
      </w:pPr>
      <w:r>
        <w:t>Enfant : Non indiqué avant 18 ans.</w:t>
      </w:r>
    </w:p>
    <w:p>
      <w:pPr>
        <w:pStyle w:val="ListBullet"/>
      </w:pPr>
      <w:r>
        <w:t>Durée : au long cours.</w:t>
      </w:r>
    </w:p>
    <w:p>
      <w:pPr>
        <w:pStyle w:val="ListBullet"/>
      </w:pPr>
      <w:r>
        <w:t>Moment de prise : Une prise unique le matin au cours du petit-déjeuner. Ne jamais prendre à jeun sans repas.</w:t>
      </w:r>
    </w:p>
    <w:p>
      <w:r/>
      <w:r>
        <w:rPr>
          <w:b/>
        </w:rPr>
        <w:t>Arbitrage et Bénéfices des Formes Galéniques :</w:t>
      </w:r>
      <w:r/>
    </w:p>
    <w:p>
      <w:r>
        <w:t>La disponibilité en 5 dosages (1, 2, 3, 4, 6 mg) permet une titration fine et une adaptation précise à la glycémie. Le comprimé sécable facilite le fractionnement. La présence de plus de 12 marques actives (LAVIDA, GLORION, GLIMICARE, IRYS, PIRAMYL, etc.) garantit une excellente accessibilité et un faible coût. Laforme 6 mg est utile chez les patients DT2 avancés. La simplicité d'administration (1 prise/jour) améliore l'observance par rapport au glibenclamide BID ou au gliquidone TID.</w:t>
      </w:r>
    </w:p>
    <w:p>
      <w:r/>
      <w:r>
        <w:rPr>
          <w:b/>
        </w:rPr>
        <w:t>Instructions et Conseils au Patient :</w:t>
      </w:r>
      <w:r/>
    </w:p>
    <w:p>
      <w:pPr>
        <w:pStyle w:val="ListBullet"/>
      </w:pPr>
      <w:r>
        <w:t>Communication au comptoir : Insister sur la prise matinale au petit-déjeuner, ne jamais sauter le repas suivant ; éduquer aux signes d'hypoglycémie (sueurs, tremblements, faim, palpitations, vertiges, confusion) ; avoir toujours sur soi du sucre (3 à 4 morceaux) ou une boisson sucrée ; surveillance glycémique capillaire régulière ; alcool proscrit (effet antabuse et hypoglycémie).</w:t>
      </w:r>
    </w:p>
    <w:p>
      <w:pPr>
        <w:pStyle w:val="ListBullet"/>
      </w:pPr>
      <w:r>
        <w:t>Mode d'utilisation pratique : Débuter à 1 mg matin ; titrer selon prescription. En cas d'oubli, ne pas doubler la dose suivante. Conserver à température ambiante.</w:t>
      </w:r>
    </w:p>
    <w:p>
      <w:r/>
      <w:r>
        <w:rPr>
          <w:b/>
        </w:rPr>
        <w:t>Notes, Règles d'Or &amp; Pièges au Comptoir :</w:t>
      </w:r>
      <w:r/>
    </w:p>
    <w:p>
      <w:pPr>
        <w:pStyle w:val="ListBullet"/>
      </w:pPr>
      <w:r>
        <w:t>Piège classique : (1) Association non signalée avec fluconazole/cotrimoxazole → hypoglycémie sévère ; (2) Saut du petit-déjeuner → hypoglycémie matinale ; (3) Cross-réactivité avec sulfamides antibactériens non évoquée.</w:t>
      </w:r>
    </w:p>
    <w:p>
      <w:pPr>
        <w:pStyle w:val="ListBullet"/>
      </w:pPr>
      <w:r>
        <w:t>Règle de prise : Une prise matinale au petit-déjeuner, jamais à jeun.</w:t>
      </w:r>
    </w:p>
    <w:p>
      <w:pPr>
        <w:pStyle w:val="ListBullet"/>
      </w:pPr>
      <w:r>
        <w:t>Préparation et Conservation : ≤ 25 °C, à l'abri de l'humidité.</w:t>
      </w:r>
    </w:p>
    <w:p>
      <w:pPr>
        <w:pStyle w:val="ListBullet"/>
      </w:pPr>
      <w:r>
        <w:t>Piège du surdosage / Substitution : Équivalence 1 mg glimépiride ≈ 5 mg glibenclamide ≈ 80 mg gliclazide standard. Surveillance glycémique pendant la transition.</w:t>
      </w:r>
    </w:p>
    <w:p>
      <w:pPr>
        <w:pStyle w:val="Heading2"/>
      </w:pPr>
      <w:r>
        <w:t>V. Sous-classe : Antidiabétiques oraux — Glinides (meglitinides)</w:t>
      </w:r>
    </w:p>
    <w:p>
      <w:pPr>
        <w:pStyle w:val="Heading3"/>
      </w:pPr>
      <w:r>
        <w:t>Introduction de la sous-classe</w:t>
      </w:r>
    </w:p>
    <w:p>
      <w:r>
        <w:t>Les glinides (répaglinide, natéglinide) sont des insulinosecrétagogues de structure non sulfamée, dérivés de l'acide benzoïque (répaglinide) ou de la D-phénylalanine (natéglinide). Ils ont été développés pour offrir une alternative aux sulfamides avec une action plus rapide, plus courte et plus physiologique, permettant une couverture prandiale ciblée. Le répaglinide se fixe sur des sites distincts du récepteur SUR1 (différents du glibenclamide), déclenchant une exocytose d'insuline rapide (pic à 30 min) et courte (durée 2 à 4 h). Cette cinétique permet une administration juste avant les repas, mimant la première phase de sécrétion d'insuline qui est déficiente dans le DT2. Les glinides présentent une réduction modeste de l'HbA1c (0,5 à 1,5 points) et un risque d'hypoglycémie moindre que les sulfamides (notamment nocturne), au prix d'une administration multiquotidienne et d'un coût plus élevé. Ils sont utiles chez les patients ayant des horaires de repas irréguliers ou en cas d'insuffisance rénale modérée. Le natéglinide n'est pas disponible en Algérie.</w:t>
      </w:r>
    </w:p>
    <w:p>
      <w:pPr>
        <w:pStyle w:val="Heading3"/>
      </w:pPr>
      <w:r>
        <w:t>8. DCI : Répaglinide (Seule)</w:t>
      </w:r>
    </w:p>
    <w:p>
      <w:r/>
      <w:r>
        <w:rPr>
          <w:b/>
        </w:rPr>
        <w:t>Liste des Catégories :</w:t>
      </w:r>
      <w:r>
        <w:t xml:space="preserve"> Antidiabétiques oraux — Glinides (meglitinides) ; Liste I ; Actif.</w:t>
      </w:r>
    </w:p>
    <w:p>
      <w:r>
        <w:t>Le répaglinide (2-ethoxy-4-[2-[(1S)-3-methylbutyl]carbamoyl]benzoyl]benzoic acid) est le seul glinide disponible en Algérie, sous plus de 10 marques. Sa biodisponibilité est de 56 %, sa fixation protéique élevée (97 %), son métabolisme hépatique est rapide (CYP2C8 et CYP3A4) en métabolites inactifs, son élimination est biliaire (≈ 90 %) et urinaire (≈ 8 %). La demi-vie est courte (≈ 1 h), permettant une action prandiale ciblée. Le pic plasmatique est atteint en 30 à 60 min, et la durée d'action est de 2 à 4 h. La dose unitaire est de 0,5, 1 ou 2 mg par repas, soit 3 prises par jour. Le répaglinide présente un risque d'hypoglycémie moindre que les sulfamides (notamment nocturne), mais le risque reste réel en cas de repas sauté. Sa réduction de l'HbA1c est de 1 à 1,5 points. Le répaglinide est particulièrement indiqué chez les patients ayant des horaires de repas irréguliers (travailleurs postés, personnes âgées), en cas d'insuffisance rénale modérée, et en alternative aux sulfamides.</w:t>
      </w:r>
    </w:p>
    <w:p>
      <w:r/>
      <w:r>
        <w:rPr>
          <w:b/>
        </w:rPr>
        <w:t>Médicaments disponibles en Algérie (Marques, Laboratoires, Formes et Dosages) :</w:t>
      </w:r>
      <w:r/>
    </w:p>
    <w:p>
      <w:pPr>
        <w:pStyle w:val="ListBullet"/>
      </w:pPr>
      <w:r/>
      <w:r>
        <w:rPr>
          <w:b/>
        </w:rPr>
        <w:t>BIONORM</w:t>
      </w:r>
      <w:r>
        <w:t xml:space="preserve"> (BIOPHARM)</w:t>
      </w:r>
    </w:p>
    <w:p>
      <w:pPr>
        <w:pStyle w:val="ListBullet"/>
      </w:pPr>
      <w:r>
        <w:t>Formes et Dosages : Comprimé 0,5 mg (B/30) ; 1 mg (B/30) ; 2 mg (B/30)</w:t>
      </w:r>
    </w:p>
    <w:p>
      <w:pPr>
        <w:pStyle w:val="ListBullet"/>
      </w:pPr>
      <w:r>
        <w:t>Statut : Actif</w:t>
      </w:r>
    </w:p>
    <w:p>
      <w:pPr>
        <w:pStyle w:val="ListBullet"/>
      </w:pPr>
      <w:r/>
      <w:r>
        <w:rPr>
          <w:b/>
        </w:rPr>
        <w:t>DIAGLINIDE</w:t>
      </w:r>
      <w:r>
        <w:t xml:space="preserve"> (BIOCARE)</w:t>
      </w:r>
    </w:p>
    <w:p>
      <w:pPr>
        <w:pStyle w:val="ListBullet"/>
      </w:pPr>
      <w:r>
        <w:t>Formes et Dosages : Comprimé 0,5 mg, 1 mg, 2 mg (B/30)</w:t>
      </w:r>
    </w:p>
    <w:p>
      <w:pPr>
        <w:pStyle w:val="ListBullet"/>
      </w:pPr>
      <w:r>
        <w:t>Statut : Actif</w:t>
      </w:r>
    </w:p>
    <w:p>
      <w:pPr>
        <w:pStyle w:val="ListBullet"/>
      </w:pPr>
      <w:r/>
      <w:r>
        <w:rPr>
          <w:b/>
        </w:rPr>
        <w:t>GLINIX</w:t>
      </w:r>
      <w:r>
        <w:t xml:space="preserve"> (HIKMA PHARMA ALGERIA)</w:t>
      </w:r>
    </w:p>
    <w:p>
      <w:pPr>
        <w:pStyle w:val="ListBullet"/>
      </w:pPr>
      <w:r>
        <w:t>Formes et Dosages : Comprimé 0,5 mg, 1 mg, 2 mg (B/30)</w:t>
      </w:r>
    </w:p>
    <w:p>
      <w:pPr>
        <w:pStyle w:val="ListBullet"/>
      </w:pPr>
      <w:r>
        <w:t>Statut : Actif</w:t>
      </w:r>
    </w:p>
    <w:p>
      <w:pPr>
        <w:pStyle w:val="ListBullet"/>
      </w:pPr>
      <w:r/>
      <w:r>
        <w:rPr>
          <w:b/>
        </w:rPr>
        <w:t>GLYCENORM</w:t>
      </w:r>
      <w:r>
        <w:t xml:space="preserve"> (INPHA-MEDIS)</w:t>
      </w:r>
    </w:p>
    <w:p>
      <w:pPr>
        <w:pStyle w:val="ListBullet"/>
      </w:pPr>
      <w:r>
        <w:t>Formes et Dosages : Comprimé 0,5 mg, 1 mg, 2 mg (B/30)</w:t>
      </w:r>
    </w:p>
    <w:p>
      <w:pPr>
        <w:pStyle w:val="ListBullet"/>
      </w:pPr>
      <w:r>
        <w:t>Statut : Actif</w:t>
      </w:r>
    </w:p>
    <w:p>
      <w:pPr>
        <w:pStyle w:val="ListBullet"/>
      </w:pPr>
      <w:r/>
      <w:r>
        <w:rPr>
          <w:b/>
        </w:rPr>
        <w:t>NORMALLIANCE</w:t>
      </w:r>
      <w:r>
        <w:t xml:space="preserve"> (PHARMALLIANCE)</w:t>
      </w:r>
    </w:p>
    <w:p>
      <w:pPr>
        <w:pStyle w:val="ListBullet"/>
      </w:pPr>
      <w:r>
        <w:t>Formes et Dosages : Comprimé 0,5 mg, 1 mg, 2 mg (B/30 et B/90)</w:t>
      </w:r>
    </w:p>
    <w:p>
      <w:pPr>
        <w:pStyle w:val="ListBullet"/>
      </w:pPr>
      <w:r>
        <w:t>Statut : Actif</w:t>
      </w:r>
    </w:p>
    <w:p>
      <w:pPr>
        <w:pStyle w:val="ListBullet"/>
      </w:pPr>
      <w:r/>
      <w:r>
        <w:rPr>
          <w:b/>
        </w:rPr>
        <w:t>REPAGLINIDE BEKER</w:t>
      </w:r>
      <w:r>
        <w:t xml:space="preserve"> (LABORATOIRES BEKER)</w:t>
      </w:r>
    </w:p>
    <w:p>
      <w:pPr>
        <w:pStyle w:val="ListBullet"/>
      </w:pPr>
      <w:r>
        <w:t>Formes et Dosages : Comprimé 0,5 mg (B/30, B/90) ; 1 mg (B/30) ; 2 mg (B/30, B/90)</w:t>
      </w:r>
    </w:p>
    <w:p>
      <w:pPr>
        <w:pStyle w:val="ListBullet"/>
      </w:pPr>
      <w:r>
        <w:t>Statut : Actif</w:t>
      </w:r>
    </w:p>
    <w:p>
      <w:pPr>
        <w:pStyle w:val="ListBullet"/>
      </w:pPr>
      <w:r/>
      <w:r>
        <w:rPr>
          <w:b/>
        </w:rPr>
        <w:t>SUCRONORME</w:t>
      </w:r>
      <w:r>
        <w:t xml:space="preserve"> (NOVAPHARM TRADING)</w:t>
      </w:r>
    </w:p>
    <w:p>
      <w:pPr>
        <w:pStyle w:val="ListBullet"/>
      </w:pPr>
      <w:r>
        <w:t>Formes et Dosages : Comprimé 0,5 mg, 1 mg, 2 mg (B/30)</w:t>
      </w:r>
    </w:p>
    <w:p>
      <w:pPr>
        <w:pStyle w:val="ListBullet"/>
      </w:pPr>
      <w:r>
        <w:t>Statut : Actif</w:t>
      </w:r>
    </w:p>
    <w:p>
      <w:pPr>
        <w:pStyle w:val="ListBullet"/>
      </w:pPr>
      <w:r/>
      <w:r>
        <w:rPr>
          <w:b/>
        </w:rPr>
        <w:t>NEONORM</w:t>
      </w:r>
      <w:r>
        <w:t xml:space="preserve"> (NEOMEDIC)</w:t>
      </w:r>
    </w:p>
    <w:p>
      <w:pPr>
        <w:pStyle w:val="ListBullet"/>
      </w:pPr>
      <w:r>
        <w:t>Formes et Dosages : Comprimé 1 mg, 2 mg (B/30)</w:t>
      </w:r>
    </w:p>
    <w:p>
      <w:pPr>
        <w:pStyle w:val="ListBullet"/>
      </w:pPr>
      <w:r>
        <w:t>Statut : Actif</w:t>
      </w:r>
    </w:p>
    <w:p>
      <w:pPr>
        <w:pStyle w:val="ListBullet"/>
      </w:pPr>
      <w:r/>
      <w:r>
        <w:rPr>
          <w:b/>
        </w:rPr>
        <w:t>REPARGLID</w:t>
      </w:r>
      <w:r>
        <w:t xml:space="preserve"> (UNION PHARMACEUTIQUE CONSTANTINOISE PRODUCTION)</w:t>
      </w:r>
    </w:p>
    <w:p>
      <w:pPr>
        <w:pStyle w:val="ListBullet"/>
      </w:pPr>
      <w:r>
        <w:t>Formes et Dosages : Comprimé 1 mg, 2 mg (B/30)</w:t>
      </w:r>
    </w:p>
    <w:p>
      <w:pPr>
        <w:pStyle w:val="ListBullet"/>
      </w:pPr>
      <w:r>
        <w:t>Statut : Actif</w:t>
      </w:r>
    </w:p>
    <w:p>
      <w:pPr>
        <w:pStyle w:val="ListBullet"/>
      </w:pPr>
      <w:r/>
      <w:r>
        <w:rPr>
          <w:b/>
        </w:rPr>
        <w:t>GLINIDIA</w:t>
      </w:r>
      <w:r>
        <w:t xml:space="preserve"> (BIOGALENIC)</w:t>
      </w:r>
    </w:p>
    <w:p>
      <w:pPr>
        <w:pStyle w:val="ListBullet"/>
      </w:pPr>
      <w:r>
        <w:t>Formes et Dosages : Comprimé 2 mg (B/30)</w:t>
      </w:r>
    </w:p>
    <w:p>
      <w:pPr>
        <w:pStyle w:val="ListBullet"/>
      </w:pPr>
      <w:r>
        <w:t>Statut : Actif</w:t>
      </w:r>
    </w:p>
    <w:p>
      <w:pPr>
        <w:pStyle w:val="ListBullet"/>
      </w:pPr>
      <w:r/>
      <w:r>
        <w:rPr>
          <w:b/>
        </w:rPr>
        <w:t>NOVONORM</w:t>
      </w:r>
      <w:r>
        <w:t xml:space="preserve"> (NOVO NORDISK)</w:t>
      </w:r>
    </w:p>
    <w:p>
      <w:pPr>
        <w:pStyle w:val="ListBullet"/>
      </w:pPr>
      <w:r>
        <w:t>Formes et Dosages : Comprimé 2 mg (B/30)</w:t>
      </w:r>
    </w:p>
    <w:p>
      <w:pPr>
        <w:pStyle w:val="ListBullet"/>
      </w:pPr>
      <w:r>
        <w:t>Statut : Actif</w:t>
      </w:r>
    </w:p>
    <w:p>
      <w:pPr>
        <w:pStyle w:val="ListBullet"/>
      </w:pPr>
      <w:r/>
      <w:r>
        <w:rPr>
          <w:b/>
        </w:rPr>
        <w:t>REPAGLINIDE GL</w:t>
      </w:r>
      <w:r>
        <w:t xml:space="preserve"> (GENERIC LAB)</w:t>
      </w:r>
    </w:p>
    <w:p>
      <w:pPr>
        <w:pStyle w:val="ListBullet"/>
      </w:pPr>
      <w:r>
        <w:t>Formes et Dosages : Comprimé 2 mg (B/30)</w:t>
      </w:r>
    </w:p>
    <w:p>
      <w:pPr>
        <w:pStyle w:val="ListBullet"/>
      </w:pPr>
      <w:r>
        <w:t>Statut : Actif</w:t>
      </w:r>
    </w:p>
    <w:p>
      <w:pPr>
        <w:pStyle w:val="ListBullet"/>
      </w:pPr>
      <w:r/>
      <w:r>
        <w:rPr>
          <w:b/>
        </w:rPr>
        <w:t>REPAGLINIDE PHYSIOPHARM</w:t>
      </w:r>
      <w:r>
        <w:t xml:space="preserve"> (PHYSIOPHARM LABORATOIRES)</w:t>
      </w:r>
    </w:p>
    <w:p>
      <w:pPr>
        <w:pStyle w:val="ListBullet"/>
      </w:pPr>
      <w:r>
        <w:t>Formes et Dosages : Comprimé 2 mg (B/30)</w:t>
      </w:r>
    </w:p>
    <w:p>
      <w:pPr>
        <w:pStyle w:val="ListBullet"/>
      </w:pPr>
      <w:r>
        <w:t>Statut : Actif</w:t>
      </w:r>
    </w:p>
    <w:p>
      <w:pPr>
        <w:pStyle w:val="ListBullet"/>
      </w:pPr>
      <w:r/>
      <w:r>
        <w:rPr>
          <w:b/>
        </w:rPr>
        <w:t>REPAGLYSE</w:t>
      </w:r>
      <w:r>
        <w:t xml:space="preserve"> (FRATER-RAZES FORME SECHE)</w:t>
      </w:r>
    </w:p>
    <w:p>
      <w:pPr>
        <w:pStyle w:val="ListBullet"/>
      </w:pPr>
      <w:r>
        <w:t>Formes et Dosages : Comprimé 2 mg (B/30)</w:t>
      </w:r>
    </w:p>
    <w:p>
      <w:pPr>
        <w:pStyle w:val="ListBullet"/>
      </w:pPr>
      <w:r>
        <w:t>Statut : Actif</w:t>
      </w:r>
    </w:p>
    <w:p>
      <w:pPr>
        <w:pStyle w:val="ListBullet"/>
      </w:pPr>
      <w:r/>
      <w:r>
        <w:rPr>
          <w:b/>
        </w:rPr>
        <w:t>NOVONORM</w:t>
      </w:r>
      <w:r>
        <w:t xml:space="preserve"> (NOVO NORDISK) — variantes 0,5 et 1 mg</w:t>
      </w:r>
    </w:p>
    <w:p>
      <w:pPr>
        <w:pStyle w:val="ListBullet"/>
      </w:pPr>
      <w:r>
        <w:t>Formes et Dosages : Comprimé 0,5 mg, 1 mg (B/30)</w:t>
      </w:r>
    </w:p>
    <w:p>
      <w:pPr>
        <w:pStyle w:val="ListBullet"/>
      </w:pPr>
      <w:r>
        <w:t>Statut : Non Renouvelable</w:t>
      </w:r>
    </w:p>
    <w:p>
      <w:pPr>
        <w:pStyle w:val="ListBullet"/>
      </w:pPr>
      <w:r/>
      <w:r>
        <w:rPr>
          <w:b/>
        </w:rPr>
        <w:t>DIABENORM</w:t>
      </w:r>
      <w:r>
        <w:t xml:space="preserve"> (GROUPE SAIDAL)</w:t>
      </w:r>
    </w:p>
    <w:p>
      <w:pPr>
        <w:pStyle w:val="ListBullet"/>
      </w:pPr>
      <w:r>
        <w:t>Formes et Dosages : Comprimé 0,5 mg, 1 mg, 2 mg (B/30)</w:t>
      </w:r>
    </w:p>
    <w:p>
      <w:pPr>
        <w:pStyle w:val="ListBullet"/>
      </w:pPr>
      <w:r>
        <w:t>Statut : Non Renouvelable</w:t>
      </w:r>
    </w:p>
    <w:p>
      <w:r/>
      <w:r>
        <w:rPr>
          <w:b/>
        </w:rPr>
        <w:t>Sous-classe et Mécanisme d'action :</w:t>
      </w:r>
      <w:r/>
    </w:p>
    <w:p>
      <w:pPr>
        <w:pStyle w:val="ListBullet"/>
      </w:pPr>
      <w:r>
        <w:t>Sous-classe : Glinide (meglitinide) ; insulinosecrétagogue prandial de structure non sulfamée.</w:t>
      </w:r>
    </w:p>
    <w:p>
      <w:pPr>
        <w:pStyle w:val="ListBullet"/>
      </w:pPr>
      <w:r>
        <w:t>Mécanisme d'action : Le répaglinide se fixe sur des sites de liaison distincts de ceux du glibenclamide, mais localisés sur la sous-unité SUR1 du canal K+ ATP-dépendant des cellules β-pancréatiques. La fermeture du canal entraîne dépolarisation, entrée de Ca2+, et exocytose d'insuline. La cinétique d'action est rapide (pic à 30–60 min) et courte (2–4 h), mimant la première phase de sécrétion physiologique qui est déficiente dans le DT2. L'avantage est l'adaptation prandiale (prise juste avant le repas) et l'absence d'hypoglycémie nocturne (action éteinte au coucher).</w:t>
      </w:r>
    </w:p>
    <w:p>
      <w:r/>
      <w:r>
        <w:rPr>
          <w:b/>
        </w:rPr>
        <w:t>Profil Pharmacologique :</w:t>
      </w:r>
      <w:r/>
    </w:p>
    <w:p>
      <w:pPr>
        <w:pStyle w:val="ListBullet"/>
      </w:pPr>
      <w:r>
        <w:t>Indications : DT2 en alternative aux sulfamides, en particulier chez les patients ayant des horaires de repas irréguliers, en cas d'insuffisance rénale modérée (DFG 30–60), en cas d'échec ou d'intolérance aux sulfamides, en association à la metformine. Le répaglinide peut être ajouté à la metformine en bithérapie.</w:t>
      </w:r>
    </w:p>
    <w:p>
      <w:pPr>
        <w:pStyle w:val="ListBullet"/>
      </w:pPr>
      <w:r>
        <w:t>Contre-indications : Diabète de type 1 ; coma ou précoma diabétique ; acidocétose ; insuffisance hépatique sévère ; hypersensibilité ; grossesse, allaitement ; association au gemfibrozil (CI absolue).</w:t>
      </w:r>
    </w:p>
    <w:p>
      <w:pPr>
        <w:pStyle w:val="ListBullet"/>
      </w:pPr>
      <w:r>
        <w:t>Effets Indésirables : Hypoglycémie (incidence moindre qu'avec les sulfamides, ≈ 5 à 10 %, généralement modérée et de courte durée) ; prise de poids modeste (1 à 2 kg) ; troubles digestifs ; éruptions cutanées ; rares cytolyse hépatique, thrombopénies ; rarement hypoglycémie sévère.</w:t>
      </w:r>
    </w:p>
    <w:p>
      <w:r/>
      <w:r>
        <w:rPr>
          <w:b/>
        </w:rPr>
        <w:t>Prévention et Gestion des Effets Indésirables :</w:t>
      </w:r>
      <w:r/>
    </w:p>
    <w:p>
      <w:pPr>
        <w:pStyle w:val="ListBullet"/>
      </w:pPr>
      <w:r>
        <w:t>Mesures Préventives : Prise juste avant les repas (≤ 30 min avant), ne pas prendre si le repas est sauté ; surveillance glycémique en début de traitement ; éducation aux signes d'hypoglycémie.</w:t>
      </w:r>
    </w:p>
    <w:p>
      <w:pPr>
        <w:pStyle w:val="ListBullet"/>
      </w:pPr>
      <w:r>
        <w:t>Conduite à Tenir : En cas d'hypoglycémie, sucre rapide puis glucides complexes. En cas d'insuffisance hépatique, arrêt.</w:t>
      </w:r>
    </w:p>
    <w:p>
      <w:r/>
      <w:r>
        <w:rPr>
          <w:b/>
        </w:rPr>
        <w:t>Interactions Importantes :</w:t>
      </w:r>
      <w:r/>
    </w:p>
    <w:p>
      <w:pPr>
        <w:pStyle w:val="ListBullet"/>
      </w:pPr>
      <w:r/>
      <w:r>
        <w:rPr>
          <w:b/>
        </w:rPr>
        <w:t>Répaglinide + gemfibrozil</w:t>
      </w:r>
      <w:r>
        <w:t xml:space="preserve"> : CI absolue — inhibition du CYP2C8, multiplication par 8 de l'AUC du répaglinide, hypoglycémies sévères et prolongées.</w:t>
      </w:r>
    </w:p>
    <w:p>
      <w:pPr>
        <w:pStyle w:val="ListBullet"/>
      </w:pPr>
      <w:r/>
      <w:r>
        <w:rPr>
          <w:b/>
        </w:rPr>
        <w:t>Répaglinide + clarithromycine, itraconazole, kétoconazole, érythromycine</w:t>
      </w:r>
      <w:r>
        <w:t xml:space="preserve"> : inhibition CYP3A4, majoration de l'hypoglycémie.</w:t>
      </w:r>
    </w:p>
    <w:p>
      <w:pPr>
        <w:pStyle w:val="ListBullet"/>
      </w:pPr>
      <w:r/>
      <w:r>
        <w:rPr>
          <w:b/>
        </w:rPr>
        <w:t>Répaglinide + rifampicine, phénobarbital, carbamazépine</w:t>
      </w:r>
      <w:r>
        <w:t xml:space="preserve"> : induction enzymatique, baisse d'efficacité.</w:t>
      </w:r>
    </w:p>
    <w:p>
      <w:pPr>
        <w:pStyle w:val="ListBullet"/>
      </w:pPr>
      <w:r/>
      <w:r>
        <w:rPr>
          <w:b/>
        </w:rPr>
        <w:t>Répaglinide + AINS, salicylés, anticoagulants</w:t>
      </w:r>
      <w:r>
        <w:t xml:space="preserve"> : déplacement protéique.</w:t>
      </w:r>
    </w:p>
    <w:p>
      <w:pPr>
        <w:pStyle w:val="ListBullet"/>
      </w:pPr>
      <w:r/>
      <w:r>
        <w:rPr>
          <w:b/>
        </w:rPr>
        <w:t>Répaglinide + alcool</w:t>
      </w:r>
      <w:r>
        <w:t xml:space="preserve"> : hypoglycémie.</w:t>
      </w:r>
    </w:p>
    <w:p>
      <w:pPr>
        <w:pStyle w:val="ListBullet"/>
      </w:pPr>
      <w:r/>
      <w:r>
        <w:rPr>
          <w:b/>
        </w:rPr>
        <w:t>Répaglinide + β-bloquants</w:t>
      </w:r>
      <w:r>
        <w:t xml:space="preserve"> : masquage des signes.</w:t>
      </w:r>
    </w:p>
    <w:p>
      <w:r/>
      <w:r>
        <w:rPr>
          <w:b/>
        </w:rPr>
        <w:t>Grossesse et Allaitement :</w:t>
      </w:r>
      <w:r/>
    </w:p>
    <w:p>
      <w:pPr>
        <w:pStyle w:val="ListBullet"/>
      </w:pPr>
      <w:r>
        <w:t>Grossesse : CI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Dose initiale 0,5 mg par repas (3 prises/jour), titration progressive jusqu'à 4 mg par repas ; dose maximale 16 mg/jour (4 mg × 3 repas + 4 mg goûter éventuel). Le comprimé se prend 15 à 30 min avant chaque repas principal.</w:t>
      </w:r>
    </w:p>
    <w:p>
      <w:pPr>
        <w:pStyle w:val="ListBullet"/>
      </w:pPr>
      <w:r>
        <w:t>Sujet âgé : Pas d'adaptation posologique systématique, surveillance glycémique.</w:t>
      </w:r>
    </w:p>
    <w:p>
      <w:pPr>
        <w:pStyle w:val="ListBullet"/>
      </w:pPr>
      <w:r>
        <w:t>Insuffisant rénal : Utilisable, surveillance.</w:t>
      </w:r>
    </w:p>
    <w:p>
      <w:pPr>
        <w:pStyle w:val="ListBullet"/>
      </w:pPr>
      <w:r>
        <w:t>Enfant : Non indiqué avant 18 ans.</w:t>
      </w:r>
    </w:p>
    <w:p>
      <w:pPr>
        <w:pStyle w:val="ListBullet"/>
      </w:pPr>
      <w:r>
        <w:t>Durée : au long cours.</w:t>
      </w:r>
    </w:p>
    <w:p>
      <w:pPr>
        <w:pStyle w:val="ListBullet"/>
      </w:pPr>
      <w:r>
        <w:t>Moment de prise : 15 à 30 min avant chaque repas principal. Si le repas est sauté, ne pas prendre le comprimé.</w:t>
      </w:r>
    </w:p>
    <w:p>
      <w:r/>
      <w:r>
        <w:rPr>
          <w:b/>
        </w:rPr>
        <w:t>Arbitrage et Bénéfices des Formes Galéniques :</w:t>
      </w:r>
      <w:r/>
    </w:p>
    <w:p>
      <w:r>
        <w:t>La disponibilité en 3 dosages (0,5, 1, 2 mg) permet une titration fine et une adaptation aux besoins prandiaux. La présentation en boîte de 30 (et parfois 90 pour NORMALLIANCE et REPAGLINIDE BEKER) couvre 10 jours de traitement triquotidien. La présence de 14 marques actives assure une excellente disponibilité et un coût modéré. Le principal inconvénient est la trithérapie, qui peut altérer l'observance par rapport aux sulfamides en une prise (glimépiride) ou à la metformine LP. Aucune association fixe répaglinide+metformine n'est disponible en Algérie.</w:t>
      </w:r>
    </w:p>
    <w:p>
      <w:r/>
      <w:r>
        <w:rPr>
          <w:b/>
        </w:rPr>
        <w:t>Instructions et Conseils au Patient :</w:t>
      </w:r>
      <w:r/>
    </w:p>
    <w:p>
      <w:pPr>
        <w:pStyle w:val="ListBullet"/>
      </w:pPr>
      <w:r>
        <w:t>Communication au comptoir : Préciser la prise 15 à 30 min avant chaque repas principal, ne pas prendre si le repas est sauté ; éduquer aux signes d'hypoglycémie ; avoir toujours sur soi du sucre ; surveillance glycémique capillaire ; alcool proscrit. Expliquer que la flexibilité des horaires est un avantage (praticien pour les horaires variables).</w:t>
      </w:r>
    </w:p>
    <w:p>
      <w:pPr>
        <w:pStyle w:val="ListBullet"/>
      </w:pPr>
      <w:r>
        <w:t>Mode d'utilisation pratique : Prise 15 à 30 min avant chaque repas. En cas d'oubli avant un repas, ne pas rattraper après. Conserver à température ambiante.</w:t>
      </w:r>
    </w:p>
    <w:p>
      <w:r/>
      <w:r>
        <w:rPr>
          <w:b/>
        </w:rPr>
        <w:t>Notes, Règles d'Or &amp; Pièges au Comptoir :</w:t>
      </w:r>
      <w:r/>
    </w:p>
    <w:p>
      <w:pPr>
        <w:pStyle w:val="ListBullet"/>
      </w:pPr>
      <w:r>
        <w:t>Piège classique : (1) Association non signalée avec gemfibrozil → hypoglycémie sévère prolongée (CI absolue) ; (2) Prise du comprimé sans repas → hypoglycémie ; (3) Confusion avec un sulfamide en termes d'équivalence.</w:t>
      </w:r>
    </w:p>
    <w:p>
      <w:pPr>
        <w:pStyle w:val="ListBullet"/>
      </w:pPr>
      <w:r>
        <w:t>Règle de prise : 15 à 30 min avant chaque repas, jamais sans repas.</w:t>
      </w:r>
    </w:p>
    <w:p>
      <w:pPr>
        <w:pStyle w:val="ListBullet"/>
      </w:pPr>
      <w:r>
        <w:t>Préparation et Conservation : ≤ 25 °C, à l'abri de l'humidité, dans l'emballage d'origine.</w:t>
      </w:r>
    </w:p>
    <w:p>
      <w:pPr>
        <w:pStyle w:val="ListBullet"/>
      </w:pPr>
      <w:r>
        <w:t>Piège du surdosage / Substitution : Substitution sulfamide → répaglinide : équivalence approximative glimépiride 2 mg ≈ répaglinide 1 mg par repas × 3. Surveillance glycémique rapprochée.</w:t>
      </w:r>
    </w:p>
    <w:p>
      <w:pPr>
        <w:pStyle w:val="Heading2"/>
      </w:pPr>
      <w:r>
        <w:t>VI. Sous-classe : Antidiabétiques oraux — Inhibiteurs alpha-glucosidase</w:t>
      </w:r>
    </w:p>
    <w:p>
      <w:pPr>
        <w:pStyle w:val="Heading3"/>
      </w:pPr>
      <w:r>
        <w:t>Introduction de la sous-classe</w:t>
      </w:r>
    </w:p>
    <w:p>
      <w:r>
        <w:t>Les inhibiteurs de l'alpha-glucosidase intestinale (acarbose, miglitol, voglibose) sont des antidiabétiques oraux agissant localement dans la luzière intestinale. Ils inhibent les enzymes de la bordure en brosse (alpha-glucosidases : glucoamylase, sucrase, maltase, isomaltase) qui dégradent les disaccharides et oligosaccharides en monosaccharides absorbables. La digestion et l'absorption du glucose sont retardées, atténuant le pic de glycémie post-prandiale. Ces molécules ne provoquent pas d'hypoglycémie intrinsèque (en monothérapie) mais exposent à des effets digestifs (météorisme, flatulences, diarrhée) qui en limitent l'observance. Seul l'acarbose est disponible en Algérie. L'efficacité sur l'HbA1c est modeste (0,5 à 1 point). L'acarbose trouve sa place dans le DT2 à prédominance d'hyperglycémie post-prandiale, chez les patients intolérants à la metformine, en association, et dans le syndrome de dumping post-chirurgie bariatrique.</w:t>
      </w:r>
    </w:p>
    <w:p>
      <w:pPr>
        <w:pStyle w:val="Heading3"/>
      </w:pPr>
      <w:r>
        <w:t>9. DCI : Acarbose (Seule)</w:t>
      </w:r>
    </w:p>
    <w:p>
      <w:r/>
      <w:r>
        <w:rPr>
          <w:b/>
        </w:rPr>
        <w:t>Liste des Catégories :</w:t>
      </w:r>
      <w:r>
        <w:t xml:space="preserve"> Antidiabétiques oraux — Inhibiteurs alpha-glucosidase ; Liste I ; Actif.</w:t>
      </w:r>
    </w:p>
    <w:p>
      <w:r>
        <w:t>L'acarbose (O-4,6-dideoxy-4-(((1S)-(1,4,6/5)-4,5,6-trihydroxy-3-(hydroxymethyl)-2-cyclohexen-1-yl)amino)-α-D-glucopyranosyl-(1→4)-O-α-D-glucopyranosyl-(1→4)-D-glucose) est un pseudotetrasaccharide d'origine microbienne (Actinoplanes). Sa biodisponibilité systémique est très faible (&lt; 2 %), son action est strictement luminale, et il est partiellement métabolisé par les bactéries intestinales et les enzymes digestives. Sa demi-vie d'élimination est de 2 à 3 h. Disponible en Algérie sous plus de 14 marques, à des doses de 50 et 100 mg. L'acarbose réduit la glycémie post-prandiale de 20 à 30 % et l'HbA1c de 0,5 à 1 point.</w:t>
      </w:r>
    </w:p>
    <w:p>
      <w:r/>
      <w:r>
        <w:rPr>
          <w:b/>
        </w:rPr>
        <w:t>Médicaments disponibles en Algérie (Marques, Laboratoires, Formes et Dosages) :</w:t>
      </w:r>
      <w:r/>
    </w:p>
    <w:p>
      <w:pPr>
        <w:pStyle w:val="ListBullet"/>
      </w:pPr>
      <w:r/>
      <w:r>
        <w:rPr>
          <w:b/>
        </w:rPr>
        <w:t>ACARLYSE</w:t>
      </w:r>
      <w:r>
        <w:t xml:space="preserve"> (FRATER-RAZES FORME SECHE)</w:t>
      </w:r>
    </w:p>
    <w:p>
      <w:pPr>
        <w:pStyle w:val="ListBullet"/>
      </w:pPr>
      <w:r>
        <w:t>Formes et Dosages : Comprimé 50 mg (B/30)</w:t>
      </w:r>
    </w:p>
    <w:p>
      <w:pPr>
        <w:pStyle w:val="ListBullet"/>
      </w:pPr>
      <w:r>
        <w:t>Statut : Actif</w:t>
      </w:r>
    </w:p>
    <w:p>
      <w:pPr>
        <w:pStyle w:val="ListBullet"/>
      </w:pPr>
      <w:r/>
      <w:r>
        <w:rPr>
          <w:b/>
        </w:rPr>
        <w:t>ACROBAY</w:t>
      </w:r>
      <w:r>
        <w:t xml:space="preserve"> (NEOMEDIC)</w:t>
      </w:r>
    </w:p>
    <w:p>
      <w:pPr>
        <w:pStyle w:val="ListBullet"/>
      </w:pPr>
      <w:r>
        <w:t>Formes et Dosages : Comprimé 50 mg (B/30)</w:t>
      </w:r>
    </w:p>
    <w:p>
      <w:pPr>
        <w:pStyle w:val="ListBullet"/>
      </w:pPr>
      <w:r>
        <w:t>Statut : Actif</w:t>
      </w:r>
    </w:p>
    <w:p>
      <w:pPr>
        <w:pStyle w:val="ListBullet"/>
      </w:pPr>
      <w:r/>
      <w:r>
        <w:rPr>
          <w:b/>
        </w:rPr>
        <w:t>ARBOSE</w:t>
      </w:r>
      <w:r>
        <w:t xml:space="preserve"> (BIOCARE)</w:t>
      </w:r>
    </w:p>
    <w:p>
      <w:pPr>
        <w:pStyle w:val="ListBullet"/>
      </w:pPr>
      <w:r>
        <w:t>Formes et Dosages : Comprimé 50 mg (B/30)</w:t>
      </w:r>
    </w:p>
    <w:p>
      <w:pPr>
        <w:pStyle w:val="ListBullet"/>
      </w:pPr>
      <w:r>
        <w:t>Statut : Actif</w:t>
      </w:r>
    </w:p>
    <w:p>
      <w:pPr>
        <w:pStyle w:val="ListBullet"/>
      </w:pPr>
      <w:r/>
      <w:r>
        <w:rPr>
          <w:b/>
        </w:rPr>
        <w:t>CORECT</w:t>
      </w:r>
      <w:r>
        <w:t xml:space="preserve"> (BIOPHARM)</w:t>
      </w:r>
    </w:p>
    <w:p>
      <w:pPr>
        <w:pStyle w:val="ListBullet"/>
      </w:pPr>
      <w:r>
        <w:t>Formes et Dosages : Comprimé 50 mg (B/30) ; Comprimé sécable 100 mg (B/30)</w:t>
      </w:r>
    </w:p>
    <w:p>
      <w:pPr>
        <w:pStyle w:val="ListBullet"/>
      </w:pPr>
      <w:r>
        <w:t>Statut : Actif</w:t>
      </w:r>
    </w:p>
    <w:p>
      <w:pPr>
        <w:pStyle w:val="ListBullet"/>
      </w:pPr>
      <w:r/>
      <w:r>
        <w:rPr>
          <w:b/>
        </w:rPr>
        <w:t>DIACARBOSE</w:t>
      </w:r>
      <w:r>
        <w:t xml:space="preserve"> (BIOGALENIC)</w:t>
      </w:r>
    </w:p>
    <w:p>
      <w:pPr>
        <w:pStyle w:val="ListBullet"/>
      </w:pPr>
      <w:r>
        <w:t>Formes et Dosages : Comprimé 50 mg (B/30)</w:t>
      </w:r>
    </w:p>
    <w:p>
      <w:pPr>
        <w:pStyle w:val="ListBullet"/>
      </w:pPr>
      <w:r>
        <w:t>Statut : Actif</w:t>
      </w:r>
    </w:p>
    <w:p>
      <w:pPr>
        <w:pStyle w:val="ListBullet"/>
      </w:pPr>
      <w:r/>
      <w:r>
        <w:rPr>
          <w:b/>
        </w:rPr>
        <w:t>DIACTOSE</w:t>
      </w:r>
      <w:r>
        <w:t xml:space="preserve"> (SARL LABORATOIRE M.M)</w:t>
      </w:r>
    </w:p>
    <w:p>
      <w:pPr>
        <w:pStyle w:val="ListBullet"/>
      </w:pPr>
      <w:r>
        <w:t>Formes et Dosages : Comprimé 50 mg (B/30)</w:t>
      </w:r>
    </w:p>
    <w:p>
      <w:pPr>
        <w:pStyle w:val="ListBullet"/>
      </w:pPr>
      <w:r>
        <w:t>Statut : Actif</w:t>
      </w:r>
    </w:p>
    <w:p>
      <w:pPr>
        <w:pStyle w:val="ListBullet"/>
      </w:pPr>
      <w:r/>
      <w:r>
        <w:rPr>
          <w:b/>
        </w:rPr>
        <w:t>GLUCAR</w:t>
      </w:r>
      <w:r>
        <w:t xml:space="preserve"> (LABORATOIRES SALEM)</w:t>
      </w:r>
    </w:p>
    <w:p>
      <w:pPr>
        <w:pStyle w:val="ListBullet"/>
      </w:pPr>
      <w:r>
        <w:t>Formes et Dosages : Comprimé 50 mg (B/30) ; Comprimé sécable 100 mg (B/30)</w:t>
      </w:r>
    </w:p>
    <w:p>
      <w:pPr>
        <w:pStyle w:val="ListBullet"/>
      </w:pPr>
      <w:r>
        <w:t>Statut : Actif</w:t>
      </w:r>
    </w:p>
    <w:p>
      <w:pPr>
        <w:pStyle w:val="ListBullet"/>
      </w:pPr>
      <w:r/>
      <w:r>
        <w:rPr>
          <w:b/>
        </w:rPr>
        <w:t>GLUCONOVA</w:t>
      </w:r>
      <w:r>
        <w:t xml:space="preserve"> (NOVAPHARM TRADING)</w:t>
      </w:r>
    </w:p>
    <w:p>
      <w:pPr>
        <w:pStyle w:val="ListBullet"/>
      </w:pPr>
      <w:r>
        <w:t>Formes et Dosages : Comprimé 50 mg (B/30) ; Comprimé sécable 100 mg (B/30)</w:t>
      </w:r>
    </w:p>
    <w:p>
      <w:pPr>
        <w:pStyle w:val="ListBullet"/>
      </w:pPr>
      <w:r>
        <w:t>Statut : Actif</w:t>
      </w:r>
    </w:p>
    <w:p>
      <w:pPr>
        <w:pStyle w:val="ListBullet"/>
      </w:pPr>
      <w:r/>
      <w:r>
        <w:rPr>
          <w:b/>
        </w:rPr>
        <w:t>GLUPROTEC</w:t>
      </w:r>
      <w:r>
        <w:t xml:space="preserve"> (LABORATOIRES DE DIAGNOSTIC MAGHREBINS-LDM)</w:t>
      </w:r>
    </w:p>
    <w:p>
      <w:pPr>
        <w:pStyle w:val="ListBullet"/>
      </w:pPr>
      <w:r>
        <w:t>Formes et Dosages : Comprimé 50 mg (B/30) ; Comprimé 100 mg (B/30)</w:t>
      </w:r>
    </w:p>
    <w:p>
      <w:pPr>
        <w:pStyle w:val="ListBullet"/>
      </w:pPr>
      <w:r>
        <w:t>Statut : Actif</w:t>
      </w:r>
    </w:p>
    <w:p>
      <w:pPr>
        <w:pStyle w:val="ListBullet"/>
      </w:pPr>
      <w:r/>
      <w:r>
        <w:rPr>
          <w:b/>
        </w:rPr>
        <w:t>GLYACARB</w:t>
      </w:r>
      <w:r>
        <w:t xml:space="preserve"> (HIKMA PHARMA ALGERIA)</w:t>
      </w:r>
    </w:p>
    <w:p>
      <w:pPr>
        <w:pStyle w:val="ListBullet"/>
      </w:pPr>
      <w:r>
        <w:t>Formes et Dosages : Comprimé 50 mg (B/30 et B/90)</w:t>
      </w:r>
    </w:p>
    <w:p>
      <w:pPr>
        <w:pStyle w:val="ListBullet"/>
      </w:pPr>
      <w:r>
        <w:t>Statut : Actif</w:t>
      </w:r>
    </w:p>
    <w:p>
      <w:pPr>
        <w:pStyle w:val="ListBullet"/>
      </w:pPr>
      <w:r/>
      <w:r>
        <w:rPr>
          <w:b/>
        </w:rPr>
        <w:t>GLYBEK</w:t>
      </w:r>
      <w:r>
        <w:t xml:space="preserve"> (LABORATOIRES BEKER)</w:t>
      </w:r>
    </w:p>
    <w:p>
      <w:pPr>
        <w:pStyle w:val="ListBullet"/>
      </w:pPr>
      <w:r>
        <w:t>Formes et Dosages : Comprimé 50 mg (B/30) ; Comprimé sécable 100 mg (B/30)</w:t>
      </w:r>
    </w:p>
    <w:p>
      <w:pPr>
        <w:pStyle w:val="ListBullet"/>
      </w:pPr>
      <w:r>
        <w:t>Statut : Actif</w:t>
      </w:r>
    </w:p>
    <w:p>
      <w:pPr>
        <w:pStyle w:val="ListBullet"/>
      </w:pPr>
      <w:r/>
      <w:r>
        <w:rPr>
          <w:b/>
        </w:rPr>
        <w:t>LARIMEL</w:t>
      </w:r>
      <w:r>
        <w:t xml:space="preserve"> (PHARMALLIANCE)</w:t>
      </w:r>
    </w:p>
    <w:p>
      <w:pPr>
        <w:pStyle w:val="ListBullet"/>
      </w:pPr>
      <w:r>
        <w:t>Formes et Dosages : Comprimé 50 mg (B/30)</w:t>
      </w:r>
    </w:p>
    <w:p>
      <w:pPr>
        <w:pStyle w:val="ListBullet"/>
      </w:pPr>
      <w:r>
        <w:t>Statut : Actif</w:t>
      </w:r>
    </w:p>
    <w:p>
      <w:pPr>
        <w:pStyle w:val="ListBullet"/>
      </w:pPr>
      <w:r/>
      <w:r>
        <w:rPr>
          <w:b/>
        </w:rPr>
        <w:t>GLUCOBAY</w:t>
      </w:r>
      <w:r>
        <w:t xml:space="preserve"> (BAYER PHARMA AG)</w:t>
      </w:r>
    </w:p>
    <w:p>
      <w:pPr>
        <w:pStyle w:val="ListBullet"/>
      </w:pPr>
      <w:r>
        <w:t>Formes et Dosages : Comprimé sécable 100 mg (B/30)</w:t>
      </w:r>
    </w:p>
    <w:p>
      <w:pPr>
        <w:pStyle w:val="ListBullet"/>
      </w:pPr>
      <w:r>
        <w:t>Statut : Actif</w:t>
      </w:r>
    </w:p>
    <w:p>
      <w:pPr>
        <w:pStyle w:val="ListBullet"/>
      </w:pPr>
      <w:r/>
      <w:r>
        <w:rPr>
          <w:b/>
        </w:rPr>
        <w:t>GLUCOBAY</w:t>
      </w:r>
      <w:r>
        <w:t xml:space="preserve"> (QUIMICA FARMACEUTICA BAYER) — variante 50 mg</w:t>
      </w:r>
    </w:p>
    <w:p>
      <w:pPr>
        <w:pStyle w:val="ListBullet"/>
      </w:pPr>
      <w:r>
        <w:t>Formes et Dosages : Comprimé 50 mg (B/30)</w:t>
      </w:r>
    </w:p>
    <w:p>
      <w:pPr>
        <w:pStyle w:val="ListBullet"/>
      </w:pPr>
      <w:r>
        <w:t>Statut : Non Renouvelable</w:t>
      </w:r>
    </w:p>
    <w:p>
      <w:r/>
      <w:r>
        <w:rPr>
          <w:b/>
        </w:rPr>
        <w:t>Sous-classe et Mécanisme d'action :</w:t>
      </w:r>
      <w:r/>
    </w:p>
    <w:p>
      <w:pPr>
        <w:pStyle w:val="ListBullet"/>
      </w:pPr>
      <w:r>
        <w:t>Sous-classe : Inhibiteur de l'alpha-glucosidase intestinale, agent antidiabétique non insulinotrope, agissant localement dans la lumière intestinale.</w:t>
      </w:r>
    </w:p>
    <w:p>
      <w:pPr>
        <w:pStyle w:val="ListBullet"/>
      </w:pPr>
      <w:r>
        <w:t>Mécanisme d'action : L'acarbose est un pseudotetrasaccharide qui inhibe de manière compétitive et réversible les alpha-glucosidases de la bordure en brosse de l'intestin grêle (glucoamylase, sucrase, maltase, isomaltase) ainsi que la glucoamylase pancréatique. Les disaccharides (saccharose) et les oligosaccharides sont dégradés plus lentement et plus distalement dans l'iléon, ce qui ralentit l'absorption du glucose et atténue le pic de glycémie post-prandiale (jusqu'à –30 %). L'absorption totale des glucides n'est pas modifiée. En monothérapie, l'acarbose ne provoque pas d'hypoglycémie.</w:t>
      </w:r>
    </w:p>
    <w:p>
      <w:r/>
      <w:r>
        <w:rPr>
          <w:b/>
        </w:rPr>
        <w:t>Profil Pharmacologique :</w:t>
      </w:r>
      <w:r/>
    </w:p>
    <w:p>
      <w:pPr>
        <w:pStyle w:val="ListBullet"/>
      </w:pPr>
      <w:r>
        <w:t>Indications : DT2 à prédominance d'hyperglycémie post-prandiale, en alternative ou en association à la metformine, aux sulfamides, aux gliptines ; en cas d'intolérance à la metformine ; chez le sujet âgé fragile en raison de l'absence d'hypoglycémie intrinsèque ; dans le syndrome de dumping post-chirurgie bariatrique (hors AMM). Prévention du DT2 (programme STOP-NIDDM).</w:t>
      </w:r>
    </w:p>
    <w:p>
      <w:pPr>
        <w:pStyle w:val="ListBullet"/>
      </w:pPr>
      <w:r>
        <w:t>Contre-indications : Hypersensibilité ; insuffisance hépatique sévère (transaminases &gt; 3 × LSN) ; occlusion intestinale, syndrome de malabsorption, ileus ; syndrome de Roemheld ; grossesse, allaitement ; diabète de type 1 (sauf indication spécifique) ; acidocétose ; précoma ou coma diabétique ; inflammation intestinale aiguë (maladie de Crohn, RCH) ; hernie intestinale évoluée ; association à la néomycine ou au cholestyramine (effet additif digestif).</w:t>
      </w:r>
    </w:p>
    <w:p>
      <w:pPr>
        <w:pStyle w:val="ListBullet"/>
      </w:pPr>
      <w:r>
        <w:t>Effets Indésirables : (1) Digestifs — flatulences (40 à 60 % des patients), météorisme, distension abdominale, diarrhée (15–25 %), douleurs abdominales, nausées ; ces effets sont dose-dépendants et s'atténuent avec le temps (adaptation de la flore colique). (2) Augmentation des transaminases (5 à 10 %), généralement asymptomatique et réversible à l'arrêt ; surveillance hépatique recommandée à 6 mois. (3) Rares éruptions cutanées, œdème, purpura. (4) Agranulocytose exceptionnelle.</w:t>
      </w:r>
    </w:p>
    <w:p>
      <w:r/>
      <w:r>
        <w:rPr>
          <w:b/>
        </w:rPr>
        <w:t>Prévention et Gestion des Effets Indésirables :</w:t>
      </w:r>
      <w:r/>
    </w:p>
    <w:p>
      <w:pPr>
        <w:pStyle w:val="ListBullet"/>
      </w:pPr>
      <w:r>
        <w:t>Mesures Préventives : Débuter à 50 mg/jour le soir pendant 1 semaine, puis 50 mg × 2/jour, puis 50 mg × 3/jour, puis titration à 100 mg × 3/jour ; prise en début de repas (1er quartier) ; surveillance des transaminases à 3 et 6 mois ; éducation du patient sur la nature transitoire des effets digestifs.</w:t>
      </w:r>
    </w:p>
    <w:p>
      <w:pPr>
        <w:pStyle w:val="ListBullet"/>
      </w:pPr>
      <w:r>
        <w:t>Conduite à Tenir : En cas d'intolérance digestive majeure, réduction de dose ou arrêt transitoire puis reintroduction progressive. En cas d'élévation des transaminases &gt; 3 × LSN, arrêt définitif. En cas d'hypoglycémie survenant sous acarbose en association (sulfamide, insuline), la correction doit se faire avec du GLUCOSE PUR (saccharose, fructose et glucides complexes ne seront pas absorbés en raison de l'inhibition des alpha-glucosidases) — point crucial de pharmacovigilance.</w:t>
      </w:r>
    </w:p>
    <w:p>
      <w:r/>
      <w:r>
        <w:rPr>
          <w:b/>
        </w:rPr>
        <w:t>Interactions Importantes :</w:t>
      </w:r>
      <w:r/>
    </w:p>
    <w:p>
      <w:pPr>
        <w:pStyle w:val="ListBullet"/>
      </w:pPr>
      <w:r/>
      <w:r>
        <w:rPr>
          <w:b/>
        </w:rPr>
        <w:t>Acarbose + sulfamides, insuline, metformine</w:t>
      </w:r>
      <w:r>
        <w:t xml:space="preserve"> : potentialisation de l'effet hypoglycémiant — risque d'hypoglycémie (correction par glucose pur, non par saccharose).</w:t>
      </w:r>
    </w:p>
    <w:p>
      <w:pPr>
        <w:pStyle w:val="ListBullet"/>
      </w:pPr>
      <w:r/>
      <w:r>
        <w:rPr>
          <w:b/>
        </w:rPr>
        <w:t>Acarbose + néomycine, cholestyramine</w:t>
      </w:r>
      <w:r>
        <w:t xml:space="preserve"> : effet additif digestif, majoration des troubles.</w:t>
      </w:r>
    </w:p>
    <w:p>
      <w:pPr>
        <w:pStyle w:val="ListBullet"/>
      </w:pPr>
      <w:r/>
      <w:r>
        <w:rPr>
          <w:b/>
        </w:rPr>
        <w:t>Acarbose + digoxine</w:t>
      </w:r>
      <w:r>
        <w:t xml:space="preserve"> : réduction de la biodisponibilité de la digoxine (jusqu'à –50 %), surveillance de l'efficacité.</w:t>
      </w:r>
    </w:p>
    <w:p>
      <w:pPr>
        <w:pStyle w:val="ListBullet"/>
      </w:pPr>
      <w:r/>
      <w:r>
        <w:rPr>
          <w:b/>
        </w:rPr>
        <w:t>Acarbose + propranolol, ranitidine</w:t>
      </w:r>
      <w:r>
        <w:t xml:space="preserve"> : modification de l'absorption.</w:t>
      </w:r>
    </w:p>
    <w:p>
      <w:pPr>
        <w:pStyle w:val="ListBullet"/>
      </w:pPr>
      <w:r/>
      <w:r>
        <w:rPr>
          <w:b/>
        </w:rPr>
        <w:t>Acarbose + charbon activé, antiacides</w:t>
      </w:r>
      <w:r>
        <w:t xml:space="preserve"> : diminution de l'efficacité.</w:t>
      </w:r>
    </w:p>
    <w:p>
      <w:pPr>
        <w:pStyle w:val="ListBullet"/>
      </w:pPr>
      <w:r/>
      <w:r>
        <w:rPr>
          <w:b/>
        </w:rPr>
        <w:t>Acarbose + pansements gastriques, chélateurs des sels biliaires</w:t>
      </w:r>
      <w:r>
        <w:t xml:space="preserve"> : possible diminution d'efficacité.</w:t>
      </w:r>
    </w:p>
    <w:p>
      <w:r/>
      <w:r>
        <w:rPr>
          <w:b/>
        </w:rPr>
        <w:t>Grossesse et Allaitement :</w:t>
      </w:r>
      <w:r/>
    </w:p>
    <w:p>
      <w:pPr>
        <w:pStyle w:val="ListBullet"/>
      </w:pPr>
      <w:r>
        <w:t>Grossesse : CI par mesure de précaution (données animales évocatrices mais non concluantes) — substitution par insuline.</w:t>
      </w:r>
    </w:p>
    <w:p>
      <w:pPr>
        <w:pStyle w:val="ListBullet"/>
      </w:pPr>
      <w:r>
        <w:t>Allaitement : CI par mesure de précaution (faible passage éventuel).</w:t>
      </w:r>
    </w:p>
    <w:p>
      <w:pPr>
        <w:pStyle w:val="ListBullet"/>
      </w:pPr>
      <w:r>
        <w:t>Précisions : Préconceptionnel insuline.</w:t>
      </w:r>
    </w:p>
    <w:p>
      <w:r/>
      <w:r>
        <w:rPr>
          <w:b/>
        </w:rPr>
        <w:t>Posologie et Mode d'administration (Standard) :</w:t>
      </w:r>
      <w:r/>
    </w:p>
    <w:p>
      <w:pPr>
        <w:pStyle w:val="ListBullet"/>
      </w:pPr>
      <w:r>
        <w:t>Adulte : Dose initiale 50 mg × 1/jour le soir pendant 1 semaine, puis 50 mg × 2/jour (matin et soir) pendant 1 semaine, puis 50 mg × 3/jour pendant 4 à 8 semaines, puis titration à 100 mg × 3/jour si nécessaire. Dose maximale 100 mg × 3/jour = 300 mg/jour (ou 200 mg × 3/jour = 600 mg/jour selon les pays).</w:t>
      </w:r>
    </w:p>
    <w:p>
      <w:pPr>
        <w:pStyle w:val="ListBullet"/>
      </w:pPr>
      <w:r>
        <w:t>Sujet âgé : Aucune adaptation, molécule de choix chez le sujet âgé fragile (absence d'hypoglycémie intrinsèque).</w:t>
      </w:r>
    </w:p>
    <w:p>
      <w:pPr>
        <w:pStyle w:val="ListBullet"/>
      </w:pPr>
      <w:r>
        <w:t>Enfant : Non indiqué avant 18 ans.</w:t>
      </w:r>
    </w:p>
    <w:p>
      <w:pPr>
        <w:pStyle w:val="ListBullet"/>
      </w:pPr>
      <w:r>
        <w:t>Durée : au long cours.</w:t>
      </w:r>
    </w:p>
    <w:p>
      <w:pPr>
        <w:pStyle w:val="ListBullet"/>
      </w:pPr>
      <w:r>
        <w:t>Moment de prise : Au début de chaque repas principal (1er quartier), à avaler entier avec le 1er morceau de nourriture. Ne pas prendre à jeun ni en dehors des repas.</w:t>
      </w:r>
    </w:p>
    <w:p>
      <w:r/>
      <w:r>
        <w:rPr>
          <w:b/>
        </w:rPr>
        <w:t>Arbitrage et Bénéfices des Formes Galéniques :</w:t>
      </w:r>
      <w:r/>
    </w:p>
    <w:p>
      <w:r>
        <w:t>La disponibilité en 2 dosages (50 et 100 mg) permet une titration progressive. Le comprimé sécable 100 mg permet un fractionnement en 50 mg (alternative si 50 mg non disponible). La présentation en boîte de 30 couvre 10 jours de traitement triquotidien. Aucune association fixe acarbose+metformine n'est disponible en Algérie. Le faible coût et la disponibilité de 14 marques actives en font une option accessible.</w:t>
      </w:r>
    </w:p>
    <w:p>
      <w:r/>
      <w:r>
        <w:rPr>
          <w:b/>
        </w:rPr>
        <w:t>Instructions et Conseils au Patient :</w:t>
      </w:r>
      <w:r/>
    </w:p>
    <w:p>
      <w:pPr>
        <w:pStyle w:val="ListBullet"/>
      </w:pPr>
      <w:r>
        <w:t>Communication au comptoir : Expliquer le mécanisme d'action (retard de l'absorption des sucres) et la nature transitoire des effets digestifs (flatulences, météorisme) qui s'atténuent en quelques semaines ; insister sur la prise au début du repas ; éduquer sur l'hypoglycémie en cas d'association (correction par GLUCOSE PUR, jamais par saccharose ou miel ou fructose) ; surveiller les transaminases à 3 et 6 mois. Recommander une alimentation pauvre en saccharose (sucres rapides) pour limiter les flatulences.</w:t>
      </w:r>
    </w:p>
    <w:p>
      <w:pPr>
        <w:pStyle w:val="ListBullet"/>
      </w:pPr>
      <w:r>
        <w:t>Mode d'utilisation pratique : Avaler le comprimé entier avec le 1er morceau de nourriture au début du repas. En cas d'oubli avant le repas, ne pas prendre après. Conserver à température ambiante.</w:t>
      </w:r>
    </w:p>
    <w:p>
      <w:r/>
      <w:r>
        <w:rPr>
          <w:b/>
        </w:rPr>
        <w:t>Notes, Règles d'Or &amp; Pièges au Comptoir :</w:t>
      </w:r>
      <w:r/>
    </w:p>
    <w:p>
      <w:pPr>
        <w:pStyle w:val="ListBullet"/>
      </w:pPr>
      <w:r>
        <w:t>Piège classique : (1) Hypoglycémie sous acarbose + sulfamide corrigée par saccharose → inefficace (les disaccharides ne sont pas dégradés en glucose) → utilisation impérative de GLUCOSE PUR (tablette de glucose, jus de raisin, perfusion de glucose) ; (2) Arrêt prématuré pour intolérance digestive transitoire → expliquer la nature transitoire et titrer plus lentement ; (3) Non-contrôle des transaminases.</w:t>
      </w:r>
    </w:p>
    <w:p>
      <w:pPr>
        <w:pStyle w:val="ListBullet"/>
      </w:pPr>
      <w:r>
        <w:t>Règle de prise : Au début du repas, jamais à jeun. Titration très progressive.</w:t>
      </w:r>
    </w:p>
    <w:p>
      <w:pPr>
        <w:pStyle w:val="ListBullet"/>
      </w:pPr>
      <w:r>
        <w:t>Préparation et Conservation : ≤ 25 °C, à l'abri de l'humidité.</w:t>
      </w:r>
    </w:p>
    <w:p>
      <w:pPr>
        <w:pStyle w:val="ListBullet"/>
      </w:pPr>
      <w:r>
        <w:t>Piège du surdosage / Substitution : En cas de surdosage massif, hypoglycémie possible si association ; correction par glucose IV. Substitution difficile vers un autre antidiabétique oral (efficacité modeste de l'acarbose).</w:t>
      </w:r>
    </w:p>
    <w:p>
      <w:pPr>
        <w:pStyle w:val="Heading2"/>
      </w:pPr>
      <w:r>
        <w:t>VII. Sous-classe : Antidiabétiques oraux — Thiazolidinediones (glitazones)</w:t>
      </w:r>
    </w:p>
    <w:p>
      <w:pPr>
        <w:pStyle w:val="Heading3"/>
      </w:pPr>
      <w:r>
        <w:t>Introduction de la sous-classe</w:t>
      </w:r>
    </w:p>
    <w:p>
      <w:r>
        <w:t>Les thiazolidinediones (TZD, glitazones) sont des antidiabétiques oraux insulinosen-sibilisateurs qui se fixent sur le récepteur nucléaire PPARγ (Peroxisome Proliferator-Activated Receptor gamma), un facteur de transcription exprimé principalement dans le tissu adipeux, les macrophages, et dans une moindre mesure le muscle squelettique et le foie. L'activation de PPARγ entraîne la régulation de nombreux gènes impliqués dans le métabolisme lipidique et glucidique : augmentation de la captation du glucose musculaire, différenciation adipocytaire, réduction de la libération d'acides gras libres, amélioration de la sensibilité à l'insuline. La troglitazone (première génération) a été retirée en 2000 en raison d'hépatotoxicités sévères ; la rosiglitazone a été retirée en 2010 en raison d'un excès d'événements cardiovasculaires (infarctus) ; seule la pioglitazone subsiste. La pioglitazone a démontré dans l'étude PROactive une réduction des événements cardiovasculaires (critère secondaire), mais présente des effets indésirables limitants : prise de poids, œdèmes, insuffisance cardiaque, fractures osseuses chez la femme, et un possible risque de cancer de la vessie (débat). Sa place dans la stratégie thérapeutique reste débattue ; elle est utile chez le patient insulinorésistant avec composante métabolique (stéatose hépatique, dyslipidémie), en l'absence de contre-indication cardiaque.</w:t>
      </w:r>
    </w:p>
    <w:p>
      <w:pPr>
        <w:pStyle w:val="Heading3"/>
      </w:pPr>
      <w:r>
        <w:t>10. DCI : Pioglitazone (Seule)</w:t>
      </w:r>
    </w:p>
    <w:p>
      <w:r/>
      <w:r>
        <w:rPr>
          <w:b/>
        </w:rPr>
        <w:t>Liste des Catégories :</w:t>
      </w:r>
      <w:r>
        <w:t xml:space="preserve"> Antidiabétiques oraux — Thiazolidinediones (glitazones) ; Liste I ; Non renouvelable.</w:t>
      </w:r>
    </w:p>
    <w:p>
      <w:r>
        <w:t>La pioglitazone (5-[[4-[2-(5-ethylpyridin-2-yl)ethoxy]phenyl]methyl]thiazolidine-2,4-dione) est la seule glitazone commercialisée en Algérie, sous le nom d'ACTOS (Arab Pharmaceutical Manufacturing). Son statut actuel est « Non renouvelable » et sa disponibilité est compromise. Sa biodisponibilité est de 80 %, sa fixation protéique &gt; 99 %, son métabolisme hépatique est complet (CYP2C8 et CYP3A4) avec des métabolites actifs (M-III et M-IV), sa demi-vie d'élimination est de 3 à 7 h (16 à 24 h pour les métabolites), et son élimination est biliaire (≈ 60 %) et urinaire (≈ 40 %). L'effet hypoglycémiant est retardé (6 à 12 semaines pour atteindre le plateau d'efficacité), ce qui reflète le mécanisme transcriptionnel.</w:t>
      </w:r>
    </w:p>
    <w:p>
      <w:r/>
      <w:r>
        <w:rPr>
          <w:b/>
        </w:rPr>
        <w:t>Médicaments disponibles en Algérie (Marques, Laboratoires, Formes et Dosages) :</w:t>
      </w:r>
      <w:r/>
    </w:p>
    <w:p>
      <w:pPr>
        <w:pStyle w:val="ListBullet"/>
      </w:pPr>
      <w:r/>
      <w:r>
        <w:rPr>
          <w:b/>
        </w:rPr>
        <w:t>ACTOS</w:t>
      </w:r>
      <w:r>
        <w:t xml:space="preserve"> (ARAB PHARMACEUTICAL MANUFACTURING COMPANY LTD)</w:t>
      </w:r>
    </w:p>
    <w:p>
      <w:pPr>
        <w:pStyle w:val="ListBullet"/>
      </w:pPr>
      <w:r>
        <w:t>Formes et Dosages : Comprimé 15 mg (B/30) ; Comprimé 30 mg (B/30)</w:t>
      </w:r>
    </w:p>
    <w:p>
      <w:pPr>
        <w:pStyle w:val="ListBullet"/>
      </w:pPr>
      <w:r>
        <w:t>Statut : Non Renouvelable</w:t>
      </w:r>
    </w:p>
    <w:p>
      <w:r/>
      <w:r>
        <w:rPr>
          <w:b/>
        </w:rPr>
        <w:t>Sous-classe et Mécanisme d'action :</w:t>
      </w:r>
      <w:r/>
    </w:p>
    <w:p>
      <w:pPr>
        <w:pStyle w:val="ListBullet"/>
      </w:pPr>
      <w:r>
        <w:t>Sous-classe : Thiazolidinedione (glitazone) ; insulinosensibilisateur via activation PPARγ.</w:t>
      </w:r>
    </w:p>
    <w:p>
      <w:pPr>
        <w:pStyle w:val="ListBullet"/>
      </w:pPr>
      <w:r>
        <w:t>Mécanisme d'action : La pioglitazone se fixe sur le récepteur nucléaire PPARγ exprimé principalement dans le tissu adipeux, les macrophages et les cellules endothéliales. L'activation du récepteur hétérodimérise avec le RXR (Retinoid X Receptor) et se fixe sur les éléments de réponse PPRE (Peroxisome Proliferator Response Element) dans la région promotrice des gènes cibles. Les principaux effets transcriptionnels : (1) Augmentation de l'expression de GLUT4 dans le muscle squelettique et le tissu adipeux → captation accrue de glucose ; (2) Différenciation adipocytaire vers des adipocytes petits et insulinosensibles (réduction de la lipotoxicité) ; (3) Réduction de la libération des acides gras libres par le tissu adipeux → baisse de la néoglucogenèse hépatique ; (4) Modification du profil lipidique (augmentation HDL, baisse des triglycérides) ; (5) Effet anti-inflammatoire via les macrophages M2. L'effet est retardé (6 à 12 semaines) car transcriptionnel. Réduction de l'HbA1c : 0,5 à 1,5 points.</w:t>
      </w:r>
    </w:p>
    <w:p>
      <w:r/>
      <w:r>
        <w:rPr>
          <w:b/>
        </w:rPr>
        <w:t>Profil Pharmacologique :</w:t>
      </w:r>
      <w:r/>
    </w:p>
    <w:p>
      <w:pPr>
        <w:pStyle w:val="ListBullet"/>
      </w:pPr>
      <w:r>
        <w:t>Indications : DT2 en seconde ou troisième intention, en association à la metformine ou en alternative si CI à la metformine ; particulièrement chez le patient insulinorésistant avec composante métabolique (stéatose hépatique non alcoolique, dyslipidémie athérogène) ; en trithérapie avec metformine et sulfamide. Place dans la stratégie thérapeutique réduite aujourd'hui en raison des EI.</w:t>
      </w:r>
    </w:p>
    <w:p>
      <w:pPr>
        <w:pStyle w:val="ListBullet"/>
      </w:pPr>
      <w:r>
        <w:t>Contre-indications : Insuffisance cardiaque (NYHA I à IV) ou antécédent d'IC — CI absolue (rétention hydrosodée) ; insuffisance hépatique sévère (transaminases &gt; 2,5 × LSN) ; grossesse, allaitement ; antécédent de cancer de la vessie (débat) ;Association à l'insuline (CI relative).</w:t>
      </w:r>
    </w:p>
    <w:p>
      <w:pPr>
        <w:pStyle w:val="ListBullet"/>
      </w:pPr>
      <w:r>
        <w:t>Effets Indésirables : (1) Rétention hydrosodée avec œdèmes périphériques (5 à 15 %), prise de poids (2 à 4 kg), majoration du risque d'insuffisance cardiaque (x 2) ; (2) Fractures osseuses chez la femme (réduction de la densité osseuse, fractures distales des membres inférieurs) ; (3) Anémie (dilution) ; (4) Possible risque de cancer de la vessie (débat, signalement AFSSAPS/ANSM en 2011) — surveillance ciblée ; (5) Élévation des transaminases (surveillance) ; (6) Hypoglycémie en cas d'association à sulfamide ou insuline ; (7) Macrodème maculaire (rare, signalisation).</w:t>
      </w:r>
    </w:p>
    <w:p>
      <w:r/>
      <w:r>
        <w:rPr>
          <w:b/>
        </w:rPr>
        <w:t>Prévention et Gestion des Effets Indésirables :</w:t>
      </w:r>
      <w:r/>
    </w:p>
    <w:p>
      <w:pPr>
        <w:pStyle w:val="ListBullet"/>
      </w:pPr>
      <w:r>
        <w:t>Mesures Préventives : Vérifier l'absence d'insuffisance cardiaque avant initiation ; surveiller le poids, l'apparition d'œdèmes, les transaminases à 3 mois puis régulièrement ; examen ophtalmologique en cas de vision trouble ; recherche de symptômes urinaires (hématurie, dysurie) ; utiliser la dose minimale efficace (15 mg/jour).</w:t>
      </w:r>
    </w:p>
    <w:p>
      <w:pPr>
        <w:pStyle w:val="ListBullet"/>
      </w:pPr>
      <w:r>
        <w:t>Conduite à Tenir : En cas d'œdèmes ou de prise de poids &gt; 3 kg, réduire la dose ou arrêter. En cas de signes d'insuffisance cardiaque (dyspnée, œdèmes pulmonaires), arrêt immédiat. En cas d'élévation des transaminases &gt; 3 × LSN, arrêt.</w:t>
      </w:r>
    </w:p>
    <w:p>
      <w:r/>
      <w:r>
        <w:rPr>
          <w:b/>
        </w:rPr>
        <w:t>Interactions Importantes :</w:t>
      </w:r>
      <w:r/>
    </w:p>
    <w:p>
      <w:pPr>
        <w:pStyle w:val="ListBullet"/>
      </w:pPr>
      <w:r/>
      <w:r>
        <w:rPr>
          <w:b/>
        </w:rPr>
        <w:t>Pioglitazone + gemfibrozil</w:t>
      </w:r>
      <w:r>
        <w:t xml:space="preserve"> : inhibition du CYP2C8, majoration importante de l'AUC de pioglitazone — réduire la dose à 15 mg/jour.</w:t>
      </w:r>
    </w:p>
    <w:p>
      <w:pPr>
        <w:pStyle w:val="ListBullet"/>
      </w:pPr>
      <w:r/>
      <w:r>
        <w:rPr>
          <w:b/>
        </w:rPr>
        <w:t>Pioglitazone + rifampicine</w:t>
      </w:r>
      <w:r>
        <w:t xml:space="preserve"> : induction du CYP2C8, baisse d'efficacité — augmenter la dose.</w:t>
      </w:r>
    </w:p>
    <w:p>
      <w:pPr>
        <w:pStyle w:val="ListBullet"/>
      </w:pPr>
      <w:r/>
      <w:r>
        <w:rPr>
          <w:b/>
        </w:rPr>
        <w:t>Pioglitazone + insuline</w:t>
      </w:r>
      <w:r>
        <w:t xml:space="preserve"> : majoration du risque d'IC — CI relative.</w:t>
      </w:r>
    </w:p>
    <w:p>
      <w:pPr>
        <w:pStyle w:val="ListBullet"/>
      </w:pPr>
      <w:r/>
      <w:r>
        <w:rPr>
          <w:b/>
        </w:rPr>
        <w:t>Pioglitazone + sulfamides, metformine</w:t>
      </w:r>
      <w:r>
        <w:t xml:space="preserve"> : risque d'hypoglycémie — surveillance.</w:t>
      </w:r>
    </w:p>
    <w:p>
      <w:pPr>
        <w:pStyle w:val="ListBullet"/>
      </w:pPr>
      <w:r/>
      <w:r>
        <w:rPr>
          <w:b/>
        </w:rPr>
        <w:t>Pioglitazone + contraceptive oraux</w:t>
      </w:r>
      <w:r>
        <w:t xml:space="preserve"> : possible diminution d'efficacité.</w:t>
      </w:r>
    </w:p>
    <w:p>
      <w:r/>
      <w:r>
        <w:rPr>
          <w:b/>
        </w:rPr>
        <w:t>Grossesse et Allaitement :</w:t>
      </w:r>
      <w:r/>
    </w:p>
    <w:p>
      <w:pPr>
        <w:pStyle w:val="ListBullet"/>
      </w:pPr>
      <w:r>
        <w:t>Grossesse : CI — études animales évocatrices de retard de croissance fœtale. Substitution par insuline.</w:t>
      </w:r>
    </w:p>
    <w:p>
      <w:pPr>
        <w:pStyle w:val="ListBullet"/>
      </w:pPr>
      <w:r>
        <w:t>Allaitement : CI — passage dans le lait (études animales).</w:t>
      </w:r>
    </w:p>
    <w:p>
      <w:pPr>
        <w:pStyle w:val="ListBullet"/>
      </w:pPr>
      <w:r>
        <w:t>Précisions : Préconceptionnel insuline. Femme en âge de procréer : contraception efficace.</w:t>
      </w:r>
    </w:p>
    <w:p>
      <w:r/>
      <w:r>
        <w:rPr>
          <w:b/>
        </w:rPr>
        <w:t>Posologie et Mode d'administration (Standard) :</w:t>
      </w:r>
      <w:r/>
    </w:p>
    <w:p>
      <w:pPr>
        <w:pStyle w:val="ListBullet"/>
      </w:pPr>
      <w:r>
        <w:t>Adulte : Dose initiale 15 mg/jour ou 30 mg/jour en une prise unique ; dose maximale 45 mg/jour. Titration après 8 à 12 semaines.</w:t>
      </w:r>
    </w:p>
    <w:p>
      <w:pPr>
        <w:pStyle w:val="ListBullet"/>
      </w:pPr>
      <w:r>
        <w:t>Sujet âgé : Pas d'adaptation mais surveiller étroitement la fonction cardiaque.</w:t>
      </w:r>
    </w:p>
    <w:p>
      <w:pPr>
        <w:pStyle w:val="ListBullet"/>
      </w:pPr>
      <w:r>
        <w:t>Insuffisant rénal : Pas d'adaptation.</w:t>
      </w:r>
    </w:p>
    <w:p>
      <w:pPr>
        <w:pStyle w:val="ListBullet"/>
      </w:pPr>
      <w:r>
        <w:t>Enfant : Non indiqué avant 18 ans.</w:t>
      </w:r>
    </w:p>
    <w:p>
      <w:pPr>
        <w:pStyle w:val="ListBullet"/>
      </w:pPr>
      <w:r>
        <w:t>Durée : au long cours.</w:t>
      </w:r>
    </w:p>
    <w:p>
      <w:pPr>
        <w:pStyle w:val="ListBullet"/>
      </w:pPr>
      <w:r>
        <w:t>Moment de prise : Une prise unique par jour, à n'importe quel moment, indépendamment des repas.</w:t>
      </w:r>
    </w:p>
    <w:p>
      <w:r/>
      <w:r>
        <w:rPr>
          <w:b/>
        </w:rPr>
        <w:t>Arbitrage et Bénéfices des Formes Galéniques :</w:t>
      </w:r>
      <w:r/>
    </w:p>
    <w:p>
      <w:r>
        <w:t>La disponibilité en 2 dosages (15 et 30 mg) permet une titration. La dose unique quotidienne améliore l'observance. Le médicament est aujourd'hui « Non renouvelable » en Algérie (statut de l'unique marque ACTOS), ce qui complique son accès. Les patients doivent être orientés vers une alternative (gliclazide MR, glimépiride, gliptine, gliflozine). Aucune association fixe n'est disponible.</w:t>
      </w:r>
    </w:p>
    <w:p>
      <w:r/>
      <w:r>
        <w:rPr>
          <w:b/>
        </w:rPr>
        <w:t>Instructions et Conseils au Patient :</w:t>
      </w:r>
      <w:r/>
    </w:p>
    <w:p>
      <w:pPr>
        <w:pStyle w:val="ListBullet"/>
      </w:pPr>
      <w:r>
        <w:t>Communication au comptoir : Préciser la prise unique quotidienne ; avertir du risque d'œdèmes, de prise de poids, de dyspnée (signes d'IC) → consulter en urgence ; surveiller le poids hebdomadairement ; alcool proscrit ; surveillance des transaminases. Chez la femme ménopausée, signaler tout symptôme de fracture.</w:t>
      </w:r>
    </w:p>
    <w:p>
      <w:pPr>
        <w:pStyle w:val="ListBullet"/>
      </w:pPr>
      <w:r>
        <w:t>Mode d'utilisation pratique : Prise unique, indépendante des repas. Conserver à température ambiante.</w:t>
      </w:r>
    </w:p>
    <w:p>
      <w:r/>
      <w:r>
        <w:rPr>
          <w:b/>
        </w:rPr>
        <w:t>Notes, Règles d'Or &amp; Pièges au Comptoir :</w:t>
      </w:r>
      <w:r/>
    </w:p>
    <w:p>
      <w:pPr>
        <w:pStyle w:val="ListBullet"/>
      </w:pPr>
      <w:r>
        <w:t>Piège classique : (1) Initiation chez un patient aux antécédents cardiaques — CI absolue ; (2) Apparition d'œdèmes négligée — risque d'IC ; (3) Femme ménopausée et fractures ignorées.</w:t>
      </w:r>
    </w:p>
    <w:p>
      <w:pPr>
        <w:pStyle w:val="ListBullet"/>
      </w:pPr>
      <w:r>
        <w:t>Règle de prise : Une prise unique, indépendante des repas, surveillance cardiaque et hépatique.</w:t>
      </w:r>
    </w:p>
    <w:p>
      <w:pPr>
        <w:pStyle w:val="ListBullet"/>
      </w:pPr>
      <w:r>
        <w:t>Préparation et Conservation : ≤ 25 °C, à l'abri de l'humidité.</w:t>
      </w:r>
    </w:p>
    <w:p>
      <w:pPr>
        <w:pStyle w:val="ListBullet"/>
      </w:pPr>
      <w:r>
        <w:t>Piège du surdosage / Substitution : En cas de surdosage, hypoglycémie possible. Substitution vers une autre classe recommandée en raison du statut non renouvelable.</w:t>
      </w:r>
    </w:p>
    <w:p>
      <w:pPr>
        <w:pStyle w:val="Heading2"/>
      </w:pPr>
      <w:r>
        <w:t>VIII. Sous-classe : Antidiabétiques oraux — Inhibiteurs DPP-4 (gliptines)</w:t>
      </w:r>
    </w:p>
    <w:p>
      <w:pPr>
        <w:pStyle w:val="Heading3"/>
      </w:pPr>
      <w:r>
        <w:t>Introduction de la sous-classe</w:t>
      </w:r>
    </w:p>
    <w:p>
      <w:r>
        <w:t>Les inhibiteurs de la dipeptidyl-peptidase IV (DPP-4, gliptines) sont apparus en 2006 (sitagliptine) et représentent une avancée majeure dans la stratégie thérapeutique du DT2. Leur mécanisme repose sur l'inhibition de l'enzyme DPP-4 qui dégrade les incrétines endogènes — notamment le GLP-1 (Glucagon-Like Peptide-1) et le GIP (Glucose-dependent Insulinotropic Polypeptide) — libérées par les cellules L de l'iléon et du côlon en réponse au repas. L'inhibition de la DPP-4 multiplie par 2 à 3 les concentrations endogènes de GLP-1 actif, ce qui stimule la sécrétion d'insuline glucose-dépendante, réduit la sécrétion de glucagon, et ralentit la vidange gastrique. La spécificité de cette classe est le caractère glucose-dépendant de l'effet insulinotrope, ce qui explique l'absence d'hypoglycémie en monothérapie ou en association à la metformine. Les gliptines réduisent l'HbA1c de 0,5 à 1 point, sont neutres sur le poids, et présentent un excellent profil de tolérance. Elles n'ont pas démontré de bénéfice cardiovasculaire majeur (sauf pour certains enfants d'essais) mais ont un profil sécurité neutre (essais SAVOR-TIMI 53, EXAMINE, TECOS). Les principales gliptines disponibles en Algérie sont la sitagliptine, la vildagliptine et l'alogliptine. La linagliptine et la saxagliptine ne sont pas disponibles. Les principaux EI sont : risque de pancreatite (rare mais grave), infections respiratoires hautes, céphalées. Les gliptines sont privilégiées chez le sujet âgé en raison de leur sécurité d'emploi.</w:t>
      </w:r>
    </w:p>
    <w:p>
      <w:pPr>
        <w:pStyle w:val="Heading3"/>
      </w:pPr>
      <w:r>
        <w:t>11. DCI : Sitagliptine (Seule)</w:t>
      </w:r>
    </w:p>
    <w:p>
      <w:r/>
      <w:r>
        <w:rPr>
          <w:b/>
        </w:rPr>
        <w:t>Liste des Catégories :</w:t>
      </w:r>
      <w:r>
        <w:t xml:space="preserve"> Antidiabétiques oraux — Inhibiteurs DPP-4 (gliptines) ; Liste I ; Actif.</w:t>
      </w:r>
    </w:p>
    <w:p>
      <w:r>
        <w:t>La sitagliptine ([(3R)-3-amino-1-[3-(trifluoromethyl)-5,6,7,8-tetrahydro-1,2,4-triazolo[4,3-a]pyrazin-7-yl]-4-(2,4,5-trifluorophenyl)butan-1-one]) est la première gliptine commercialisée (Januvia, Merck). Sa biodisponibilité est de 87 %, sa fixation protéique faible (38 %), son métabolisme hépatique minime (≈ 80 % excrété inchangé dans les urines via les transporteurs OCT2 et MATE1), sa demi-vie d'élimination est de 12,4 h, permettant une administration quotidienne unique. En cas d'insuffisance rénale modérée (DFG 30–45), la dose est réduite à 50 mg/jour ; en cas d'IR sévère (DFG &lt; 30), 25 mg/jour. La sitagliptine réduit l'HbA1c de 0,5 à 1 point, est neutre sur le poids, et présente un excellent profil de tolérance. Disponible en Algérie sous 9 marques actives.</w:t>
      </w:r>
    </w:p>
    <w:p>
      <w:r/>
      <w:r>
        <w:rPr>
          <w:b/>
        </w:rPr>
        <w:t>Médicaments disponibles en Algérie (Marques, Laboratoires, Formes et Dosages) :</w:t>
      </w:r>
      <w:r/>
    </w:p>
    <w:p>
      <w:pPr>
        <w:pStyle w:val="ListBullet"/>
      </w:pPr>
      <w:r/>
      <w:r>
        <w:rPr>
          <w:b/>
        </w:rPr>
        <w:t>DALVEX</w:t>
      </w:r>
      <w:r>
        <w:t xml:space="preserve"> (PHYSIOPHARM LABORATOIRES)</w:t>
      </w:r>
    </w:p>
    <w:p>
      <w:pPr>
        <w:pStyle w:val="ListBullet"/>
      </w:pPr>
      <w:r>
        <w:t>Formes et Dosages : Comprimé pelliculé 100 mg (B/30)</w:t>
      </w:r>
    </w:p>
    <w:p>
      <w:pPr>
        <w:pStyle w:val="ListBullet"/>
      </w:pPr>
      <w:r>
        <w:t>Statut : Actif</w:t>
      </w:r>
    </w:p>
    <w:p>
      <w:pPr>
        <w:pStyle w:val="ListBullet"/>
      </w:pPr>
      <w:r/>
      <w:r>
        <w:rPr>
          <w:b/>
        </w:rPr>
        <w:t>DIATAG</w:t>
      </w:r>
      <w:r>
        <w:t xml:space="preserve"> (EL KENDI INDUSTRIE DU MEDICAMENT)</w:t>
      </w:r>
    </w:p>
    <w:p>
      <w:pPr>
        <w:pStyle w:val="ListBullet"/>
      </w:pPr>
      <w:r>
        <w:t>Formes et Dosages : Comprimé pelliculé 100 mg (B/30)</w:t>
      </w:r>
    </w:p>
    <w:p>
      <w:pPr>
        <w:pStyle w:val="ListBullet"/>
      </w:pPr>
      <w:r>
        <w:t>Statut : Actif</w:t>
      </w:r>
    </w:p>
    <w:p>
      <w:pPr>
        <w:pStyle w:val="ListBullet"/>
      </w:pPr>
      <w:r/>
      <w:r>
        <w:rPr>
          <w:b/>
        </w:rPr>
        <w:t>GLIPTINE</w:t>
      </w:r>
      <w:r>
        <w:t xml:space="preserve"> (TABET PHARM)</w:t>
      </w:r>
    </w:p>
    <w:p>
      <w:pPr>
        <w:pStyle w:val="ListBullet"/>
      </w:pPr>
      <w:r>
        <w:t>Formes et Dosages : Comprimé pelliculé 100 mg (B/30) ; Comprimé pelliculé 50 mg (B/30)</w:t>
      </w:r>
    </w:p>
    <w:p>
      <w:pPr>
        <w:pStyle w:val="ListBullet"/>
      </w:pPr>
      <w:r>
        <w:t>Statut : Actif</w:t>
      </w:r>
    </w:p>
    <w:p>
      <w:pPr>
        <w:pStyle w:val="ListBullet"/>
      </w:pPr>
      <w:r/>
      <w:r>
        <w:rPr>
          <w:b/>
        </w:rPr>
        <w:t>GLYSAVIA</w:t>
      </w:r>
      <w:r>
        <w:t xml:space="preserve"> (HIKMA PHARMA ALGERIA)</w:t>
      </w:r>
    </w:p>
    <w:p>
      <w:pPr>
        <w:pStyle w:val="ListBullet"/>
      </w:pPr>
      <w:r>
        <w:t>Formes et Dosages : Comprimé pelliculé 100 mg (B/30)</w:t>
      </w:r>
    </w:p>
    <w:p>
      <w:pPr>
        <w:pStyle w:val="ListBullet"/>
      </w:pPr>
      <w:r>
        <w:t>Statut : Actif</w:t>
      </w:r>
    </w:p>
    <w:p>
      <w:pPr>
        <w:pStyle w:val="ListBullet"/>
      </w:pPr>
      <w:r/>
      <w:r>
        <w:rPr>
          <w:b/>
        </w:rPr>
        <w:t>JANUVIA</w:t>
      </w:r>
      <w:r>
        <w:t xml:space="preserve"> (MERCK SHARP &amp; DHOME LIMITED)</w:t>
      </w:r>
    </w:p>
    <w:p>
      <w:pPr>
        <w:pStyle w:val="ListBullet"/>
      </w:pPr>
      <w:r>
        <w:t>Formes et Dosages : Comprimé pelliculé 100 mg (B/28)</w:t>
      </w:r>
    </w:p>
    <w:p>
      <w:pPr>
        <w:pStyle w:val="ListBullet"/>
      </w:pPr>
      <w:r>
        <w:t>Statut : Actif</w:t>
      </w:r>
    </w:p>
    <w:p>
      <w:pPr>
        <w:pStyle w:val="ListBullet"/>
      </w:pPr>
      <w:r/>
      <w:r>
        <w:rPr>
          <w:b/>
        </w:rPr>
        <w:t>JEGA</w:t>
      </w:r>
      <w:r>
        <w:t xml:space="preserve"> (BIOPHARM)</w:t>
      </w:r>
    </w:p>
    <w:p>
      <w:pPr>
        <w:pStyle w:val="ListBullet"/>
      </w:pPr>
      <w:r>
        <w:t>Formes et Dosages : Comprimé pelliculé 100 mg (B/30)</w:t>
      </w:r>
    </w:p>
    <w:p>
      <w:pPr>
        <w:pStyle w:val="ListBullet"/>
      </w:pPr>
      <w:r>
        <w:t>Statut : Actif</w:t>
      </w:r>
    </w:p>
    <w:p>
      <w:pPr>
        <w:pStyle w:val="ListBullet"/>
      </w:pPr>
      <w:r/>
      <w:r>
        <w:rPr>
          <w:b/>
        </w:rPr>
        <w:t>SITAGLIPTINE</w:t>
      </w:r>
      <w:r>
        <w:t xml:space="preserve"> (LABORATOIRES BEKER)</w:t>
      </w:r>
    </w:p>
    <w:p>
      <w:pPr>
        <w:pStyle w:val="ListBullet"/>
      </w:pPr>
      <w:r>
        <w:t>Formes et Dosages : Comprimé pelliculé 100 mg (B/30 et B/90)</w:t>
      </w:r>
    </w:p>
    <w:p>
      <w:pPr>
        <w:pStyle w:val="ListBullet"/>
      </w:pPr>
      <w:r>
        <w:t>Statut : Actif</w:t>
      </w:r>
    </w:p>
    <w:p>
      <w:pPr>
        <w:pStyle w:val="ListBullet"/>
      </w:pPr>
      <w:r/>
      <w:r>
        <w:rPr>
          <w:b/>
        </w:rPr>
        <w:t>SITANORM</w:t>
      </w:r>
      <w:r>
        <w:t xml:space="preserve"> (BIOGALENIC)</w:t>
      </w:r>
    </w:p>
    <w:p>
      <w:pPr>
        <w:pStyle w:val="ListBullet"/>
      </w:pPr>
      <w:r>
        <w:t>Formes et Dosages : Comprimé pelliculé 100 mg (B/28) ; Comprimé pelliculé 50 mg (B/28)</w:t>
      </w:r>
    </w:p>
    <w:p>
      <w:pPr>
        <w:pStyle w:val="ListBullet"/>
      </w:pPr>
      <w:r>
        <w:t>Statut : Actif</w:t>
      </w:r>
    </w:p>
    <w:p>
      <w:pPr>
        <w:pStyle w:val="ListBullet"/>
      </w:pPr>
      <w:r/>
      <w:r>
        <w:rPr>
          <w:b/>
        </w:rPr>
        <w:t>SITAGLIPTINE BEKER</w:t>
      </w:r>
      <w:r>
        <w:t xml:space="preserve"> (LABORATOIRES BEKER)</w:t>
      </w:r>
    </w:p>
    <w:p>
      <w:pPr>
        <w:pStyle w:val="ListBullet"/>
      </w:pPr>
      <w:r>
        <w:t>Formes et Dosages : Comprimé pelliculé 50 mg (B/30 et B/90)</w:t>
      </w:r>
    </w:p>
    <w:p>
      <w:pPr>
        <w:pStyle w:val="ListBullet"/>
      </w:pPr>
      <w:r>
        <w:t>Statut : Actif</w:t>
      </w:r>
    </w:p>
    <w:p>
      <w:r/>
      <w:r>
        <w:rPr>
          <w:b/>
        </w:rPr>
        <w:t>Sous-classe et Mécanisme d'action :</w:t>
      </w:r>
      <w:r/>
    </w:p>
    <w:p>
      <w:pPr>
        <w:pStyle w:val="ListBullet"/>
      </w:pPr>
      <w:r>
        <w:t>Sous-classe : Inhibiteur de la DPP-4 (gliptine), incrétino-modulateur, sans risque intrinsèque d'hypoglycémie.</w:t>
      </w:r>
    </w:p>
    <w:p>
      <w:pPr>
        <w:pStyle w:val="ListBullet"/>
      </w:pPr>
      <w:r>
        <w:t>Mécanisme d'action : La sitagliptine inhibe de manière compétitive, réversible et très sélective la dipeptidyl-peptidase IV (DPP-4), enzyme membranaire ubiquitaire qui dégrade les incrétines endogènes GLP-1 et GIP. L'inhibition de la DPP-4 multiplie par 2 à 3 la concentration plasmatique de GLP-1 actif, ce qui stimule la sécrétion d'insuline par les cellules β (glucose-dépendant), réduit la sécrétion de glucagon par les cellules α, et ralentit la vidange gastrique. Le caractère glucose-dépendant explique l'absence d'hypoglycémie intrinsèque (en monothérapie ou en association à la metformine). L'effet est insulinotrope et incrétinique mais sans action directe sur le poids.</w:t>
      </w:r>
    </w:p>
    <w:p>
      <w:r/>
      <w:r>
        <w:rPr>
          <w:b/>
        </w:rPr>
        <w:t>Profil Pharmacologique :</w:t>
      </w:r>
      <w:r/>
    </w:p>
    <w:p>
      <w:pPr>
        <w:pStyle w:val="ListBullet"/>
      </w:pPr>
      <w:r>
        <w:t>Indications : DT2 en seconde intention, en association à la metformine (bithérapie), en trithérapie (metformine + sulfamide, metformine + gliflozine, metformine + agoniste GLP-1), en alternative à la metformine si CI ; particulièrement chez le sujet âgé fragile en raison de la sécurité d'emploi. Insuffisance rénale modérée possible (adaptation posologique).</w:t>
      </w:r>
    </w:p>
    <w:p>
      <w:pPr>
        <w:pStyle w:val="ListBullet"/>
      </w:pPr>
      <w:r>
        <w:t>Contre-indications : Diabète de type 1 ; acidocétose ; grossesse, allaitement ; hypersensibilité ; insuffisance rénale sévère non dialysée (DFG &lt; 30) ; antécédent de pancréatite (CI relative) ; association à la vildagliptine ou à un autre inhibiteur DPP-4.</w:t>
      </w:r>
    </w:p>
    <w:p>
      <w:pPr>
        <w:pStyle w:val="ListBullet"/>
      </w:pPr>
      <w:r>
        <w:t>Effets Indésirables : (1) Infections respiratoires hautes (nasopharyngite, 5 à 6 %) ; (2) Céphalées (5 %) ; (3) Pancréatite aiguë (rare, ≈ 1/1000 patient-années, mais grave → arrêt immédiat et exploration) ; (4) Douleurs articulaires (rare mais signalée, parfois sévère) ; (5) Hypersensibilité (anaphylaxie, angio-oedème, syndrome de Stevens-Johnson, exceptionnel) ; (6) Hypoglycémie en cas d'association à sulfamide ou insuline (réduire la dose du sulfamide) ; (7) Bullous pemphigoid (exceptionnel, signalisation) ; (8) Troubles digestifs (nausées, douleurs abdominales).</w:t>
      </w:r>
    </w:p>
    <w:p>
      <w:r/>
      <w:r>
        <w:rPr>
          <w:b/>
        </w:rPr>
        <w:t>Prévention et Gestion des Effets Indésirables :</w:t>
      </w:r>
      <w:r/>
    </w:p>
    <w:p>
      <w:pPr>
        <w:pStyle w:val="ListBullet"/>
      </w:pPr>
      <w:r>
        <w:t>Mesures Préventives : Vérifier la fonction rénale avant initiation (adaptation posologique si DFG &lt; 60) ; recherche d'antécédents de pancréatite, de lithiase biliaire, d'hypertriglycéridémie majeure ; surveillance de la glycémie en cas d'association ; surveillance des douleurs abdominales inexpliquées.</w:t>
      </w:r>
    </w:p>
    <w:p>
      <w:pPr>
        <w:pStyle w:val="ListBullet"/>
      </w:pPr>
      <w:r>
        <w:t>Conduite à Tenir : En cas de douleur abdominale intense évoquant une pancréatite, arrêt immédiat et bilan (lipase, scanner). En cas d'hypersensibilité, arrêt définitif. En cas d'insuffisance rénale aiguë, adaptation posologique.</w:t>
      </w:r>
    </w:p>
    <w:p>
      <w:r/>
      <w:r>
        <w:rPr>
          <w:b/>
        </w:rPr>
        <w:t>Interactions Importantes :</w:t>
      </w:r>
      <w:r/>
    </w:p>
    <w:p>
      <w:pPr>
        <w:pStyle w:val="ListBullet"/>
      </w:pPr>
      <w:r/>
      <w:r>
        <w:rPr>
          <w:b/>
        </w:rPr>
        <w:t>Sitagliptine + digoxine</w:t>
      </w:r>
      <w:r>
        <w:t xml:space="preserve"> : augmentation modérée de l'AUC de la digoxine (inhibition P-gp) — surveillance de la digoxinémie.</w:t>
      </w:r>
    </w:p>
    <w:p>
      <w:pPr>
        <w:pStyle w:val="ListBullet"/>
      </w:pPr>
      <w:r/>
      <w:r>
        <w:rPr>
          <w:b/>
        </w:rPr>
        <w:t>Sitagliptine + sulfamides, insuline</w:t>
      </w:r>
      <w:r>
        <w:t xml:space="preserve"> : majoration du risque d'hypoglycémie — réduire la dose du sulfamide ou de l'insuline.</w:t>
      </w:r>
    </w:p>
    <w:p>
      <w:pPr>
        <w:pStyle w:val="ListBullet"/>
      </w:pPr>
      <w:r/>
      <w:r>
        <w:rPr>
          <w:b/>
        </w:rPr>
        <w:t>Sitagliptine + inhibiteurs OCT2/MATE1 (cimétidine, dolutégravir)</w:t>
      </w:r>
      <w:r>
        <w:t xml:space="preserve"> : augmentation de l'AUC de sitagliptine — surveiller.</w:t>
      </w:r>
    </w:p>
    <w:p>
      <w:pPr>
        <w:pStyle w:val="ListBullet"/>
      </w:pPr>
      <w:r/>
      <w:r>
        <w:rPr>
          <w:b/>
        </w:rPr>
        <w:t>Sitagliptine + metformine</w:t>
      </w:r>
      <w:r>
        <w:t xml:space="preserve"> : pas d'interaction pharmacocinétique majeure, association recommandée.</w:t>
      </w:r>
    </w:p>
    <w:p>
      <w:pPr>
        <w:pStyle w:val="ListBullet"/>
      </w:pPr>
      <w:r/>
      <w:r>
        <w:rPr>
          <w:b/>
        </w:rPr>
        <w:t>Sitagliptine + produits de contraste iodés</w:t>
      </w:r>
      <w:r>
        <w:t xml:space="preserve"> : pas d'interaction directe, mais surveiller la fonction rénale (sitagliptine étant rénale).</w:t>
      </w:r>
    </w:p>
    <w:p>
      <w:r/>
      <w:r>
        <w:rPr>
          <w:b/>
        </w:rPr>
        <w:t>Grossesse et Allaitement :</w:t>
      </w:r>
      <w:r/>
    </w:p>
    <w:p>
      <w:pPr>
        <w:pStyle w:val="ListBullet"/>
      </w:pPr>
      <w:r>
        <w:t>Grossesse : CI par mesure de précaution (données animales évocatrices à doses toxiques pour la mère) — substitution par insuline.</w:t>
      </w:r>
    </w:p>
    <w:p>
      <w:pPr>
        <w:pStyle w:val="ListBullet"/>
      </w:pPr>
      <w:r>
        <w:t>Allaitement : CI par mesure de précaution (passage éventuel dans le lait).</w:t>
      </w:r>
    </w:p>
    <w:p>
      <w:pPr>
        <w:pStyle w:val="ListBullet"/>
      </w:pPr>
      <w:r>
        <w:t>Précisions : Préconceptionnel insuline.</w:t>
      </w:r>
    </w:p>
    <w:p>
      <w:r/>
      <w:r>
        <w:rPr>
          <w:b/>
        </w:rPr>
        <w:t>Posologie et Mode d'administration (Standard) :</w:t>
      </w:r>
      <w:r/>
    </w:p>
    <w:p>
      <w:pPr>
        <w:pStyle w:val="ListBullet"/>
      </w:pPr>
      <w:r>
        <w:t>Adulte : 100 mg/jour en une prise unique le matin, indépendamment des repas.</w:t>
      </w:r>
    </w:p>
    <w:p>
      <w:pPr>
        <w:pStyle w:val="ListBullet"/>
      </w:pPr>
      <w:r>
        <w:t>Sujet âgé : Pas d'adaptation systématique ; surveillance de la fonction rénale.</w:t>
      </w:r>
    </w:p>
    <w:p>
      <w:pPr>
        <w:pStyle w:val="ListBullet"/>
      </w:pPr>
      <w:r>
        <w:t>Insuffisant rénal modéré (DFG 30–45) : 50 mg/jour ; sévère (DFG &lt; 30) ou dialyse : 25 mg/jour.</w:t>
      </w:r>
    </w:p>
    <w:p>
      <w:pPr>
        <w:pStyle w:val="ListBullet"/>
      </w:pPr>
      <w:r>
        <w:t>Enfant : Non indiqué avant 18 ans (≥ 10 ans dans certains pays).</w:t>
      </w:r>
    </w:p>
    <w:p>
      <w:pPr>
        <w:pStyle w:val="ListBullet"/>
      </w:pPr>
      <w:r>
        <w:t>Durée : au long cours.</w:t>
      </w:r>
    </w:p>
    <w:p>
      <w:pPr>
        <w:pStyle w:val="ListBullet"/>
      </w:pPr>
      <w:r>
        <w:t>Moment de prise : Une prise unique le matin, indépendamment des repas (avec ou sans nourriture).</w:t>
      </w:r>
    </w:p>
    <w:p>
      <w:r/>
      <w:r>
        <w:rPr>
          <w:b/>
        </w:rPr>
        <w:t>Arbitrage et Bénéfices des Formes Galéniques :</w:t>
      </w:r>
      <w:r/>
    </w:p>
    <w:p>
      <w:r>
        <w:t>La disponibilité en 2 dosages (50 et 100 mg) permet l'adaptation à la fonction rénale. La présentation en boîte de 28 (JANUVIA, SITANORM) couvre 4 semaines de traitement. La présence de 9 marques actives assure une excellente disponibilité et un coût modéré. L'association fixe Metformine+Sitagliptine (SITAMINE 1000/50) est disponible en Algérie. La simplicité d'administration (1 prise/jour, indépendante des repas) améliore l'observance.</w:t>
      </w:r>
    </w:p>
    <w:p>
      <w:r/>
      <w:r>
        <w:rPr>
          <w:b/>
        </w:rPr>
        <w:t>Instructions et Conseils au Patient :</w:t>
      </w:r>
      <w:r/>
    </w:p>
    <w:p>
      <w:pPr>
        <w:pStyle w:val="ListBullet"/>
      </w:pPr>
      <w:r>
        <w:t>Communication au comptoir : Préciser la prise unique matinale, indépendante des repas ; avertir du risque rare de pancréatite (douleur abdominale intense, irradiante, nausées, vomissements → consulter en urgence) ; surveiller les douleurs articulaires inhabituelles ; en cas d'association à sulfamide ou insuline, surveiller la glycémie (risque d'hypoglycémie).</w:t>
      </w:r>
    </w:p>
    <w:p>
      <w:pPr>
        <w:pStyle w:val="ListBullet"/>
      </w:pPr>
      <w:r>
        <w:t>Mode d'utilisation pratique : Prise unique le matin, indépendante des repas. En cas d'oubli, prendre dès que possible dans la même journée (ne pas doubler). Conserver à température ambiante.</w:t>
      </w:r>
    </w:p>
    <w:p>
      <w:r/>
      <w:r>
        <w:rPr>
          <w:b/>
        </w:rPr>
        <w:t>Notes, Règles d'Or &amp; Pièges au Comptoir :</w:t>
      </w:r>
      <w:r/>
    </w:p>
    <w:p>
      <w:pPr>
        <w:pStyle w:val="ListBullet"/>
      </w:pPr>
      <w:r>
        <w:t>Piège classique : (1) Insuffisance rénale non détectée → surdosage en sitagliptine (adapter la dose au DFG) ; (2) Douleur abdominale évocatrice de pancréatite négligée ; (3) Association à un sulfamide sans réduction de dose → hypoglycémie ; (4) Double prescription metformine (libre + association fixe SITAMINE).</w:t>
      </w:r>
    </w:p>
    <w:p>
      <w:pPr>
        <w:pStyle w:val="ListBullet"/>
      </w:pPr>
      <w:r>
        <w:t>Règle de prise : Une prise le matin, indépendante des repas ; adapter à la fonction rénale.</w:t>
      </w:r>
    </w:p>
    <w:p>
      <w:pPr>
        <w:pStyle w:val="ListBullet"/>
      </w:pPr>
      <w:r>
        <w:t>Préparation et Conservation : ≤ 25 °C, à l'abri de l'humidité.</w:t>
      </w:r>
    </w:p>
    <w:p>
      <w:pPr>
        <w:pStyle w:val="ListBullet"/>
      </w:pPr>
      <w:r>
        <w:t>Piège du surdosage / Substitution : En cas de substitution par un autre inhibiteur DPP-4, surveillance (équivalence approximative : sitagliptine 100 mg ≈ vildagliptine 100 mg ≈ alogliptine 25 mg).</w:t>
      </w:r>
    </w:p>
    <w:p>
      <w:pPr>
        <w:pStyle w:val="Heading3"/>
      </w:pPr>
      <w:r>
        <w:t>12. DCI : Vildagliptine (Seule)</w:t>
      </w:r>
    </w:p>
    <w:p>
      <w:r/>
      <w:r>
        <w:rPr>
          <w:b/>
        </w:rPr>
        <w:t>Liste des Catégories :</w:t>
      </w:r>
      <w:r>
        <w:t xml:space="preserve"> Antidiabétiques oraux — Inhibiteurs DPP-4 (gliptines) ; Liste I ; Actif.</w:t>
      </w:r>
    </w:p>
    <w:p>
      <w:r>
        <w:t>La vildagliptine ([(2S)-1-[3-hydroxy-1-adamantyl)amino]acetyl-2-cyanopyrrolidine]) est une gliptine à cinétique différente de la sitagliptine. Sa biodisponibilité est de 85 %, sa fixation protéique faible (9 %), son métabolisme est principalement hépatique (hydrolyse en métabolite inactif LAY151, indépendant du CYP450), son élimination est urinaire (≈ 85 %, dont 22 % inchangé et 63 % sous forme de métabolites). Sa demi-vie est courte (≈ 2 à 3 h) mais l'inhibition de la DPP-4 dure ≥ 24 h (effet pharmacodynamique prolongé). En cas d'insuffisance rénale modérée (DFG 30–45) : 50 mg/jour ; sévère (DFG &lt; 30) : 50 mg/jour (avec prudence). Réduction de l'HbA1c : 0,5 à 1 point. Disponible en Algérie sous 4 marques actives.</w:t>
      </w:r>
    </w:p>
    <w:p>
      <w:r/>
      <w:r>
        <w:rPr>
          <w:b/>
        </w:rPr>
        <w:t>Médicaments disponibles en Algérie (Marques, Laboratoires, Formes et Dosages) :</w:t>
      </w:r>
      <w:r/>
    </w:p>
    <w:p>
      <w:pPr>
        <w:pStyle w:val="ListBullet"/>
      </w:pPr>
      <w:r/>
      <w:r>
        <w:rPr>
          <w:b/>
        </w:rPr>
        <w:t>GALVINE</w:t>
      </w:r>
      <w:r>
        <w:t xml:space="preserve"> (ONYX INDUSTRIE PHARMACEUTIQUE)</w:t>
      </w:r>
    </w:p>
    <w:p>
      <w:pPr>
        <w:pStyle w:val="ListBullet"/>
      </w:pPr>
      <w:r>
        <w:t>Formes et Dosages : Comprimé 50 mg (B/30)</w:t>
      </w:r>
    </w:p>
    <w:p>
      <w:pPr>
        <w:pStyle w:val="ListBullet"/>
      </w:pPr>
      <w:r>
        <w:t>Statut : Actif</w:t>
      </w:r>
    </w:p>
    <w:p>
      <w:pPr>
        <w:pStyle w:val="ListBullet"/>
      </w:pPr>
      <w:r/>
      <w:r>
        <w:rPr>
          <w:b/>
        </w:rPr>
        <w:t>GALVUS</w:t>
      </w:r>
      <w:r>
        <w:t xml:space="preserve"> (NOVARTIS PHARMA SCHWEIZ AG)</w:t>
      </w:r>
    </w:p>
    <w:p>
      <w:pPr>
        <w:pStyle w:val="ListBullet"/>
      </w:pPr>
      <w:r>
        <w:t>Formes et Dosages : Comprimé 50 mg (B/28)</w:t>
      </w:r>
    </w:p>
    <w:p>
      <w:pPr>
        <w:pStyle w:val="ListBullet"/>
      </w:pPr>
      <w:r>
        <w:t>Statut : Actif</w:t>
      </w:r>
    </w:p>
    <w:p>
      <w:pPr>
        <w:pStyle w:val="ListBullet"/>
      </w:pPr>
      <w:r/>
      <w:r>
        <w:rPr>
          <w:b/>
        </w:rPr>
        <w:t>GLAVIP</w:t>
      </w:r>
      <w:r>
        <w:t xml:space="preserve"> (EL KENDI INDUSTRIE DU MEDICAMENT)</w:t>
      </w:r>
    </w:p>
    <w:p>
      <w:pPr>
        <w:pStyle w:val="ListBullet"/>
      </w:pPr>
      <w:r>
        <w:t>Formes et Dosages : Comprimé 50 mg (B/30)</w:t>
      </w:r>
    </w:p>
    <w:p>
      <w:pPr>
        <w:pStyle w:val="ListBullet"/>
      </w:pPr>
      <w:r>
        <w:t>Statut : Actif</w:t>
      </w:r>
    </w:p>
    <w:p>
      <w:pPr>
        <w:pStyle w:val="ListBullet"/>
      </w:pPr>
      <w:r/>
      <w:r>
        <w:rPr>
          <w:b/>
        </w:rPr>
        <w:t>VILDAMETFOR</w:t>
      </w:r>
      <w:r>
        <w:t xml:space="preserve"> (EL KENDI INDUSTRIE DU MEDICAMENT)</w:t>
      </w:r>
    </w:p>
    <w:p>
      <w:pPr>
        <w:pStyle w:val="ListBullet"/>
      </w:pPr>
      <w:r>
        <w:t>Formes et Dosages : Comprimé pelliculé 50 mg/1000 mg (B/30) ; Comprimé pelliculé 50 mg/850 mg (B/30)</w:t>
      </w:r>
    </w:p>
    <w:p>
      <w:pPr>
        <w:pStyle w:val="ListBullet"/>
      </w:pPr>
      <w:r>
        <w:t>Statut : Actif</w:t>
      </w:r>
    </w:p>
    <w:p>
      <w:r/>
      <w:r>
        <w:rPr>
          <w:b/>
        </w:rPr>
        <w:t>Sous-classe et Mécanisme d'action :</w:t>
      </w:r>
      <w:r/>
    </w:p>
    <w:p>
      <w:pPr>
        <w:pStyle w:val="ListBullet"/>
      </w:pPr>
      <w:r>
        <w:t>Sous-classe : Inhibiteur de la DPP-4 (gliptine), incrétino-modulateur ; métabolisme hépatique (sans CYP450) différent de la sitagliptine.</w:t>
      </w:r>
    </w:p>
    <w:p>
      <w:pPr>
        <w:pStyle w:val="ListBullet"/>
      </w:pPr>
      <w:r>
        <w:t>Mécanisme d'action : Inhibition compétitive et réversible de la DPP-4, augmentation des concentrations endogènes de GLP-1 actif, stimulation de l'insuline glucose-dépendante et réduction du glucagon. Identique à la sitagliptine.</w:t>
      </w:r>
    </w:p>
    <w:p>
      <w:r/>
      <w:r>
        <w:rPr>
          <w:b/>
        </w:rPr>
        <w:t>Profil Pharmacologique :</w:t>
      </w:r>
      <w:r/>
    </w:p>
    <w:p>
      <w:pPr>
        <w:pStyle w:val="ListBullet"/>
      </w:pPr>
      <w:r>
        <w:t>Indications : DT2 en association à la metformine (bithérapie), en trithérapie (metformine + sulfamide), en alternative si CI à la metformine. Particularité : AMM en bithérapie d'emblée dès l'échec de la metformine.</w:t>
      </w:r>
    </w:p>
    <w:p>
      <w:pPr>
        <w:pStyle w:val="ListBullet"/>
      </w:pPr>
      <w:r>
        <w:t>Contre-indications : Diabète de type 1 ; acidocétose ; insuffisance hépatique sévère (transaminases &gt; 3 × LSN, surveillance renforcée pour hépatotoxicité) ; antécédent de pancréatite (CI relative) ; grossesse, allaitement ; hypersensibilité.</w:t>
      </w:r>
    </w:p>
    <w:p>
      <w:pPr>
        <w:pStyle w:val="ListBullet"/>
      </w:pPr>
      <w:r>
        <w:t>Effets Indésirables : (1) Élévation des transaminases (10 à 15 %, généralement asymptomatique et réversible, mais surveillance trimestrielle requise — particularité de la vildagliptine) ; (2) Céphalées, vertiges, tremblements ; (3) Infections respiratoires hautes ; (4) Pancréatite aiguë (rare) ; (5) Hypoglycémie en association ; (6) Arthralgies ; (7) Rarement hépatite cytolytique sévère.</w:t>
      </w:r>
    </w:p>
    <w:p>
      <w:r/>
      <w:r>
        <w:rPr>
          <w:b/>
        </w:rPr>
        <w:t>Prévention et Gestion des Effets Indésirables :</w:t>
      </w:r>
      <w:r/>
    </w:p>
    <w:p>
      <w:pPr>
        <w:pStyle w:val="ListBullet"/>
      </w:pPr>
      <w:r>
        <w:t>Mesures Préventives : Surveillance des transaminases avant initiation, à 3 mois, à 6 mois, puis annuellement (particularité de la vildagliptine) ; arrêt si transaminases &gt; 3 × LSN. Recherche d'antécédents de pancréatite.</w:t>
      </w:r>
    </w:p>
    <w:p>
      <w:pPr>
        <w:pStyle w:val="ListBullet"/>
      </w:pPr>
      <w:r>
        <w:t>Conduite à Tenir : En cas d'élévation des transaminases persistante, arrêt. En cas de douleur abdominale évoquant une pancréatite, arrêt immédiat.</w:t>
      </w:r>
    </w:p>
    <w:p>
      <w:r/>
      <w:r>
        <w:rPr>
          <w:b/>
        </w:rPr>
        <w:t>Interactions Importantes :</w:t>
      </w:r>
      <w:r/>
    </w:p>
    <w:p>
      <w:pPr>
        <w:pStyle w:val="ListBullet"/>
      </w:pPr>
      <w:r/>
      <w:r>
        <w:rPr>
          <w:b/>
        </w:rPr>
        <w:t>Vildagliptine + sulfamides, insuline</w:t>
      </w:r>
      <w:r>
        <w:t xml:space="preserve"> : risque d'hypoglycémie — réduire la dose du sulfamide.</w:t>
      </w:r>
    </w:p>
    <w:p>
      <w:pPr>
        <w:pStyle w:val="ListBullet"/>
      </w:pPr>
      <w:r/>
      <w:r>
        <w:rPr>
          <w:b/>
        </w:rPr>
        <w:t>Vildagliptine + metformine</w:t>
      </w:r>
      <w:r>
        <w:t xml:space="preserve"> : association recommandée.</w:t>
      </w:r>
    </w:p>
    <w:p>
      <w:pPr>
        <w:pStyle w:val="ListBullet"/>
      </w:pPr>
      <w:r/>
      <w:r>
        <w:rPr>
          <w:b/>
        </w:rPr>
        <w:t>Vildagliptine + inhibiteurs de l'ACE, diurétiques</w:t>
      </w:r>
      <w:r>
        <w:t xml:space="preserve"> : surveillance glycémique (perturbation de la tolérance glucidique).</w:t>
      </w:r>
    </w:p>
    <w:p>
      <w:pPr>
        <w:pStyle w:val="ListBullet"/>
      </w:pPr>
      <w:r/>
      <w:r>
        <w:rPr>
          <w:b/>
        </w:rPr>
        <w:t>Vildagliptine + alcool</w:t>
      </w:r>
      <w:r>
        <w:t xml:space="preserve"> : risque hépatotoxique majoré (surveillance transaminases).</w:t>
      </w:r>
    </w:p>
    <w:p>
      <w:r/>
      <w:r>
        <w:rPr>
          <w:b/>
        </w:rPr>
        <w:t>Grossesse et Allaitement :</w:t>
      </w:r>
      <w:r/>
    </w:p>
    <w:p>
      <w:pPr>
        <w:pStyle w:val="ListBullet"/>
      </w:pPr>
      <w:r>
        <w:t>Grossesse : CI par mesure de précaution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50 mg × 2/jour (matin et soir) en association à la metformine ; ou 50 mg/jour le matin en cas d'association à un sulfamide. Dose maximale 100 mg/jour (50 mg BID).</w:t>
      </w:r>
    </w:p>
    <w:p>
      <w:pPr>
        <w:pStyle w:val="ListBullet"/>
      </w:pPr>
      <w:r>
        <w:t>Sujet âgé : Pas d'adaptation systématique, surveillance hépatique.</w:t>
      </w:r>
    </w:p>
    <w:p>
      <w:pPr>
        <w:pStyle w:val="ListBullet"/>
      </w:pPr>
      <w:r>
        <w:t>Insuffisant rénal modéré (DFG 30–45) : 50 mg/jour ; sévère (DFG &lt; 30) : 50 mg/jour avec prudence.</w:t>
      </w:r>
    </w:p>
    <w:p>
      <w:pPr>
        <w:pStyle w:val="ListBullet"/>
      </w:pPr>
      <w:r>
        <w:t>Enfant : Non indiqué avant 18 ans.</w:t>
      </w:r>
    </w:p>
    <w:p>
      <w:pPr>
        <w:pStyle w:val="ListBullet"/>
      </w:pPr>
      <w:r>
        <w:t>Durée : au long cours.</w:t>
      </w:r>
    </w:p>
    <w:p>
      <w:pPr>
        <w:pStyle w:val="ListBullet"/>
      </w:pPr>
      <w:r>
        <w:t>Moment de prise : Deux prises par jour (matin et soir), indépendantes des repas.</w:t>
      </w:r>
    </w:p>
    <w:p>
      <w:r/>
      <w:r>
        <w:rPr>
          <w:b/>
        </w:rPr>
        <w:t>Arbitrage et Bénéfices des Formes Galéniques :</w:t>
      </w:r>
      <w:r/>
    </w:p>
    <w:p>
      <w:r>
        <w:t>La disponibilité en 50 mg permet l'adaptation à la fonction rénale et hépatique. La présentation en boîte de 28 (GALVUS) couvre 2 semaines de traitement biquotidien. La présence de 4 marques actives et de 2 associations fixes (VILDAMETFOR 850 et 1000) en fait une option accessible. L'administration biquotidienne est un inconvénient par rapport à la sitagliptine (1 prise/jour). La surveillance des transaminases est contraignante.</w:t>
      </w:r>
    </w:p>
    <w:p>
      <w:r/>
      <w:r>
        <w:rPr>
          <w:b/>
        </w:rPr>
        <w:t>Instructions et Conseils au Patient :</w:t>
      </w:r>
      <w:r/>
    </w:p>
    <w:p>
      <w:pPr>
        <w:pStyle w:val="ListBullet"/>
      </w:pPr>
      <w:r>
        <w:t>Communication au comptoir : Préciser la prise biquotidienne, indépendante des repas ; surveiller les transaminases à 3, 6 mois puis annuellement (particularité de la vildagliptine) ; avertir du risque rare de pancréatite ; alcool proscrit (risque hépatotoxique additif).</w:t>
      </w:r>
    </w:p>
    <w:p>
      <w:pPr>
        <w:pStyle w:val="ListBullet"/>
      </w:pPr>
      <w:r>
        <w:t>Mode d'utilisation pratique : Deux prises par jour (matin et soir), indépendantes des repas. En cas d'oubli, prendre dès que possible. Conserver à température ambiante.</w:t>
      </w:r>
    </w:p>
    <w:p>
      <w:r/>
      <w:r>
        <w:rPr>
          <w:b/>
        </w:rPr>
        <w:t>Notes, Règles d'Or &amp; Pièges au Comptoir :</w:t>
      </w:r>
      <w:r/>
    </w:p>
    <w:p>
      <w:pPr>
        <w:pStyle w:val="ListBullet"/>
      </w:pPr>
      <w:r>
        <w:t>Piège classique : (1) Surveillance des transaminases oubliée (particularité de la vildagliptine) ; (2) Insuffisance rénale non détectée ; (3) Association à sulfamide sans réduction de dose ; (4) Alcool (risque hépatotoxique additif).</w:t>
      </w:r>
    </w:p>
    <w:p>
      <w:pPr>
        <w:pStyle w:val="ListBullet"/>
      </w:pPr>
      <w:r>
        <w:t>Règle de prise : Biquotidienne, indépendante des repas ; surveillance hépatique.</w:t>
      </w:r>
    </w:p>
    <w:p>
      <w:pPr>
        <w:pStyle w:val="ListBullet"/>
      </w:pPr>
      <w:r>
        <w:t>Préparation et Conservation : ≤ 25 °C, à l'abri de l'humidité.</w:t>
      </w:r>
    </w:p>
    <w:p>
      <w:pPr>
        <w:pStyle w:val="ListBullet"/>
      </w:pPr>
      <w:r>
        <w:t>Piège du surdosage / Substitution : Substitution par sitagliptine (1 prise/jour) ou alogliptine, surveillance glycémique et hépatique pendant la transition.</w:t>
      </w:r>
    </w:p>
    <w:p>
      <w:pPr>
        <w:pStyle w:val="Heading3"/>
      </w:pPr>
      <w:r>
        <w:t>13. DCI : Alogliptine (Seule)</w:t>
      </w:r>
    </w:p>
    <w:p>
      <w:r/>
      <w:r>
        <w:rPr>
          <w:b/>
        </w:rPr>
        <w:t>Liste des Catégories :</w:t>
      </w:r>
      <w:r>
        <w:t xml:space="preserve"> Antidiabétiques oraux — Inhibiteurs DPP-4 (gliptines) ; Liste I ; Actif.</w:t>
      </w:r>
    </w:p>
    <w:p>
      <w:r>
        <w:t>L'alogliptine (2-[[6-[(3R)-3-amino-1-piperidinyl]-3,4-dihydro-3-methyl-2,4-dioxo-1(2H)-pyrimidinyl]methyl]-4-fluorobenzonitrile) est une gliptine de 3e génération. Sa biodisponibilité est de 100 %, sa fixation protéique faible (20 %), son métabolisme hépatique minimal (CYP2D6, CYP3A4 — sans métabolites actifs significatifs), son élimination est urinaire (≈ 70 % inchangé), sa demi-vie est de 21 h, permettant une administration quotidienne unique. En cas d'insuffisance rénale modérée (DFG 30–45) : 12,5 mg/jour ; sévère (DFG &lt; 30) : 6,25 mg/jour. L'alogliptine a démontré un profil sécurité cardiovasculaire neutre dans l'essai EXAMINE chez des patients post-IDM. Réduction de l'HbA1c : 0,5 à 1 point. Disponible en Algérie sous 2 marques actives (VIPIDIA et VIPDOMET, ce dernier en association fixe avec la metformine).</w:t>
      </w:r>
    </w:p>
    <w:p>
      <w:r/>
      <w:r>
        <w:rPr>
          <w:b/>
        </w:rPr>
        <w:t>Médicaments disponibles en Algérie (Marques, Laboratoires, Formes et Dosages) :</w:t>
      </w:r>
      <w:r/>
    </w:p>
    <w:p>
      <w:pPr>
        <w:pStyle w:val="ListBullet"/>
      </w:pPr>
      <w:r/>
      <w:r>
        <w:rPr>
          <w:b/>
        </w:rPr>
        <w:t>VIPIDIA</w:t>
      </w:r>
      <w:r>
        <w:t xml:space="preserve"> (HIKMA PHARMA ALGERIA)</w:t>
      </w:r>
    </w:p>
    <w:p>
      <w:pPr>
        <w:pStyle w:val="ListBullet"/>
      </w:pPr>
      <w:r>
        <w:t>Formes et Dosages : Comprimé pelliculé 12,5 mg (B/30) ; Comprimé pelliculé 25 mg (B/30)</w:t>
      </w:r>
    </w:p>
    <w:p>
      <w:pPr>
        <w:pStyle w:val="ListBullet"/>
      </w:pPr>
      <w:r>
        <w:t>Statut : Actif</w:t>
      </w:r>
    </w:p>
    <w:p>
      <w:pPr>
        <w:pStyle w:val="ListBullet"/>
      </w:pPr>
      <w:r/>
      <w:r>
        <w:rPr>
          <w:b/>
        </w:rPr>
        <w:t>VIPDOMET</w:t>
      </w:r>
      <w:r>
        <w:t xml:space="preserve"> (HIKMA PHARMA ALGERIA)</w:t>
      </w:r>
    </w:p>
    <w:p>
      <w:pPr>
        <w:pStyle w:val="ListBullet"/>
      </w:pPr>
      <w:r>
        <w:t>Formes et Dosages : Comprimé pelliculé 12,5 mg/500 mg (B/60) ; Comprimé pelliculé 12,5 mg/1000 mg (B/60)</w:t>
      </w:r>
    </w:p>
    <w:p>
      <w:pPr>
        <w:pStyle w:val="ListBullet"/>
      </w:pPr>
      <w:r>
        <w:t>Statut : Actif</w:t>
      </w:r>
    </w:p>
    <w:p>
      <w:r/>
      <w:r>
        <w:rPr>
          <w:b/>
        </w:rPr>
        <w:t>Sous-classe et Mécanisme d'action :</w:t>
      </w:r>
      <w:r/>
    </w:p>
    <w:p>
      <w:pPr>
        <w:pStyle w:val="ListBullet"/>
      </w:pPr>
      <w:r>
        <w:t>Sous-classe : Inhibiteur de la DPP-4 (gliptine), incrétino-modulateur ; profil sécurité cardiovasculaire neutre démontré (EXAMINE).</w:t>
      </w:r>
    </w:p>
    <w:p>
      <w:pPr>
        <w:pStyle w:val="ListBullet"/>
      </w:pPr>
      <w:r>
        <w:t>Mécanisme d'action : Identique à la sitagliptine et la vildagliptine — inhibition de la DPP-4, augmentation des incrétines endogènes, stimulation glucose-dépendante de l'insuline, réduction du glucagon.</w:t>
      </w:r>
    </w:p>
    <w:p>
      <w:r/>
      <w:r>
        <w:rPr>
          <w:b/>
        </w:rPr>
        <w:t>Profil Pharmacologique :</w:t>
      </w:r>
      <w:r/>
    </w:p>
    <w:p>
      <w:pPr>
        <w:pStyle w:val="ListBullet"/>
      </w:pPr>
      <w:r>
        <w:t>Indications : DT2 en association à la metformine, en trithérapie (metformine + sulfamide), en alternative si CI à la metformine ; particulièrement chez le patient à haut risque cardiovasculaire (post-IDM, IC stable — selon EXAMINE).</w:t>
      </w:r>
    </w:p>
    <w:p>
      <w:pPr>
        <w:pStyle w:val="ListBullet"/>
      </w:pPr>
      <w:r>
        <w:t>Contre-indications : Diabète de type 1 ; acidocétose ; insuffisance hépatique sévère ; antécédent de pancréatite (CI relative) ; grossesse, allaitement ; hypersensibilité.</w:t>
      </w:r>
    </w:p>
    <w:p>
      <w:pPr>
        <w:pStyle w:val="ListBullet"/>
      </w:pPr>
      <w:r>
        <w:t>Effets Indésirables : (1) Céphalées, nasopharyngite ; (2) Pancréatite aiguë (rare) ; (3) Arthralgies ; (4) Hypersensibilité (rare) ; (5) Hypoglycémie en association ; (6) Bullous pemphigoid (très rare) ; (7) Pas d'hépatotoxicité significative (avantage vs vildagliptine).</w:t>
      </w:r>
    </w:p>
    <w:p>
      <w:r/>
      <w:r>
        <w:rPr>
          <w:b/>
        </w:rPr>
        <w:t>Prévention et Gestion des Effets Indésirables :</w:t>
      </w:r>
      <w:r/>
    </w:p>
    <w:p>
      <w:pPr>
        <w:pStyle w:val="ListBullet"/>
      </w:pPr>
      <w:r>
        <w:t>Mesures Préventives : Vérifier la fonction rénale avant initiation (adaptation posologique) ; recherche d'antécédents de pancréatite.</w:t>
      </w:r>
    </w:p>
    <w:p>
      <w:pPr>
        <w:pStyle w:val="ListBullet"/>
      </w:pPr>
      <w:r>
        <w:t>Conduite à Tenir : En cas de douleur abdominale évoquant une pancréatite, arrêt immédiat et bilan. En cas d'hypersensibilité, arrêt définitif.</w:t>
      </w:r>
    </w:p>
    <w:p>
      <w:r/>
      <w:r>
        <w:rPr>
          <w:b/>
        </w:rPr>
        <w:t>Interactions Importantes :</w:t>
      </w:r>
      <w:r/>
    </w:p>
    <w:p>
      <w:pPr>
        <w:pStyle w:val="ListBullet"/>
      </w:pPr>
      <w:r/>
      <w:r>
        <w:rPr>
          <w:b/>
        </w:rPr>
        <w:t>Alogliptine + sulfamides, insuline</w:t>
      </w:r>
      <w:r>
        <w:t xml:space="preserve"> : risque d'hypoglycémie — réduire la dose du sulfamide.</w:t>
      </w:r>
    </w:p>
    <w:p>
      <w:pPr>
        <w:pStyle w:val="ListBullet"/>
      </w:pPr>
      <w:r/>
      <w:r>
        <w:rPr>
          <w:b/>
        </w:rPr>
        <w:t>Alogliptine + metformine</w:t>
      </w:r>
      <w:r>
        <w:t xml:space="preserve"> : association recommandée.</w:t>
      </w:r>
    </w:p>
    <w:p>
      <w:pPr>
        <w:pStyle w:val="ListBullet"/>
      </w:pPr>
      <w:r/>
      <w:r>
        <w:rPr>
          <w:b/>
        </w:rPr>
        <w:t>Alogliptine + inhibiteurs puissants du CYP2D6 et CYP3A4</w:t>
      </w:r>
      <w:r>
        <w:t xml:space="preserve"> : peu d'impact (métabolisme hépatique minimal).</w:t>
      </w:r>
    </w:p>
    <w:p>
      <w:r/>
      <w:r>
        <w:rPr>
          <w:b/>
        </w:rPr>
        <w:t>Grossesse et Allaitement :</w:t>
      </w:r>
      <w:r/>
    </w:p>
    <w:p>
      <w:pPr>
        <w:pStyle w:val="ListBullet"/>
      </w:pPr>
      <w:r>
        <w:t>Grossesse : CI par mesure de précaution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25 mg/jour en une prise unique le matin, indépendante des repas.</w:t>
      </w:r>
    </w:p>
    <w:p>
      <w:pPr>
        <w:pStyle w:val="ListBullet"/>
      </w:pPr>
      <w:r>
        <w:t>Sujet âgé : Pas d'adaptation systématique, surveillance de la fonction rénale.</w:t>
      </w:r>
    </w:p>
    <w:p>
      <w:pPr>
        <w:pStyle w:val="ListBullet"/>
      </w:pPr>
      <w:r>
        <w:t>Insuffisant rénal modéré (DFG 30–45) : 12,5 mg/jour ; sévère (DFG &lt; 30) : 6,25 mg/jour.</w:t>
      </w:r>
    </w:p>
    <w:p>
      <w:pPr>
        <w:pStyle w:val="ListBullet"/>
      </w:pPr>
      <w:r>
        <w:t>Enfant : Non indiqué avant 18 ans.</w:t>
      </w:r>
    </w:p>
    <w:p>
      <w:pPr>
        <w:pStyle w:val="ListBullet"/>
      </w:pPr>
      <w:r>
        <w:t>Durée : au long cours.</w:t>
      </w:r>
    </w:p>
    <w:p>
      <w:pPr>
        <w:pStyle w:val="ListBullet"/>
      </w:pPr>
      <w:r>
        <w:t>Moment de prise : Une prise unique le matin, indépendante des repas.</w:t>
      </w:r>
    </w:p>
    <w:p>
      <w:r/>
      <w:r>
        <w:rPr>
          <w:b/>
        </w:rPr>
        <w:t>Arbitrage et Bénéfices des Formes Galéniques :</w:t>
      </w:r>
      <w:r/>
    </w:p>
    <w:p>
      <w:r>
        <w:t>La disponibilité en 2 dosages (12,5 et 25 mg) permet l'adaptation à la fonction rénale. La présence d'une association fixe avec la metformine (VIPDOMET 12,5/500 et 12,5/1000) en bithérapie d'emblée simplifie l'observance. La présentation en boîte de 30 (VIPIDIA) ou 60 (VIPDOMET) couvre 1 à 2 mois de traitement. L'administration quotidienne unique est un avantage.</w:t>
      </w:r>
    </w:p>
    <w:p>
      <w:r/>
      <w:r>
        <w:rPr>
          <w:b/>
        </w:rPr>
        <w:t>Instructions et Conseils au Patient :</w:t>
      </w:r>
      <w:r/>
    </w:p>
    <w:p>
      <w:pPr>
        <w:pStyle w:val="ListBullet"/>
      </w:pPr>
      <w:r>
        <w:t>Communication au comptoir : Préciser la prise unique matinale, indépendante des repas ; avertir du risque rare de pancréatite ; surveiller les douleurs articulaires inhabituelles ; en cas d'association à sulfamide, surveiller la glycémie.</w:t>
      </w:r>
    </w:p>
    <w:p>
      <w:pPr>
        <w:pStyle w:val="ListBullet"/>
      </w:pPr>
      <w:r>
        <w:t>Mode d'utilisation pratique : Prise unique le matin, indépendante des repas. En cas d'oubli, prendre dès que possible. Conserver à température ambiante.</w:t>
      </w:r>
    </w:p>
    <w:p>
      <w:r/>
      <w:r>
        <w:rPr>
          <w:b/>
        </w:rPr>
        <w:t>Notes, Règles d'Or &amp; Pièges au Comptoir :</w:t>
      </w:r>
      <w:r/>
    </w:p>
    <w:p>
      <w:pPr>
        <w:pStyle w:val="ListBullet"/>
      </w:pPr>
      <w:r>
        <w:t>Piège classique : (1) Insuffisance rénale non détectée → adapter la dose ; (2) Douleur abdominale évoquant une pancréatite négligée ; (3) Association à sulfamide sans réduction de dose → hypoglycémie.</w:t>
      </w:r>
    </w:p>
    <w:p>
      <w:pPr>
        <w:pStyle w:val="ListBullet"/>
      </w:pPr>
      <w:r>
        <w:t>Règle de prise : Une prise le matin, indépendante des repas ; adapter à la fonction rénale.</w:t>
      </w:r>
    </w:p>
    <w:p>
      <w:pPr>
        <w:pStyle w:val="ListBullet"/>
      </w:pPr>
      <w:r>
        <w:t>Préparation et Conservation : ≤ 25 °C, à l'abri de l'humidité.</w:t>
      </w:r>
    </w:p>
    <w:p>
      <w:pPr>
        <w:pStyle w:val="ListBullet"/>
      </w:pPr>
      <w:r>
        <w:t>Piège du surdosage / Substitution : Surveillance glycémique pendant la transition vers un autre inhibiteur DPP-4.</w:t>
      </w:r>
    </w:p>
    <w:p>
      <w:pPr>
        <w:pStyle w:val="Heading2"/>
      </w:pPr>
      <w:r>
        <w:t>IX. Sous-classe : Antidiabétiques oraux — Inhibiteurs SGLT2 (gliflozines)</w:t>
      </w:r>
    </w:p>
    <w:p>
      <w:pPr>
        <w:pStyle w:val="Heading3"/>
      </w:pPr>
      <w:r>
        <w:t>Introduction de la sous-classe</w:t>
      </w:r>
    </w:p>
    <w:p>
      <w:r>
        <w:t>Les inhibiteurs du cotransporteur sodium-glucose de type 2 (SGLT2) représentent une révolution thérapeutique majeure du DT2, apparue en 2012 (dapagliflozine). Leur mécanisme d'action original consiste à inhiber la réabsorption rénale du glucose au niveau du tubule contourné proximal, où SGLT2 assure 90 % de la réabsorption tubulaire du glucose filtré. L'inhibition du SGLT2 entraîne une glycosurie osmotique (50 à 80 g/jour), une perte calorique (200 à 300 kcal/jour), une perte de poids (2 à 4 kg en moyenne), une baisse de la pression artérielle (–3 à –5 mmHg) et une réduction de l'uricémie. Au-delà de l'effet glycémique (réduction HbA1c 0,5 à 1 point), les gliflozines ont démontré des bénéfices cardiovasculaires et rénaux majeurs : réduction de la mortalité cardiovasculaire (EMPA-REG OUTCOME pour l'empagliflozine, CANVAS pour la canagliflozine, DECLARE-TIMI 58 pour la dapagliflozine), réduction des hospitalisations pour insuffisance cardiaque, ralentissement de la progression de la néphropathie diabétique et réduction de la protéinurie (essais DAPA-HF, DAPA-CKD, EMPA-KIDNEY, CREDENCE). Ces bénéfices ont conduit les recommandations ADA/EASD à positionner les gliflozines en priorité chez les patients DT2 avec maladie cardiovasculaire établie, insuffisance cardiaque (HFrEF et HFpEF) ou néphropathie diabétique, indépendamment du contrôle glycémique. Les principaux EI sont mycoses génitales (5 à 10 %), infections urinaires (rares mais potentiellement graves — pyélonéphrite, fasciite nécrosante périnéale), euglycémie DKA (rare mais grave, surtout en péri-opératoire), hypotension et déshydratation. Trois gliflozines sont disponibles en Algérie : dapagliflozine, empagliflozine, canagliflozine. L'ertugliflozine n'est pas disponible.</w:t>
      </w:r>
    </w:p>
    <w:p>
      <w:pPr>
        <w:pStyle w:val="Heading3"/>
      </w:pPr>
      <w:r>
        <w:t>14. DCI : Dapagliflozine (Seule)</w:t>
      </w:r>
    </w:p>
    <w:p>
      <w:r/>
      <w:r>
        <w:rPr>
          <w:b/>
        </w:rPr>
        <w:t>Liste des Catégories :</w:t>
      </w:r>
      <w:r>
        <w:t xml:space="preserve"> Antidiabétiques oraux — Inhibiteurs SGLT2 (gliflozines) ; Liste I ; Actif.</w:t>
      </w:r>
    </w:p>
    <w:p>
      <w:r>
        <w:t>La dapagliflozine (2-(4-fluoro-β-D-glucopyranosyl)-4-chlorobenzyl]benzene) est la première gliflozine commercialisée. Sa biodisponibilité est de 78 %, sa fixation protéique élevée (91 %), son métabolisme hépatique est principalement glucurono-conjugué (UGT1A9) en métabolite inactif dapagliflozine 3-O-glucuronide, son élimination est urinaire (75 % sous forme de métabolite, &lt; 2 % inchangé), sa demi-vie d'élimination est de 12,9 h, permettant une administration quotidienne unique. En cas d'insuffisance rénale modérée (DFG 30–45) : ne pas initier, mais poursuivre si déjà instaurée ; sévère (DFG &lt; 30) : CI. La dapagliflozine a démontré des bénéfices cardiovasculaires et rénaux majeurs dans DECLARE-TIMI 58, DAPA-HF et DAPA-CKD. Disponible en Algérie sous 4 marques (FORXIGA, VALENS, GLIFLOCARE, VALENSMET LP — cette dernière en association avec la metformine LP).</w:t>
      </w:r>
    </w:p>
    <w:p>
      <w:r/>
      <w:r>
        <w:rPr>
          <w:b/>
        </w:rPr>
        <w:t>Médicaments disponibles en Algérie (Marques, Laboratoires, Formes et Dosages) :</w:t>
      </w:r>
      <w:r/>
    </w:p>
    <w:p>
      <w:pPr>
        <w:pStyle w:val="ListBullet"/>
      </w:pPr>
      <w:r/>
      <w:r>
        <w:rPr>
          <w:b/>
        </w:rPr>
        <w:t>GLIFLOCARE</w:t>
      </w:r>
      <w:r>
        <w:t xml:space="preserve"> (BIOCARE)</w:t>
      </w:r>
    </w:p>
    <w:p>
      <w:pPr>
        <w:pStyle w:val="ListBullet"/>
      </w:pPr>
      <w:r>
        <w:t>Formes et Dosages : Comprimé pelliculé 5 mg (B/30) ; Comprimé pelliculé 10 mg (B/30)</w:t>
      </w:r>
    </w:p>
    <w:p>
      <w:pPr>
        <w:pStyle w:val="ListBullet"/>
      </w:pPr>
      <w:r>
        <w:t>Statut : Actif</w:t>
      </w:r>
    </w:p>
    <w:p>
      <w:pPr>
        <w:pStyle w:val="ListBullet"/>
      </w:pPr>
      <w:r/>
      <w:r>
        <w:rPr>
          <w:b/>
        </w:rPr>
        <w:t>VALENS</w:t>
      </w:r>
      <w:r>
        <w:t xml:space="preserve"> (HIKMA PHARMA ALGERIA)</w:t>
      </w:r>
    </w:p>
    <w:p>
      <w:pPr>
        <w:pStyle w:val="ListBullet"/>
      </w:pPr>
      <w:r>
        <w:t>Formes et Dosages : Comprimé pelliculé 5 mg (B/30) ; Comprimé pelliculé 10 mg (B/30)</w:t>
      </w:r>
    </w:p>
    <w:p>
      <w:pPr>
        <w:pStyle w:val="ListBullet"/>
      </w:pPr>
      <w:r>
        <w:t>Statut : Actif</w:t>
      </w:r>
    </w:p>
    <w:p>
      <w:pPr>
        <w:pStyle w:val="ListBullet"/>
      </w:pPr>
      <w:r/>
      <w:r>
        <w:rPr>
          <w:b/>
        </w:rPr>
        <w:t>FORXIGA</w:t>
      </w:r>
      <w:r>
        <w:t xml:space="preserve"> (ASTRA ZENECA AB)</w:t>
      </w:r>
    </w:p>
    <w:p>
      <w:pPr>
        <w:pStyle w:val="ListBullet"/>
      </w:pPr>
      <w:r>
        <w:t>Formes et Dosages : Comprimé pelliculé 10 mg (B/30)</w:t>
      </w:r>
    </w:p>
    <w:p>
      <w:pPr>
        <w:pStyle w:val="ListBullet"/>
      </w:pPr>
      <w:r>
        <w:t>Statut : Actif</w:t>
      </w:r>
    </w:p>
    <w:p>
      <w:pPr>
        <w:pStyle w:val="ListBullet"/>
      </w:pPr>
      <w:r/>
      <w:r>
        <w:rPr>
          <w:b/>
        </w:rPr>
        <w:t>VALENSMET LP</w:t>
      </w:r>
      <w:r>
        <w:t xml:space="preserve"> (HIKMA PHARMA ALGERIA)</w:t>
      </w:r>
    </w:p>
    <w:p>
      <w:pPr>
        <w:pStyle w:val="ListBullet"/>
      </w:pPr>
      <w:r>
        <w:t>Formes et Dosages : Comprimé pelliculé à libération prolongée 5 mg/1000 mg (B/30) ; 10 mg/1000 mg (B/30)</w:t>
      </w:r>
    </w:p>
    <w:p>
      <w:pPr>
        <w:pStyle w:val="ListBullet"/>
      </w:pPr>
      <w:r>
        <w:t>Statut : Actif</w:t>
      </w:r>
    </w:p>
    <w:p>
      <w:r/>
      <w:r>
        <w:rPr>
          <w:b/>
        </w:rPr>
        <w:t>Sous-classe et Mécanisme d'action :</w:t>
      </w:r>
      <w:r/>
    </w:p>
    <w:p>
      <w:pPr>
        <w:pStyle w:val="ListBullet"/>
      </w:pPr>
      <w:r>
        <w:t>Sous-classe : Inhibiteur SGLT2 (gliflozine), glycosurique, avec bénéfices cardiovasculaires et rénaux démontrés.</w:t>
      </w:r>
    </w:p>
    <w:p>
      <w:pPr>
        <w:pStyle w:val="ListBullet"/>
      </w:pPr>
      <w:r>
        <w:t>Mécanisme d'action : Inhibition compétitive et réversible du cotransporteur sodium-glucose SGLT2, situé dans la bordure apicale (luminal) des cellules du tubule contourné proximal rénal. SGLT2 assure 90 % de la réabsorption tubulaire du glucose filtré (SGLT1 assure les 10 % restants dans le segment S3). L'inhibition du SGLT2 entraîne : (1) Glycosurie osmotique (50 à 80 g/jour) → réduction de la glycémie ; (2) Diurèse osmotique → réduction de la volémie, baisse de la PA (–3 à –5 mmHg) ; (3) Perte calorique (200 à 300 kcal/jour) → perte de poids (2 à 4 kg) ; (4) Natriurèse tubulaire → rétrocontrôle tubulo-glomérulaire, réduction de l'hyperfiltration glomérulaire, ralentissement de la néphropathie diabétique ; (5) Augmentation de l'excrétion urinaire de l'acide urique (interaction avec les transporteurs d'urate). L'effet est insulin-indépendant, donc actif même en cas d'insulinopénie relative. Bénéfice cardiovasculaire démontré (DECLARE-TIMI 58) : réduction des hospitalisations pour IC, mortalité CV, progression de l'IR. Bénéfice rénal (DAPA-CKD) : réduction de l'aggravation de l'IR et de la mortalité rénale, y compris chez le patient non diabétique.</w:t>
      </w:r>
    </w:p>
    <w:p>
      <w:r/>
      <w:r>
        <w:rPr>
          <w:b/>
        </w:rPr>
        <w:t>Profil Pharmacologique :</w:t>
      </w:r>
      <w:r/>
    </w:p>
    <w:p>
      <w:pPr>
        <w:pStyle w:val="ListBullet"/>
      </w:pPr>
      <w:r>
        <w:t>Indications : DT2 en association à la metformine, en bithérapie, trithérapie ; priorité chez le patient DT2 avec maladie cardiovasculaire établie (post-IDM, AOMI, AVC), insuffisance cardiaque (HFrEF, HFpEF, diabétique ou non — DAPA-HF, EMPEROR-Reduced, EMPEROR-Preserved), néphropathie diabétique (DAPA-CKD, réduction de la protéinurie) ; également indiqué dans l'insuffisance cardiaque chronique (DAPA-HF) et la néphropathie chronique non diabétique (DAPA-CKD), indépendamment du statut glycémique.</w:t>
      </w:r>
    </w:p>
    <w:p>
      <w:pPr>
        <w:pStyle w:val="ListBullet"/>
      </w:pPr>
      <w:r>
        <w:t>Contre-indications : Diabète de type 1 (risque majeur de DKA euglycémique) ; acidocétose ; insuffisance rénale sévère (DFG &lt; 30) — mais possible jusqu'à DFG &gt; 25 selon les AMM récentes ; grossesse, allaitement ; déshydratation ; hypersensibilité ; association à la pioglitazone (CI relative, majoration du risque d'IC) ; patients en péri-opératoire (arrêt 3–4 jours avant chirurgie majeure).</w:t>
      </w:r>
    </w:p>
    <w:p>
      <w:pPr>
        <w:pStyle w:val="ListBullet"/>
      </w:pPr>
      <w:r>
        <w:t>Effets Indésirables : (1) Mycoses génitales (vulvo-vaginites à Candida chez la femme, balanites chez l'homme, 5 à 10 %, favorisées par la glycosurie) — traitement antifongique local, rarement arrêt nécessaire ; (2) Infections urinaires (rarement sévères — pyélonéphrite, urosepsie — signalisations de fasciite nécrosante périnéale, exceptionnelle mais grave) ; (3) Hypotension, déshydratation, hypovolémie (surtout sujet âgé, diurétiques associés) ; (4) Euglycémie DKA (rare, ≈ 1/1000 patient-années, mais grave — à évoquer devant toute nausée, vomissement, douleur abdominale, asthénie, dyspnée, confusion, même en l'absence d'hyperglycémie — signes biologiques : pH &lt; 7,3, bicarbonates &lt; 18 mmol/L, cétose modérée, glycémie &lt; 250 mg/dL) ; (5) Hypoglycémie en cas d'association à sulfamide ou insuline (réduire la dose) ; (6) Rarements : hyperkaliémie, fracture osseuse (canagliflozine surtout), cancer de la vessie (débat pour la dapagliflozine, non confirmé à long terme), gangrène de Fournier (signalisation) ; (7) Polyurie, pollakiurie.</w:t>
      </w:r>
    </w:p>
    <w:p>
      <w:r/>
      <w:r>
        <w:rPr>
          <w:b/>
        </w:rPr>
        <w:t>Prévention et Gestion des Effets Indésirables :</w:t>
      </w:r>
      <w:r/>
    </w:p>
    <w:p>
      <w:pPr>
        <w:pStyle w:val="ListBullet"/>
      </w:pPr>
      <w:r>
        <w:t>Mesures Préventives : Vérifier la fonction rénale avant initiation (ne pas initier si DFG &lt; 30) ; surveillance du DFG à 1 mois, 4 mois puis tous les 6 mois ; hydratation suffisante (1,5 à 2 L/jour) ; hygiène génitale rigoureuse (sécher la zone après toilette, éviter les sous-vêtements synthétiques) ; arrêt 3 à 4 jours avant une chirurgie majeure (pour prévenir la DKA euglycémique periopératoire) ; éducation du patient aux signes de DKA (nausées, vomissements, douleurs abdominales, dyspnée) ; surveillance glycémique si association à sulfamide ou insuline (réduire la dose).</w:t>
      </w:r>
    </w:p>
    <w:p>
      <w:pPr>
        <w:pStyle w:val="ListBullet"/>
      </w:pPr>
      <w:r>
        <w:t>Conduite à Tenir : En cas de mycose génitale, antifongique local (éconazole, miconazole) et maintien du traitement ; en cas de récidive, arrêt temporaire. En cas de symptômes évocateurs de DKA, arrêt immédiat, hospitalisation, perfusion de glucose + insuline IV (en plus des protocoles habituels), recherche d'un facteur déclenchant (infection, jeûne, chirurgie, alcool). En cas de déshydratation, réhydratation et arrêt temporaire. En cas d'hypotension, réduction de la dose des diurétiques associés.</w:t>
      </w:r>
    </w:p>
    <w:p>
      <w:r/>
      <w:r>
        <w:rPr>
          <w:b/>
        </w:rPr>
        <w:t>Interactions Importantes :</w:t>
      </w:r>
      <w:r/>
    </w:p>
    <w:p>
      <w:pPr>
        <w:pStyle w:val="ListBullet"/>
      </w:pPr>
      <w:r/>
      <w:r>
        <w:rPr>
          <w:b/>
        </w:rPr>
        <w:t>Dapagliflozine + diurétiques (en particulier furosémide)</w:t>
      </w:r>
      <w:r>
        <w:t xml:space="preserve"> : potentialisation de l'effet diurétique, risque majeur de déshydratation et d'hypotension — réduire la dose des diurétiques.</w:t>
      </w:r>
    </w:p>
    <w:p>
      <w:pPr>
        <w:pStyle w:val="ListBullet"/>
      </w:pPr>
      <w:r/>
      <w:r>
        <w:rPr>
          <w:b/>
        </w:rPr>
        <w:t>Dapagliflozine + IEC, ARA2</w:t>
      </w:r>
      <w:r>
        <w:t xml:space="preserve"> : surveillance de la PA et de la fonction rénale (l'effet natriurétique peut potentialiser l'hypotension et l'IRA fonctionnelle).</w:t>
      </w:r>
    </w:p>
    <w:p>
      <w:pPr>
        <w:pStyle w:val="ListBullet"/>
      </w:pPr>
      <w:r/>
      <w:r>
        <w:rPr>
          <w:b/>
        </w:rPr>
        <w:t>Dapagliflozine + sulfamides, insuline</w:t>
      </w:r>
      <w:r>
        <w:t xml:space="preserve"> : risque d'hypoglycémie — réduire la dose du sulfamide ou de l'insuline.</w:t>
      </w:r>
    </w:p>
    <w:p>
      <w:pPr>
        <w:pStyle w:val="ListBullet"/>
      </w:pPr>
      <w:r/>
      <w:r>
        <w:rPr>
          <w:b/>
        </w:rPr>
        <w:t>Dapagliflozine + produits de contraste iodés</w:t>
      </w:r>
      <w:r>
        <w:t xml:space="preserve"> : surveillance de la fonction rénale (potentiel d'IRA additionnelle).</w:t>
      </w:r>
    </w:p>
    <w:p>
      <w:pPr>
        <w:pStyle w:val="ListBullet"/>
      </w:pPr>
      <w:r/>
      <w:r>
        <w:rPr>
          <w:b/>
        </w:rPr>
        <w:t>Dapagliflozine + lithium</w:t>
      </w:r>
      <w:r>
        <w:t xml:space="preserve"> : baisse de la lithémie (diurèse osmotique augmente l'excrétion du lithium) — surveiller.</w:t>
      </w:r>
    </w:p>
    <w:p>
      <w:pPr>
        <w:pStyle w:val="ListBullet"/>
      </w:pPr>
      <w:r/>
      <w:r>
        <w:rPr>
          <w:b/>
        </w:rPr>
        <w:t>Dapagliflozine + metformine</w:t>
      </w:r>
      <w:r>
        <w:t xml:space="preserve"> : association recommandée et disponible en association fixe (VALENSMET LP).</w:t>
      </w:r>
    </w:p>
    <w:p>
      <w:r/>
      <w:r>
        <w:rPr>
          <w:b/>
        </w:rPr>
        <w:t>Grossesse et Allaitement :</w:t>
      </w:r>
      <w:r/>
    </w:p>
    <w:p>
      <w:pPr>
        <w:pStyle w:val="ListBullet"/>
      </w:pPr>
      <w:r>
        <w:t>Grossesse : CI absolue — études animales évocatrices de retard de croissance fœtale et de toxicité rénale fœtale (les reins fœtaux expriment SGLT2 dès la mi-gestation) ; arrêt dès qu'une grossesse est planifiée ou confirmée.</w:t>
      </w:r>
    </w:p>
    <w:p>
      <w:pPr>
        <w:pStyle w:val="ListBullet"/>
      </w:pPr>
      <w:r>
        <w:t>Allaitement : CI — passage dans le lait, accumulation possible (données animales).</w:t>
      </w:r>
    </w:p>
    <w:p>
      <w:pPr>
        <w:pStyle w:val="ListBullet"/>
      </w:pPr>
      <w:r>
        <w:t>Précisions : Préconceptionnel insuline ; arrêt de la dapagliflozine 1 à 2 mois avant la conception.</w:t>
      </w:r>
    </w:p>
    <w:p>
      <w:r/>
      <w:r>
        <w:rPr>
          <w:b/>
        </w:rPr>
        <w:t>Posologie et Mode d'administration (Standard) :</w:t>
      </w:r>
      <w:r/>
    </w:p>
    <w:p>
      <w:pPr>
        <w:pStyle w:val="ListBullet"/>
      </w:pPr>
      <w:r>
        <w:t>Adulte : 10 mg/jour en une prise unique le matin, indépendamment des repas. Dose initiale de 5 mg possible chez le sujet âgé fragile ou en association à un diurétique. En cas d'insuffisance hépatique sévère, dose initiale 5 mg. Dans l'insuffisance cardiaque (DAPA-HF) : 10 mg/jour.</w:t>
      </w:r>
    </w:p>
    <w:p>
      <w:pPr>
        <w:pStyle w:val="ListBullet"/>
      </w:pPr>
      <w:r>
        <w:t>Sujet âgé : Prudence en raison du risque de déshydratation ; dose initiale 5 mg, surveillance clinique et biologique.</w:t>
      </w:r>
    </w:p>
    <w:p>
      <w:pPr>
        <w:pStyle w:val="ListBullet"/>
      </w:pPr>
      <w:r>
        <w:t>Insuffisant rénal : Ne pas initier si DFG &lt; 30 (parfois 25 selon AMM) ; poursuivre si déjà instaurée et tolérée jusqu'à DFG 25. Surveillance du DFG à 1 mois.</w:t>
      </w:r>
    </w:p>
    <w:p>
      <w:pPr>
        <w:pStyle w:val="ListBullet"/>
      </w:pPr>
      <w:r>
        <w:t>Enfant : Non indiqué avant 18 ans (≥ 10 ans selon l'AMM récente).</w:t>
      </w:r>
    </w:p>
    <w:p>
      <w:pPr>
        <w:pStyle w:val="ListBullet"/>
      </w:pPr>
      <w:r>
        <w:t>Durée : au long cours.</w:t>
      </w:r>
    </w:p>
    <w:p>
      <w:pPr>
        <w:pStyle w:val="ListBullet"/>
      </w:pPr>
      <w:r>
        <w:t>Moment de prise : Une prise unique le matin, indépendante des repas.</w:t>
      </w:r>
    </w:p>
    <w:p>
      <w:r/>
      <w:r>
        <w:rPr>
          <w:b/>
        </w:rPr>
        <w:t>Arbitrage et Bénéfices des Formes Galéniques :</w:t>
      </w:r>
      <w:r/>
    </w:p>
    <w:p>
      <w:r>
        <w:t>La disponibilité en 2 dosages (5 et 10 mg) permet une titration prudente chez le sujet âgé, en cas d'association à un diurétique, ou en initiation. La présentation en boîte de 30 couvre 1 mois de traitement. L'association fixe avec la metformine LP (VALENSMET LP 5/1000 et 10/1000) simplifie la bithérapie d'emblée et améliore l'observance. La disponibilité de 4 marques (dont FORXIGA, princeps AstraZeneca) assure une bonne accessibilité.</w:t>
      </w:r>
    </w:p>
    <w:p>
      <w:r/>
      <w:r>
        <w:rPr>
          <w:b/>
        </w:rPr>
        <w:t>Instructions et Conseils au Patient :</w:t>
      </w:r>
      <w:r/>
    </w:p>
    <w:p>
      <w:pPr>
        <w:pStyle w:val="ListBullet"/>
      </w:pPr>
      <w:r>
        <w:t>Communication au comptoir : Préciser la prise unique matinale, indépendante des repas ; insister sur l'hydratation (1,5 à 2 L/jour) ; éduquer sur l'hygiène génitale (sécher la zone, coton, éviter les sous-vêtements synthétiques) et sur les signes de mycose (démangeaisons, brûlures, pertes) ; surveiller la PA (risque d'hypotension) ; éduquer sur les signes de DKA euglycémique (nausées, vomissements, douleurs abdominales, dyspnée, confusion — consulter en urgence même si la glycémie est normale) ; arrêt 3 à 4 jours avant une chirurgie ; surveiller la glycémie en cas d'association à sulfamide ou insuline.</w:t>
      </w:r>
    </w:p>
    <w:p>
      <w:pPr>
        <w:pStyle w:val="ListBullet"/>
      </w:pPr>
      <w:r>
        <w:t>Mode d'utilisation pratique : Prise unique le matin. En cas d'oubli, ne pas doubler. Conserver à température ambiante. Boire suffisamment d'eau.</w:t>
      </w:r>
    </w:p>
    <w:p>
      <w:r/>
      <w:r>
        <w:rPr>
          <w:b/>
        </w:rPr>
        <w:t>Notes, Règles d'Or &amp; Pièges au Comptoir :</w:t>
      </w:r>
      <w:r/>
    </w:p>
    <w:p>
      <w:pPr>
        <w:pStyle w:val="ListBullet"/>
      </w:pPr>
      <w:r>
        <w:t>Piège classique : (1) Patient sous diurétique non repéré → déshydratation sévère à l'initiation ; (2) DKA euglycémique non évoquée (patient présentant nausées et vomissements sans hyperglycémie majeure) ; (3) Mycose génitale récidivante négligée ; (4) Patient DT1 se présentant avec une prescription (CI absolue) ; (5) Femme enceinte ou planifiant une grossesse (CI absolue).</w:t>
      </w:r>
    </w:p>
    <w:p>
      <w:pPr>
        <w:pStyle w:val="ListBullet"/>
      </w:pPr>
      <w:r>
        <w:t>Règle de prise : Une prise le matin, hydratation suffisante, hygiène génitale, arrêt periopératoire.</w:t>
      </w:r>
    </w:p>
    <w:p>
      <w:pPr>
        <w:pStyle w:val="ListBullet"/>
      </w:pPr>
      <w:r>
        <w:t>Préparation et Conservation : ≤ 25 °C, à l'abri de l'humidité.</w:t>
      </w:r>
    </w:p>
    <w:p>
      <w:pPr>
        <w:pStyle w:val="ListBullet"/>
      </w:pPr>
      <w:r>
        <w:t>Piège du surdosage / Substitution : Surveillance glycémique et tensionnelle pendant la transition vers un autre antidiabétique. Adapter la dose du sulfamide ou de l'insuline associée.</w:t>
      </w:r>
    </w:p>
    <w:p>
      <w:pPr>
        <w:pStyle w:val="Heading3"/>
      </w:pPr>
      <w:r>
        <w:t>15. DCI : Empagliflozine (Seule)</w:t>
      </w:r>
    </w:p>
    <w:p>
      <w:r/>
      <w:r>
        <w:rPr>
          <w:b/>
        </w:rPr>
        <w:t>Liste des Catégories :</w:t>
      </w:r>
      <w:r>
        <w:t xml:space="preserve"> Antidiabétiques oraux — Inhibiteurs SGLT2 (gliflozines) ; Liste I ; Actif.</w:t>
      </w:r>
    </w:p>
    <w:p>
      <w:r>
        <w:t>L'empagliflozine (2-(4-chloro-3-[[4-[(3S)-tetrahydrofuran-3-yloxy]phenyl]methyl]phenyl)-D-glucopyranol) est une gliflozine de 2e génération, plus sélective pour SGLT2 vs SGLT1 (ratio 5000:1). Sa biodisponibilité est de 78 %, sa fixation protéique élevée (86 %), son métabolisme hépatique est principalement glucurono-conjugué (UGT1A3, UGT2B7) en métabolites inactifs, son élimination est urinaire (≈ 55 %, dont 50 % sous forme de métabolites, &lt; 2 % inchangé) et biliaire (≈ 40 %), sa demi-vie d'élimination est de 12,4 h. En cas d'insuffisance rénale modérée (DFG 30–45) : 10 mg/jour ; sévère (DFG &lt; 30) : CI. L'empagliflozine a démontré dans l'essai EMPA-REG OUTCOME une réduction spectaculaire de la mortalité cardiovasculaire (–38 %) et de la mortalité toutes causes (–32 %) chez le patient DT2 avec maladie CV établie, ainsi qu'une réduction des hospitalisations pour IC (–35 %) et de la néphropathie (–39 %). Bénéfices également dans l'IC chronique (EMPEROR-Reduced et EMPEROR-Preserved) et la néphropathie chronique (EMPA-KIDNEY). Réduction de l'HbA1c : 0,5 à 1 point. Disponible en Algérie sous 2 marques (JARDIANCE princeps Boehringer, EMPAGLOZINE Beker).</w:t>
      </w:r>
    </w:p>
    <w:p>
      <w:r/>
      <w:r>
        <w:rPr>
          <w:b/>
        </w:rPr>
        <w:t>Médicaments disponibles en Algérie (Marques, Laboratoires, Formes et Dosages) :</w:t>
      </w:r>
      <w:r/>
    </w:p>
    <w:p>
      <w:pPr>
        <w:pStyle w:val="ListBullet"/>
      </w:pPr>
      <w:r/>
      <w:r>
        <w:rPr>
          <w:b/>
        </w:rPr>
        <w:t>EMPAGLOZINE</w:t>
      </w:r>
      <w:r>
        <w:t xml:space="preserve"> (LABORATOIRES BEKER)</w:t>
      </w:r>
    </w:p>
    <w:p>
      <w:pPr>
        <w:pStyle w:val="ListBullet"/>
      </w:pPr>
      <w:r>
        <w:t>Formes et Dosages : Comprimé pelliculé 10 mg (B/30) ; Comprimé pelliculé 25 mg (B/30)</w:t>
      </w:r>
    </w:p>
    <w:p>
      <w:pPr>
        <w:pStyle w:val="ListBullet"/>
      </w:pPr>
      <w:r>
        <w:t>Statut : Actif</w:t>
      </w:r>
    </w:p>
    <w:p>
      <w:pPr>
        <w:pStyle w:val="ListBullet"/>
      </w:pPr>
      <w:r/>
      <w:r>
        <w:rPr>
          <w:b/>
        </w:rPr>
        <w:t>JARDIANCE</w:t>
      </w:r>
      <w:r>
        <w:t xml:space="preserve"> (BOEHRINGER INGELHEIM INTERNATIONAL GMBH)</w:t>
      </w:r>
    </w:p>
    <w:p>
      <w:pPr>
        <w:pStyle w:val="ListBullet"/>
      </w:pPr>
      <w:r>
        <w:t>Formes et Dosages : Comprimé pelliculé 10 mg (B/30) ; Comprimé pelliculé 25 mg (B/30)</w:t>
      </w:r>
    </w:p>
    <w:p>
      <w:pPr>
        <w:pStyle w:val="ListBullet"/>
      </w:pPr>
      <w:r>
        <w:t>Statut : Actif</w:t>
      </w:r>
    </w:p>
    <w:p>
      <w:r/>
      <w:r>
        <w:rPr>
          <w:b/>
        </w:rPr>
        <w:t>Sous-classe et Mécanisme d'action :</w:t>
      </w:r>
      <w:r/>
    </w:p>
    <w:p>
      <w:pPr>
        <w:pStyle w:val="ListBullet"/>
      </w:pPr>
      <w:r>
        <w:t>Sous-classe : Inhibiteur SGLT2 (gliflozine) de 2e génération, hautement sélectif ; bénéfice cardiovasculaire et rénal démontré (EMPA-REG OUTCOME).</w:t>
      </w:r>
    </w:p>
    <w:p>
      <w:pPr>
        <w:pStyle w:val="ListBullet"/>
      </w:pPr>
      <w:r>
        <w:t>Mécanisme d'action : Identique à la dapagliflozine — inhibition du SGLT2 tubulaire proximal, glycosurie osmotique, perte de poids, baisse de la PA, natriurèse, bénéfice cardiovasculaire (réduction de la postcharge, amélioration de la fonction diastolique, effet direct sur le cardiomyocyte) et rénal (réduction de l'hyperfiltration glomérulaire, rétrocontrôle tubulo-glomérulaire).</w:t>
      </w:r>
    </w:p>
    <w:p>
      <w:r/>
      <w:r>
        <w:rPr>
          <w:b/>
        </w:rPr>
        <w:t>Profil Pharmacologique :</w:t>
      </w:r>
      <w:r/>
    </w:p>
    <w:p>
      <w:pPr>
        <w:pStyle w:val="ListBullet"/>
      </w:pPr>
      <w:r>
        <w:t>Indications : DT2 en association à la metformine, en priorité chez le patient avec maladie cardiovasculaire établie (post-IDM, AOMI, AVC) selon EMPA-REG OUTCOME ; insuffisance cardiaque chronique HFrEF et HFpEF (EMPEROR-Reduced, EMPEROR-Preserved) ; néphropathie chronique (EMPA-KIDNEY) ; également indiqué en prévention cardiovasculaire primaire chez le DT2 à haut risque.</w:t>
      </w:r>
    </w:p>
    <w:p>
      <w:pPr>
        <w:pStyle w:val="ListBullet"/>
      </w:pPr>
      <w:r>
        <w:t>Contre-indications : Diabète de type 1 ; acidocétose ; insuffisance rénale sévère (DFG &lt; 20 pour la néphropathie, &lt; 30 pour le DT2) ; grossesse, allaitement ; déshydratation ; hypersensibilité ; association à la pioglitazone (CI relative) ; patients en péri-opératoire (arrêt 3–4 jours).</w:t>
      </w:r>
    </w:p>
    <w:p>
      <w:pPr>
        <w:pStyle w:val="ListBullet"/>
      </w:pPr>
      <w:r>
        <w:t>Effets Indésirables : Identiques à la dapagliflozine — mycoses génitales, infections urinaires, hypotension, déshydratation, euglycémie DKA, hypoglycémie en association, polyurie, pollakiurie. Particularité : pas de signal de cancer de la vessie (contrairement à la dapagliflozine initiale).</w:t>
      </w:r>
    </w:p>
    <w:p>
      <w:r/>
      <w:r>
        <w:rPr>
          <w:b/>
        </w:rPr>
        <w:t>Prévention et Gestion des Effets Indésirables :</w:t>
      </w:r>
      <w:r/>
    </w:p>
    <w:p>
      <w:pPr>
        <w:pStyle w:val="ListBullet"/>
      </w:pPr>
      <w:r>
        <w:t>Mesures Préventives : Identiques à la dapagliflozine — vérifier le DFG avant initiation, surveillance, hydratation, hygiène génitale, arrêt periopératoire, éducation aux signes de DKA euglycémique.</w:t>
      </w:r>
    </w:p>
    <w:p>
      <w:pPr>
        <w:pStyle w:val="ListBullet"/>
      </w:pPr>
      <w:r>
        <w:t>Conduite à Tenir : Identique à la dapagliflozine.</w:t>
      </w:r>
    </w:p>
    <w:p>
      <w:r/>
      <w:r>
        <w:rPr>
          <w:b/>
        </w:rPr>
        <w:t>Interactions Importantes :</w:t>
      </w:r>
      <w:r/>
    </w:p>
    <w:p>
      <w:pPr>
        <w:pStyle w:val="ListBullet"/>
      </w:pPr>
      <w:r/>
      <w:r>
        <w:rPr>
          <w:b/>
        </w:rPr>
        <w:t>Empagliflozine + diurétiques</w:t>
      </w:r>
      <w:r>
        <w:t xml:space="preserve"> : potentialisation de la diurèse, risque de déshydratation.</w:t>
      </w:r>
    </w:p>
    <w:p>
      <w:pPr>
        <w:pStyle w:val="ListBullet"/>
      </w:pPr>
      <w:r/>
      <w:r>
        <w:rPr>
          <w:b/>
        </w:rPr>
        <w:t>Empagliflozine + IEC, ARA2</w:t>
      </w:r>
      <w:r>
        <w:t xml:space="preserve"> : surveillance tensionnelle et rénale.</w:t>
      </w:r>
    </w:p>
    <w:p>
      <w:pPr>
        <w:pStyle w:val="ListBullet"/>
      </w:pPr>
      <w:r/>
      <w:r>
        <w:rPr>
          <w:b/>
        </w:rPr>
        <w:t>Empagliflozine + sulfamides, insuline</w:t>
      </w:r>
      <w:r>
        <w:t xml:space="preserve"> : risque d'hypoglycémie — réduire la dose.</w:t>
      </w:r>
    </w:p>
    <w:p>
      <w:pPr>
        <w:pStyle w:val="ListBullet"/>
      </w:pPr>
      <w:r/>
      <w:r>
        <w:rPr>
          <w:b/>
        </w:rPr>
        <w:t>Empagliflozine + produits de contraste iodés</w:t>
      </w:r>
      <w:r>
        <w:t xml:space="preserve"> : surveillance.</w:t>
      </w:r>
    </w:p>
    <w:p>
      <w:pPr>
        <w:pStyle w:val="ListBullet"/>
      </w:pPr>
      <w:r/>
      <w:r>
        <w:rPr>
          <w:b/>
        </w:rPr>
        <w:t>Empagliflozine + lithium</w:t>
      </w:r>
      <w:r>
        <w:t xml:space="preserve"> : surveillance de la lithémie.</w:t>
      </w:r>
    </w:p>
    <w:p>
      <w:r/>
      <w:r>
        <w:rPr>
          <w:b/>
        </w:rPr>
        <w:t>Grossesse et Allaitement :</w:t>
      </w:r>
      <w:r/>
    </w:p>
    <w:p>
      <w:pPr>
        <w:pStyle w:val="ListBullet"/>
      </w:pPr>
      <w:r>
        <w:t>Grossesse : CI absolue — arrêt dès qu'une grossesse est planifiée ou confirmée.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10 mg/jour en une prise unique le matin, indépendante des repas ; titration à 25 mg/jour possible en cas de nécessité d'optimisation glycémique. Dose initiale 10 mg dans l'IC et la néphropathie.</w:t>
      </w:r>
    </w:p>
    <w:p>
      <w:pPr>
        <w:pStyle w:val="ListBullet"/>
      </w:pPr>
      <w:r>
        <w:t>Sujet âgé : Prudence en raison du risque de déshydratation.</w:t>
      </w:r>
    </w:p>
    <w:p>
      <w:pPr>
        <w:pStyle w:val="ListBullet"/>
      </w:pPr>
      <w:r>
        <w:t>Insuffisant rénal : Ne pas initier si DFG &lt; 20 (néphropathie) ou &lt; 30 (DT2) ; poursuivre si déjà instaurée jusqu'à DFG 20.</w:t>
      </w:r>
    </w:p>
    <w:p>
      <w:pPr>
        <w:pStyle w:val="ListBullet"/>
      </w:pPr>
      <w:r>
        <w:t>Enfant : Non indiqué avant 18 ans (≥ 10 ans selon AMM récente).</w:t>
      </w:r>
    </w:p>
    <w:p>
      <w:pPr>
        <w:pStyle w:val="ListBullet"/>
      </w:pPr>
      <w:r>
        <w:t>Durée : au long cours.</w:t>
      </w:r>
    </w:p>
    <w:p>
      <w:pPr>
        <w:pStyle w:val="ListBullet"/>
      </w:pPr>
      <w:r>
        <w:t>Moment de prise : Une prise unique le matin, indépendante des repas.</w:t>
      </w:r>
    </w:p>
    <w:p>
      <w:r/>
      <w:r>
        <w:rPr>
          <w:b/>
        </w:rPr>
        <w:t>Arbitrage et Bénéfices des Formes Galéniques :</w:t>
      </w:r>
      <w:r/>
    </w:p>
    <w:p>
      <w:r>
        <w:t>La disponibilité en 2 dosages (10 et 25 mg) permet une titration. La présentation en boîte de 30 couvre 1 mois de traitement. La présence de 2 marques (JARDIANCE princeps, EMPAGLOZINE générique) garantit une bonne accessibilité et un coût modéré. Aucune association fixe avec la metformine n'est disponible en Algérie.</w:t>
      </w:r>
    </w:p>
    <w:p>
      <w:r/>
      <w:r>
        <w:rPr>
          <w:b/>
        </w:rPr>
        <w:t>Instructions et Conseils au Patient :</w:t>
      </w:r>
      <w:r/>
    </w:p>
    <w:p>
      <w:pPr>
        <w:pStyle w:val="ListBullet"/>
      </w:pPr>
      <w:r>
        <w:t>Communication au comptoir : Identique à la dapagliflozine — prise unique matinale, hydratation, hygiène génitale, surveillance PA, signes de DKA euglycémique, arrêt periopératoire, surveillance glycémique en association.</w:t>
      </w:r>
    </w:p>
    <w:p>
      <w:pPr>
        <w:pStyle w:val="ListBullet"/>
      </w:pPr>
      <w:r>
        <w:t>Mode d'utilisation pratique : Identique à la dapagliflozine.</w:t>
      </w:r>
    </w:p>
    <w:p>
      <w:r/>
      <w:r>
        <w:rPr>
          <w:b/>
        </w:rPr>
        <w:t>Notes, Règles d'Or &amp; Pièges au Comptoir :</w:t>
      </w:r>
      <w:r/>
    </w:p>
    <w:p>
      <w:pPr>
        <w:pStyle w:val="ListBullet"/>
      </w:pPr>
      <w:r>
        <w:t>Piège classique : Identique à la dapagliflozine — patient sous diurétique, DKA euglycémique non évoquée, mycose négligée, patient DT1, femme enceinte.</w:t>
      </w:r>
    </w:p>
    <w:p>
      <w:pPr>
        <w:pStyle w:val="ListBullet"/>
      </w:pPr>
      <w:r>
        <w:t>Règle de prise : Une prise le matin, hydratation, hygiène, arrêt periopératoire.</w:t>
      </w:r>
    </w:p>
    <w:p>
      <w:pPr>
        <w:pStyle w:val="ListBullet"/>
      </w:pPr>
      <w:r>
        <w:t>Préparation et Conservation : ≤ 25 °C, à l'abri de l'humidité.</w:t>
      </w:r>
    </w:p>
    <w:p>
      <w:pPr>
        <w:pStyle w:val="ListBullet"/>
      </w:pPr>
      <w:r>
        <w:t>Piège du surdosage / Substitution : Surveillance pendant la transition. Adapter la dose du sulfamide ou de l'insuline.</w:t>
      </w:r>
    </w:p>
    <w:p>
      <w:pPr>
        <w:pStyle w:val="Heading3"/>
      </w:pPr>
      <w:r>
        <w:t>16. DCI : Canagliflozine (Seule)</w:t>
      </w:r>
    </w:p>
    <w:p>
      <w:r/>
      <w:r>
        <w:rPr>
          <w:b/>
        </w:rPr>
        <w:t>Liste des Catégories :</w:t>
      </w:r>
      <w:r>
        <w:t xml:space="preserve"> Antidiabétiques oraux — Inhibiteurs SGLT2 (gliflozines) ; Liste I ; Actif.</w:t>
      </w:r>
    </w:p>
    <w:p>
      <w:r>
        <w:t>La canagliflozine (2-(4-fluoro-β-D-glucopyranosyl)-4-chlorobenzyl)-5-(thiophen-2-yl)benzothiophene) est la première gliflozine commercialisée (Invokana, Janssen). Sa biodisponibilité est de 65 %, sa fixation protéique élevée (99 %), son métabolisme hépatique est principalement via UGT1A9 et UGT2B4 en métabolites inactifs, son élimination est urinaire (≈ 33 %, dont &lt; 1 % inchangé) et biliaire/fécale (≈ 60 %), sa demi-vie d'élimination est de 10,6 h (100 mg) à 13,1 h (300 mg). En cas d'insuffisance rénale modérée (DFG 30–45) : 100 mg/jour max (50 mg parfois recommandé) ; sévère (DFG &lt; 30) : CI. La canagliflozine a démontré dans l'essai CANVAS une réduction des événements cardiovasculaires MACE (CV death, nonfatal MI, nonfatal stroke) et des hospitalisations pour IC. Dans CREDENCE, elle a démontré une réduction de la progression de la néphropathie diabétique (–34 % du critère composite rénal). Particularité : signalisation d'une augmentation du risque d'amputation (particulièrement orteils, transmétatarsienne) dans CANVAS (≈ 6/1000 patient-années vs 3/1000 placebo) — signalisation de boîte noire FDA. Réduction de l'HbA1c : 0,5 à 1 point. Disponible en Algérie sous 1 marque (KANABEK).</w:t>
      </w:r>
    </w:p>
    <w:p>
      <w:r/>
      <w:r>
        <w:rPr>
          <w:b/>
        </w:rPr>
        <w:t>Médicaments disponibles en Algérie (Marques, Laboratoires, Formes et Dosages) :</w:t>
      </w:r>
      <w:r/>
    </w:p>
    <w:p>
      <w:pPr>
        <w:pStyle w:val="ListBullet"/>
      </w:pPr>
      <w:r/>
      <w:r>
        <w:rPr>
          <w:b/>
        </w:rPr>
        <w:t>KANABEK</w:t>
      </w:r>
      <w:r>
        <w:t xml:space="preserve"> (LABORATOIRES BEKER)</w:t>
      </w:r>
    </w:p>
    <w:p>
      <w:pPr>
        <w:pStyle w:val="ListBullet"/>
      </w:pPr>
      <w:r>
        <w:t>Formes et Dosages : Comprimé pelliculé 100 mg (B/30) ; Comprimé pelliculé 300 mg (B/30)</w:t>
      </w:r>
    </w:p>
    <w:p>
      <w:pPr>
        <w:pStyle w:val="ListBullet"/>
      </w:pPr>
      <w:r>
        <w:t>Statut : Actif</w:t>
      </w:r>
    </w:p>
    <w:p>
      <w:r/>
      <w:r>
        <w:rPr>
          <w:b/>
        </w:rPr>
        <w:t>Sous-classe et Mécanisme d'action :</w:t>
      </w:r>
      <w:r/>
    </w:p>
    <w:p>
      <w:pPr>
        <w:pStyle w:val="ListBullet"/>
      </w:pPr>
      <w:r>
        <w:t>Sous-classe : Inhibiteur SGLT2 (gliflozine) de 1re génération ; également une inhibition partielle du SGLT1 intestinal (à forte dose 300 mg), retardant l'absorption du glucose. Bénéfice cardiovasculaire et rénal démontrés (CANVAS, CREDENCE).</w:t>
      </w:r>
    </w:p>
    <w:p>
      <w:pPr>
        <w:pStyle w:val="ListBullet"/>
      </w:pPr>
      <w:r>
        <w:t>Mécanisme d'action : Identique à la dapagliflozine pour l'inhibition du SGLT2. Particularité : à la dose de 300 mg, inhibition partielle du SGLT1 intestinal, retardant l'absorption du glucose prandial. Le signal d'amputation (CANVAS) a été attribué à une hémoconcentration et à une hypovolémie, en particulier chez les patients avec AOMI sévère préexistante.</w:t>
      </w:r>
    </w:p>
    <w:p>
      <w:r/>
      <w:r>
        <w:rPr>
          <w:b/>
        </w:rPr>
        <w:t>Profil Pharmacologique :</w:t>
      </w:r>
      <w:r/>
    </w:p>
    <w:p>
      <w:pPr>
        <w:pStyle w:val="ListBullet"/>
      </w:pPr>
      <w:r>
        <w:t>Indications : DT2 en association à la metformine, en priorité chez le patient avec maladie CV établie (CANVAS) ou néphropathie diabétique (CREDENCE) ; en bithérapie d'emblée.</w:t>
      </w:r>
    </w:p>
    <w:p>
      <w:pPr>
        <w:pStyle w:val="ListBullet"/>
      </w:pPr>
      <w:r>
        <w:t>Contre-indications : Diabète de type 1 ; acidocétose ; insuffisance rénale sévère (DFG &lt; 30) ; grossesse, allaitement ; déshydratation ; hypersensibilité ; patients avec AOMI sévère (CI relative en raison du signal d'amputation) ; patients à risque d'amputation (ulcères, antécédents d'amputation).</w:t>
      </w:r>
    </w:p>
    <w:p>
      <w:pPr>
        <w:pStyle w:val="ListBullet"/>
      </w:pPr>
      <w:r>
        <w:t>Effets Indésirables : Identiques aux autres gliflozines (mycoses génitales, infections urinaires, hypotension, déshydratation, euglycémie DKA, hypoglycémie en association) avec deux particularités : (1) Signal d'amputation des membres inférieurs (orteils, transmétatarsienne) — particulièrement chez les patients avec AOMI, antécédents d'amputation, ulcères — surveillance pédieuse renforcée ; (2) Signal de fracture osseuse (dose 300 mg, femmes) — lié à l'effet sur la balance calcique (augmentation de la phosphatémie via l'inhibition du SGLT2 proximal, augmentation de la PTH).</w:t>
      </w:r>
    </w:p>
    <w:p>
      <w:r/>
      <w:r>
        <w:rPr>
          <w:b/>
        </w:rPr>
        <w:t>Prévention et Gestion des Effets Indésirables :</w:t>
      </w:r>
      <w:r/>
    </w:p>
    <w:p>
      <w:pPr>
        <w:pStyle w:val="ListBullet"/>
      </w:pPr>
      <w:r>
        <w:t>Mesures Préventives : Vérifier le DFG avant initiation ; surveillance pédieuse rigoureuse chez tout patient (examen des pieds, recherche de lésions, ulcères, infection) ; éviter chez le patient avec AOMI sévère ou antécédents d'amputation ; arrêt en cas d'ulcère non cicatrisant ou d'infection pédieuse ; hydratation ; hygiène génitale ; arrêt periopératoire.</w:t>
      </w:r>
    </w:p>
    <w:p>
      <w:pPr>
        <w:pStyle w:val="ListBullet"/>
      </w:pPr>
      <w:r>
        <w:t>Conduite à Tenir : En cas de lésion pédieuse, arrêt immédiat et avis spécialisé. En cas de DKA euglycémique, arrêt et hospitalisation. En cas d'hypotension, réduction de dose.</w:t>
      </w:r>
    </w:p>
    <w:p>
      <w:r/>
      <w:r>
        <w:rPr>
          <w:b/>
        </w:rPr>
        <w:t>Interactions Importantes :</w:t>
      </w:r>
      <w:r/>
    </w:p>
    <w:p>
      <w:pPr>
        <w:pStyle w:val="ListBullet"/>
      </w:pPr>
      <w:r/>
      <w:r>
        <w:rPr>
          <w:b/>
        </w:rPr>
        <w:t>Canagliflozine + diurétiques</w:t>
      </w:r>
      <w:r>
        <w:t xml:space="preserve"> : déshydratation.</w:t>
      </w:r>
    </w:p>
    <w:p>
      <w:pPr>
        <w:pStyle w:val="ListBullet"/>
      </w:pPr>
      <w:r/>
      <w:r>
        <w:rPr>
          <w:b/>
        </w:rPr>
        <w:t>Canagliflozine + rifampicine, éfavirenz, phénytoïne</w:t>
      </w:r>
      <w:r>
        <w:t xml:space="preserve"> : induction des UGT, baisse d'efficacité — augmenter la dose à 300 mg.</w:t>
      </w:r>
    </w:p>
    <w:p>
      <w:pPr>
        <w:pStyle w:val="ListBullet"/>
      </w:pPr>
      <w:r/>
      <w:r>
        <w:rPr>
          <w:b/>
        </w:rPr>
        <w:t>Canagliflozine + digoxine</w:t>
      </w:r>
      <w:r>
        <w:t xml:space="preserve"> : augmentation modérée de l'AUC de la digoxine — surveiller.</w:t>
      </w:r>
    </w:p>
    <w:p>
      <w:pPr>
        <w:pStyle w:val="ListBullet"/>
      </w:pPr>
      <w:r/>
      <w:r>
        <w:rPr>
          <w:b/>
        </w:rPr>
        <w:t>Canagliflozine + sulfamides, insuline</w:t>
      </w:r>
      <w:r>
        <w:t xml:space="preserve"> : hypoglycémie — réduire la dose.</w:t>
      </w:r>
    </w:p>
    <w:p>
      <w:pPr>
        <w:pStyle w:val="ListBullet"/>
      </w:pPr>
      <w:r/>
      <w:r>
        <w:rPr>
          <w:b/>
        </w:rPr>
        <w:t>Canagliflozine + IEC, ARA2</w:t>
      </w:r>
      <w:r>
        <w:t xml:space="preserve"> : surveillance.</w:t>
      </w:r>
    </w:p>
    <w:p>
      <w:pPr>
        <w:pStyle w:val="ListBullet"/>
      </w:pPr>
      <w:r/>
      <w:r>
        <w:rPr>
          <w:b/>
        </w:rPr>
        <w:t>Canagliflozine + lithium</w:t>
      </w:r>
      <w:r>
        <w:t xml:space="preserve"> : surveillance de la lithémie.</w:t>
      </w:r>
    </w:p>
    <w:p>
      <w:r/>
      <w:r>
        <w:rPr>
          <w:b/>
        </w:rPr>
        <w:t>Grossesse et Allaitement :</w:t>
      </w:r>
      <w:r/>
    </w:p>
    <w:p>
      <w:pPr>
        <w:pStyle w:val="ListBullet"/>
      </w:pPr>
      <w:r>
        <w:t>Grossesse : CI absolue — arrêt dès qu'une grossesse est planifiée ou confirmée.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100 mg/jour en une prise unique le matin avant le petit-déjeuner (l'absorption est retardée par la nourriture) ; titration à 300 mg/jour possible si nécessaire et toléré. Dose initiale 100 mg dans l'IC et la néphropathie.</w:t>
      </w:r>
    </w:p>
    <w:p>
      <w:pPr>
        <w:pStyle w:val="ListBullet"/>
      </w:pPr>
      <w:r>
        <w:t>Sujet âgé : Prudence, surveillance tensionnelle et pédieuse.</w:t>
      </w:r>
    </w:p>
    <w:p>
      <w:pPr>
        <w:pStyle w:val="ListBullet"/>
      </w:pPr>
      <w:r>
        <w:t>Insuffisant rénal : Ne pas initier si DFG &lt; 30 ; poursuivre si déjà instaurée jusqu'à DFG 30. Si DFG 30–60 : 100 mg/jour max.</w:t>
      </w:r>
    </w:p>
    <w:p>
      <w:pPr>
        <w:pStyle w:val="ListBullet"/>
      </w:pPr>
      <w:r>
        <w:t>Enfant : Non indiqué avant 18 ans.</w:t>
      </w:r>
    </w:p>
    <w:p>
      <w:pPr>
        <w:pStyle w:val="ListBullet"/>
      </w:pPr>
      <w:r>
        <w:t>Durée : au long cours.</w:t>
      </w:r>
    </w:p>
    <w:p>
      <w:pPr>
        <w:pStyle w:val="ListBullet"/>
      </w:pPr>
      <w:r>
        <w:t>Moment de prise : Une prise unique le matin, idéalement avant le petit-déjeuner (en cas d'oubli avant le petit-déjeuner, prendre après, mais l'absorption peut être réduite).</w:t>
      </w:r>
    </w:p>
    <w:p>
      <w:r/>
      <w:r>
        <w:rPr>
          <w:b/>
        </w:rPr>
        <w:t>Arbitrage et Bénéfices des Formes Galéniques :</w:t>
      </w:r>
      <w:r/>
    </w:p>
    <w:p>
      <w:r>
        <w:t>La disponibilité en 2 dosages (100 et 300 mg) permet une titration. La présentation en boîte de 30 couvre 1 mois de traitement. La présence d'une seule marque (KANABEK) limite l'accessibilité et le coût reste élevé. Aucune association fixe avec la metformine n'est disponible en Algérie. Le signal d'amputation en restreint l'usage chez les patients à risque pédieux.</w:t>
      </w:r>
    </w:p>
    <w:p>
      <w:r/>
      <w:r>
        <w:rPr>
          <w:b/>
        </w:rPr>
        <w:t>Instructions et Conseils au Patient :</w:t>
      </w:r>
      <w:r/>
    </w:p>
    <w:p>
      <w:pPr>
        <w:pStyle w:val="ListBullet"/>
      </w:pPr>
      <w:r>
        <w:t>Communication au comptoir : Préciser la prise matinale avant le petit-déjeuner ; éduquer sur l'examen quotidien des pieds (recherche de lésions, ulcères, coloration anormale, infection) et l'hygiène pédieuse (chaussures adaptées, pas de marche pieds nus, pédicure régulière) ; avertir du signal d'amputation et de la nécessité de consulter en urgence en cas de lésion pédieuse ; surveiller la PA ; signes de DKA euglycémique ; hydratation ; hygiène génitale ; arrêt periopératoire.</w:t>
      </w:r>
    </w:p>
    <w:p>
      <w:pPr>
        <w:pStyle w:val="ListBullet"/>
      </w:pPr>
      <w:r>
        <w:t>Mode d'utilisation pratique : Prise unique le matin avant le petit-déjeuner. En cas d'oubli, prendre dès que possible. Conserver à température ambiante.</w:t>
      </w:r>
    </w:p>
    <w:p>
      <w:r/>
      <w:r>
        <w:rPr>
          <w:b/>
        </w:rPr>
        <w:t>Notes, Règles d'Or &amp; Pièges au Comptoir :</w:t>
      </w:r>
      <w:r/>
    </w:p>
    <w:p>
      <w:pPr>
        <w:pStyle w:val="ListBullet"/>
      </w:pPr>
      <w:r>
        <w:t>Piège classique : (1) Patient avec AOMI ou antécédents d'amputation non repéré → risque majeur ; (2) Lésion pédieuse négligée → amputation ; (3) Insuffisance rénale non détectée ; (4) DKA euglycémique non évoquée ; (5) Patient DT1.</w:t>
      </w:r>
    </w:p>
    <w:p>
      <w:pPr>
        <w:pStyle w:val="ListBullet"/>
      </w:pPr>
      <w:r>
        <w:t>Règle de prise : Avant le petit-déjeuner, surveillance pédieuse, hydratation.</w:t>
      </w:r>
    </w:p>
    <w:p>
      <w:pPr>
        <w:pStyle w:val="ListBullet"/>
      </w:pPr>
      <w:r>
        <w:t>Préparation et Conservation : ≤ 25 °C, à l'abri de l'humidité.</w:t>
      </w:r>
    </w:p>
    <w:p>
      <w:pPr>
        <w:pStyle w:val="ListBullet"/>
      </w:pPr>
      <w:r>
        <w:t>Piège du surdosage / Substitution : Surveillance glycémique pendant la transition. Adapter la dose du sulfamide ou de l'insuline. Préférer empagliflozine ou dapagliflozine en cas de risque pédieux.</w:t>
      </w:r>
    </w:p>
    <w:p>
      <w:pPr>
        <w:pStyle w:val="Heading2"/>
      </w:pPr>
      <w:r>
        <w:t>X. Sous-classe : Antidiabétiques oraux — Associations biguanide+DPP4</w:t>
      </w:r>
    </w:p>
    <w:p>
      <w:pPr>
        <w:pStyle w:val="Heading3"/>
      </w:pPr>
      <w:r>
        <w:t>Introduction de la sous-classe</w:t>
      </w:r>
    </w:p>
    <w:p>
      <w:r>
        <w:t>Les associations fixes entre metformine et un inhibiteur DPP-4 visent à simplifier la bithérapie d'emblée chez le patient DT2 non contrôlé par metformine seule, en réduisant le nombre de comprimés et en améliorant l'observance. Ces associations combinent les bénéfices de la metformine (réduction de la néoglucogenèse hépatique, absence d'hypoglycémie, perte de poids modeste, faible coût) avec ceux des gliptines (stimulation incrétinique glucose-dépendante, neutralité pondérale, sécurité d'emploi). Les principaux avantages sont la simplicité d'administration (1 à 2 prises/jour selon la formulation), l'absence d'hypoglycémie intrinsèque, et le profil de tolérance acceptable. Les inconvénients sont le coût plus élevé, le risque de double prescription (patient sous metformine libre + association fixe), et la difficulté d'adaptation posologique en cas d'insuffisance rénale (les deux composants nécessitent une adaptation). En Algérie, l'unique association fixe disponible est Metformine+Sitagliptine (SITAMINE 1000/50) ; les associations Metformine+Vildagliptine (Eucreas, VILDAMETFOR), Metformine+Alogliptine (VIPDOMET) existent mais sont citées dans les fiches de la gliptine correspondante.</w:t>
      </w:r>
    </w:p>
    <w:p>
      <w:pPr>
        <w:pStyle w:val="Heading3"/>
      </w:pPr>
      <w:r>
        <w:t>17. DCI : Metformine + Sitagliptine (En Association)</w:t>
      </w:r>
    </w:p>
    <w:p>
      <w:r/>
      <w:r>
        <w:rPr>
          <w:b/>
        </w:rPr>
        <w:t>Liste des Catégories :</w:t>
      </w:r>
      <w:r>
        <w:t xml:space="preserve"> Antidiabétiques oraux — Associations biguanide+DPP4 ; Liste I ; Actif.</w:t>
      </w:r>
    </w:p>
    <w:p>
      <w:r>
        <w:t>L'association fixe Metformine+Sitagliptine combine deux mécanismes complémentaires : la metformine (réduction de la néoglucogenèse hépatique via AMPK) et la sitagliptine (inhibition de la DPP-4, augmentation des incrétines endogènes, stimulation glucose-dépendante de l'insuline). L'association est indiquée en bithérapie d'emblée chez le patient DT2 non contrôlé par metformine seule, en particulier lorsque l'HbA1c est très élevée (≥ 8,5 %) ou en cas d'échec de la metformine en monothérapie après titration. La disponibilité en Algérie est limitée à la marque SITAMINE (PHYSIOPHARM) au dosage 1000 mg/50 mg. La réduction de l'HbA1c est de 1 à 1,5 point. La tolérance est celle de chacun des composants : troubles digestifs (metformine), infections respiratoires hautes, céphalées (sitagliptine), risque rare de pancréatite.</w:t>
      </w:r>
    </w:p>
    <w:p>
      <w:r/>
      <w:r>
        <w:rPr>
          <w:b/>
        </w:rPr>
        <w:t>Médicaments disponibles en Algérie (Marques, Laboratoires, Formes et Dosages) :</w:t>
      </w:r>
      <w:r/>
    </w:p>
    <w:p>
      <w:pPr>
        <w:pStyle w:val="ListBullet"/>
      </w:pPr>
      <w:r/>
      <w:r>
        <w:rPr>
          <w:b/>
        </w:rPr>
        <w:t>SITAMINE</w:t>
      </w:r>
      <w:r>
        <w:t xml:space="preserve"> (PHYSIOPHARM LABORATOIRES)</w:t>
      </w:r>
    </w:p>
    <w:p>
      <w:pPr>
        <w:pStyle w:val="ListBullet"/>
      </w:pPr>
      <w:r>
        <w:t>Formes et Dosages : Comprimé pelliculé Metformine 1000 mg + Sitagliptine 50 mg — Boîte de 60</w:t>
      </w:r>
    </w:p>
    <w:p>
      <w:pPr>
        <w:pStyle w:val="ListBullet"/>
      </w:pPr>
      <w:r>
        <w:t>Statut : Actif</w:t>
      </w:r>
    </w:p>
    <w:p>
      <w:r/>
      <w:r>
        <w:rPr>
          <w:b/>
        </w:rPr>
        <w:t>Sous-classe et Mécanisme d'action :</w:t>
      </w:r>
      <w:r/>
    </w:p>
    <w:p>
      <w:pPr>
        <w:pStyle w:val="ListBullet"/>
      </w:pPr>
      <w:r>
        <w:t>Sous-classe : Association fixe biguanide + inhibiteur DPP-4 (sitagliptine) ; bithérapie d'emblée ou en relai de metformine seule.</w:t>
      </w:r>
    </w:p>
    <w:p>
      <w:pPr>
        <w:pStyle w:val="ListBullet"/>
      </w:pPr>
      <w:r>
        <w:t>Mécanisme d'action : Combinaison des mécanismes décrits dans les fiches individuelles. (1) Metformine : inhibition du complexe I mitochondrial, activation de l'AMPK, réduction de la néoglucogenèse hépatique, augmentation de la sensibilité périphérique à l'insuline, ralentissement de l'absorption intestinale du glucose. (2) Sitagliptine : inhibition compétitive et sélective de la DPP-4, augmentation des concentrations endogènes de GLP-1 et GIP actifs, stimulation glucose-dépendante de la sécrétion d'insuline (cellules β), réduction de la sécrétion de glucagon (cellules α). L'absence d'hypoglycémie intrinsèque est due au caractère glucose-dépendant des deux mécanismes.</w:t>
      </w:r>
    </w:p>
    <w:p>
      <w:r/>
      <w:r>
        <w:rPr>
          <w:b/>
        </w:rPr>
        <w:t>Profil Pharmacologique :</w:t>
      </w:r>
      <w:r/>
    </w:p>
    <w:p>
      <w:pPr>
        <w:pStyle w:val="ListBullet"/>
      </w:pPr>
      <w:r>
        <w:t>Indications : DT2 en bithérapie d'emblée chez les patients non contrôlés par metformine seule (HbA1c ≥ 7,5 % malgré dose maximale tolérée de metformine) ; en relai de metformine + sitagliptine prescrits séparément chez les patients stabilisés ; particulièrement chez le sujet âgé fragile en raison de la sécurité d'emploi.</w:t>
      </w:r>
    </w:p>
    <w:p>
      <w:pPr>
        <w:pStyle w:val="ListBullet"/>
      </w:pPr>
      <w:r>
        <w:t>Contre-indications : Toutes les CI de la metformine (DFG &lt; 30, acidocétose, insuffisance hépatique sévère, insuffisance cardiaque décompensée, alcoolisme, déshydratation, produits de contraste iodés) et de la sitagliptine (diabète de type 1, antécédent de pancréatite, hypersensibilité) ; grossesse, allaitement ; insuffisance rénale modérée à sévère (DFG &lt; 60 — non adapté en Algérie car seul dosage 1000/50 disponible).</w:t>
      </w:r>
    </w:p>
    <w:p>
      <w:pPr>
        <w:pStyle w:val="ListBullet"/>
      </w:pPr>
      <w:r>
        <w:t>Effets Indésirables : Combinaison des EI des deux composants — troubles digestifs (metformine : nausées, diarrhée), acidose lactique (rare), carence en vitamine B12 (au long cours) ; infections respiratoires hautes, céphalées, pancréatite aiguë (rare), arthralgies (sitagliptine). Pas d'hypoglycémie intrinsèque.</w:t>
      </w:r>
    </w:p>
    <w:p>
      <w:r/>
      <w:r>
        <w:rPr>
          <w:b/>
        </w:rPr>
        <w:t>Prévention et Gestion des Effets Indésirables :</w:t>
      </w:r>
      <w:r/>
    </w:p>
    <w:p>
      <w:pPr>
        <w:pStyle w:val="ListBullet"/>
      </w:pPr>
      <w:r>
        <w:t>Mesures Préventives : Vérifier le DFG avant initiation (et adapter en cas d'IR modérée — non disponible en Algérie) ; prise au cours du repas pour limiter l'intolérance digestive ; surveillance des transaminases ; recherche d'antécédents de pancréatite.</w:t>
      </w:r>
    </w:p>
    <w:p>
      <w:pPr>
        <w:pStyle w:val="ListBullet"/>
      </w:pPr>
      <w:r>
        <w:t>Conduite à Tenir : En cas de troubles digestifs, prise au cours du repas ou relai par metformine LP + sitagliptine séparément. En cas de pancréatite, arrêt immédiat. En cas d'injection de produit de contraste iodé, arrêt 48 h.</w:t>
      </w:r>
    </w:p>
    <w:p>
      <w:r/>
      <w:r>
        <w:rPr>
          <w:b/>
        </w:rPr>
        <w:t>Interactions Importantes :</w:t>
      </w:r>
      <w:r/>
    </w:p>
    <w:p>
      <w:pPr>
        <w:pStyle w:val="ListBullet"/>
      </w:pPr>
      <w:r>
        <w:t>Toutes les interactions de la metformine (produits de contraste iodés, AINS, cimétidine, alcool).</w:t>
      </w:r>
    </w:p>
    <w:p>
      <w:pPr>
        <w:pStyle w:val="ListBullet"/>
      </w:pPr>
      <w:r>
        <w:t>Toutes les interactions de la sitagliptine (digoxine, sulfamides, insuline).</w:t>
      </w:r>
    </w:p>
    <w:p>
      <w:pPr>
        <w:pStyle w:val="ListBullet"/>
      </w:pPr>
      <w:r/>
      <w:r>
        <w:rPr>
          <w:b/>
        </w:rPr>
        <w:t>Metformine + Sitagliptine + sulfamides ou insuline</w:t>
      </w:r>
      <w:r>
        <w:t xml:space="preserve"> : risque d'hypoglycémie — réduire la dose du sulfamide ou de l'insuline.</w:t>
      </w:r>
    </w:p>
    <w:p>
      <w:r/>
      <w:r>
        <w:rPr>
          <w:b/>
        </w:rPr>
        <w:t>Grossesse et Allaitement :</w:t>
      </w:r>
      <w:r/>
    </w:p>
    <w:p>
      <w:pPr>
        <w:pStyle w:val="ListBullet"/>
      </w:pPr>
      <w:r>
        <w:t>Grossesse : CI — metformine tolérée dans le DG selon certains contextes mais sitagliptine non recommandée. Substitution par insuline.</w:t>
      </w:r>
    </w:p>
    <w:p>
      <w:pPr>
        <w:pStyle w:val="ListBullet"/>
      </w:pPr>
      <w:r>
        <w:t>Allaitement : CI (metformine tolérée mais sitagliptine CI).</w:t>
      </w:r>
    </w:p>
    <w:p>
      <w:pPr>
        <w:pStyle w:val="ListBullet"/>
      </w:pPr>
      <w:r>
        <w:t>Précisions : Préconceptionnel insuline.</w:t>
      </w:r>
    </w:p>
    <w:p>
      <w:r/>
      <w:r>
        <w:rPr>
          <w:b/>
        </w:rPr>
        <w:t>Posologie et Mode d'administration (Standard) :</w:t>
      </w:r>
      <w:r/>
    </w:p>
    <w:p>
      <w:pPr>
        <w:pStyle w:val="ListBullet"/>
      </w:pPr>
      <w:r>
        <w:t>Adulte : 1 comprimé Metformine 1000 mg + Sitagliptine 50 mg × 2/jour (matin et soir au cours des repas), soit metformine 2000 mg/jour et sitagliptine 100 mg/jour.</w:t>
      </w:r>
    </w:p>
    <w:p>
      <w:pPr>
        <w:pStyle w:val="ListBullet"/>
      </w:pPr>
      <w:r>
        <w:t>Sujet âgé : Vérifier le DFG, surveillance.</w:t>
      </w:r>
    </w:p>
    <w:p>
      <w:pPr>
        <w:pStyle w:val="ListBullet"/>
      </w:pPr>
      <w:r>
        <w:t>Insuffisant rénal : Non adapté (seul dosage 1000/50 disponible — impossible d'adapter en cas de DFG &lt; 60).</w:t>
      </w:r>
    </w:p>
    <w:p>
      <w:pPr>
        <w:pStyle w:val="ListBullet"/>
      </w:pPr>
      <w:r>
        <w:t>Enfant : Non indiqué avant 18 ans.</w:t>
      </w:r>
    </w:p>
    <w:p>
      <w:pPr>
        <w:pStyle w:val="ListBullet"/>
      </w:pPr>
      <w:r>
        <w:t>Durée : au long cours.</w:t>
      </w:r>
    </w:p>
    <w:p>
      <w:pPr>
        <w:pStyle w:val="ListBullet"/>
      </w:pPr>
      <w:r>
        <w:t>Moment de prise : Deux prises par jour (matin et soir) au cours des repas.</w:t>
      </w:r>
    </w:p>
    <w:p>
      <w:r/>
      <w:r>
        <w:rPr>
          <w:b/>
        </w:rPr>
        <w:t>Arbitrage et Bénéfices des Formes Galéniques :</w:t>
      </w:r>
      <w:r/>
    </w:p>
    <w:p>
      <w:r>
        <w:t>L'association fixe réduit le nombre de comprimés quotidiens (de 4 à 2) et améliore l'observance. La disponibilité d'un seul dosage (1000/50) limite l'adaptation en cas d'insuffisance rénale modérée (la sitagliptine nécessiterait 50 mg/jour, soit 1 comprimé/jour au lieu de 2, mais la metformine à 2000 mg/jour n'est pas adaptée). La présentation en boîte de 60 couvre 1 mois de traitement biquotidien. Le coût reste élevé par rapport à la prescription séparée de metformine générique + sitagliptine générique (DIATAG, DALVEX, JEGA).</w:t>
      </w:r>
    </w:p>
    <w:p>
      <w:r/>
      <w:r>
        <w:rPr>
          <w:b/>
        </w:rPr>
        <w:t>Instructions et Conseils au Patient :</w:t>
      </w:r>
      <w:r/>
    </w:p>
    <w:p>
      <w:pPr>
        <w:pStyle w:val="ListBullet"/>
      </w:pPr>
      <w:r>
        <w:t>Communication au comptoir : Préciser la prise biquotidienne au cours des repas ; éduquer sur l'absence d'hypoglycémie intrinsèque ; surveiller les transaminases et la créatinine ; avertir du risque rare de pancréatite (douleur abdominale intense) ; arrêt 48 h avant un examen avec produit de contraste iodé.</w:t>
      </w:r>
    </w:p>
    <w:p>
      <w:pPr>
        <w:pStyle w:val="ListBullet"/>
      </w:pPr>
      <w:r>
        <w:t>Mode d'utilisation pratique : Deux prises par jour (matin et soir) au cours des repas. En cas d'oubli, ne pas doubler. Conserver à température ambiante.</w:t>
      </w:r>
    </w:p>
    <w:p>
      <w:r/>
      <w:r>
        <w:rPr>
          <w:b/>
        </w:rPr>
        <w:t>Notes, Règles d'Or &amp; Pièges au Comptoir :</w:t>
      </w:r>
      <w:r/>
    </w:p>
    <w:p>
      <w:pPr>
        <w:pStyle w:val="ListBullet"/>
      </w:pPr>
      <w:r>
        <w:t>Piège classique : (1) Double prescription de metformine (libre + association fixe) — surveillance de la dose totale quotidienne ; (2) Insuffisance rénale non détectée → risque d'acidose lactique et surdosage en sitagliptine ; (3) Pancréatite non évoquée ; (4) Produit de contraste iodé non signalé.</w:t>
      </w:r>
    </w:p>
    <w:p>
      <w:pPr>
        <w:pStyle w:val="ListBullet"/>
      </w:pPr>
      <w:r>
        <w:t>Règle de prise : Biquotidienne au cours des repas, surveillance rénale et hépatique.</w:t>
      </w:r>
    </w:p>
    <w:p>
      <w:pPr>
        <w:pStyle w:val="ListBullet"/>
      </w:pPr>
      <w:r>
        <w:t>Préparation et Conservation : ≤ 25 °C, à l'abri de l'humidité.</w:t>
      </w:r>
    </w:p>
    <w:p>
      <w:pPr>
        <w:pStyle w:val="ListBullet"/>
      </w:pPr>
      <w:r>
        <w:t>Piège du surdosage / Substitution : Surveillance pendant la transition vers une prescription séparée (metformine + sitagliptine). Adapter en cas de modification de la fonction rénale.</w:t>
      </w:r>
    </w:p>
    <w:p>
      <w:pPr>
        <w:pStyle w:val="Heading2"/>
      </w:pPr>
      <w:r>
        <w:t>XI. Sous-classe : Antidiabétiques oraux — Associations biguanide+sulfamide</w:t>
      </w:r>
    </w:p>
    <w:p>
      <w:pPr>
        <w:pStyle w:val="Heading3"/>
      </w:pPr>
      <w:r>
        <w:t>Introduction de la sous-classe</w:t>
      </w:r>
    </w:p>
    <w:p>
      <w:r>
        <w:t>Les associations fixes entre metformine et un sulfamide (glibenclamide, gliclazide, glimépiride) ont été développées pour simplifier la bithérapie d'emblée chez le patient DT2 non contrôlé par metformine seule. Elles combinent les mécanismes de la metformine (réduction de la néoglucogenèse) et du sulfamide (stimulation insulinotrope), avec une efficacité glycémique supérieure à la monothérapie (réduction HbA1c 1,5 à 2 points). Les avantages sont la simplicité d'administration, l'amélioration de l'observance, et la réduction du coût par rapport à la prescription séparée. Les inconvénients sont le risque majeur d'hypoglycémie (lié au sulfamide), la prise de poids (liée au sulfamide), la difficulté d'adaptation posologique, et le risque de double prescription. En Algérie, l'unique association fixe disponible (historiquement) est Metformine+Glibenclamide (GLUCOVANCE, Merck), actuellement en statut Non Renouvelable. Les associations Metformine+Gliclazide ou Metformine+Glimépiride ne sont pas disponibles en Algérie.</w:t>
      </w:r>
    </w:p>
    <w:p>
      <w:pPr>
        <w:pStyle w:val="Heading3"/>
      </w:pPr>
      <w:r>
        <w:t>18. DCI : Metformine + Glibenclamide (En Association)</w:t>
      </w:r>
    </w:p>
    <w:p>
      <w:r/>
      <w:r>
        <w:rPr>
          <w:b/>
        </w:rPr>
        <w:t>Liste des Catégories :</w:t>
      </w:r>
      <w:r>
        <w:t xml:space="preserve"> Antidiabétiques oraux — Associations biguanide+sulfamide ; Liste I ; Non renouvelable.</w:t>
      </w:r>
    </w:p>
    <w:p>
      <w:r>
        <w:t>L'association fixe Metformine+Glibenclamide (Glucovance) combine la metformine (réduction de la néoglucogenèse hépatique, 500 mg) avec le glibenclamide (insulinotrope puissant, 2,5 mg ou 5 mg). L'association est indiquée en bithérapie d'emblée chez le patient DT2 non contrôlé par metformine seule, en particulier lorsque l'HbA1c est élevée (≥ 8,5 %). La tolérance combine les EI des deux composants : troubles digestifs et acidose lactique (metformine), hypoglycémie et prise de poids (glibenclamide). En raison du profil sécurité/efficacité défavorable du glibenclamide chez le sujet âgé, cette association est aujourd'hui déconseillée chez le sujet âgé fragile. Le statut « Non renouvelable » en Algérie en limite l'accès.</w:t>
      </w:r>
    </w:p>
    <w:p>
      <w:r/>
      <w:r>
        <w:rPr>
          <w:b/>
        </w:rPr>
        <w:t>Médicaments disponibles en Algérie (Marques, Laboratoires, Formes et Dosages) :</w:t>
      </w:r>
      <w:r/>
    </w:p>
    <w:p>
      <w:pPr>
        <w:pStyle w:val="ListBullet"/>
      </w:pPr>
      <w:r/>
      <w:r>
        <w:rPr>
          <w:b/>
        </w:rPr>
        <w:t>GLUCOVANCE</w:t>
      </w:r>
      <w:r>
        <w:t xml:space="preserve"> (MERCK SANTE S.A.S.)</w:t>
      </w:r>
    </w:p>
    <w:p>
      <w:pPr>
        <w:pStyle w:val="ListBullet"/>
      </w:pPr>
      <w:r>
        <w:t>Formes et Dosages : Comprimé pelliculé Metformine 500 mg + Glibenclamide 2,5 mg (B/30) ; Comprimé pelliculé Metformine 500 mg + Glibenclamide 5 mg (B/30)</w:t>
      </w:r>
    </w:p>
    <w:p>
      <w:pPr>
        <w:pStyle w:val="ListBullet"/>
      </w:pPr>
      <w:r>
        <w:t>Statut : Non Renouvelable</w:t>
      </w:r>
    </w:p>
    <w:p>
      <w:r/>
      <w:r>
        <w:rPr>
          <w:b/>
        </w:rPr>
        <w:t>Sous-classe et Mécanisme d'action :</w:t>
      </w:r>
      <w:r/>
    </w:p>
    <w:p>
      <w:pPr>
        <w:pStyle w:val="ListBullet"/>
      </w:pPr>
      <w:r>
        <w:t>Sous-classe : Association fixe biguanide + sulfamide 2e génération (glibenclamide) ; bithérapie d'emblée.</w:t>
      </w:r>
    </w:p>
    <w:p>
      <w:pPr>
        <w:pStyle w:val="ListBullet"/>
      </w:pPr>
      <w:r>
        <w:t>Mécanisme d'action : Combinaison des mécanismes décrits dans les fiches individuelles. (1) Metformine : inhibition du complexe I mitochondrial, activation de l'AMPK, réduction de la néoglucogenèse hépatique. (2) Glibenclamide : fixation SUR1, fermeture K+ ATP, exocytose d'insuline. L'association potentialise l'effet hypoglycémiant et expose au risque majeur d'hypoglycémie.</w:t>
      </w:r>
    </w:p>
    <w:p>
      <w:r/>
      <w:r>
        <w:rPr>
          <w:b/>
        </w:rPr>
        <w:t>Profil Pharmacologique :</w:t>
      </w:r>
      <w:r/>
    </w:p>
    <w:p>
      <w:pPr>
        <w:pStyle w:val="ListBullet"/>
      </w:pPr>
      <w:r>
        <w:t>Indications : Historiquement DT2 non contrôlé par metformine seule, en bithérapie d'emblée. Plus largement disponible aujourd'hui en Algérie.</w:t>
      </w:r>
    </w:p>
    <w:p>
      <w:pPr>
        <w:pStyle w:val="ListBullet"/>
      </w:pPr>
      <w:r>
        <w:t>Contre-indications : Toutes les CI de la metformine (DFG &lt; 30, acidocétose, insuffisance hépatique sévère, IC décompensée, alcoolisme, déshydratation, produits de contraste iodés) et du glibenclamide (insuffisance rénale sévère, hypersensibilité aux sulfamides, porphyrie) ; grossesse, allaitement ; sujet âgé fragile.</w:t>
      </w:r>
    </w:p>
    <w:p>
      <w:pPr>
        <w:pStyle w:val="ListBullet"/>
      </w:pPr>
      <w:r>
        <w:t>Effets Indésirables : (1) Hypoglycémie sévère (EI majeur — particulièrement chez le sujet âgé, l'insuffisant rénal, en cas de repas sauté) ; (2) Prise de poids (2 à 3 kg) ; (3) Troubles digestifs (metformine) ; (4) Acidose lactique (rare) ; (5) Carence en B12 au long cours ; (6) Effets cutanés (cross-réactivité sulfamides) ; (7) Cytolyse hépatique.</w:t>
      </w:r>
    </w:p>
    <w:p>
      <w:r/>
      <w:r>
        <w:rPr>
          <w:b/>
        </w:rPr>
        <w:t>Prévention et Gestion des Effets Indésirables :</w:t>
      </w:r>
      <w:r/>
    </w:p>
    <w:p>
      <w:pPr>
        <w:pStyle w:val="ListBullet"/>
      </w:pPr>
      <w:r>
        <w:t>Mesures Préventives : Débuter à faible dose (500/2,5 mg/jour), titration progressive ; prise au cours du petit-déjeuner ; surveillance glycémique capillaire ; éducation aux signes d'hypoglycémie ; vérification du DFG avant initiation et surveillance régulière.</w:t>
      </w:r>
    </w:p>
    <w:p>
      <w:pPr>
        <w:pStyle w:val="ListBullet"/>
      </w:pPr>
      <w:r>
        <w:t>Conduite à Tenir : En cas d'hypoglycémie, arrêt transitoire et réduction de dose. En cas d'acidose lactique, arrêt immédiat. En cas d'injection de produit de contraste iodé, arrêt 48 h.</w:t>
      </w:r>
    </w:p>
    <w:p>
      <w:r/>
      <w:r>
        <w:rPr>
          <w:b/>
        </w:rPr>
        <w:t>Interactions Importantes :</w:t>
      </w:r>
      <w:r/>
    </w:p>
    <w:p>
      <w:pPr>
        <w:pStyle w:val="ListBullet"/>
      </w:pPr>
      <w:r>
        <w:t>Toutes les interactions de la metformine (produits de contraste iodés, AINS, cimétidine, alcool).</w:t>
      </w:r>
    </w:p>
    <w:p>
      <w:pPr>
        <w:pStyle w:val="ListBullet"/>
      </w:pPr>
      <w:r>
        <w:t>Toutes les interactions du glibenclamide (fluconazole, cotrimoxazole, bosentan, AINS, anticoagulants, alcool, β-bloquants).</w:t>
      </w:r>
    </w:p>
    <w:p>
      <w:r/>
      <w:r>
        <w:rPr>
          <w:b/>
        </w:rPr>
        <w:t>Grossesse et Allaitement :</w:t>
      </w:r>
      <w:r/>
    </w:p>
    <w:p>
      <w:pPr>
        <w:pStyle w:val="ListBullet"/>
      </w:pPr>
      <w:r>
        <w:t>Grossesse : CI absolue — substitution par insuline.</w:t>
      </w:r>
    </w:p>
    <w:p>
      <w:pPr>
        <w:pStyle w:val="ListBullet"/>
      </w:pPr>
      <w:r>
        <w:t>Allaitement : CI.</w:t>
      </w:r>
    </w:p>
    <w:p>
      <w:pPr>
        <w:pStyle w:val="ListBullet"/>
      </w:pPr>
      <w:r>
        <w:t>Précisions : Préconceptionnel insuline.</w:t>
      </w:r>
    </w:p>
    <w:p>
      <w:r/>
      <w:r>
        <w:rPr>
          <w:b/>
        </w:rPr>
        <w:t>Posologie et Mode d'administration (Standard) :</w:t>
      </w:r>
      <w:r/>
    </w:p>
    <w:p>
      <w:pPr>
        <w:pStyle w:val="ListBullet"/>
      </w:pPr>
      <w:r>
        <w:t>Adulte : 1 comprimé 500/2,5 mg ou 500/5 mg × 1 à 2/jour au cours des repas, dose maximale 2000 mg/20 mg/jour.</w:t>
      </w:r>
    </w:p>
    <w:p>
      <w:pPr>
        <w:pStyle w:val="ListBullet"/>
      </w:pPr>
      <w:r>
        <w:t>Sujet âgé : Non recommandé.</w:t>
      </w:r>
    </w:p>
    <w:p>
      <w:pPr>
        <w:pStyle w:val="ListBullet"/>
      </w:pPr>
      <w:r>
        <w:t>Insuffisant rénal : Non adapté.</w:t>
      </w:r>
    </w:p>
    <w:p>
      <w:pPr>
        <w:pStyle w:val="ListBullet"/>
      </w:pPr>
      <w:r>
        <w:t>Enfant : Non indiqué avant 18 ans.</w:t>
      </w:r>
    </w:p>
    <w:p>
      <w:pPr>
        <w:pStyle w:val="ListBullet"/>
      </w:pPr>
      <w:r>
        <w:t>Durée : au long cours.</w:t>
      </w:r>
    </w:p>
    <w:p>
      <w:pPr>
        <w:pStyle w:val="ListBullet"/>
      </w:pPr>
      <w:r>
        <w:t>Moment de prise : Au cours du petit-déjeuner (1 prise) ou du petit-déjeuner et du dîner (2 prises). Ne jamais prendre à jeun.</w:t>
      </w:r>
    </w:p>
    <w:p>
      <w:r/>
      <w:r>
        <w:rPr>
          <w:b/>
        </w:rPr>
        <w:t>Arbitrage et Bénéfices des Formes Galéniques :</w:t>
      </w:r>
      <w:r/>
    </w:p>
    <w:p>
      <w:r>
        <w:t>La disponibilité en 2 dosages (500/2,5 et 500/5) permet une titration. La présentation en boîte de 30 couvre 15 à 30 jours de traitement. Le statut « Non renouvelable » en Algérie en limite l'accès. Les associations modernes (Metformine+Sitagliptine, Metformine+Vildagliptine, Metformine+Alogliptine) sont préférées aujourd'hui en raison du profil sécurité supérieur (absence d'hypoglycémie, neutralité pondérale).</w:t>
      </w:r>
    </w:p>
    <w:p>
      <w:r/>
      <w:r>
        <w:rPr>
          <w:b/>
        </w:rPr>
        <w:t>Instructions et Conseils au Patient :</w:t>
      </w:r>
      <w:r/>
    </w:p>
    <w:p>
      <w:pPr>
        <w:pStyle w:val="ListBullet"/>
      </w:pPr>
      <w:r>
        <w:t>Communication au comptoir : Préciser la prise au cours du petit-déjeuner, ne jamais sauter le repas suivant ; éduquer aux signes d'hypoglycémie ; avoir toujours du sucre sur soi ; surveillance glycémique capillaire ; arrêt 48 h avant un examen avec produit de contraste iodé.</w:t>
      </w:r>
    </w:p>
    <w:p>
      <w:pPr>
        <w:pStyle w:val="ListBullet"/>
      </w:pPr>
      <w:r>
        <w:t>Mode d'utilisation pratique : Prise au cours des repas. En cas d'oubli, ne pas doubler. Conserver à température ambiante.</w:t>
      </w:r>
    </w:p>
    <w:p>
      <w:r/>
      <w:r>
        <w:rPr>
          <w:b/>
        </w:rPr>
        <w:t>Notes, Règles d'Or &amp; Pièges au Comptoir :</w:t>
      </w:r>
      <w:r/>
    </w:p>
    <w:p>
      <w:pPr>
        <w:pStyle w:val="ListBullet"/>
      </w:pPr>
      <w:r>
        <w:t>Piège classique : (1) Patient âgé installé sous Glucovance avec hypoglycémies nocturnes — proposer au médecin une alternative ; (2) Double prescription de metformine (libre + Glucovance) ; (3) Insuffisance rénale non détectée ; (4) Association non signalée avec fluconazole.</w:t>
      </w:r>
    </w:p>
    <w:p>
      <w:pPr>
        <w:pStyle w:val="ListBullet"/>
      </w:pPr>
      <w:r>
        <w:t>Règle de prise : Au cours du petit-déjeuner, surveillance glycémique, ne jamais sauter le repas.</w:t>
      </w:r>
    </w:p>
    <w:p>
      <w:pPr>
        <w:pStyle w:val="ListBullet"/>
      </w:pPr>
      <w:r>
        <w:t>Préparation et Conservation : ≤ 25 °C, à l'abri de l'humidité.</w:t>
      </w:r>
    </w:p>
    <w:p>
      <w:pPr>
        <w:pStyle w:val="ListBullet"/>
      </w:pPr>
      <w:r>
        <w:t>Piège du surdosage / Substitution : En cas de substitution, surveillance glycémique rapprochée. Équivalence : Glucovance 500/5 ≈ metformine 500 mg + glibenclamide 5 mg.</w:t>
      </w:r>
    </w:p>
    <w:p>
      <w:pPr>
        <w:pStyle w:val="Heading2"/>
      </w:pPr>
      <w:r>
        <w:t>XII. Sous-classe : Antidiabétiques injectables — Agonistes GLP-1</w:t>
      </w:r>
    </w:p>
    <w:p>
      <w:pPr>
        <w:pStyle w:val="Heading3"/>
      </w:pPr>
      <w:r>
        <w:t>Introduction de la sous-classe</w:t>
      </w:r>
    </w:p>
    <w:p>
      <w:r>
        <w:t>Les agonistes du récepteur du GLP-1 (Glucagon-Like Peptide-1) représentent l'innovation thérapeutique la plus marquante des deux dernières décennies dans le DT2, et plus récemment dans l'obésité. Le GLP-1 endogène est sécrété par les cellules L de l'iléon et du côlon en réponse au repas, et active le récepteur GLP-1 (GLP-1R) couplé aux protéines Gs, exprimé sur les cellules β-pancréatiques (stimulation de l'insuline glucose-dépendante via AMPc/PKA et fermeture des canaux K+ ATP), les cellules α-pancréatiques (réduction du glucagon), le système nerveux central (satiété, perte d'appétit), l'estomac (ralentissement de la vidange gastrique), et le cœur (effets cardioprotecteurs). Le GLP-1 endogène est rapidement dégradé par la DPP-4 (demi-vie &lt; 2 min), rendant son utilisation thérapeutique impossible. Les agonistes GLP-1 ont été modifiés chimiquement pour résister à la DPP-4, permettant une demi-vie prolongée (quelques heures à plusieurs jours) et une administration sous-cutanée quotidienne (liraglutide, sémaglutide injectable) ou hebdomadaire (sémaglutide injectable, dulaglutide, exénatide LAR). Les principaux effets : réduction de l'HbA1c (1 à 2 points), perte de poids (2 à 8 kg, selon la dose et la molécule), réduction de la PA, bénéfice cardiovasculaire démontré (LEADER pour le liraglutide, SUSTAIN-6 pour le sémaglutide, REWIND pour le dulaglutide), bénéfice rénal (réduction de la néphropathie). Les principaux EI : troubles digestifs (nausées, vomissements, diarrhée — fréquents en début de traitement, dose-dépendants, transitoires), pancréatite aiguë (rare mais grave), risque de cancer thyroïdien médullaire (signalisation de boîte noire — CI en cas d'antécédent personnel ou familial), hypoglycémie en cas d'association à sulfamide ou insuline. La classe des agonistes GLP-1 est positionnée en priorité chez le patient DT2 avec maladie CV établie, obésité, ou insulinorésistance majeure, indépendamment du contrôle glycémique. Trois agonistes GLP-1 sont disponibles en Algérie : liraglutide (VICTOZA), sémaglutide injectable (OZEMPIC), dulaglutide (TRULICITY). L'exénatide et le lixisénatide ne sont pas disponibles. La forme orale du sémaglutide (RYBELSUS) n'est pas disponible non plus en Algérie.</w:t>
      </w:r>
    </w:p>
    <w:p>
      <w:pPr>
        <w:pStyle w:val="Heading3"/>
      </w:pPr>
      <w:r>
        <w:t>19. DCI : Liraglutide (Seule)</w:t>
      </w:r>
    </w:p>
    <w:p>
      <w:r/>
      <w:r>
        <w:rPr>
          <w:b/>
        </w:rPr>
        <w:t>Liste des Catégories :</w:t>
      </w:r>
      <w:r>
        <w:t xml:space="preserve"> Antidiabétiques injectables — Agonistes GLP-1 ; Liste I ; Actif.</w:t>
      </w:r>
    </w:p>
    <w:p>
      <w:r>
        <w:t>Le liraglutide (L-arginyl-L-arginyl-L-arginyl-L-alanyl-L-glutamyl-L-phenylalanyl-L-isoleucyl-L-alanyl-L-tryptophanyl-L-leucyl-L-valyl-L-arginyl-L-glycyl-L-arginyl-L-glycyl-L-glutamyl-L-leucyl-L-glutaminyl-L-lysyl-L-glutamyl-L-alanyl-L-alanyl-L-alpha-glutamyl-L-tryptophanyl-L-leucyl-L-lysyl-L-alanyl-L-alpha-aspartyl-L-phenylalanyl-L-isoleucyl-L-alanyl-L-tryptophanyl-L-leucyl-L-valyl-L-arginyl-L-glycyl-L-arginyl-L-glycine) est un analogue du GLP-1 humain (97 % d'homologie) modifié par ajout d'un acide gras (acide hexadécanoique via un spacer γGlu) et substitution d'une lysine par arginine en position 34. Cette modification permet la liaison à l'albumine plasmatique, prolongeant la demi-vie à 13 h et permettant une administration sous-cutanée quotidienne. Le liraglutide est résistant à la DPP-4. Sa biodisponibilité SC est de 55 %, son pic plasmatique atteint en 8 à 12 h, son élimination est protéolytique hépatique et rénale (pas de métabolisme CYP450). Le liraglutide a démontré dans LEADER une réduction de la mortalité cardiovasculaire (–22 %), de la mortalité toutes causes (–15 %), et de la néphropathie (–22 %). Indication dans le DT2 et dans l'obésité (à dose plus élevée, 3 mg — Saxenda, non disponible en Algérie). Disponible en Algérie sous la marque VICTOZA (Novo Nordisk) en stylos préremplis multidoses 6 mg/mL.</w:t>
      </w:r>
    </w:p>
    <w:p>
      <w:r/>
      <w:r>
        <w:rPr>
          <w:b/>
        </w:rPr>
        <w:t>Médicaments disponibles en Algérie (Marques, Laboratoires, Formes et Dosages) :</w:t>
      </w:r>
      <w:r/>
    </w:p>
    <w:p>
      <w:pPr>
        <w:pStyle w:val="ListBullet"/>
      </w:pPr>
      <w:r/>
      <w:r>
        <w:rPr>
          <w:b/>
        </w:rPr>
        <w:t>VICTOZA</w:t>
      </w:r>
      <w:r>
        <w:t xml:space="preserve"> (NOVO NORDISK)</w:t>
      </w:r>
    </w:p>
    <w:p>
      <w:pPr>
        <w:pStyle w:val="ListBullet"/>
      </w:pPr>
      <w:r>
        <w:t>Formes et Dosages : Solution injectable sous-cutanée en stylo prérempli multidose 6 mg/mL — Boîte de 2 stylos de 3 mL (18 mg/stylo)</w:t>
      </w:r>
    </w:p>
    <w:p>
      <w:pPr>
        <w:pStyle w:val="ListBullet"/>
      </w:pPr>
      <w:r>
        <w:t>Statut : Actif</w:t>
      </w:r>
    </w:p>
    <w:p>
      <w:r/>
      <w:r>
        <w:rPr>
          <w:b/>
        </w:rPr>
        <w:t>Sous-classe et Mécanisme d'action :</w:t>
      </w:r>
      <w:r/>
    </w:p>
    <w:p>
      <w:pPr>
        <w:pStyle w:val="ListBullet"/>
      </w:pPr>
      <w:r>
        <w:t>Sous-classe : Agoniste du récepteur GLP-1 (incrétino-mimétique) injectable SC, quotidien ; bénéfice cardiovasculaire et rénal démontrés (LEADER).</w:t>
      </w:r>
    </w:p>
    <w:p>
      <w:pPr>
        <w:pStyle w:val="ListBullet"/>
      </w:pPr>
      <w:r>
        <w:t>Mécanisme d'action : Le liraglutide est un analogue du GLP-1 humain, résistant à la DPP-4, qui se fixe sur le récepteur GLP-1R (couplé aux protéines Gs) exprimé sur : (1) Cellules β-pancréatiques → stimulation de l'insuline glucose-dépendante (via AMPc/PKA, fermeture des canaux K+ ATP, exocytose d'insuline) — d'où absence d'hypoglycémie en monothérapie ; (2) Cellules α-pancréatiques → réduction de la sécrétion de glucagon glucose-dépendante ; (3) Système nerveux central (noyau arqué de l'hypothalamus) → satiété, perte d'appétit, perte de poids ; (4) Estomac → ralentissement de la vidange gastrique → réduction du pic glycémique post-prandial ; (5) Cœur → effets cardioprotecteurs (amélioration de la fonction endothéliale, réduction de la PA, effets directs sur le cardiomyocyte). L'effet est insulinotrope et incrétinique, avec une réduction de l'HbA1c de 1 à 2 points, une perte de poids de 3 à 6 kg (à dose antidiabétique), et une réduction de la PA de 3 à 5 mmHg.</w:t>
      </w:r>
    </w:p>
    <w:p>
      <w:r/>
      <w:r>
        <w:rPr>
          <w:b/>
        </w:rPr>
        <w:t>Profil Pharmacologique :</w:t>
      </w:r>
      <w:r/>
    </w:p>
    <w:p>
      <w:pPr>
        <w:pStyle w:val="ListBullet"/>
      </w:pPr>
      <w:r>
        <w:t>Indications : DT2 en seconde intention, en association à la metformine (bithérapie), en trithérapie (metformine + sulfamide, metformine + gliflozine, metformine + pioglitazone), en alternative à l'insuline chez le patient obèse ; priorité chez le patient DT2 avec maladie CV établie (post-IDM, AOMI, AVC) selon LEADER, ou néphropathie diabétique ; également indiqué en cas d'obésité (IMC ≥ 30) ou surpoids avec comorbidités. Indication dans l'obésité à dose 3 mg/jour (Saxenda) — non disponible en Algérie.</w:t>
      </w:r>
    </w:p>
    <w:p>
      <w:pPr>
        <w:pStyle w:val="ListBullet"/>
      </w:pPr>
      <w:r>
        <w:t>Contre-indications : Diabète de type 1 (risque majeur de DKA euglycémique) ; acidocétose ; antécédent personnel ou familial de cancer thyroïdien médullaire (MTC) ou NEM 2 (Multiple Endocrine Neoplasia type 2) — CI absolue ; antécédent de pancréatite (CI relative) ; insuffisance rénale sévère (DFG &lt; 30) — prudence ; insuffisance hépatique sévère ; grossesse, allaitement ; hypersensibilité ; ileus, gastroparésie sévère ; maladie inflammatoire intestinale sévère.</w:t>
      </w:r>
    </w:p>
    <w:p>
      <w:pPr>
        <w:pStyle w:val="ListBullet"/>
      </w:pPr>
      <w:r>
        <w:t>Effets Indésirables : (1) Troubles digestifs très fréquents en début de traitement — nausées (30 à 40 %), vomissements (10 à 15 %), diarrhée (10 à 20 %), constipation, dyspepsie, douleurs abdominales — dose-dépendants et transitoires (résolution en 4 à 8 semaines) ; titration progressive indispensable ; (2) Pancréatite aiguë (rare, ≈ 1/1000, mais grave — arrêt immédiat et exploration) ; (3) Cancer thyroïdien médullaire (signalisation de boîte noire — études animales évocatrices de tumeurs C thyroïdiennes, non confirmé chez l'homme mais principe de précaution) ; (4) Hypoglycémie en cas d'association à sulfamide ou insuline (réduire la dose) ; (5) Réactions au site d'injection (érythème, prurit) ; (6) Céphalées, fatigue, vertiges ; (7) Lithiase biliaire et cholécystite (rare, liée à la perte de poids rapide) ; (8) Tachycardie sinusale modérée ; (9) Rarement : réactions d'hypersensibilité (anaphylaxie, angio-oedème) ; (10) Altération de la fonction rénale aiguë (en cas de déshydratation liée aux vomissements).</w:t>
      </w:r>
    </w:p>
    <w:p>
      <w:r/>
      <w:r>
        <w:rPr>
          <w:b/>
        </w:rPr>
        <w:t>Prévention et Gestion des Effets Indésirables :</w:t>
      </w:r>
      <w:r/>
    </w:p>
    <w:p>
      <w:pPr>
        <w:pStyle w:val="ListBullet"/>
      </w:pPr>
      <w:r>
        <w:t>Mesures Préventives : Titration progressive — débuter à 0,6 mg/jour pendant 1 semaine, puis 1,2 mg/jour pendant 1 semaine, puis 1,8 mg/jour (dose d'entretien) ; prise indépendante des repas, à heure fixe (privilégier le matin) ; éducation du patient à l'injection SC (technique, rotation des sites) ; recherche d'antécédents de cancer thyroïde, de pancréatite, de gastroparésie ; surveillance de la glycémie en cas d'association.</w:t>
      </w:r>
    </w:p>
    <w:p>
      <w:pPr>
        <w:pStyle w:val="ListBullet"/>
      </w:pPr>
      <w:r>
        <w:t>Conduite à Tenir : En cas de nausées/vomissements persistants, ralentir la titration ou réduire temporairement la dose. En cas de douleur abdominale évoquant une pancréatite, arrêt immédiat et bilan (lipase, scanner). En cas de déshydratation, réhydratation IV. En cas de réaction d'hypersensibilité, arrêt définitif.</w:t>
      </w:r>
    </w:p>
    <w:p>
      <w:r/>
      <w:r>
        <w:rPr>
          <w:b/>
        </w:rPr>
        <w:t>Interactions Importantes :</w:t>
      </w:r>
      <w:r/>
    </w:p>
    <w:p>
      <w:pPr>
        <w:pStyle w:val="ListBullet"/>
      </w:pPr>
      <w:r/>
      <w:r>
        <w:rPr>
          <w:b/>
        </w:rPr>
        <w:t>Liraglutide + sulfamides, insuline</w:t>
      </w:r>
      <w:r>
        <w:t xml:space="preserve"> : risque d'hypoglycémie — réduire la dose du sulfamide ou de l'insuline de 25 à 50 %.</w:t>
      </w:r>
    </w:p>
    <w:p>
      <w:pPr>
        <w:pStyle w:val="ListBullet"/>
      </w:pPr>
      <w:r/>
      <w:r>
        <w:rPr>
          <w:b/>
        </w:rPr>
        <w:t>Liraglutide + metformine, gliptines, gliflozines</w:t>
      </w:r>
      <w:r>
        <w:t xml:space="preserve"> : association recommandée.</w:t>
      </w:r>
    </w:p>
    <w:p>
      <w:pPr>
        <w:pStyle w:val="ListBullet"/>
      </w:pPr>
      <w:r/>
      <w:r>
        <w:rPr>
          <w:b/>
        </w:rPr>
        <w:t>Liraglutide + contraceptifs oraux</w:t>
      </w:r>
      <w:r>
        <w:t xml:space="preserve"> : ralentissement de l'absorption (effet sur la vidange gastrique) — préférer une contraception non orale ou avec marge.</w:t>
      </w:r>
    </w:p>
    <w:p>
      <w:pPr>
        <w:pStyle w:val="ListBullet"/>
      </w:pPr>
      <w:r/>
      <w:r>
        <w:rPr>
          <w:b/>
        </w:rPr>
        <w:t>Liraglutide + anticoagulants oraux</w:t>
      </w:r>
      <w:r>
        <w:t xml:space="preserve"> : surveillance de l'INR (modification de l'absorption).</w:t>
      </w:r>
    </w:p>
    <w:p>
      <w:pPr>
        <w:pStyle w:val="ListBullet"/>
      </w:pPr>
      <w:r/>
      <w:r>
        <w:rPr>
          <w:b/>
        </w:rPr>
        <w:t>Liraglutide + antibiotiques oraux, lévothyroxine</w:t>
      </w:r>
      <w:r>
        <w:t xml:space="preserve"> : surveillance (ralentissement de l'absorption).</w:t>
      </w:r>
    </w:p>
    <w:p>
      <w:pPr>
        <w:pStyle w:val="ListBullet"/>
      </w:pPr>
      <w:r/>
      <w:r>
        <w:rPr>
          <w:b/>
        </w:rPr>
        <w:t>Liraglutide + paracétamol</w:t>
      </w:r>
      <w:r>
        <w:t xml:space="preserve"> : augmentation modérée de l'AUC du paracétamol.</w:t>
      </w:r>
    </w:p>
    <w:p>
      <w:r/>
      <w:r>
        <w:rPr>
          <w:b/>
        </w:rPr>
        <w:t>Grossesse et Allaitement :</w:t>
      </w:r>
      <w:r/>
    </w:p>
    <w:p>
      <w:pPr>
        <w:pStyle w:val="ListBullet"/>
      </w:pPr>
      <w:r>
        <w:t>Grossesse : CI absolue — études animales évocatrices d'effets tératogènes. Arrêt dès qu'une grossesse est planifiée ou confirmée. Substitution par insuline.</w:t>
      </w:r>
    </w:p>
    <w:p>
      <w:pPr>
        <w:pStyle w:val="ListBullet"/>
      </w:pPr>
      <w:r>
        <w:t>Allaitement : CI — passage éventuel dans le lait (données animales).</w:t>
      </w:r>
    </w:p>
    <w:p>
      <w:pPr>
        <w:pStyle w:val="ListBullet"/>
      </w:pPr>
      <w:r>
        <w:t>Précisions : Préconceptionnel insuline ; arrêt du liraglutide 1 à 2 mois avant la conception.</w:t>
      </w:r>
    </w:p>
    <w:p>
      <w:r/>
      <w:r>
        <w:rPr>
          <w:b/>
        </w:rPr>
        <w:t>Posologie et Mode d'administration (Standard) :</w:t>
      </w:r>
      <w:r/>
    </w:p>
    <w:p>
      <w:pPr>
        <w:pStyle w:val="ListBullet"/>
      </w:pPr>
      <w:r>
        <w:t>Adulte : Schéma de titration : 0,6 mg/jour × 1 semaine → 1,2 mg/jour × 1 semaine → 1,8 mg/jour (dose d'entretien). Dose maximale 1,8 mg/jour. Administration SC une fois par jour, indépendante des repas, à heure fixe (matin conseillé).</w:t>
      </w:r>
    </w:p>
    <w:p>
      <w:pPr>
        <w:pStyle w:val="ListBullet"/>
      </w:pPr>
      <w:r>
        <w:t>Sujet âgé : Pas d'adaptation systématique ; surveillance de la fonction rénale.</w:t>
      </w:r>
    </w:p>
    <w:p>
      <w:pPr>
        <w:pStyle w:val="ListBullet"/>
      </w:pPr>
      <w:r>
        <w:t>Insuffisant rénal : Prudence si DFG &lt; 60 ; CI si DFG &lt; 30.</w:t>
      </w:r>
    </w:p>
    <w:p>
      <w:pPr>
        <w:pStyle w:val="ListBullet"/>
      </w:pPr>
      <w:r>
        <w:t>Enfant : Indication ≥ 10 ans (DT2 pédiatrique) dans certains pays.</w:t>
      </w:r>
    </w:p>
    <w:p>
      <w:pPr>
        <w:pStyle w:val="ListBullet"/>
      </w:pPr>
      <w:r>
        <w:t>Durée : au long cours.</w:t>
      </w:r>
    </w:p>
    <w:p>
      <w:pPr>
        <w:pStyle w:val="ListBullet"/>
      </w:pPr>
      <w:r>
        <w:t>Moment de prise : Une injection SC par jour, à heure fixe, indépendante des repas. Sites d'injection : abdomen, cuisse, bras (rotation).</w:t>
      </w:r>
    </w:p>
    <w:p>
      <w:r/>
      <w:r>
        <w:rPr>
          <w:b/>
        </w:rPr>
        <w:t>Arbitrage et Bénéfices des Formes Galéniques :</w:t>
      </w:r>
      <w:r/>
    </w:p>
    <w:p>
      <w:r>
        <w:t>Le stylo prérempli multidose (VICTOZA 6 mg/mL, 2 stylos de 3 mL) contient 18 mg par stylo, soit 30 doses à 0,6 mg, 15 doses à 1,2 mg, ou 10 doses à 1,8 mg. Le stylo permet une administration pratique et discrète, avec des doses ajustables par paliers de 0,6 mg (sélecteur de dose intégré). La conservation se fait au réfrigérateur (2–8 °C) avant première utilisation, puis à température &lt; 30 °C pendant 1 mois maximum après première utilisation. Le principal inconvénient est la nécessité d'une injection quotidienne (vs hebdomadaire pour le dulaglutide et le sémaglutide hebdo).</w:t>
      </w:r>
    </w:p>
    <w:p>
      <w:r/>
      <w:r>
        <w:rPr>
          <w:b/>
        </w:rPr>
        <w:t>Instructions et Conseils au Patient :</w:t>
      </w:r>
      <w:r/>
    </w:p>
    <w:p>
      <w:pPr>
        <w:pStyle w:val="ListBullet"/>
      </w:pPr>
      <w:r>
        <w:t>Communication au comptoir : Éduquer le patient à la technique d'injection SC (rotation des sites, ne jamais piquer deux fois au même endroit) ; titration progressive pour limiter les EI digestifs ; prendre à heure fixe ; avoir toujours un stylo de rechange ; surveiller la glycémie en cas d'association ; alcool proscrit ; signaler tout symptôme abdominal intense (pancréatite), toute masse cervicale (cancer thyroïde), toute réaction allergique. Conservation au réfrigérateur.</w:t>
      </w:r>
    </w:p>
    <w:p>
      <w:pPr>
        <w:pStyle w:val="ListBullet"/>
      </w:pPr>
      <w:r>
        <w:t>Mode d'utilisation pratique : Réchauffer le stylo à température ambiante 30 min avant injection (pour limiter la douleur). Vérifier la solution (limpide, incolore). Purger le stylo (1ère utilisation). Sélectionner la dose. Piquer perpendiculairement dans le tissu SC (abdomen, cuisse, bras). Maintenir le bouton enfoncé 6 s après l'injection. Jeter l'aiguille dans un collecteur sécurisé. Conserver le stylo au réfrigérateur avant 1ère utilisation, à température ambiante après.</w:t>
      </w:r>
    </w:p>
    <w:p>
      <w:r/>
      <w:r>
        <w:rPr>
          <w:b/>
        </w:rPr>
        <w:t>Notes, Règles d'Or &amp; Pièges au Comptoir :</w:t>
      </w:r>
      <w:r/>
    </w:p>
    <w:p>
      <w:pPr>
        <w:pStyle w:val="ListBullet"/>
      </w:pPr>
      <w:r>
        <w:t>Piège classique : (1) Patient avec antécédent familial de cancer thyroïde médullaire non repéré (CI absolue) ; (2) Pancréatite non évoquée devant une douleur abdominale ; (3) Patient sous insuline ou sulfamide sans réduction de dose → hypoglycémie sévère ; (4) Déshydratation chez le sujet âgé en raison des vomissements ; (5) Oubli d'arrêt péri-opératoire.</w:t>
      </w:r>
    </w:p>
    <w:p>
      <w:pPr>
        <w:pStyle w:val="ListBullet"/>
      </w:pPr>
      <w:r>
        <w:t>Règle de prise : Une injection SC par jour à heure fixe, titration progressive.</w:t>
      </w:r>
    </w:p>
    <w:p>
      <w:pPr>
        <w:pStyle w:val="ListBullet"/>
      </w:pPr>
      <w:r>
        <w:t>Préparation et Conservation : Avant 1ère utilisation : 2–8 °C (réfrigérateur), ne pas congeler. Après 1ère utilisation : ≤ 30 °C pendant 1 mois max. Protéger de la lumière.</w:t>
      </w:r>
    </w:p>
    <w:p>
      <w:pPr>
        <w:pStyle w:val="ListBullet"/>
      </w:pPr>
      <w:r>
        <w:t>Piège du surdosage / Substitution : En cas de surdosage (hypoglycémie, nausées sévères), arrêt et surveillance. Substitution par sémaglutide hebdomadaire ou dulaglutide hebdomadaire possible (adaptation de la dose et surveillance glycémique).</w:t>
      </w:r>
    </w:p>
    <w:p>
      <w:pPr>
        <w:pStyle w:val="Heading3"/>
      </w:pPr>
      <w:r>
        <w:t>20. DCI : Sémaglutide (Seule)</w:t>
      </w:r>
    </w:p>
    <w:p>
      <w:r/>
      <w:r>
        <w:rPr>
          <w:b/>
        </w:rPr>
        <w:t>Liste des Catégories :</w:t>
      </w:r>
      <w:r>
        <w:t xml:space="preserve"> Antidiabétiques injectables — Agonistes GLP-1 ; Liste I ; Actif.</w:t>
      </w:r>
    </w:p>
    <w:p>
      <w:r>
        <w:t>Le sémaglutide est un analogue du GLP-1 humain (94 % d'homologie) modifié par ajout d'un acide gras (acide octadécanoïque via un spacer) et substitutions aminoacides (Aib en position 8, Arg en position 34). Cette modification permet une liaison très forte à l'albumine plasmatique, prolongeant la demi-vie à 165 h (≈ 1 semaine), permettant une administration sous-cutanée hebdomadaire. Le sémaglutide est résistant à la DPP-4. Sa biodisponibilité SC est de 89 %, son élimination est protéolytique (pas de métabolisme CYP450). Le sémaglutide a démontré dans SUSTAIN-6 une réduction des événements cardiovasculaires MACE (–26 %), des hospitalisations pour IC (et de la néphropathie). Indication dans le DT2 (OZEMPIC) et dans l'obésité (WEGOVY, à dose plus élevée 2,4 mg — non disponible en Algérie). Le sémaglutide oral (RYBELSUS, absorption via SNAC) n'est pas disponible en Algérie. Disponible en Algérie sous la marque OZEMPIC (Novo Nordisk) en stylos préremplis à 0,25 mg, 0,5 mg/mL et 1 mg.</w:t>
      </w:r>
    </w:p>
    <w:p>
      <w:r/>
      <w:r>
        <w:rPr>
          <w:b/>
        </w:rPr>
        <w:t>Médicaments disponibles en Algérie (Marques, Laboratoires, Formes et Dosages) :</w:t>
      </w:r>
      <w:r/>
    </w:p>
    <w:p>
      <w:pPr>
        <w:pStyle w:val="ListBullet"/>
      </w:pPr>
      <w:r/>
      <w:r>
        <w:rPr>
          <w:b/>
        </w:rPr>
        <w:t>OZEMPIC</w:t>
      </w:r>
      <w:r>
        <w:t xml:space="preserve"> (NOVO NORDISK A/S)</w:t>
      </w:r>
    </w:p>
    <w:p>
      <w:pPr>
        <w:pStyle w:val="ListBullet"/>
      </w:pPr>
      <w:r>
        <w:t>Formes et Dosages : Solution injectable en stylo prérempli 0,25 mg (stylo 1,5 mL) ; Solution injectable en stylo prérempli 0,5 mg/mL (stylo 1,5 mL) ; Solution injectable en stylo prérempli 1 mg (stylo 3 mL)</w:t>
      </w:r>
    </w:p>
    <w:p>
      <w:pPr>
        <w:pStyle w:val="ListBullet"/>
      </w:pPr>
      <w:r>
        <w:t>Statut : Actif</w:t>
      </w:r>
    </w:p>
    <w:p>
      <w:r/>
      <w:r>
        <w:rPr>
          <w:b/>
        </w:rPr>
        <w:t>Sous-classe et Mécanisme d'action :</w:t>
      </w:r>
      <w:r/>
    </w:p>
    <w:p>
      <w:pPr>
        <w:pStyle w:val="ListBullet"/>
      </w:pPr>
      <w:r>
        <w:t>Sous-classe : Agoniste du récepteur GLP-1 (incrétino-mimétique) injectable SC hebdomadaire ; bénéfice cardiovasculaire et rénal démontrés (SUSTAIN-6).</w:t>
      </w:r>
    </w:p>
    <w:p>
      <w:pPr>
        <w:pStyle w:val="ListBullet"/>
      </w:pPr>
      <w:r>
        <w:t>Mécanisme d'action : Identique au liraglutide — fixation sur le récepteur GLP-1R, stimulation de l'insuline glucose-dépendante, réduction du glucagon, ralentissement de la vidange gastrique, satiété centrale, perte de poids, effets cardioprotecteurs. La demi-vie prolongée permet une administration hebdomadaire (pratique pour l'observance).</w:t>
      </w:r>
    </w:p>
    <w:p>
      <w:r/>
      <w:r>
        <w:rPr>
          <w:b/>
        </w:rPr>
        <w:t>Profil Pharmacologique :</w:t>
      </w:r>
      <w:r/>
    </w:p>
    <w:p>
      <w:pPr>
        <w:pStyle w:val="ListBullet"/>
      </w:pPr>
      <w:r>
        <w:t>Indications : DT2 en seconde intention, en association à la metformine, en trithérapie ; priorité chez le patient DT2 avec maladie CV établie selon SUSTAIN-6, ou obésité associée ; en alternative à l'insuline chez le patient obèse. Indication dans l'obésité (IMC ≥ 30 ou ≥ 27 avec comorbidités) à dose 2,4 mg hebdomadaire (WEGOVY, non disponible en Algérie).</w:t>
      </w:r>
    </w:p>
    <w:p>
      <w:pPr>
        <w:pStyle w:val="ListBullet"/>
      </w:pPr>
      <w:r>
        <w:t>Contre-indications : Identiques au liraglutide — diabète de type 1 ; acidocétose ; antécédent personnel ou familial de cancer thyroïdien médullaire ou NEM 2 (CI absolue) ; antécédent de pancréatite (CI relative) ; insuffisance rénale sévère (prudence) ; insuffisance hépatique sévère ; grossesse, allaitement ; hypersensibilité ; gastroparésie sévère ; ileus.</w:t>
      </w:r>
    </w:p>
    <w:p>
      <w:pPr>
        <w:pStyle w:val="ListBullet"/>
      </w:pPr>
      <w:r>
        <w:t>Effets Indésirables : Identiques au liraglutide — troubles digestifs (nausées, vomissements, diarrhée — fréquents en début de traitement, dose-dépendants, transitoires), pancréatite aiguë (rare), cancer thyroïdien médullaire (signalisation de boîte noire), hypoglycémie en association, réactions au site d'injection, lithiase biliaire, rétinopathie diabétique aggravation initiale (signalisation), rarement réactions d'hypersensibilité. Particularité : signalisation de rétinopathie diabétique aggravée chez les patients avec rétinopathie préexistante (liée à l'amélioration rapide de la glycémie).</w:t>
      </w:r>
    </w:p>
    <w:p>
      <w:r/>
      <w:r>
        <w:rPr>
          <w:b/>
        </w:rPr>
        <w:t>Prévention et Gestion des Effets Indésirables :</w:t>
      </w:r>
      <w:r/>
    </w:p>
    <w:p>
      <w:pPr>
        <w:pStyle w:val="ListBullet"/>
      </w:pPr>
      <w:r>
        <w:t>Mesures Préventives : Identiques au liraglutide — titration progressive (0,25 mg → 0,5 mg → 1 mg), prise hebdomadaire à jour fixe, éducation à l'injection SC, recherche d'antécédents de cancer thyroïde, pancréatite, gastroparésie, rétinopathie diabétique. Surveillance ophtalmologique chez les patients avec rétinopathie préexistante.</w:t>
      </w:r>
    </w:p>
    <w:p>
      <w:pPr>
        <w:pStyle w:val="ListBullet"/>
      </w:pPr>
      <w:r>
        <w:t>Conduite à Tenir : Identique au liraglutide — arrêt en cas de pancréatite, déshydratation, hypersensibilité.</w:t>
      </w:r>
    </w:p>
    <w:p>
      <w:r/>
      <w:r>
        <w:rPr>
          <w:b/>
        </w:rPr>
        <w:t>Interactions Importantes :</w:t>
      </w:r>
      <w:r/>
    </w:p>
    <w:p>
      <w:pPr>
        <w:pStyle w:val="ListBullet"/>
      </w:pPr>
      <w:r>
        <w:t>Identiques au liraglutide — sulfamides, insuline (réduire la dose), metformine, gliptines, gliflozines (association), contraceptifs oraux, anticoagulants, lévothyroxine (ralentissement de l'absorption).</w:t>
      </w:r>
    </w:p>
    <w:p>
      <w:pPr>
        <w:pStyle w:val="ListBullet"/>
      </w:pPr>
      <w:r/>
      <w:r>
        <w:rPr>
          <w:b/>
        </w:rPr>
        <w:t>Sémaglutide + lévothyroxine</w:t>
      </w:r>
      <w:r>
        <w:t xml:space="preserve"> : surveillance de la TSH (modification de l'absorption).</w:t>
      </w:r>
    </w:p>
    <w:p>
      <w:r/>
      <w:r>
        <w:rPr>
          <w:b/>
        </w:rPr>
        <w:t>Grossesse et Allaitement :</w:t>
      </w:r>
      <w:r/>
    </w:p>
    <w:p>
      <w:pPr>
        <w:pStyle w:val="ListBullet"/>
      </w:pPr>
      <w:r>
        <w:t>Grossesse : CI absolue — arrêt dès qu'une grossesse est planifiée ou confirmée. Substitution par insuline.</w:t>
      </w:r>
    </w:p>
    <w:p>
      <w:pPr>
        <w:pStyle w:val="ListBullet"/>
      </w:pPr>
      <w:r>
        <w:t>Allaitement : CI.</w:t>
      </w:r>
    </w:p>
    <w:p>
      <w:pPr>
        <w:pStyle w:val="ListBullet"/>
      </w:pPr>
      <w:r>
        <w:t>Précisions : Préconceptionnel insuline ; arrêt du sémaglutide 2 mois avant la conception (demi-vie longue).</w:t>
      </w:r>
    </w:p>
    <w:p>
      <w:r/>
      <w:r>
        <w:rPr>
          <w:b/>
        </w:rPr>
        <w:t>Posologie et Mode d'administration (Standard) :</w:t>
      </w:r>
      <w:r/>
    </w:p>
    <w:p>
      <w:pPr>
        <w:pStyle w:val="ListBullet"/>
      </w:pPr>
      <w:r>
        <w:t>Adulte : Schéma de titration : 0,25 mg/semaine × 4 semaines → 0,5 mg/semaine × 4 semaines → 1 mg/semaine (dose d'entretien). Pour l'obésité (WEGOVY, non disponible) : 0,25 → 0,5 → 1 → 1,7 → 2,4 mg/semaine. Administration SC une fois par semaine, à jour fixe, indépendante des repas.</w:t>
      </w:r>
    </w:p>
    <w:p>
      <w:pPr>
        <w:pStyle w:val="ListBullet"/>
      </w:pPr>
      <w:r>
        <w:t>Sujet âgé : Pas d'adaptation systématique.</w:t>
      </w:r>
    </w:p>
    <w:p>
      <w:pPr>
        <w:pStyle w:val="ListBullet"/>
      </w:pPr>
      <w:r>
        <w:t>Insuffisant rénal : Prudence si DFG &lt; 60 ; CI si DFG &lt; 30.</w:t>
      </w:r>
    </w:p>
    <w:p>
      <w:pPr>
        <w:pStyle w:val="ListBullet"/>
      </w:pPr>
      <w:r>
        <w:t>Enfant : Indication ≥ 12 ans (DT2 pédiatrique) dans certains pays.</w:t>
      </w:r>
    </w:p>
    <w:p>
      <w:pPr>
        <w:pStyle w:val="ListBullet"/>
      </w:pPr>
      <w:r>
        <w:t>Durée : au long cours.</w:t>
      </w:r>
    </w:p>
    <w:p>
      <w:pPr>
        <w:pStyle w:val="ListBullet"/>
      </w:pPr>
      <w:r>
        <w:t>Moment de prise : Une injection SC par semaine, à jour fixe (par exemple tous les lundis matin), indépendante des repas. Sites d'injection : abdomen, cuisse, bras (rotation).</w:t>
      </w:r>
    </w:p>
    <w:p>
      <w:r/>
      <w:r>
        <w:rPr>
          <w:b/>
        </w:rPr>
        <w:t>Arbitrage et Bénéfices des Formes Galéniques :</w:t>
      </w:r>
      <w:r/>
    </w:p>
    <w:p>
      <w:r>
        <w:t>Le stylo prérempli (OZEMPIC) contient une dose unique par injection. La présentation en 3 dosages (0,25 mg, 0,5 mg/mL, 1 mg) permet la titration progressive. La conservation se fait au réfrigérateur (2–8 °C) avant première utilisation, puis à température &lt; 30 °C pendant 6 semaines maximum après première utilisation (plus longue que le liraglutide). L'administration hebdomadaire est un avantage majeur pour l'observance (vs quotidienne pour le liraglutide). Le coût reste élevé mais la disponibilité est assurée par Novo Nordisk.</w:t>
      </w:r>
    </w:p>
    <w:p>
      <w:r/>
      <w:r>
        <w:rPr>
          <w:b/>
        </w:rPr>
        <w:t>Instructions et Conseils au Patient :</w:t>
      </w:r>
      <w:r/>
    </w:p>
    <w:p>
      <w:pPr>
        <w:pStyle w:val="ListBullet"/>
      </w:pPr>
      <w:r>
        <w:t>Communication au comptoir : Éduquer le patient à la technique d'injection SC hebdomadaire (jour fixe, rotation des sites) ; titration progressive ; avoir toujours un stylo de rechange ; surveiller la glycémie en cas d'association ; alcool proscrit ; signaler tout symptôme abdominal intense (pancréatite), toute masse cervicale (cancer thyroïde), toute réaction allergique, toute modification de la vision (rétinopathie). Conservation au réfrigérateur.</w:t>
      </w:r>
    </w:p>
    <w:p>
      <w:pPr>
        <w:pStyle w:val="ListBullet"/>
      </w:pPr>
      <w:r>
        <w:t>Mode d'utilisation pratique : Sortir le stylo du réfrigérateur 30 min avant l'injection. Vérifier la solution (limpide, incolore). Visser une aiguille neuve. Purger (1ère utilisation). Sélectionner la dose. Piquer perpendiculairement. Maintenir le bouton enfoncé 6 s. Retirer l'aiguille et la jeter dans un collecteur sécurisé. Conserver le stylo au réfrigérateur avant 1ère utilisation, à température ambiante après (≤ 30 °C, 6 semaines max).</w:t>
      </w:r>
    </w:p>
    <w:p>
      <w:r/>
      <w:r>
        <w:rPr>
          <w:b/>
        </w:rPr>
        <w:t>Notes, Règles d'Or &amp; Pièges au Comptoir :</w:t>
      </w:r>
      <w:r/>
    </w:p>
    <w:p>
      <w:pPr>
        <w:pStyle w:val="ListBullet"/>
      </w:pPr>
      <w:r>
        <w:t>Piège classique : (1) Patient avec antécédent familial de cancer thyroïde médullaire non repéré (CI absolue) ; (2) Pancréatite non évoquée ; (3) Patient sous insuline ou sulfamide sans réduction de dose ; (4) Déshydratation chez le sujet âgé ; (5) Rétinopathie diabétique préexistante non contrôlée (surveillance ophtalmologique) ; (6) Erreur de dose (0,25 mg vs 0,5 mg/mL vs 1 mg — vérifier le stylo).</w:t>
      </w:r>
    </w:p>
    <w:p>
      <w:pPr>
        <w:pStyle w:val="ListBullet"/>
      </w:pPr>
      <w:r>
        <w:t>Règle de prise : Une injection SC par semaine à jour fixe, titration progressive, rotation des sites.</w:t>
      </w:r>
    </w:p>
    <w:p>
      <w:pPr>
        <w:pStyle w:val="ListBullet"/>
      </w:pPr>
      <w:r>
        <w:t>Préparation et Conservation : Avant 1ère utilisation : 2–8 °C (réfrigérateur), ne pas congeler. Après 1ère utilisation : ≤ 30 °C pendant 6 semaines max. Protéger de la lumière.</w:t>
      </w:r>
    </w:p>
    <w:p>
      <w:pPr>
        <w:pStyle w:val="ListBullet"/>
      </w:pPr>
      <w:r>
        <w:t>Piège du surdosage / Substitution : En cas de surdosage (hypoglycémie, nausées sévères, déshydratation), arrêt et surveillance pendant 1 semaine (demi-vie longue). Substitution par liraglutide quotidien ou dulaglutide hebdomadaire possible (adaptation et surveillance glycémique).</w:t>
      </w:r>
    </w:p>
    <w:p>
      <w:pPr>
        <w:pStyle w:val="Heading3"/>
      </w:pPr>
      <w:r>
        <w:t>21. DCI : Dulaglutide (Seule)</w:t>
      </w:r>
    </w:p>
    <w:p>
      <w:r/>
      <w:r>
        <w:rPr>
          <w:b/>
        </w:rPr>
        <w:t>Liste des Catégories :</w:t>
      </w:r>
      <w:r>
        <w:t xml:space="preserve"> Antidiabétiques injectables — Agonistes GLP-1 ; Liste I ; Actif.</w:t>
      </w:r>
    </w:p>
    <w:p>
      <w:r>
        <w:t>Le dulaglutide est un analogue du GLP-1 humain (90 % d'homologie) fusionné à un fragment Fc modifié de l'IgG4 humaine, ce qui prolonge la demi-vie à 90 h (≈ 5 jours), permettant une administration sous-cutanée hebdomadaire. Le dulaglutide est résistant à la DPP-4 (substitutions aminoacides). Sa biodisponibilité SC est de 65 à 80 %, son élimination est protéolytique (dégradation par les protéases cellulaires, pas de métabolisme CYP450 ni d'élimination rénale ou biliaire significative). Le dulaglutide a démontré dans REWIND une réduction des événements cardiovasculaires MACE (–12 %) et de la néphropathie (–15 %). Disponible en Algérie sous la marque TRULICITY (BIOPHARM) en stylos préremplis à 0,75 mg/0,5 mL et 1,5 mg/0,5 mL.</w:t>
      </w:r>
    </w:p>
    <w:p>
      <w:r/>
      <w:r>
        <w:rPr>
          <w:b/>
        </w:rPr>
        <w:t>Médicaments disponibles en Algérie (Marques, Laboratoires, Formes et Dosages) :</w:t>
      </w:r>
      <w:r/>
    </w:p>
    <w:p>
      <w:pPr>
        <w:pStyle w:val="ListBullet"/>
      </w:pPr>
      <w:r/>
      <w:r>
        <w:rPr>
          <w:b/>
        </w:rPr>
        <w:t>TRULICITY</w:t>
      </w:r>
      <w:r>
        <w:t xml:space="preserve"> (BIOPHARM)</w:t>
      </w:r>
    </w:p>
    <w:p>
      <w:pPr>
        <w:pStyle w:val="ListBullet"/>
      </w:pPr>
      <w:r>
        <w:t>Formes et Dosages : Solution injectable SC en stylo prérempli 0,75 mg/0,5 mL — Boîte de 4 stylos préremplis de 0,5 mL ; Solution injectable SC en stylo prérempli 1,5 mg/0,5 mL — Boîte de 4 stylos préremplis de 0,5 mL</w:t>
      </w:r>
    </w:p>
    <w:p>
      <w:pPr>
        <w:pStyle w:val="ListBullet"/>
      </w:pPr>
      <w:r>
        <w:t>Statut : Actif</w:t>
      </w:r>
    </w:p>
    <w:p>
      <w:r/>
      <w:r>
        <w:rPr>
          <w:b/>
        </w:rPr>
        <w:t>Sous-classe et Mécanisme d'action :</w:t>
      </w:r>
      <w:r/>
    </w:p>
    <w:p>
      <w:pPr>
        <w:pStyle w:val="ListBullet"/>
      </w:pPr>
      <w:r>
        <w:t>Sous-classe : Agoniste du récepteur GLP-1 (incrétino-mimétique) injectable SC hebdomadaire, fusionné à un fragment Fc d'IgG4 ; bénéfice cardiovasculaire et rénal démontrés (REWIND).</w:t>
      </w:r>
    </w:p>
    <w:p>
      <w:pPr>
        <w:pStyle w:val="ListBullet"/>
      </w:pPr>
      <w:r>
        <w:t>Mécanisme d'action : Identique au liraglutide et au sémaglutide — fixation sur le récepteur GLP-1R, stimulation de l'insuline glucose-dépendante, réduction du glucagon, ralentissement de la vidange gastrique, satiété centrale, perte de poids, effets cardioprotecteurs.</w:t>
      </w:r>
    </w:p>
    <w:p>
      <w:r/>
      <w:r>
        <w:rPr>
          <w:b/>
        </w:rPr>
        <w:t>Profil Pharmacologique :</w:t>
      </w:r>
      <w:r/>
    </w:p>
    <w:p>
      <w:pPr>
        <w:pStyle w:val="ListBullet"/>
      </w:pPr>
      <w:r>
        <w:t>Indications : DT2 en seconde intention, en association à la metformine, en trithérapie ; priorité chez le patient DT2 avec maladie CV établie selon REWIND, ou obésité associée ; en alternative à l'insuline chez le patient obèse. Particularité : pas d'indication dans l'obésité (à ce jour).</w:t>
      </w:r>
    </w:p>
    <w:p>
      <w:pPr>
        <w:pStyle w:val="ListBullet"/>
      </w:pPr>
      <w:r>
        <w:t>Contre-indications : Identiques au liraglutide et au sémaglutide — diabète de type 1 ; acidocétose ; antécédent personnel ou familial de cancer thyroïdien médullaire ou NEM 2 (CI absolue) ; antécédent de pancréatite (CI relative) ; insuffisance rénale sévère (prudence) ; insuffisance hépatique sévère ; grossesse, allaitement ; hypersensibilité ; gastroparésie sévère ; ileus.</w:t>
      </w:r>
    </w:p>
    <w:p>
      <w:pPr>
        <w:pStyle w:val="ListBullet"/>
      </w:pPr>
      <w:r>
        <w:t>Effets Indésirables : Identiques au liraglutide et au sémaglutide — troubles digestifs (nausées, vomissements, diarrhée — fréquents en début de traitement, dose-dépendants, transitoires), pancréatite aiguë (rare), cancer thyroïdien médullaire (signalisation de boîte noire), hypoglycémie en association, réactions au site d'injection, lithiase biliaire, rarement réactions d'hypersensibilité. La présentation en stylo prérempli à dose unique (1,5 mg/0,5 mL ou 0,75 mg/0,5 mL) simplifie l'administration.</w:t>
      </w:r>
    </w:p>
    <w:p>
      <w:r/>
      <w:r>
        <w:rPr>
          <w:b/>
        </w:rPr>
        <w:t>Prévention et Gestion des Effets Indésirables :</w:t>
      </w:r>
      <w:r/>
    </w:p>
    <w:p>
      <w:pPr>
        <w:pStyle w:val="ListBullet"/>
      </w:pPr>
      <w:r>
        <w:t>Mesures Préventives : Identiques au liraglutide et au sémaglutide — titration progressive (0,75 mg → 1,5 mg), prise hebdomadaire à jour fixe, éducation à l'injection SC, recherche d'antécédents de cancer thyroïde, pancréatite, gastroparésie.</w:t>
      </w:r>
    </w:p>
    <w:p>
      <w:pPr>
        <w:pStyle w:val="ListBullet"/>
      </w:pPr>
      <w:r>
        <w:t>Conduite à Tenir : Identique au liraglutide et au sémaglutide.</w:t>
      </w:r>
    </w:p>
    <w:p>
      <w:r/>
      <w:r>
        <w:rPr>
          <w:b/>
        </w:rPr>
        <w:t>Interactions Importantes :</w:t>
      </w:r>
      <w:r/>
    </w:p>
    <w:p>
      <w:pPr>
        <w:pStyle w:val="ListBullet"/>
      </w:pPr>
      <w:r>
        <w:t>Identiques au liraglutide et au sémaglutide — sulfamides, insuline (réduire la dose), metformine, gliptines, gliflozines (association), contraceptifs oraux, anticoagulants, lévothyroxine (ralentissement de l'absorption).</w:t>
      </w:r>
    </w:p>
    <w:p>
      <w:r/>
      <w:r>
        <w:rPr>
          <w:b/>
        </w:rPr>
        <w:t>Grossesse et Allaitement :</w:t>
      </w:r>
      <w:r/>
    </w:p>
    <w:p>
      <w:pPr>
        <w:pStyle w:val="ListBullet"/>
      </w:pPr>
      <w:r>
        <w:t>Grossesse : CI absolue — arrêt dès qu'une grossesse est planifiée ou confirmée. Substitution par insuline.</w:t>
      </w:r>
    </w:p>
    <w:p>
      <w:pPr>
        <w:pStyle w:val="ListBullet"/>
      </w:pPr>
      <w:r>
        <w:t>Allaitement : CI.</w:t>
      </w:r>
    </w:p>
    <w:p>
      <w:pPr>
        <w:pStyle w:val="ListBullet"/>
      </w:pPr>
      <w:r>
        <w:t>Précisions : Préconceptionnel insuline ; arrêt du dulaglutide 2 mois avant la conception.</w:t>
      </w:r>
    </w:p>
    <w:p>
      <w:r/>
      <w:r>
        <w:rPr>
          <w:b/>
        </w:rPr>
        <w:t>Posologie et Mode d'administration (Standard) :</w:t>
      </w:r>
      <w:r/>
    </w:p>
    <w:p>
      <w:pPr>
        <w:pStyle w:val="ListBullet"/>
      </w:pPr>
      <w:r>
        <w:t>Adulte : Dose initiale 0,75 mg/semaine × 4 semaines → 1,5 mg/semaine (dose d'entretien). Dose maximale 1,5 mg/semaine (parfois 3 mg/semaine dans certains pays, non disponible en Algérie). Administration SC une fois par semaine, à jour fixe, indépendante des repas.</w:t>
      </w:r>
    </w:p>
    <w:p>
      <w:pPr>
        <w:pStyle w:val="ListBullet"/>
      </w:pPr>
      <w:r>
        <w:t>Sujet âgé : Pas d'adaptation systématique.</w:t>
      </w:r>
    </w:p>
    <w:p>
      <w:pPr>
        <w:pStyle w:val="ListBullet"/>
      </w:pPr>
      <w:r>
        <w:t>Insuffisant rénal : Prudence si DFG &lt; 60 ; CI si DFG &lt; 30.</w:t>
      </w:r>
    </w:p>
    <w:p>
      <w:pPr>
        <w:pStyle w:val="ListBullet"/>
      </w:pPr>
      <w:r>
        <w:t>Enfant : Indication ≥ 10 ans (DT2 pédiatrique) dans certains pays.</w:t>
      </w:r>
    </w:p>
    <w:p>
      <w:pPr>
        <w:pStyle w:val="ListBullet"/>
      </w:pPr>
      <w:r>
        <w:t>Durée : au long cours.</w:t>
      </w:r>
    </w:p>
    <w:p>
      <w:pPr>
        <w:pStyle w:val="ListBullet"/>
      </w:pPr>
      <w:r>
        <w:t>Moment de prise : Une injection SC par semaine, à jour fixe, indépendante des repas. Sites d'injection : abdomen, cuisse, bras (rotation).</w:t>
      </w:r>
    </w:p>
    <w:p>
      <w:r/>
      <w:r>
        <w:rPr>
          <w:b/>
        </w:rPr>
        <w:t>Arbitrage et Bénéfices des Formes Galéniques :</w:t>
      </w:r>
      <w:r/>
    </w:p>
    <w:p>
      <w:r>
        <w:t>Le stylo prérempli à dose unique (TRULICITY 0,75 mg/0,5 mL et 1,5 mg/0,5 mL) simplifie l'administration (pas de réglage de dose, pas de purge) — avantage majeur par rapport au liraglutide et au sémaglutide qui nécessitent un réglage de dose. La présentation en boîte de 4 stylos couvre 1 mois de traitement hebdomadaire. La conservation se fait au réfrigérateur (2–8 °C) avant première utilisation, puis à température &lt; 30 °C pendant 14 jours maximum après première utilisation (plus courte que le sémaglutide). Le coût reste élevé.</w:t>
      </w:r>
    </w:p>
    <w:p>
      <w:r/>
      <w:r>
        <w:rPr>
          <w:b/>
        </w:rPr>
        <w:t>Instructions et Conseils au Patient :</w:t>
      </w:r>
      <w:r/>
    </w:p>
    <w:p>
      <w:pPr>
        <w:pStyle w:val="ListBullet"/>
      </w:pPr>
      <w:r>
        <w:t>Communication au comptoir : Éduquer le patient à la technique d'injection SC hebdomadaire (jour fixe, rotation des sites, pas de réglage de dose) ; titration progressive ; avoir toujours un stylo de rechange ; surveiller la glycémie en cas d'association ; alcool proscrit ; signaler tout symptôme abdominal intense (pancréatite), toute masse cervicale (cancer thyroïde), toute réaction allergique. Conservation au réfrigérateur.</w:t>
      </w:r>
    </w:p>
    <w:p>
      <w:pPr>
        <w:pStyle w:val="ListBullet"/>
      </w:pPr>
      <w:r>
        <w:t>Mode d'utilisation pratique : Sortir le stylo du réfrigérateur 30 min avant l'injection. Vérifier la solution (limpide, incolore). Retirer le capuchon. Piquer perpendiculairement dans le tissu SC. Maintenir le bouton enfoncé jusqu'à ce que le voyant jaune disparaisse (≈ 5 à 10 s). Retirer et jeter le stylo dans un collecteur sécurisé (stylo à usage unique). Conserver au réfrigérateur avant 1ère utilisation, à température ambiante après (≤ 30 °C, 14 jours max).</w:t>
      </w:r>
    </w:p>
    <w:p>
      <w:r/>
      <w:r>
        <w:rPr>
          <w:b/>
        </w:rPr>
        <w:t>Notes, Règles d'Or &amp; Pièges au Comptoir :</w:t>
      </w:r>
      <w:r/>
    </w:p>
    <w:p>
      <w:pPr>
        <w:pStyle w:val="ListBullet"/>
      </w:pPr>
      <w:r>
        <w:t>Piège classique : (1) Patient avec antécédent familial de cancer thyroïde médullaire non repéré (CI absolue) ; (2) Pancréatite non évoquée ; (3) Patient sous insuline ou sulfamide sans réduction de dose ; (4) Déshydratation chez le sujet âgé ; (5) Erreur de dose (0,75 mg vs 1,5 mg — vérifier le stylo).</w:t>
      </w:r>
    </w:p>
    <w:p>
      <w:pPr>
        <w:pStyle w:val="ListBullet"/>
      </w:pPr>
      <w:r>
        <w:t>Règle de prise : Une injection SC par semaine à jour fixe, titration progressive, rotation des sites.</w:t>
      </w:r>
    </w:p>
    <w:p>
      <w:pPr>
        <w:pStyle w:val="ListBullet"/>
      </w:pPr>
      <w:r>
        <w:t>Préparation et Conservation : Avant 1ère utilisation : 2–8 °C (réfrigérateur), ne pas congeler. Après 1ère utilisation : ≤ 30 °C pendant 14 jours max. Protéger de la lumière. Le stylo est à usage unique (ne pas réutiliser).</w:t>
      </w:r>
    </w:p>
    <w:p>
      <w:pPr>
        <w:pStyle w:val="ListBullet"/>
      </w:pPr>
      <w:r>
        <w:t>Piège du surdosage / Substitution : En cas de surdosage (hypoglycémie, nausées sévères, déshydratation), arrêt et surveillance pendant 1 semaine (demi-vie longue). Substitution par liraglutide quotidien ou sémaglutide hebdomadaire possible (adaptation et surveillance glycémique).</w:t>
      </w:r>
    </w:p>
    <w:p>
      <w:pPr>
        <w:pStyle w:val="Heading2"/>
      </w:pPr>
      <w:r>
        <w:t>XIII. Tableau Comparatif Synthétique des 21 DCI</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N°</w:t>
            </w:r>
          </w:p>
        </w:tc>
        <w:tc>
          <w:tcPr>
            <w:tcW w:type="dxa" w:w="1039"/>
          </w:tcPr>
          <w:p>
            <w:r>
              <w:rPr>
                <w:b/>
                <w:sz w:val="20"/>
              </w:rPr>
              <w:t>DCI</w:t>
            </w:r>
          </w:p>
        </w:tc>
        <w:tc>
          <w:tcPr>
            <w:tcW w:type="dxa" w:w="1039"/>
          </w:tcPr>
          <w:p>
            <w:r>
              <w:rPr>
                <w:b/>
                <w:sz w:val="20"/>
              </w:rPr>
              <w:t>Sous-classe</w:t>
            </w:r>
          </w:p>
        </w:tc>
        <w:tc>
          <w:tcPr>
            <w:tcW w:type="dxa" w:w="1039"/>
          </w:tcPr>
          <w:p>
            <w:r>
              <w:rPr>
                <w:b/>
                <w:sz w:val="20"/>
              </w:rPr>
              <w:t>Mécanisme principal</w:t>
            </w:r>
          </w:p>
        </w:tc>
        <w:tc>
          <w:tcPr>
            <w:tcW w:type="dxa" w:w="1039"/>
          </w:tcPr>
          <w:p>
            <w:r>
              <w:rPr>
                <w:b/>
                <w:sz w:val="20"/>
              </w:rPr>
              <w:t>Demi-vie (h)</w:t>
            </w:r>
          </w:p>
        </w:tc>
        <w:tc>
          <w:tcPr>
            <w:tcW w:type="dxa" w:w="1039"/>
          </w:tcPr>
          <w:p>
            <w:r>
              <w:rPr>
                <w:b/>
                <w:sz w:val="20"/>
              </w:rPr>
              <w:t>Posologie standard</w:t>
            </w:r>
          </w:p>
        </w:tc>
        <w:tc>
          <w:tcPr>
            <w:tcW w:type="dxa" w:w="1039"/>
          </w:tcPr>
          <w:p>
            <w:r>
              <w:rPr>
                <w:b/>
                <w:sz w:val="20"/>
              </w:rPr>
              <w:t>EI majeur</w:t>
            </w:r>
          </w:p>
        </w:tc>
        <w:tc>
          <w:tcPr>
            <w:tcW w:type="dxa" w:w="1039"/>
          </w:tcPr>
          <w:p>
            <w:r>
              <w:rPr>
                <w:b/>
                <w:sz w:val="20"/>
              </w:rPr>
              <w:t>CI majeure</w:t>
            </w:r>
          </w:p>
        </w:tc>
        <w:tc>
          <w:tcPr>
            <w:tcW w:type="dxa" w:w="1039"/>
          </w:tcPr>
          <w:p>
            <w:r>
              <w:rPr>
                <w:b/>
                <w:sz w:val="20"/>
              </w:rPr>
              <w:t>Grossesse</w:t>
            </w:r>
          </w:p>
        </w:tc>
      </w:tr>
      <w:tr>
        <w:tc>
          <w:tcPr>
            <w:tcW w:type="dxa" w:w="1039"/>
          </w:tcPr>
          <w:p>
            <w:r>
              <w:rPr>
                <w:sz w:val="20"/>
              </w:rPr>
              <w:t>1</w:t>
            </w:r>
          </w:p>
        </w:tc>
        <w:tc>
          <w:tcPr>
            <w:tcW w:type="dxa" w:w="1039"/>
          </w:tcPr>
          <w:p>
            <w:r>
              <w:rPr>
                <w:sz w:val="20"/>
              </w:rPr>
              <w:t>**Metformine**</w:t>
            </w:r>
          </w:p>
        </w:tc>
        <w:tc>
          <w:tcPr>
            <w:tcW w:type="dxa" w:w="1039"/>
          </w:tcPr>
          <w:p>
            <w:r>
              <w:rPr>
                <w:sz w:val="20"/>
              </w:rPr>
              <w:t>Biguanide</w:t>
            </w:r>
          </w:p>
        </w:tc>
        <w:tc>
          <w:tcPr>
            <w:tcW w:type="dxa" w:w="1039"/>
          </w:tcPr>
          <w:p>
            <w:r>
              <w:rPr>
                <w:sz w:val="20"/>
              </w:rPr>
              <w:t>Inhibition complexe I mito + AMPK → ↓ néoglucogenèse hépatique</w:t>
            </w:r>
          </w:p>
        </w:tc>
        <w:tc>
          <w:tcPr>
            <w:tcW w:type="dxa" w:w="1039"/>
          </w:tcPr>
          <w:p>
            <w:r>
              <w:rPr>
                <w:sz w:val="20"/>
              </w:rPr>
              <w:t>~6</w:t>
            </w:r>
          </w:p>
        </w:tc>
        <w:tc>
          <w:tcPr>
            <w:tcW w:type="dxa" w:w="1039"/>
          </w:tcPr>
          <w:p>
            <w:r>
              <w:rPr>
                <w:sz w:val="20"/>
              </w:rPr>
              <w:t>500–3000 mg/j en 2–3 prises</w:t>
            </w:r>
          </w:p>
        </w:tc>
        <w:tc>
          <w:tcPr>
            <w:tcW w:type="dxa" w:w="1039"/>
          </w:tcPr>
          <w:p>
            <w:r>
              <w:rPr>
                <w:sz w:val="20"/>
              </w:rPr>
              <w:t>Acidose lactique, troubles digestifs, carence B12</w:t>
            </w:r>
          </w:p>
        </w:tc>
        <w:tc>
          <w:tcPr>
            <w:tcW w:type="dxa" w:w="1039"/>
          </w:tcPr>
          <w:p>
            <w:r>
              <w:rPr>
                <w:sz w:val="20"/>
              </w:rPr>
              <w:t>DFG &lt; 30, acidocétose, IC décompensée, contraste iodé</w:t>
            </w:r>
          </w:p>
        </w:tc>
        <w:tc>
          <w:tcPr>
            <w:tcW w:type="dxa" w:w="1039"/>
          </w:tcPr>
          <w:p>
            <w:r>
              <w:rPr>
                <w:sz w:val="20"/>
              </w:rPr>
              <w:t>Compatible (CRAT) ; insuline préférée</w:t>
            </w:r>
          </w:p>
        </w:tc>
      </w:tr>
      <w:tr>
        <w:tc>
          <w:tcPr>
            <w:tcW w:type="dxa" w:w="1039"/>
          </w:tcPr>
          <w:p>
            <w:r>
              <w:rPr>
                <w:sz w:val="20"/>
              </w:rPr>
              <w:t>2</w:t>
            </w:r>
          </w:p>
        </w:tc>
        <w:tc>
          <w:tcPr>
            <w:tcW w:type="dxa" w:w="1039"/>
          </w:tcPr>
          <w:p>
            <w:r>
              <w:rPr>
                <w:sz w:val="20"/>
              </w:rPr>
              <w:t>**Carbutamide**</w:t>
            </w:r>
          </w:p>
        </w:tc>
        <w:tc>
          <w:tcPr>
            <w:tcW w:type="dxa" w:w="1039"/>
          </w:tcPr>
          <w:p>
            <w:r>
              <w:rPr>
                <w:sz w:val="20"/>
              </w:rPr>
              <w:t>Sulfamide 1re gén.</w:t>
            </w:r>
          </w:p>
        </w:tc>
        <w:tc>
          <w:tcPr>
            <w:tcW w:type="dxa" w:w="1039"/>
          </w:tcPr>
          <w:p>
            <w:r>
              <w:rPr>
                <w:sz w:val="20"/>
              </w:rPr>
              <w:t>Fermeture K+ATP (SUR1) → exocytose insuline</w:t>
            </w:r>
          </w:p>
        </w:tc>
        <w:tc>
          <w:tcPr>
            <w:tcW w:type="dxa" w:w="1039"/>
          </w:tcPr>
          <w:p>
            <w:r>
              <w:rPr>
                <w:sz w:val="20"/>
              </w:rPr>
              <w:t>~30 (historique)</w:t>
            </w:r>
          </w:p>
        </w:tc>
        <w:tc>
          <w:tcPr>
            <w:tcW w:type="dxa" w:w="1039"/>
          </w:tcPr>
          <w:p>
            <w:r>
              <w:rPr>
                <w:sz w:val="20"/>
              </w:rPr>
              <w:t>0,5–1,5 g/j (retiré)</w:t>
            </w:r>
          </w:p>
        </w:tc>
        <w:tc>
          <w:tcPr>
            <w:tcW w:type="dxa" w:w="1039"/>
          </w:tcPr>
          <w:p>
            <w:r>
              <w:rPr>
                <w:sz w:val="20"/>
              </w:rPr>
              <w:t>Hypoglycémie prolongée, SIADH</w:t>
            </w:r>
          </w:p>
        </w:tc>
        <w:tc>
          <w:tcPr>
            <w:tcW w:type="dxa" w:w="1039"/>
          </w:tcPr>
          <w:p>
            <w:r>
              <w:rPr>
                <w:sz w:val="20"/>
              </w:rPr>
              <w:t>IR, IH, sujet âgé</w:t>
            </w:r>
          </w:p>
        </w:tc>
        <w:tc>
          <w:tcPr>
            <w:tcW w:type="dxa" w:w="1039"/>
          </w:tcPr>
          <w:p>
            <w:r>
              <w:rPr>
                <w:sz w:val="20"/>
              </w:rPr>
              <w:t>CI — insuline</w:t>
            </w:r>
          </w:p>
        </w:tc>
      </w:tr>
      <w:tr>
        <w:tc>
          <w:tcPr>
            <w:tcW w:type="dxa" w:w="1039"/>
          </w:tcPr>
          <w:p>
            <w:r>
              <w:rPr>
                <w:sz w:val="20"/>
              </w:rPr>
              <w:t>3</w:t>
            </w:r>
          </w:p>
        </w:tc>
        <w:tc>
          <w:tcPr>
            <w:tcW w:type="dxa" w:w="1039"/>
          </w:tcPr>
          <w:p>
            <w:r>
              <w:rPr>
                <w:sz w:val="20"/>
              </w:rPr>
              <w:t>**Glibenclamide**</w:t>
            </w:r>
          </w:p>
        </w:tc>
        <w:tc>
          <w:tcPr>
            <w:tcW w:type="dxa" w:w="1039"/>
          </w:tcPr>
          <w:p>
            <w:r>
              <w:rPr>
                <w:sz w:val="20"/>
              </w:rPr>
              <w:t>Sulfamide 2e gén.</w:t>
            </w:r>
          </w:p>
        </w:tc>
        <w:tc>
          <w:tcPr>
            <w:tcW w:type="dxa" w:w="1039"/>
          </w:tcPr>
          <w:p>
            <w:r>
              <w:rPr>
                <w:sz w:val="20"/>
              </w:rPr>
              <w:t>Fermeture K+ATP (SUR1) → exocytose insuline</w:t>
            </w:r>
          </w:p>
        </w:tc>
        <w:tc>
          <w:tcPr>
            <w:tcW w:type="dxa" w:w="1039"/>
          </w:tcPr>
          <w:p>
            <w:r>
              <w:rPr>
                <w:sz w:val="20"/>
              </w:rPr>
              <w:t>10–16 (métabolites actifs)</w:t>
            </w:r>
          </w:p>
        </w:tc>
        <w:tc>
          <w:tcPr>
            <w:tcW w:type="dxa" w:w="1039"/>
          </w:tcPr>
          <w:p>
            <w:r>
              <w:rPr>
                <w:sz w:val="20"/>
              </w:rPr>
              <w:t>2,5–15 mg/j en 1–2 prises</w:t>
            </w:r>
          </w:p>
        </w:tc>
        <w:tc>
          <w:tcPr>
            <w:tcW w:type="dxa" w:w="1039"/>
          </w:tcPr>
          <w:p>
            <w:r>
              <w:rPr>
                <w:sz w:val="20"/>
              </w:rPr>
              <w:t>Hypoglycémie sévère, prise de poids</w:t>
            </w:r>
          </w:p>
        </w:tc>
        <w:tc>
          <w:tcPr>
            <w:tcW w:type="dxa" w:w="1039"/>
          </w:tcPr>
          <w:p>
            <w:r>
              <w:rPr>
                <w:sz w:val="20"/>
              </w:rPr>
              <w:t>IR sévère, IH, sujet âgé</w:t>
            </w:r>
          </w:p>
        </w:tc>
        <w:tc>
          <w:tcPr>
            <w:tcW w:type="dxa" w:w="1039"/>
          </w:tcPr>
          <w:p>
            <w:r>
              <w:rPr>
                <w:sz w:val="20"/>
              </w:rPr>
              <w:t>CI — insuline</w:t>
            </w:r>
          </w:p>
        </w:tc>
      </w:tr>
      <w:tr>
        <w:tc>
          <w:tcPr>
            <w:tcW w:type="dxa" w:w="1039"/>
          </w:tcPr>
          <w:p>
            <w:r>
              <w:rPr>
                <w:sz w:val="20"/>
              </w:rPr>
              <w:t>4</w:t>
            </w:r>
          </w:p>
        </w:tc>
        <w:tc>
          <w:tcPr>
            <w:tcW w:type="dxa" w:w="1039"/>
          </w:tcPr>
          <w:p>
            <w:r>
              <w:rPr>
                <w:sz w:val="20"/>
              </w:rPr>
              <w:t>**Gliclazide**</w:t>
            </w:r>
          </w:p>
        </w:tc>
        <w:tc>
          <w:tcPr>
            <w:tcW w:type="dxa" w:w="1039"/>
          </w:tcPr>
          <w:p>
            <w:r>
              <w:rPr>
                <w:sz w:val="20"/>
              </w:rPr>
              <w:t>Sulfamide 2e gén.</w:t>
            </w:r>
          </w:p>
        </w:tc>
        <w:tc>
          <w:tcPr>
            <w:tcW w:type="dxa" w:w="1039"/>
          </w:tcPr>
          <w:p>
            <w:r>
              <w:rPr>
                <w:sz w:val="20"/>
              </w:rPr>
              <w:t>Fermeture K+ATP (SUR1) + effets vasculaires</w:t>
            </w:r>
          </w:p>
        </w:tc>
        <w:tc>
          <w:tcPr>
            <w:tcW w:type="dxa" w:w="1039"/>
          </w:tcPr>
          <w:p>
            <w:r>
              <w:rPr>
                <w:sz w:val="20"/>
              </w:rPr>
              <w:t>10–12 (forme MR)</w:t>
            </w:r>
          </w:p>
        </w:tc>
        <w:tc>
          <w:tcPr>
            <w:tcW w:type="dxa" w:w="1039"/>
          </w:tcPr>
          <w:p>
            <w:r>
              <w:rPr>
                <w:sz w:val="20"/>
              </w:rPr>
              <w:t>30–120 mg/j (MR) en 1 prise</w:t>
            </w:r>
          </w:p>
        </w:tc>
        <w:tc>
          <w:tcPr>
            <w:tcW w:type="dxa" w:w="1039"/>
          </w:tcPr>
          <w:p>
            <w:r>
              <w:rPr>
                <w:sz w:val="20"/>
              </w:rPr>
              <w:t>Hypoglycémie (rare avec MR), prise de poids modérée</w:t>
            </w:r>
          </w:p>
        </w:tc>
        <w:tc>
          <w:tcPr>
            <w:tcW w:type="dxa" w:w="1039"/>
          </w:tcPr>
          <w:p>
            <w:r>
              <w:rPr>
                <w:sz w:val="20"/>
              </w:rPr>
              <w:t>IR sévère, IH, porphyrie</w:t>
            </w:r>
          </w:p>
        </w:tc>
        <w:tc>
          <w:tcPr>
            <w:tcW w:type="dxa" w:w="1039"/>
          </w:tcPr>
          <w:p>
            <w:r>
              <w:rPr>
                <w:sz w:val="20"/>
              </w:rPr>
              <w:t>CI — insuline</w:t>
            </w:r>
          </w:p>
        </w:tc>
      </w:tr>
      <w:tr>
        <w:tc>
          <w:tcPr>
            <w:tcW w:type="dxa" w:w="1039"/>
          </w:tcPr>
          <w:p>
            <w:r>
              <w:rPr>
                <w:sz w:val="20"/>
              </w:rPr>
              <w:t>5</w:t>
            </w:r>
          </w:p>
        </w:tc>
        <w:tc>
          <w:tcPr>
            <w:tcW w:type="dxa" w:w="1039"/>
          </w:tcPr>
          <w:p>
            <w:r>
              <w:rPr>
                <w:sz w:val="20"/>
              </w:rPr>
              <w:t>**Glipizide**</w:t>
            </w:r>
          </w:p>
        </w:tc>
        <w:tc>
          <w:tcPr>
            <w:tcW w:type="dxa" w:w="1039"/>
          </w:tcPr>
          <w:p>
            <w:r>
              <w:rPr>
                <w:sz w:val="20"/>
              </w:rPr>
              <w:t>Sulfamide 2e gén.</w:t>
            </w:r>
          </w:p>
        </w:tc>
        <w:tc>
          <w:tcPr>
            <w:tcW w:type="dxa" w:w="1039"/>
          </w:tcPr>
          <w:p>
            <w:r>
              <w:rPr>
                <w:sz w:val="20"/>
              </w:rPr>
              <w:t>Fermeture K+ATP (SUR1) → exocytose insuline</w:t>
            </w:r>
          </w:p>
        </w:tc>
        <w:tc>
          <w:tcPr>
            <w:tcW w:type="dxa" w:w="1039"/>
          </w:tcPr>
          <w:p>
            <w:r>
              <w:rPr>
                <w:sz w:val="20"/>
              </w:rPr>
              <w:t>2–4</w:t>
            </w:r>
          </w:p>
        </w:tc>
        <w:tc>
          <w:tcPr>
            <w:tcW w:type="dxa" w:w="1039"/>
          </w:tcPr>
          <w:p>
            <w:r>
              <w:rPr>
                <w:sz w:val="20"/>
              </w:rPr>
              <w:t>2,5–20 mg/j en 1–2 prises (retiré)</w:t>
            </w:r>
          </w:p>
        </w:tc>
        <w:tc>
          <w:tcPr>
            <w:tcW w:type="dxa" w:w="1039"/>
          </w:tcPr>
          <w:p>
            <w:r>
              <w:rPr>
                <w:sz w:val="20"/>
              </w:rPr>
              <w:t>Hypoglycémie, prise de poids</w:t>
            </w:r>
          </w:p>
        </w:tc>
        <w:tc>
          <w:tcPr>
            <w:tcW w:type="dxa" w:w="1039"/>
          </w:tcPr>
          <w:p>
            <w:r>
              <w:rPr>
                <w:sz w:val="20"/>
              </w:rPr>
              <w:t>IR sévère, IH, porphyrie</w:t>
            </w:r>
          </w:p>
        </w:tc>
        <w:tc>
          <w:tcPr>
            <w:tcW w:type="dxa" w:w="1039"/>
          </w:tcPr>
          <w:p>
            <w:r>
              <w:rPr>
                <w:sz w:val="20"/>
              </w:rPr>
              <w:t>CI — insuline</w:t>
            </w:r>
          </w:p>
        </w:tc>
      </w:tr>
      <w:tr>
        <w:tc>
          <w:tcPr>
            <w:tcW w:type="dxa" w:w="1039"/>
          </w:tcPr>
          <w:p>
            <w:r>
              <w:rPr>
                <w:sz w:val="20"/>
              </w:rPr>
              <w:t>6</w:t>
            </w:r>
          </w:p>
        </w:tc>
        <w:tc>
          <w:tcPr>
            <w:tcW w:type="dxa" w:w="1039"/>
          </w:tcPr>
          <w:p>
            <w:r>
              <w:rPr>
                <w:sz w:val="20"/>
              </w:rPr>
              <w:t>**Gliquidone**</w:t>
            </w:r>
          </w:p>
        </w:tc>
        <w:tc>
          <w:tcPr>
            <w:tcW w:type="dxa" w:w="1039"/>
          </w:tcPr>
          <w:p>
            <w:r>
              <w:rPr>
                <w:sz w:val="20"/>
              </w:rPr>
              <w:t>Sulfamide 2e gén.</w:t>
            </w:r>
          </w:p>
        </w:tc>
        <w:tc>
          <w:tcPr>
            <w:tcW w:type="dxa" w:w="1039"/>
          </w:tcPr>
          <w:p>
            <w:r>
              <w:rPr>
                <w:sz w:val="20"/>
              </w:rPr>
              <w:t>Fermeture K+ATP (SUR1) → exocytose insuline</w:t>
            </w:r>
          </w:p>
        </w:tc>
        <w:tc>
          <w:tcPr>
            <w:tcW w:type="dxa" w:w="1039"/>
          </w:tcPr>
          <w:p>
            <w:r>
              <w:rPr>
                <w:sz w:val="20"/>
              </w:rPr>
              <w:t>1,5</w:t>
            </w:r>
          </w:p>
        </w:tc>
        <w:tc>
          <w:tcPr>
            <w:tcW w:type="dxa" w:w="1039"/>
          </w:tcPr>
          <w:p>
            <w:r>
              <w:rPr>
                <w:sz w:val="20"/>
              </w:rPr>
              <w:t>30–180 mg/j en 3 prises</w:t>
            </w:r>
          </w:p>
        </w:tc>
        <w:tc>
          <w:tcPr>
            <w:tcW w:type="dxa" w:w="1039"/>
          </w:tcPr>
          <w:p>
            <w:r>
              <w:rPr>
                <w:sz w:val="20"/>
              </w:rPr>
              <w:t>Hypoglycémie courte, prise de poids modeste</w:t>
            </w:r>
          </w:p>
        </w:tc>
        <w:tc>
          <w:tcPr>
            <w:tcW w:type="dxa" w:w="1039"/>
          </w:tcPr>
          <w:p>
            <w:r>
              <w:rPr>
                <w:sz w:val="20"/>
              </w:rPr>
              <w:t>IH sévère, porphyrie</w:t>
            </w:r>
          </w:p>
        </w:tc>
        <w:tc>
          <w:tcPr>
            <w:tcW w:type="dxa" w:w="1039"/>
          </w:tcPr>
          <w:p>
            <w:r>
              <w:rPr>
                <w:sz w:val="20"/>
              </w:rPr>
              <w:t>CI — insuline</w:t>
            </w:r>
          </w:p>
        </w:tc>
      </w:tr>
      <w:tr>
        <w:tc>
          <w:tcPr>
            <w:tcW w:type="dxa" w:w="1039"/>
          </w:tcPr>
          <w:p>
            <w:r>
              <w:rPr>
                <w:sz w:val="20"/>
              </w:rPr>
              <w:t>7</w:t>
            </w:r>
          </w:p>
        </w:tc>
        <w:tc>
          <w:tcPr>
            <w:tcW w:type="dxa" w:w="1039"/>
          </w:tcPr>
          <w:p>
            <w:r>
              <w:rPr>
                <w:sz w:val="20"/>
              </w:rPr>
              <w:t>**Glimépiride**</w:t>
            </w:r>
          </w:p>
        </w:tc>
        <w:tc>
          <w:tcPr>
            <w:tcW w:type="dxa" w:w="1039"/>
          </w:tcPr>
          <w:p>
            <w:r>
              <w:rPr>
                <w:sz w:val="20"/>
              </w:rPr>
              <w:t>Sulfamide 3e gén.</w:t>
            </w:r>
          </w:p>
        </w:tc>
        <w:tc>
          <w:tcPr>
            <w:tcW w:type="dxa" w:w="1039"/>
          </w:tcPr>
          <w:p>
            <w:r>
              <w:rPr>
                <w:sz w:val="20"/>
              </w:rPr>
              <w:t>Fermeture K+ATP (SUR1) + effet insulinosensibilisateur</w:t>
            </w:r>
          </w:p>
        </w:tc>
        <w:tc>
          <w:tcPr>
            <w:tcW w:type="dxa" w:w="1039"/>
          </w:tcPr>
          <w:p>
            <w:r>
              <w:rPr>
                <w:sz w:val="20"/>
              </w:rPr>
              <w:t>5–8</w:t>
            </w:r>
          </w:p>
        </w:tc>
        <w:tc>
          <w:tcPr>
            <w:tcW w:type="dxa" w:w="1039"/>
          </w:tcPr>
          <w:p>
            <w:r>
              <w:rPr>
                <w:sz w:val="20"/>
              </w:rPr>
              <w:t>1–6 mg/j en 1 prise matin</w:t>
            </w:r>
          </w:p>
        </w:tc>
        <w:tc>
          <w:tcPr>
            <w:tcW w:type="dxa" w:w="1039"/>
          </w:tcPr>
          <w:p>
            <w:r>
              <w:rPr>
                <w:sz w:val="20"/>
              </w:rPr>
              <w:t>Hypoglycémie (incidence moindre), prise de poids modérée</w:t>
            </w:r>
          </w:p>
        </w:tc>
        <w:tc>
          <w:tcPr>
            <w:tcW w:type="dxa" w:w="1039"/>
          </w:tcPr>
          <w:p>
            <w:r>
              <w:rPr>
                <w:sz w:val="20"/>
              </w:rPr>
              <w:t>IR sévère, IH, porphyrie</w:t>
            </w:r>
          </w:p>
        </w:tc>
        <w:tc>
          <w:tcPr>
            <w:tcW w:type="dxa" w:w="1039"/>
          </w:tcPr>
          <w:p>
            <w:r>
              <w:rPr>
                <w:sz w:val="20"/>
              </w:rPr>
              <w:t>CI — insuline</w:t>
            </w:r>
          </w:p>
        </w:tc>
      </w:tr>
      <w:tr>
        <w:tc>
          <w:tcPr>
            <w:tcW w:type="dxa" w:w="1039"/>
          </w:tcPr>
          <w:p>
            <w:r>
              <w:rPr>
                <w:sz w:val="20"/>
              </w:rPr>
              <w:t>8</w:t>
            </w:r>
          </w:p>
        </w:tc>
        <w:tc>
          <w:tcPr>
            <w:tcW w:type="dxa" w:w="1039"/>
          </w:tcPr>
          <w:p>
            <w:r>
              <w:rPr>
                <w:sz w:val="20"/>
              </w:rPr>
              <w:t>**Répaglinide**</w:t>
            </w:r>
          </w:p>
        </w:tc>
        <w:tc>
          <w:tcPr>
            <w:tcW w:type="dxa" w:w="1039"/>
          </w:tcPr>
          <w:p>
            <w:r>
              <w:rPr>
                <w:sz w:val="20"/>
              </w:rPr>
              <w:t>Glinide (meglitinide)</w:t>
            </w:r>
          </w:p>
        </w:tc>
        <w:tc>
          <w:tcPr>
            <w:tcW w:type="dxa" w:w="1039"/>
          </w:tcPr>
          <w:p>
            <w:r>
              <w:rPr>
                <w:sz w:val="20"/>
              </w:rPr>
              <w:t>Fermeture K+ATP (SUR1, sites distincts) → exocytose insuline prandiale</w:t>
            </w:r>
          </w:p>
        </w:tc>
        <w:tc>
          <w:tcPr>
            <w:tcW w:type="dxa" w:w="1039"/>
          </w:tcPr>
          <w:p>
            <w:r>
              <w:rPr>
                <w:sz w:val="20"/>
              </w:rPr>
              <w:t>~1</w:t>
            </w:r>
          </w:p>
        </w:tc>
        <w:tc>
          <w:tcPr>
            <w:tcW w:type="dxa" w:w="1039"/>
          </w:tcPr>
          <w:p>
            <w:r>
              <w:rPr>
                <w:sz w:val="20"/>
              </w:rPr>
              <w:t>0,5–4 mg/repas × 3 prises</w:t>
            </w:r>
          </w:p>
        </w:tc>
        <w:tc>
          <w:tcPr>
            <w:tcW w:type="dxa" w:w="1039"/>
          </w:tcPr>
          <w:p>
            <w:r>
              <w:rPr>
                <w:sz w:val="20"/>
              </w:rPr>
              <w:t>Hypoglycémie (modérée), prise de poids modeste</w:t>
            </w:r>
          </w:p>
        </w:tc>
        <w:tc>
          <w:tcPr>
            <w:tcW w:type="dxa" w:w="1039"/>
          </w:tcPr>
          <w:p>
            <w:r>
              <w:rPr>
                <w:sz w:val="20"/>
              </w:rPr>
              <w:t>IH sévère, association gemfibrozil</w:t>
            </w:r>
          </w:p>
        </w:tc>
        <w:tc>
          <w:tcPr>
            <w:tcW w:type="dxa" w:w="1039"/>
          </w:tcPr>
          <w:p>
            <w:r>
              <w:rPr>
                <w:sz w:val="20"/>
              </w:rPr>
              <w:t>CI — insuline</w:t>
            </w:r>
          </w:p>
        </w:tc>
      </w:tr>
      <w:tr>
        <w:tc>
          <w:tcPr>
            <w:tcW w:type="dxa" w:w="1039"/>
          </w:tcPr>
          <w:p>
            <w:r>
              <w:rPr>
                <w:sz w:val="20"/>
              </w:rPr>
              <w:t>9</w:t>
            </w:r>
          </w:p>
        </w:tc>
        <w:tc>
          <w:tcPr>
            <w:tcW w:type="dxa" w:w="1039"/>
          </w:tcPr>
          <w:p>
            <w:r>
              <w:rPr>
                <w:sz w:val="20"/>
              </w:rPr>
              <w:t>**Acarbose**</w:t>
            </w:r>
          </w:p>
        </w:tc>
        <w:tc>
          <w:tcPr>
            <w:tcW w:type="dxa" w:w="1039"/>
          </w:tcPr>
          <w:p>
            <w:r>
              <w:rPr>
                <w:sz w:val="20"/>
              </w:rPr>
              <w:t>Inhib. alpha-glucosidase</w:t>
            </w:r>
          </w:p>
        </w:tc>
        <w:tc>
          <w:tcPr>
            <w:tcW w:type="dxa" w:w="1039"/>
          </w:tcPr>
          <w:p>
            <w:r>
              <w:rPr>
                <w:sz w:val="20"/>
              </w:rPr>
              <w:t>Inhibition α-glucosidases intestinales → retard absorption glucose</w:t>
            </w:r>
          </w:p>
        </w:tc>
        <w:tc>
          <w:tcPr>
            <w:tcW w:type="dxa" w:w="1039"/>
          </w:tcPr>
          <w:p>
            <w:r>
              <w:rPr>
                <w:sz w:val="20"/>
              </w:rPr>
              <w:t>2–3</w:t>
            </w:r>
          </w:p>
        </w:tc>
        <w:tc>
          <w:tcPr>
            <w:tcW w:type="dxa" w:w="1039"/>
          </w:tcPr>
          <w:p>
            <w:r>
              <w:rPr>
                <w:sz w:val="20"/>
              </w:rPr>
              <w:t>50–100 mg × 3/j au début des repas</w:t>
            </w:r>
          </w:p>
        </w:tc>
        <w:tc>
          <w:tcPr>
            <w:tcW w:type="dxa" w:w="1039"/>
          </w:tcPr>
          <w:p>
            <w:r>
              <w:rPr>
                <w:sz w:val="20"/>
              </w:rPr>
              <w:t>Flatulences, météorisme, diarrhée, cytolyse</w:t>
            </w:r>
          </w:p>
        </w:tc>
        <w:tc>
          <w:tcPr>
            <w:tcW w:type="dxa" w:w="1039"/>
          </w:tcPr>
          <w:p>
            <w:r>
              <w:rPr>
                <w:sz w:val="20"/>
              </w:rPr>
              <w:t>IH sévère, occlusion, malabsorption</w:t>
            </w:r>
          </w:p>
        </w:tc>
        <w:tc>
          <w:tcPr>
            <w:tcW w:type="dxa" w:w="1039"/>
          </w:tcPr>
          <w:p>
            <w:r>
              <w:rPr>
                <w:sz w:val="20"/>
              </w:rPr>
              <w:t>CI — insuline</w:t>
            </w:r>
          </w:p>
        </w:tc>
      </w:tr>
      <w:tr>
        <w:tc>
          <w:tcPr>
            <w:tcW w:type="dxa" w:w="1039"/>
          </w:tcPr>
          <w:p>
            <w:r>
              <w:rPr>
                <w:sz w:val="20"/>
              </w:rPr>
              <w:t>10</w:t>
            </w:r>
          </w:p>
        </w:tc>
        <w:tc>
          <w:tcPr>
            <w:tcW w:type="dxa" w:w="1039"/>
          </w:tcPr>
          <w:p>
            <w:r>
              <w:rPr>
                <w:sz w:val="20"/>
              </w:rPr>
              <w:t>**Pioglitazone**</w:t>
            </w:r>
          </w:p>
        </w:tc>
        <w:tc>
          <w:tcPr>
            <w:tcW w:type="dxa" w:w="1039"/>
          </w:tcPr>
          <w:p>
            <w:r>
              <w:rPr>
                <w:sz w:val="20"/>
              </w:rPr>
              <w:t>Thiazolidinedione</w:t>
            </w:r>
          </w:p>
        </w:tc>
        <w:tc>
          <w:tcPr>
            <w:tcW w:type="dxa" w:w="1039"/>
          </w:tcPr>
          <w:p>
            <w:r>
              <w:rPr>
                <w:sz w:val="20"/>
              </w:rPr>
              <w:t>Activation PPARγ → ↑ sensibilité insuline, ↑ GLUT4</w:t>
            </w:r>
          </w:p>
        </w:tc>
        <w:tc>
          <w:tcPr>
            <w:tcW w:type="dxa" w:w="1039"/>
          </w:tcPr>
          <w:p>
            <w:r>
              <w:rPr>
                <w:sz w:val="20"/>
              </w:rPr>
              <w:t>3–7 (16–24 métabolites)</w:t>
            </w:r>
          </w:p>
        </w:tc>
        <w:tc>
          <w:tcPr>
            <w:tcW w:type="dxa" w:w="1039"/>
          </w:tcPr>
          <w:p>
            <w:r>
              <w:rPr>
                <w:sz w:val="20"/>
              </w:rPr>
              <w:t>15–45 mg/j en 1 prise</w:t>
            </w:r>
          </w:p>
        </w:tc>
        <w:tc>
          <w:tcPr>
            <w:tcW w:type="dxa" w:w="1039"/>
          </w:tcPr>
          <w:p>
            <w:r>
              <w:rPr>
                <w:sz w:val="20"/>
              </w:rPr>
              <w:t>Œdèmes, prise de poids, IC, fractures, vessie (débat)</w:t>
            </w:r>
          </w:p>
        </w:tc>
        <w:tc>
          <w:tcPr>
            <w:tcW w:type="dxa" w:w="1039"/>
          </w:tcPr>
          <w:p>
            <w:r>
              <w:rPr>
                <w:sz w:val="20"/>
              </w:rPr>
              <w:t>IC (NYHA I–IV), IH sévère, cancer vessie</w:t>
            </w:r>
          </w:p>
        </w:tc>
        <w:tc>
          <w:tcPr>
            <w:tcW w:type="dxa" w:w="1039"/>
          </w:tcPr>
          <w:p>
            <w:r>
              <w:rPr>
                <w:sz w:val="20"/>
              </w:rPr>
              <w:t>CI — insuline</w:t>
            </w:r>
          </w:p>
        </w:tc>
      </w:tr>
      <w:tr>
        <w:tc>
          <w:tcPr>
            <w:tcW w:type="dxa" w:w="1039"/>
          </w:tcPr>
          <w:p>
            <w:r>
              <w:rPr>
                <w:sz w:val="20"/>
              </w:rPr>
              <w:t>11</w:t>
            </w:r>
          </w:p>
        </w:tc>
        <w:tc>
          <w:tcPr>
            <w:tcW w:type="dxa" w:w="1039"/>
          </w:tcPr>
          <w:p>
            <w:r>
              <w:rPr>
                <w:sz w:val="20"/>
              </w:rPr>
              <w:t>**Sitagliptine**</w:t>
            </w:r>
          </w:p>
        </w:tc>
        <w:tc>
          <w:tcPr>
            <w:tcW w:type="dxa" w:w="1039"/>
          </w:tcPr>
          <w:p>
            <w:r>
              <w:rPr>
                <w:sz w:val="20"/>
              </w:rPr>
              <w:t>Inhib. DPP-4 (gliptine)</w:t>
            </w:r>
          </w:p>
        </w:tc>
        <w:tc>
          <w:tcPr>
            <w:tcW w:type="dxa" w:w="1039"/>
          </w:tcPr>
          <w:p>
            <w:r>
              <w:rPr>
                <w:sz w:val="20"/>
              </w:rPr>
              <w:t>Inhibition DPP-4 → ↑ GLP-1 endogène → ↑ insuline glucose-dépendante</w:t>
            </w:r>
          </w:p>
        </w:tc>
        <w:tc>
          <w:tcPr>
            <w:tcW w:type="dxa" w:w="1039"/>
          </w:tcPr>
          <w:p>
            <w:r>
              <w:rPr>
                <w:sz w:val="20"/>
              </w:rPr>
              <w:t>12,4</w:t>
            </w:r>
          </w:p>
        </w:tc>
        <w:tc>
          <w:tcPr>
            <w:tcW w:type="dxa" w:w="1039"/>
          </w:tcPr>
          <w:p>
            <w:r>
              <w:rPr>
                <w:sz w:val="20"/>
              </w:rPr>
              <w:t>100 mg/j le matin (50 mg si DFG 30–45 ; 25 mg si DFG &lt; 30)</w:t>
            </w:r>
          </w:p>
        </w:tc>
        <w:tc>
          <w:tcPr>
            <w:tcW w:type="dxa" w:w="1039"/>
          </w:tcPr>
          <w:p>
            <w:r>
              <w:rPr>
                <w:sz w:val="20"/>
              </w:rPr>
              <w:t>Nasopharyngite, pancréatite rare, arthralgies</w:t>
            </w:r>
          </w:p>
        </w:tc>
        <w:tc>
          <w:tcPr>
            <w:tcW w:type="dxa" w:w="1039"/>
          </w:tcPr>
          <w:p>
            <w:r>
              <w:rPr>
                <w:sz w:val="20"/>
              </w:rPr>
              <w:t>DT1, IR sévère non dialysée, pancréatite ATCD</w:t>
            </w:r>
          </w:p>
        </w:tc>
        <w:tc>
          <w:tcPr>
            <w:tcW w:type="dxa" w:w="1039"/>
          </w:tcPr>
          <w:p>
            <w:r>
              <w:rPr>
                <w:sz w:val="20"/>
              </w:rPr>
              <w:t>CI — insuline</w:t>
            </w:r>
          </w:p>
        </w:tc>
      </w:tr>
      <w:tr>
        <w:tc>
          <w:tcPr>
            <w:tcW w:type="dxa" w:w="1039"/>
          </w:tcPr>
          <w:p>
            <w:r>
              <w:rPr>
                <w:sz w:val="20"/>
              </w:rPr>
              <w:t>12</w:t>
            </w:r>
          </w:p>
        </w:tc>
        <w:tc>
          <w:tcPr>
            <w:tcW w:type="dxa" w:w="1039"/>
          </w:tcPr>
          <w:p>
            <w:r>
              <w:rPr>
                <w:sz w:val="20"/>
              </w:rPr>
              <w:t>**Vildagliptine**</w:t>
            </w:r>
          </w:p>
        </w:tc>
        <w:tc>
          <w:tcPr>
            <w:tcW w:type="dxa" w:w="1039"/>
          </w:tcPr>
          <w:p>
            <w:r>
              <w:rPr>
                <w:sz w:val="20"/>
              </w:rPr>
              <w:t>Inhib. DPP-4 (gliptine)</w:t>
            </w:r>
          </w:p>
        </w:tc>
        <w:tc>
          <w:tcPr>
            <w:tcW w:type="dxa" w:w="1039"/>
          </w:tcPr>
          <w:p>
            <w:r>
              <w:rPr>
                <w:sz w:val="20"/>
              </w:rPr>
              <w:t>Inhibition DPP-4 → ↑ GLP-1 endogène</w:t>
            </w:r>
          </w:p>
        </w:tc>
        <w:tc>
          <w:tcPr>
            <w:tcW w:type="dxa" w:w="1039"/>
          </w:tcPr>
          <w:p>
            <w:r>
              <w:rPr>
                <w:sz w:val="20"/>
              </w:rPr>
              <w:t>2–3 (effet PD &gt; 24 h)</w:t>
            </w:r>
          </w:p>
        </w:tc>
        <w:tc>
          <w:tcPr>
            <w:tcW w:type="dxa" w:w="1039"/>
          </w:tcPr>
          <w:p>
            <w:r>
              <w:rPr>
                <w:sz w:val="20"/>
              </w:rPr>
              <w:t>50 mg × 2/j (50 mg/j si IR)</w:t>
            </w:r>
          </w:p>
        </w:tc>
        <w:tc>
          <w:tcPr>
            <w:tcW w:type="dxa" w:w="1039"/>
          </w:tcPr>
          <w:p>
            <w:r>
              <w:rPr>
                <w:sz w:val="20"/>
              </w:rPr>
              <w:t>Cytolyse hépatique (surveillance), pancréatite rare</w:t>
            </w:r>
          </w:p>
        </w:tc>
        <w:tc>
          <w:tcPr>
            <w:tcW w:type="dxa" w:w="1039"/>
          </w:tcPr>
          <w:p>
            <w:r>
              <w:rPr>
                <w:sz w:val="20"/>
              </w:rPr>
              <w:t>IH sévère, IR sévère, pancréatite ATCD</w:t>
            </w:r>
          </w:p>
        </w:tc>
        <w:tc>
          <w:tcPr>
            <w:tcW w:type="dxa" w:w="1039"/>
          </w:tcPr>
          <w:p>
            <w:r>
              <w:rPr>
                <w:sz w:val="20"/>
              </w:rPr>
              <w:t>CI — insuline</w:t>
            </w:r>
          </w:p>
        </w:tc>
      </w:tr>
      <w:tr>
        <w:tc>
          <w:tcPr>
            <w:tcW w:type="dxa" w:w="1039"/>
          </w:tcPr>
          <w:p>
            <w:r>
              <w:rPr>
                <w:sz w:val="20"/>
              </w:rPr>
              <w:t>13</w:t>
            </w:r>
          </w:p>
        </w:tc>
        <w:tc>
          <w:tcPr>
            <w:tcW w:type="dxa" w:w="1039"/>
          </w:tcPr>
          <w:p>
            <w:r>
              <w:rPr>
                <w:sz w:val="20"/>
              </w:rPr>
              <w:t>**Alogliptine**</w:t>
            </w:r>
          </w:p>
        </w:tc>
        <w:tc>
          <w:tcPr>
            <w:tcW w:type="dxa" w:w="1039"/>
          </w:tcPr>
          <w:p>
            <w:r>
              <w:rPr>
                <w:sz w:val="20"/>
              </w:rPr>
              <w:t>Inhib. DPP-4 (gliptine)</w:t>
            </w:r>
          </w:p>
        </w:tc>
        <w:tc>
          <w:tcPr>
            <w:tcW w:type="dxa" w:w="1039"/>
          </w:tcPr>
          <w:p>
            <w:r>
              <w:rPr>
                <w:sz w:val="20"/>
              </w:rPr>
              <w:t>Inhibition DPP-4 → ↑ GLP-1 endogène</w:t>
            </w:r>
          </w:p>
        </w:tc>
        <w:tc>
          <w:tcPr>
            <w:tcW w:type="dxa" w:w="1039"/>
          </w:tcPr>
          <w:p>
            <w:r>
              <w:rPr>
                <w:sz w:val="20"/>
              </w:rPr>
              <w:t>21</w:t>
            </w:r>
          </w:p>
        </w:tc>
        <w:tc>
          <w:tcPr>
            <w:tcW w:type="dxa" w:w="1039"/>
          </w:tcPr>
          <w:p>
            <w:r>
              <w:rPr>
                <w:sz w:val="20"/>
              </w:rPr>
              <w:t>25 mg/j le matin (12,5 mg si DFG 30–45 ; 6,25 mg si DFG &lt; 30)</w:t>
            </w:r>
          </w:p>
        </w:tc>
        <w:tc>
          <w:tcPr>
            <w:tcW w:type="dxa" w:w="1039"/>
          </w:tcPr>
          <w:p>
            <w:r>
              <w:rPr>
                <w:sz w:val="20"/>
              </w:rPr>
              <w:t>Nasopharyngite, pancréatite rare, arthralgies</w:t>
            </w:r>
          </w:p>
        </w:tc>
        <w:tc>
          <w:tcPr>
            <w:tcW w:type="dxa" w:w="1039"/>
          </w:tcPr>
          <w:p>
            <w:r>
              <w:rPr>
                <w:sz w:val="20"/>
              </w:rPr>
              <w:t>DT1, IR sévère, pancréatite ATCD</w:t>
            </w:r>
          </w:p>
        </w:tc>
        <w:tc>
          <w:tcPr>
            <w:tcW w:type="dxa" w:w="1039"/>
          </w:tcPr>
          <w:p>
            <w:r>
              <w:rPr>
                <w:sz w:val="20"/>
              </w:rPr>
              <w:t>CI — insuline</w:t>
            </w:r>
          </w:p>
        </w:tc>
      </w:tr>
      <w:tr>
        <w:tc>
          <w:tcPr>
            <w:tcW w:type="dxa" w:w="1039"/>
          </w:tcPr>
          <w:p>
            <w:r>
              <w:rPr>
                <w:sz w:val="20"/>
              </w:rPr>
              <w:t>14</w:t>
            </w:r>
          </w:p>
        </w:tc>
        <w:tc>
          <w:tcPr>
            <w:tcW w:type="dxa" w:w="1039"/>
          </w:tcPr>
          <w:p>
            <w:r>
              <w:rPr>
                <w:sz w:val="20"/>
              </w:rPr>
              <w:t>**Dapagliflozine**</w:t>
            </w:r>
          </w:p>
        </w:tc>
        <w:tc>
          <w:tcPr>
            <w:tcW w:type="dxa" w:w="1039"/>
          </w:tcPr>
          <w:p>
            <w:r>
              <w:rPr>
                <w:sz w:val="20"/>
              </w:rPr>
              <w:t>Inhib. SGLT2 (gliflozine)</w:t>
            </w:r>
          </w:p>
        </w:tc>
        <w:tc>
          <w:tcPr>
            <w:tcW w:type="dxa" w:w="1039"/>
          </w:tcPr>
          <w:p>
            <w:r>
              <w:rPr>
                <w:sz w:val="20"/>
              </w:rPr>
              <w:t>Inhibition SGLT2 tubulaire proximal → glycosurie osmotique</w:t>
            </w:r>
          </w:p>
        </w:tc>
        <w:tc>
          <w:tcPr>
            <w:tcW w:type="dxa" w:w="1039"/>
          </w:tcPr>
          <w:p>
            <w:r>
              <w:rPr>
                <w:sz w:val="20"/>
              </w:rPr>
              <w:t>12,9</w:t>
            </w:r>
          </w:p>
        </w:tc>
        <w:tc>
          <w:tcPr>
            <w:tcW w:type="dxa" w:w="1039"/>
          </w:tcPr>
          <w:p>
            <w:r>
              <w:rPr>
                <w:sz w:val="20"/>
              </w:rPr>
              <w:t>10 mg/j le matin</w:t>
            </w:r>
          </w:p>
        </w:tc>
        <w:tc>
          <w:tcPr>
            <w:tcW w:type="dxa" w:w="1039"/>
          </w:tcPr>
          <w:p>
            <w:r>
              <w:rPr>
                <w:sz w:val="20"/>
              </w:rPr>
              <w:t>Mycoses génitales, déshydratation, euglycémie DKA</w:t>
            </w:r>
          </w:p>
        </w:tc>
        <w:tc>
          <w:tcPr>
            <w:tcW w:type="dxa" w:w="1039"/>
          </w:tcPr>
          <w:p>
            <w:r>
              <w:rPr>
                <w:sz w:val="20"/>
              </w:rPr>
              <w:t>DT1, DFG &lt; 30, grossesse</w:t>
            </w:r>
          </w:p>
        </w:tc>
        <w:tc>
          <w:tcPr>
            <w:tcW w:type="dxa" w:w="1039"/>
          </w:tcPr>
          <w:p>
            <w:r>
              <w:rPr>
                <w:sz w:val="20"/>
              </w:rPr>
              <w:t>CI — insuline</w:t>
            </w:r>
          </w:p>
        </w:tc>
      </w:tr>
      <w:tr>
        <w:tc>
          <w:tcPr>
            <w:tcW w:type="dxa" w:w="1039"/>
          </w:tcPr>
          <w:p>
            <w:r>
              <w:rPr>
                <w:sz w:val="20"/>
              </w:rPr>
              <w:t>15</w:t>
            </w:r>
          </w:p>
        </w:tc>
        <w:tc>
          <w:tcPr>
            <w:tcW w:type="dxa" w:w="1039"/>
          </w:tcPr>
          <w:p>
            <w:r>
              <w:rPr>
                <w:sz w:val="20"/>
              </w:rPr>
              <w:t>**Empagliflozine**</w:t>
            </w:r>
          </w:p>
        </w:tc>
        <w:tc>
          <w:tcPr>
            <w:tcW w:type="dxa" w:w="1039"/>
          </w:tcPr>
          <w:p>
            <w:r>
              <w:rPr>
                <w:sz w:val="20"/>
              </w:rPr>
              <w:t>Inhib. SGLT2 (gliflozine)</w:t>
            </w:r>
          </w:p>
        </w:tc>
        <w:tc>
          <w:tcPr>
            <w:tcW w:type="dxa" w:w="1039"/>
          </w:tcPr>
          <w:p>
            <w:r>
              <w:rPr>
                <w:sz w:val="20"/>
              </w:rPr>
              <w:t>Inhibition SGLT2 → glycosurie</w:t>
            </w:r>
          </w:p>
        </w:tc>
        <w:tc>
          <w:tcPr>
            <w:tcW w:type="dxa" w:w="1039"/>
          </w:tcPr>
          <w:p>
            <w:r>
              <w:rPr>
                <w:sz w:val="20"/>
              </w:rPr>
              <w:t>12,4</w:t>
            </w:r>
          </w:p>
        </w:tc>
        <w:tc>
          <w:tcPr>
            <w:tcW w:type="dxa" w:w="1039"/>
          </w:tcPr>
          <w:p>
            <w:r>
              <w:rPr>
                <w:sz w:val="20"/>
              </w:rPr>
              <w:t>10–25 mg/j le matin</w:t>
            </w:r>
          </w:p>
        </w:tc>
        <w:tc>
          <w:tcPr>
            <w:tcW w:type="dxa" w:w="1039"/>
          </w:tcPr>
          <w:p>
            <w:r>
              <w:rPr>
                <w:sz w:val="20"/>
              </w:rPr>
              <w:t>Mycoses, déshydratation, euglycémie DKA</w:t>
            </w:r>
          </w:p>
        </w:tc>
        <w:tc>
          <w:tcPr>
            <w:tcW w:type="dxa" w:w="1039"/>
          </w:tcPr>
          <w:p>
            <w:r>
              <w:rPr>
                <w:sz w:val="20"/>
              </w:rPr>
              <w:t>DT1, DFG &lt; 20–30, grossesse</w:t>
            </w:r>
          </w:p>
        </w:tc>
        <w:tc>
          <w:tcPr>
            <w:tcW w:type="dxa" w:w="1039"/>
          </w:tcPr>
          <w:p>
            <w:r>
              <w:rPr>
                <w:sz w:val="20"/>
              </w:rPr>
              <w:t>CI — insuline</w:t>
            </w:r>
          </w:p>
        </w:tc>
      </w:tr>
      <w:tr>
        <w:tc>
          <w:tcPr>
            <w:tcW w:type="dxa" w:w="1039"/>
          </w:tcPr>
          <w:p>
            <w:r>
              <w:rPr>
                <w:sz w:val="20"/>
              </w:rPr>
              <w:t>16</w:t>
            </w:r>
          </w:p>
        </w:tc>
        <w:tc>
          <w:tcPr>
            <w:tcW w:type="dxa" w:w="1039"/>
          </w:tcPr>
          <w:p>
            <w:r>
              <w:rPr>
                <w:sz w:val="20"/>
              </w:rPr>
              <w:t>**Canagliflozine**</w:t>
            </w:r>
          </w:p>
        </w:tc>
        <w:tc>
          <w:tcPr>
            <w:tcW w:type="dxa" w:w="1039"/>
          </w:tcPr>
          <w:p>
            <w:r>
              <w:rPr>
                <w:sz w:val="20"/>
              </w:rPr>
              <w:t>Inhib. SGLT2 (gliflozine)</w:t>
            </w:r>
          </w:p>
        </w:tc>
        <w:tc>
          <w:tcPr>
            <w:tcW w:type="dxa" w:w="1039"/>
          </w:tcPr>
          <w:p>
            <w:r>
              <w:rPr>
                <w:sz w:val="20"/>
              </w:rPr>
              <w:t>Inhibition SGLT2 + SGLT1 (à 300 mg) → glycosurie</w:t>
            </w:r>
          </w:p>
        </w:tc>
        <w:tc>
          <w:tcPr>
            <w:tcW w:type="dxa" w:w="1039"/>
          </w:tcPr>
          <w:p>
            <w:r>
              <w:rPr>
                <w:sz w:val="20"/>
              </w:rPr>
              <w:t>10,6–13,1</w:t>
            </w:r>
          </w:p>
        </w:tc>
        <w:tc>
          <w:tcPr>
            <w:tcW w:type="dxa" w:w="1039"/>
          </w:tcPr>
          <w:p>
            <w:r>
              <w:rPr>
                <w:sz w:val="20"/>
              </w:rPr>
              <w:t>100–300 mg/j le matin avant petit-déj</w:t>
            </w:r>
          </w:p>
        </w:tc>
        <w:tc>
          <w:tcPr>
            <w:tcW w:type="dxa" w:w="1039"/>
          </w:tcPr>
          <w:p>
            <w:r>
              <w:rPr>
                <w:sz w:val="20"/>
              </w:rPr>
              <w:t>Mycoses, **amputation (signal)**, euglycémie DKA</w:t>
            </w:r>
          </w:p>
        </w:tc>
        <w:tc>
          <w:tcPr>
            <w:tcW w:type="dxa" w:w="1039"/>
          </w:tcPr>
          <w:p>
            <w:r>
              <w:rPr>
                <w:sz w:val="20"/>
              </w:rPr>
              <w:t>DT1, DFG &lt; 30, AOMI sévère, grossesse</w:t>
            </w:r>
          </w:p>
        </w:tc>
        <w:tc>
          <w:tcPr>
            <w:tcW w:type="dxa" w:w="1039"/>
          </w:tcPr>
          <w:p>
            <w:r>
              <w:rPr>
                <w:sz w:val="20"/>
              </w:rPr>
              <w:t>CI — insuline</w:t>
            </w:r>
          </w:p>
        </w:tc>
      </w:tr>
      <w:tr>
        <w:tc>
          <w:tcPr>
            <w:tcW w:type="dxa" w:w="1039"/>
          </w:tcPr>
          <w:p>
            <w:r>
              <w:rPr>
                <w:sz w:val="20"/>
              </w:rPr>
              <w:t>17</w:t>
            </w:r>
          </w:p>
        </w:tc>
        <w:tc>
          <w:tcPr>
            <w:tcW w:type="dxa" w:w="1039"/>
          </w:tcPr>
          <w:p>
            <w:r>
              <w:rPr>
                <w:sz w:val="20"/>
              </w:rPr>
              <w:t>**Metformine + Sitagliptine**</w:t>
            </w:r>
          </w:p>
        </w:tc>
        <w:tc>
          <w:tcPr>
            <w:tcW w:type="dxa" w:w="1039"/>
          </w:tcPr>
          <w:p>
            <w:r>
              <w:rPr>
                <w:sz w:val="20"/>
              </w:rPr>
              <w:t>Association biguanide+DPP4</w:t>
            </w:r>
          </w:p>
        </w:tc>
        <w:tc>
          <w:tcPr>
            <w:tcW w:type="dxa" w:w="1039"/>
          </w:tcPr>
          <w:p>
            <w:r>
              <w:rPr>
                <w:sz w:val="20"/>
              </w:rPr>
              <w:t>Combinaison néoglucogenèse + incrétine</w:t>
            </w:r>
          </w:p>
        </w:tc>
        <w:tc>
          <w:tcPr>
            <w:tcW w:type="dxa" w:w="1039"/>
          </w:tcPr>
          <w:p>
            <w:r>
              <w:rPr>
                <w:sz w:val="20"/>
              </w:rPr>
              <w:t>Mélangée</w:t>
            </w:r>
          </w:p>
        </w:tc>
        <w:tc>
          <w:tcPr>
            <w:tcW w:type="dxa" w:w="1039"/>
          </w:tcPr>
          <w:p>
            <w:r>
              <w:rPr>
                <w:sz w:val="20"/>
              </w:rPr>
              <w:t>1000 mg/50 mg × 2/j aux repas</w:t>
            </w:r>
          </w:p>
        </w:tc>
        <w:tc>
          <w:tcPr>
            <w:tcW w:type="dxa" w:w="1039"/>
          </w:tcPr>
          <w:p>
            <w:r>
              <w:rPr>
                <w:sz w:val="20"/>
              </w:rPr>
              <w:t>EI de chaque composant</w:t>
            </w:r>
          </w:p>
        </w:tc>
        <w:tc>
          <w:tcPr>
            <w:tcW w:type="dxa" w:w="1039"/>
          </w:tcPr>
          <w:p>
            <w:r>
              <w:rPr>
                <w:sz w:val="20"/>
              </w:rPr>
              <w:t>IR modérée à sévère (non adapté)</w:t>
            </w:r>
          </w:p>
        </w:tc>
        <w:tc>
          <w:tcPr>
            <w:tcW w:type="dxa" w:w="1039"/>
          </w:tcPr>
          <w:p>
            <w:r>
              <w:rPr>
                <w:sz w:val="20"/>
              </w:rPr>
              <w:t>CI — insuline</w:t>
            </w:r>
          </w:p>
        </w:tc>
      </w:tr>
      <w:tr>
        <w:tc>
          <w:tcPr>
            <w:tcW w:type="dxa" w:w="1039"/>
          </w:tcPr>
          <w:p>
            <w:r>
              <w:rPr>
                <w:sz w:val="20"/>
              </w:rPr>
              <w:t>18</w:t>
            </w:r>
          </w:p>
        </w:tc>
        <w:tc>
          <w:tcPr>
            <w:tcW w:type="dxa" w:w="1039"/>
          </w:tcPr>
          <w:p>
            <w:r>
              <w:rPr>
                <w:sz w:val="20"/>
              </w:rPr>
              <w:t>**Metformine + Glibenclamide**</w:t>
            </w:r>
          </w:p>
        </w:tc>
        <w:tc>
          <w:tcPr>
            <w:tcW w:type="dxa" w:w="1039"/>
          </w:tcPr>
          <w:p>
            <w:r>
              <w:rPr>
                <w:sz w:val="20"/>
              </w:rPr>
              <w:t>Association biguanide+sulfamide</w:t>
            </w:r>
          </w:p>
        </w:tc>
        <w:tc>
          <w:tcPr>
            <w:tcW w:type="dxa" w:w="1039"/>
          </w:tcPr>
          <w:p>
            <w:r>
              <w:rPr>
                <w:sz w:val="20"/>
              </w:rPr>
              <w:t>Combinaison néoglucogenèse + insulinotropie</w:t>
            </w:r>
          </w:p>
        </w:tc>
        <w:tc>
          <w:tcPr>
            <w:tcW w:type="dxa" w:w="1039"/>
          </w:tcPr>
          <w:p>
            <w:r>
              <w:rPr>
                <w:sz w:val="20"/>
              </w:rPr>
              <w:t>Mélangée</w:t>
            </w:r>
          </w:p>
        </w:tc>
        <w:tc>
          <w:tcPr>
            <w:tcW w:type="dxa" w:w="1039"/>
          </w:tcPr>
          <w:p>
            <w:r>
              <w:rPr>
                <w:sz w:val="20"/>
              </w:rPr>
              <w:t>500/2,5 mg ou 500/5 mg × 1–2/j (non renouvelable)</w:t>
            </w:r>
          </w:p>
        </w:tc>
        <w:tc>
          <w:tcPr>
            <w:tcW w:type="dxa" w:w="1039"/>
          </w:tcPr>
          <w:p>
            <w:r>
              <w:rPr>
                <w:sz w:val="20"/>
              </w:rPr>
              <w:t>Hypoglycémie sévère, acidose lactique</w:t>
            </w:r>
          </w:p>
        </w:tc>
        <w:tc>
          <w:tcPr>
            <w:tcW w:type="dxa" w:w="1039"/>
          </w:tcPr>
          <w:p>
            <w:r>
              <w:rPr>
                <w:sz w:val="20"/>
              </w:rPr>
              <w:t>IR, IH, sujet âgé</w:t>
            </w:r>
          </w:p>
        </w:tc>
        <w:tc>
          <w:tcPr>
            <w:tcW w:type="dxa" w:w="1039"/>
          </w:tcPr>
          <w:p>
            <w:r>
              <w:rPr>
                <w:sz w:val="20"/>
              </w:rPr>
              <w:t>CI — insuline</w:t>
            </w:r>
          </w:p>
        </w:tc>
      </w:tr>
      <w:tr>
        <w:tc>
          <w:tcPr>
            <w:tcW w:type="dxa" w:w="1039"/>
          </w:tcPr>
          <w:p>
            <w:r>
              <w:rPr>
                <w:sz w:val="20"/>
              </w:rPr>
              <w:t>19</w:t>
            </w:r>
          </w:p>
        </w:tc>
        <w:tc>
          <w:tcPr>
            <w:tcW w:type="dxa" w:w="1039"/>
          </w:tcPr>
          <w:p>
            <w:r>
              <w:rPr>
                <w:sz w:val="20"/>
              </w:rPr>
              <w:t>**Liraglutide**</w:t>
            </w:r>
          </w:p>
        </w:tc>
        <w:tc>
          <w:tcPr>
            <w:tcW w:type="dxa" w:w="1039"/>
          </w:tcPr>
          <w:p>
            <w:r>
              <w:rPr>
                <w:sz w:val="20"/>
              </w:rPr>
              <w:t>Agoniste GLP-1 injectable</w:t>
            </w:r>
          </w:p>
        </w:tc>
        <w:tc>
          <w:tcPr>
            <w:tcW w:type="dxa" w:w="1039"/>
          </w:tcPr>
          <w:p>
            <w:r>
              <w:rPr>
                <w:sz w:val="20"/>
              </w:rPr>
              <w:t>Stimulation GLP-1R → ↑ insuline glucose-dépendante + ↓ glucagon + satiété</w:t>
            </w:r>
          </w:p>
        </w:tc>
        <w:tc>
          <w:tcPr>
            <w:tcW w:type="dxa" w:w="1039"/>
          </w:tcPr>
          <w:p>
            <w:r>
              <w:rPr>
                <w:sz w:val="20"/>
              </w:rPr>
              <w:t>13</w:t>
            </w:r>
          </w:p>
        </w:tc>
        <w:tc>
          <w:tcPr>
            <w:tcW w:type="dxa" w:w="1039"/>
          </w:tcPr>
          <w:p>
            <w:r>
              <w:rPr>
                <w:sz w:val="20"/>
              </w:rPr>
              <w:t>0,6 → 1,2 → 1,8 mg/j SC</w:t>
            </w:r>
          </w:p>
        </w:tc>
        <w:tc>
          <w:tcPr>
            <w:tcW w:type="dxa" w:w="1039"/>
          </w:tcPr>
          <w:p>
            <w:r>
              <w:rPr>
                <w:sz w:val="20"/>
              </w:rPr>
              <w:t>Nausées/vomissements, pancréatite, cancer thyroïde médullaire (signal)</w:t>
            </w:r>
          </w:p>
        </w:tc>
        <w:tc>
          <w:tcPr>
            <w:tcW w:type="dxa" w:w="1039"/>
          </w:tcPr>
          <w:p>
            <w:r>
              <w:rPr>
                <w:sz w:val="20"/>
              </w:rPr>
              <w:t>DT1, MTC/NEM2, pancréatite ATCD</w:t>
            </w:r>
          </w:p>
        </w:tc>
        <w:tc>
          <w:tcPr>
            <w:tcW w:type="dxa" w:w="1039"/>
          </w:tcPr>
          <w:p>
            <w:r>
              <w:rPr>
                <w:sz w:val="20"/>
              </w:rPr>
              <w:t>CI — insuline</w:t>
            </w:r>
          </w:p>
        </w:tc>
      </w:tr>
      <w:tr>
        <w:tc>
          <w:tcPr>
            <w:tcW w:type="dxa" w:w="1039"/>
          </w:tcPr>
          <w:p>
            <w:r>
              <w:rPr>
                <w:sz w:val="20"/>
              </w:rPr>
              <w:t>20</w:t>
            </w:r>
          </w:p>
        </w:tc>
        <w:tc>
          <w:tcPr>
            <w:tcW w:type="dxa" w:w="1039"/>
          </w:tcPr>
          <w:p>
            <w:r>
              <w:rPr>
                <w:sz w:val="20"/>
              </w:rPr>
              <w:t>**Sémaglutide**</w:t>
            </w:r>
          </w:p>
        </w:tc>
        <w:tc>
          <w:tcPr>
            <w:tcW w:type="dxa" w:w="1039"/>
          </w:tcPr>
          <w:p>
            <w:r>
              <w:rPr>
                <w:sz w:val="20"/>
              </w:rPr>
              <w:t>Agoniste GLP-1 injectable</w:t>
            </w:r>
          </w:p>
        </w:tc>
        <w:tc>
          <w:tcPr>
            <w:tcW w:type="dxa" w:w="1039"/>
          </w:tcPr>
          <w:p>
            <w:r>
              <w:rPr>
                <w:sz w:val="20"/>
              </w:rPr>
              <w:t>Stimulation GLP-1R (similaire liraglutide)</w:t>
            </w:r>
          </w:p>
        </w:tc>
        <w:tc>
          <w:tcPr>
            <w:tcW w:type="dxa" w:w="1039"/>
          </w:tcPr>
          <w:p>
            <w:r>
              <w:rPr>
                <w:sz w:val="20"/>
              </w:rPr>
              <w:t>165 (hebdo)</w:t>
            </w:r>
          </w:p>
        </w:tc>
        <w:tc>
          <w:tcPr>
            <w:tcW w:type="dxa" w:w="1039"/>
          </w:tcPr>
          <w:p>
            <w:r>
              <w:rPr>
                <w:sz w:val="20"/>
              </w:rPr>
              <w:t>0,25 → 0,5 → 1 mg/semaine SC</w:t>
            </w:r>
          </w:p>
        </w:tc>
        <w:tc>
          <w:tcPr>
            <w:tcW w:type="dxa" w:w="1039"/>
          </w:tcPr>
          <w:p>
            <w:r>
              <w:rPr>
                <w:sz w:val="20"/>
              </w:rPr>
              <w:t>Nausées/vomissements, pancréatite, rétinopathie aggravation</w:t>
            </w:r>
          </w:p>
        </w:tc>
        <w:tc>
          <w:tcPr>
            <w:tcW w:type="dxa" w:w="1039"/>
          </w:tcPr>
          <w:p>
            <w:r>
              <w:rPr>
                <w:sz w:val="20"/>
              </w:rPr>
              <w:t>DT1, MTC/NEM2, pancréatite ATCD</w:t>
            </w:r>
          </w:p>
        </w:tc>
        <w:tc>
          <w:tcPr>
            <w:tcW w:type="dxa" w:w="1039"/>
          </w:tcPr>
          <w:p>
            <w:r>
              <w:rPr>
                <w:sz w:val="20"/>
              </w:rPr>
              <w:t>CI — insuline</w:t>
            </w:r>
          </w:p>
        </w:tc>
      </w:tr>
      <w:tr>
        <w:tc>
          <w:tcPr>
            <w:tcW w:type="dxa" w:w="1039"/>
          </w:tcPr>
          <w:p>
            <w:r>
              <w:rPr>
                <w:sz w:val="20"/>
              </w:rPr>
              <w:t>21</w:t>
            </w:r>
          </w:p>
        </w:tc>
        <w:tc>
          <w:tcPr>
            <w:tcW w:type="dxa" w:w="1039"/>
          </w:tcPr>
          <w:p>
            <w:r>
              <w:rPr>
                <w:sz w:val="20"/>
              </w:rPr>
              <w:t>**Dulaglutide**</w:t>
            </w:r>
          </w:p>
        </w:tc>
        <w:tc>
          <w:tcPr>
            <w:tcW w:type="dxa" w:w="1039"/>
          </w:tcPr>
          <w:p>
            <w:r>
              <w:rPr>
                <w:sz w:val="20"/>
              </w:rPr>
              <w:t>Agoniste GLP-1 injectable</w:t>
            </w:r>
          </w:p>
        </w:tc>
        <w:tc>
          <w:tcPr>
            <w:tcW w:type="dxa" w:w="1039"/>
          </w:tcPr>
          <w:p>
            <w:r>
              <w:rPr>
                <w:sz w:val="20"/>
              </w:rPr>
              <w:t>Stimulation GLP-1R (fusion Fc IgG4)</w:t>
            </w:r>
          </w:p>
        </w:tc>
        <w:tc>
          <w:tcPr>
            <w:tcW w:type="dxa" w:w="1039"/>
          </w:tcPr>
          <w:p>
            <w:r>
              <w:rPr>
                <w:sz w:val="20"/>
              </w:rPr>
              <w:t>90 (hebdo)</w:t>
            </w:r>
          </w:p>
        </w:tc>
        <w:tc>
          <w:tcPr>
            <w:tcW w:type="dxa" w:w="1039"/>
          </w:tcPr>
          <w:p>
            <w:r>
              <w:rPr>
                <w:sz w:val="20"/>
              </w:rPr>
              <w:t>0,75 → 1,5 mg/semaine SC</w:t>
            </w:r>
          </w:p>
        </w:tc>
        <w:tc>
          <w:tcPr>
            <w:tcW w:type="dxa" w:w="1039"/>
          </w:tcPr>
          <w:p>
            <w:r>
              <w:rPr>
                <w:sz w:val="20"/>
              </w:rPr>
              <w:t>Nausées/vomissements, pancréatite, cancer thyroïde (signal)</w:t>
            </w:r>
          </w:p>
        </w:tc>
        <w:tc>
          <w:tcPr>
            <w:tcW w:type="dxa" w:w="1039"/>
          </w:tcPr>
          <w:p>
            <w:r>
              <w:rPr>
                <w:sz w:val="20"/>
              </w:rPr>
              <w:t>DT1, MTC/NEM2, pancréatite ATCD</w:t>
            </w:r>
          </w:p>
        </w:tc>
        <w:tc>
          <w:tcPr>
            <w:tcW w:type="dxa" w:w="1039"/>
          </w:tcPr>
          <w:p>
            <w:r>
              <w:rPr>
                <w:sz w:val="20"/>
              </w:rPr>
              <w:t>CI — insuline</w:t>
            </w:r>
          </w:p>
        </w:tc>
      </w:tr>
    </w:tbl>
    <w:p/>
    <w:p>
      <w:pPr>
        <w:pStyle w:val="Heading2"/>
      </w:pPr>
      <w:r>
        <w:t>XIV. Récapitulatif Stratégique et Points Clés pour le Pharmacien d'Officine</w:t>
      </w:r>
    </w:p>
    <w:p>
      <w:pPr>
        <w:pStyle w:val="Heading3"/>
      </w:pPr>
      <w:r>
        <w:t>1. Positionnement thérapeutique (stratégie HAS/ADA/EASD adaptée à l'Algérie)</w:t>
      </w:r>
    </w:p>
    <w:p>
      <w:r>
        <w:t>La stratégie thérapeutique du DT2 s'articule en plusieurs lignes :</w:t>
      </w:r>
    </w:p>
    <w:p>
      <w:pPr>
        <w:pStyle w:val="ListBullet"/>
      </w:pPr>
      <w:r/>
      <w:r>
        <w:rPr>
          <w:b/>
        </w:rPr>
        <w:t>1re intention</w:t>
      </w:r>
      <w:r>
        <w:t xml:space="preserve"> : Metformine + mesures hygiéno-diététiques (objectif HbA1c &lt; 7 %).</w:t>
      </w:r>
    </w:p>
    <w:p>
      <w:pPr>
        <w:pStyle w:val="ListBullet"/>
      </w:pPr>
      <w:r/>
      <w:r>
        <w:rPr>
          <w:b/>
        </w:rPr>
        <w:t>2e intention</w:t>
      </w:r>
      <w:r>
        <w:t xml:space="preserve"> (en cas d'échec HbA1c ≥ 7 % après 3–6 mois) : ajouter un second antidiabétique oral ou injectable, en tenant compte des comorbidités :</w:t>
      </w:r>
    </w:p>
    <w:p>
      <w:pPr>
        <w:pStyle w:val="ListBullet"/>
      </w:pPr>
      <w:r>
        <w:t xml:space="preserve">Si maladie cardiovasculaire établie (post-IDM, AOMI, AVC) → </w:t>
      </w:r>
      <w:r>
        <w:rPr>
          <w:b/>
        </w:rPr>
        <w:t>GLP-1 agoniste</w:t>
      </w:r>
      <w:r>
        <w:t xml:space="preserve"> (liraglutide, sémaglutide, dulaglutide) ou </w:t>
      </w:r>
      <w:r>
        <w:rPr>
          <w:b/>
        </w:rPr>
        <w:t>SGLT2 inhibiteur</w:t>
      </w:r>
      <w:r>
        <w:t xml:space="preserve"> (empagliflozine, dapagliflozine, canagliflozine) avec preuve de bénéfice cardiovasculaire ;</w:t>
      </w:r>
    </w:p>
    <w:p>
      <w:pPr>
        <w:pStyle w:val="ListBullet"/>
      </w:pPr>
      <w:r>
        <w:t xml:space="preserve">Si insuffisance cardiaque (HFrEF ou HFpEF) → </w:t>
      </w:r>
      <w:r>
        <w:rPr>
          <w:b/>
        </w:rPr>
        <w:t>SGLT2 inhibiteur</w:t>
      </w:r>
      <w:r>
        <w:t xml:space="preserve"> en priorité (empagliflozine, dapagliflozine) ;</w:t>
      </w:r>
    </w:p>
    <w:p>
      <w:pPr>
        <w:pStyle w:val="ListBullet"/>
      </w:pPr>
      <w:r>
        <w:t xml:space="preserve">Si néphropathie diabétique → </w:t>
      </w:r>
      <w:r>
        <w:rPr>
          <w:b/>
        </w:rPr>
        <w:t>SGLT2 inhibiteur</w:t>
      </w:r>
      <w:r>
        <w:t xml:space="preserve"> (empagliflozine, dapagliflozine, canagliflozine) ;</w:t>
      </w:r>
    </w:p>
    <w:p>
      <w:pPr>
        <w:pStyle w:val="ListBullet"/>
      </w:pPr>
      <w:r>
        <w:t xml:space="preserve">Si obésité ou surpoids avec nécessité de perte pondérale → </w:t>
      </w:r>
      <w:r>
        <w:rPr>
          <w:b/>
        </w:rPr>
        <w:t>GLP-1 agoniste</w:t>
      </w:r>
      <w:r>
        <w:t xml:space="preserve"> ;</w:t>
      </w:r>
    </w:p>
    <w:p>
      <w:pPr>
        <w:pStyle w:val="ListBullet"/>
      </w:pPr>
      <w:r>
        <w:t xml:space="preserve">Si sujet âgé fragile → </w:t>
      </w:r>
      <w:r>
        <w:rPr>
          <w:b/>
        </w:rPr>
        <w:t>sitagliptine, alogliptine</w:t>
      </w:r>
      <w:r>
        <w:t xml:space="preserve"> (sécurité d'emploi, absence d'hypoglycémie) ;</w:t>
      </w:r>
    </w:p>
    <w:p>
      <w:pPr>
        <w:pStyle w:val="ListBullet"/>
      </w:pPr>
      <w:r>
        <w:t xml:space="preserve">Si hyperglycémie post-prandiale prédominante → </w:t>
      </w:r>
      <w:r>
        <w:rPr>
          <w:b/>
        </w:rPr>
        <w:t>acarbose</w:t>
      </w:r>
      <w:r>
        <w:t xml:space="preserve"> ou </w:t>
      </w:r>
      <w:r>
        <w:rPr>
          <w:b/>
        </w:rPr>
        <w:t>répaglinide</w:t>
      </w:r>
      <w:r>
        <w:t xml:space="preserve"> ;</w:t>
      </w:r>
    </w:p>
    <w:p>
      <w:pPr>
        <w:pStyle w:val="ListBullet"/>
      </w:pPr>
      <w:r>
        <w:t xml:space="preserve">Si insulinorésistance marquée avec stéatose hépatique → </w:t>
      </w:r>
      <w:r>
        <w:rPr>
          <w:b/>
        </w:rPr>
        <w:t>pioglitazone</w:t>
      </w:r>
      <w:r>
        <w:t xml:space="preserve"> (sous surveillance cardiaque) ;</w:t>
      </w:r>
    </w:p>
    <w:p>
      <w:pPr>
        <w:pStyle w:val="ListBullet"/>
      </w:pPr>
      <w:r>
        <w:t xml:space="preserve">Si coût élevé et patient jeune → </w:t>
      </w:r>
      <w:r>
        <w:rPr>
          <w:b/>
        </w:rPr>
        <w:t>gliclazide MR</w:t>
      </w:r>
      <w:r>
        <w:t xml:space="preserve"> ou </w:t>
      </w:r>
      <w:r>
        <w:rPr>
          <w:b/>
        </w:rPr>
        <w:t>glimépiride</w:t>
      </w:r>
      <w:r>
        <w:t xml:space="preserve"> (efficacité, faible coût) ;</w:t>
      </w:r>
    </w:p>
    <w:p>
      <w:pPr>
        <w:pStyle w:val="ListBullet"/>
      </w:pPr>
      <w:r/>
      <w:r>
        <w:rPr>
          <w:b/>
        </w:rPr>
        <w:t>3e intention</w:t>
      </w:r>
      <w:r>
        <w:t xml:space="preserve"> : trithérapie, voire insuline basale si HbA1c ≥ 9 %.</w:t>
      </w:r>
    </w:p>
    <w:p>
      <w:pPr>
        <w:pStyle w:val="Heading3"/>
      </w:pPr>
      <w:r>
        <w:t>2. Prévention de l'hypoglycémie au comptoir</w:t>
      </w:r>
    </w:p>
    <w:p>
      <w:r>
        <w:t>L'hypoglycémie demeure l'EI le plus redoutable des antidiabétiques. Les classes à risque sont :</w:t>
      </w:r>
    </w:p>
    <w:p>
      <w:pPr>
        <w:pStyle w:val="ListBullet"/>
      </w:pPr>
      <w:r/>
      <w:r>
        <w:rPr>
          <w:b/>
        </w:rPr>
        <w:t>Haut risque</w:t>
      </w:r>
      <w:r>
        <w:t xml:space="preserve"> : Sulfamides (surtout glibenclamide), insuline, Metformine+Glibenclamide ;</w:t>
      </w:r>
    </w:p>
    <w:p>
      <w:pPr>
        <w:pStyle w:val="ListBullet"/>
      </w:pPr>
      <w:r/>
      <w:r>
        <w:rPr>
          <w:b/>
        </w:rPr>
        <w:t>Risque modéré (en association)</w:t>
      </w:r>
      <w:r>
        <w:t xml:space="preserve"> : Glinides, gliptines (en association à sulfamide/insuline), gliflozines (en association), GLP-1 agonistes (en association) ;</w:t>
      </w:r>
    </w:p>
    <w:p>
      <w:pPr>
        <w:pStyle w:val="ListBullet"/>
      </w:pPr>
      <w:r/>
      <w:r>
        <w:rPr>
          <w:b/>
        </w:rPr>
        <w:t>Faible risque</w:t>
      </w:r>
      <w:r>
        <w:t xml:space="preserve"> : Metformine seule, gliptines seules, acarbose seul, gliflozines seules.</w:t>
      </w:r>
    </w:p>
    <w:p>
      <w:r/>
      <w:r>
        <w:rPr>
          <w:b/>
        </w:rPr>
        <w:t>Éducation systématique du patient</w:t>
      </w:r>
      <w:r>
        <w:t xml:space="preserve"> : reconnaissance des signes (sueurs, tremblements, faim, palpitations, confusion), auto-gestion (15 g de glucose rapide), port de sucre sur soi, glycémie capillaire en cas de doute, prévention nocturne (goûter à 22 h sous sulfamide/insuline), information de l'entourage. Cas particulier de l'acarbose : l'hypoglycémie en association doit être corrigée par </w:t>
      </w:r>
      <w:r>
        <w:rPr>
          <w:b/>
        </w:rPr>
        <w:t>glucose pur</w:t>
      </w:r>
      <w:r>
        <w:t xml:space="preserve"> (saccharose inefficace en raison de l'inhibition des α-glucosidases).</w:t>
      </w:r>
    </w:p>
    <w:p>
      <w:pPr>
        <w:pStyle w:val="Heading3"/>
      </w:pPr>
      <w:r>
        <w:t>3. Surveillance systématique</w:t>
      </w:r>
    </w:p>
    <w:p>
      <w:pPr>
        <w:pStyle w:val="ListBullet"/>
      </w:pPr>
      <w:r/>
      <w:r>
        <w:rPr>
          <w:b/>
        </w:rPr>
        <w:t>Fonction rénale (DFG)</w:t>
      </w:r>
      <w:r>
        <w:t xml:space="preserve"> : metformine, sulfamides, gliptines (adaptation posologique), gliflozines, GLP-1 (prudence) ;</w:t>
      </w:r>
    </w:p>
    <w:p>
      <w:pPr>
        <w:pStyle w:val="ListBullet"/>
      </w:pPr>
      <w:r/>
      <w:r>
        <w:rPr>
          <w:b/>
        </w:rPr>
        <w:t>Transaminases</w:t>
      </w:r>
      <w:r>
        <w:t xml:space="preserve"> : vildagliptine (particularité — surveillance trimestrielle), pioglitazone, acarbose ;</w:t>
      </w:r>
    </w:p>
    <w:p>
      <w:pPr>
        <w:pStyle w:val="ListBullet"/>
      </w:pPr>
      <w:r/>
      <w:r>
        <w:rPr>
          <w:b/>
        </w:rPr>
        <w:t>Hémogramme</w:t>
      </w:r>
      <w:r>
        <w:t xml:space="preserve"> : sulfamides (rare), pioglitazone ;</w:t>
      </w:r>
    </w:p>
    <w:p>
      <w:pPr>
        <w:pStyle w:val="ListBullet"/>
      </w:pPr>
      <w:r/>
      <w:r>
        <w:rPr>
          <w:b/>
        </w:rPr>
        <w:t>Glycémie capillaire</w:t>
      </w:r>
      <w:r>
        <w:t xml:space="preserve"> : sulfamides, associations, gliflozines en association, GLP-1 en association ;</w:t>
      </w:r>
    </w:p>
    <w:p>
      <w:pPr>
        <w:pStyle w:val="ListBullet"/>
      </w:pPr>
      <w:r/>
      <w:r>
        <w:rPr>
          <w:b/>
        </w:rPr>
        <w:t>HbA1c</w:t>
      </w:r>
      <w:r>
        <w:t xml:space="preserve"> : tous les 3 mois jusqu'à l'objectif, puis tous les 6 mois ;</w:t>
      </w:r>
    </w:p>
    <w:p>
      <w:pPr>
        <w:pStyle w:val="ListBullet"/>
      </w:pPr>
      <w:r/>
      <w:r>
        <w:rPr>
          <w:b/>
        </w:rPr>
        <w:t>Vitamine B12</w:t>
      </w:r>
      <w:r>
        <w:t xml:space="preserve"> : metformine au long cours (&gt; 4 ans) ;</w:t>
      </w:r>
    </w:p>
    <w:p>
      <w:pPr>
        <w:pStyle w:val="ListBullet"/>
      </w:pPr>
      <w:r/>
      <w:r>
        <w:rPr>
          <w:b/>
        </w:rPr>
        <w:t>Examen des pieds</w:t>
      </w:r>
      <w:r>
        <w:t xml:space="preserve"> : canagliflozine (signal d'amputation) ;</w:t>
      </w:r>
    </w:p>
    <w:p>
      <w:pPr>
        <w:pStyle w:val="ListBullet"/>
      </w:pPr>
      <w:r/>
      <w:r>
        <w:rPr>
          <w:b/>
        </w:rPr>
        <w:t>Examen thyroïdien</w:t>
      </w:r>
      <w:r>
        <w:t xml:space="preserve"> : GLP-1 agonistes (signal de cancer médullaire) ;</w:t>
      </w:r>
    </w:p>
    <w:p>
      <w:pPr>
        <w:pStyle w:val="ListBullet"/>
      </w:pPr>
      <w:r/>
      <w:r>
        <w:rPr>
          <w:b/>
        </w:rPr>
        <w:t>Examen ophtalmologique</w:t>
      </w:r>
      <w:r>
        <w:t xml:space="preserve"> : sémaglutide (rétinopathie préexistante) ;</w:t>
      </w:r>
    </w:p>
    <w:p>
      <w:pPr>
        <w:pStyle w:val="ListBullet"/>
      </w:pPr>
      <w:r/>
      <w:r>
        <w:rPr>
          <w:b/>
        </w:rPr>
        <w:t>Poids, PA</w:t>
      </w:r>
      <w:r>
        <w:t xml:space="preserve"> : tous, particulièrement gliflozines, GLP-1, pioglitazone.</w:t>
      </w:r>
    </w:p>
    <w:p>
      <w:pPr>
        <w:pStyle w:val="Heading3"/>
      </w:pPr>
      <w:r>
        <w:t>4. Prévention des interactions majeures</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Médicament du patient</w:t>
            </w:r>
          </w:p>
        </w:tc>
        <w:tc>
          <w:tcPr>
            <w:tcW w:type="dxa" w:w="3118"/>
          </w:tcPr>
          <w:p>
            <w:r>
              <w:rPr>
                <w:b/>
                <w:sz w:val="20"/>
              </w:rPr>
              <w:t>Antidiabétique à risque</w:t>
            </w:r>
          </w:p>
        </w:tc>
        <w:tc>
          <w:tcPr>
            <w:tcW w:type="dxa" w:w="3118"/>
          </w:tcPr>
          <w:p>
            <w:r>
              <w:rPr>
                <w:b/>
                <w:sz w:val="20"/>
              </w:rPr>
              <w:t>Interaction</w:t>
            </w:r>
          </w:p>
        </w:tc>
      </w:tr>
      <w:tr>
        <w:tc>
          <w:tcPr>
            <w:tcW w:type="dxa" w:w="3118"/>
          </w:tcPr>
          <w:p>
            <w:r>
              <w:rPr>
                <w:sz w:val="20"/>
              </w:rPr>
              <w:t>Produit de contraste iodé</w:t>
            </w:r>
          </w:p>
        </w:tc>
        <w:tc>
          <w:tcPr>
            <w:tcW w:type="dxa" w:w="3118"/>
          </w:tcPr>
          <w:p>
            <w:r>
              <w:rPr>
                <w:sz w:val="20"/>
              </w:rPr>
              <w:t>Metformine, associations</w:t>
            </w:r>
          </w:p>
        </w:tc>
        <w:tc>
          <w:tcPr>
            <w:tcW w:type="dxa" w:w="3118"/>
          </w:tcPr>
          <w:p>
            <w:r>
              <w:rPr>
                <w:sz w:val="20"/>
              </w:rPr>
              <w:t>Arrêt 48 h avant/après — acidose lactique</w:t>
            </w:r>
          </w:p>
        </w:tc>
      </w:tr>
      <w:tr>
        <w:tc>
          <w:tcPr>
            <w:tcW w:type="dxa" w:w="3118"/>
          </w:tcPr>
          <w:p>
            <w:r>
              <w:rPr>
                <w:sz w:val="20"/>
              </w:rPr>
              <w:t>Fluconazole, miconazole, voriconazole</w:t>
            </w:r>
          </w:p>
        </w:tc>
        <w:tc>
          <w:tcPr>
            <w:tcW w:type="dxa" w:w="3118"/>
          </w:tcPr>
          <w:p>
            <w:r>
              <w:rPr>
                <w:sz w:val="20"/>
              </w:rPr>
              <w:t>Sulfamides, répaglinide</w:t>
            </w:r>
          </w:p>
        </w:tc>
        <w:tc>
          <w:tcPr>
            <w:tcW w:type="dxa" w:w="3118"/>
          </w:tcPr>
          <w:p>
            <w:r>
              <w:rPr>
                <w:sz w:val="20"/>
              </w:rPr>
              <w:t>Inhibition CYP2C9/3A4 — hypoglycémie sévère</w:t>
            </w:r>
          </w:p>
        </w:tc>
      </w:tr>
      <w:tr>
        <w:tc>
          <w:tcPr>
            <w:tcW w:type="dxa" w:w="3118"/>
          </w:tcPr>
          <w:p>
            <w:r>
              <w:rPr>
                <w:sz w:val="20"/>
              </w:rPr>
              <w:t>Cotrimoxazole</w:t>
            </w:r>
          </w:p>
        </w:tc>
        <w:tc>
          <w:tcPr>
            <w:tcW w:type="dxa" w:w="3118"/>
          </w:tcPr>
          <w:p>
            <w:r>
              <w:rPr>
                <w:sz w:val="20"/>
              </w:rPr>
              <w:t>Sulfamides</w:t>
            </w:r>
          </w:p>
        </w:tc>
        <w:tc>
          <w:tcPr>
            <w:tcW w:type="dxa" w:w="3118"/>
          </w:tcPr>
          <w:p>
            <w:r>
              <w:rPr>
                <w:sz w:val="20"/>
              </w:rPr>
              <w:t>Déplacement protéique + inhibition CYP — hypoglycémie</w:t>
            </w:r>
          </w:p>
        </w:tc>
      </w:tr>
      <w:tr>
        <w:tc>
          <w:tcPr>
            <w:tcW w:type="dxa" w:w="3118"/>
          </w:tcPr>
          <w:p>
            <w:r>
              <w:rPr>
                <w:sz w:val="20"/>
              </w:rPr>
              <w:t>Gemfibrozil</w:t>
            </w:r>
          </w:p>
        </w:tc>
        <w:tc>
          <w:tcPr>
            <w:tcW w:type="dxa" w:w="3118"/>
          </w:tcPr>
          <w:p>
            <w:r>
              <w:rPr>
                <w:sz w:val="20"/>
              </w:rPr>
              <w:t>Répaglinide, pioglitazone</w:t>
            </w:r>
          </w:p>
        </w:tc>
        <w:tc>
          <w:tcPr>
            <w:tcW w:type="dxa" w:w="3118"/>
          </w:tcPr>
          <w:p>
            <w:r>
              <w:rPr>
                <w:sz w:val="20"/>
              </w:rPr>
              <w:t>Inhibition CYP2C8 — CI absolue</w:t>
            </w:r>
          </w:p>
        </w:tc>
      </w:tr>
      <w:tr>
        <w:tc>
          <w:tcPr>
            <w:tcW w:type="dxa" w:w="3118"/>
          </w:tcPr>
          <w:p>
            <w:r>
              <w:rPr>
                <w:sz w:val="20"/>
              </w:rPr>
              <w:t>Bosentan</w:t>
            </w:r>
          </w:p>
        </w:tc>
        <w:tc>
          <w:tcPr>
            <w:tcW w:type="dxa" w:w="3118"/>
          </w:tcPr>
          <w:p>
            <w:r>
              <w:rPr>
                <w:sz w:val="20"/>
              </w:rPr>
              <w:t>Glibenclamide</w:t>
            </w:r>
          </w:p>
        </w:tc>
        <w:tc>
          <w:tcPr>
            <w:tcW w:type="dxa" w:w="3118"/>
          </w:tcPr>
          <w:p>
            <w:r>
              <w:rPr>
                <w:sz w:val="20"/>
              </w:rPr>
              <w:t>CI absolue</w:t>
            </w:r>
          </w:p>
        </w:tc>
      </w:tr>
      <w:tr>
        <w:tc>
          <w:tcPr>
            <w:tcW w:type="dxa" w:w="3118"/>
          </w:tcPr>
          <w:p>
            <w:r>
              <w:rPr>
                <w:sz w:val="20"/>
              </w:rPr>
              <w:t>Alcool</w:t>
            </w:r>
          </w:p>
        </w:tc>
        <w:tc>
          <w:tcPr>
            <w:tcW w:type="dxa" w:w="3118"/>
          </w:tcPr>
          <w:p>
            <w:r>
              <w:rPr>
                <w:sz w:val="20"/>
              </w:rPr>
              <w:t>Sulfamides, metformine</w:t>
            </w:r>
          </w:p>
        </w:tc>
        <w:tc>
          <w:tcPr>
            <w:tcW w:type="dxa" w:w="3118"/>
          </w:tcPr>
          <w:p>
            <w:r>
              <w:rPr>
                <w:sz w:val="20"/>
              </w:rPr>
              <w:t>Effet antabuse + acidose lactique + hypoglycémie</w:t>
            </w:r>
          </w:p>
        </w:tc>
      </w:tr>
      <w:tr>
        <w:tc>
          <w:tcPr>
            <w:tcW w:type="dxa" w:w="3118"/>
          </w:tcPr>
          <w:p>
            <w:r>
              <w:rPr>
                <w:sz w:val="20"/>
              </w:rPr>
              <w:t>β-bloquants</w:t>
            </w:r>
          </w:p>
        </w:tc>
        <w:tc>
          <w:tcPr>
            <w:tcW w:type="dxa" w:w="3118"/>
          </w:tcPr>
          <w:p>
            <w:r>
              <w:rPr>
                <w:sz w:val="20"/>
              </w:rPr>
              <w:t>Sulfamides</w:t>
            </w:r>
          </w:p>
        </w:tc>
        <w:tc>
          <w:tcPr>
            <w:tcW w:type="dxa" w:w="3118"/>
          </w:tcPr>
          <w:p>
            <w:r>
              <w:rPr>
                <w:sz w:val="20"/>
              </w:rPr>
              <w:t>Masquage des signes d'hypoglycémie</w:t>
            </w:r>
          </w:p>
        </w:tc>
      </w:tr>
      <w:tr>
        <w:tc>
          <w:tcPr>
            <w:tcW w:type="dxa" w:w="3118"/>
          </w:tcPr>
          <w:p>
            <w:r>
              <w:rPr>
                <w:sz w:val="20"/>
              </w:rPr>
              <w:t>Diurétiques</w:t>
            </w:r>
          </w:p>
        </w:tc>
        <w:tc>
          <w:tcPr>
            <w:tcW w:type="dxa" w:w="3118"/>
          </w:tcPr>
          <w:p>
            <w:r>
              <w:rPr>
                <w:sz w:val="20"/>
              </w:rPr>
              <w:t>Gliflozines</w:t>
            </w:r>
          </w:p>
        </w:tc>
        <w:tc>
          <w:tcPr>
            <w:tcW w:type="dxa" w:w="3118"/>
          </w:tcPr>
          <w:p>
            <w:r>
              <w:rPr>
                <w:sz w:val="20"/>
              </w:rPr>
              <w:t>Déshydratation, hypotension</w:t>
            </w:r>
          </w:p>
        </w:tc>
      </w:tr>
      <w:tr>
        <w:tc>
          <w:tcPr>
            <w:tcW w:type="dxa" w:w="3118"/>
          </w:tcPr>
          <w:p>
            <w:r>
              <w:rPr>
                <w:sz w:val="20"/>
              </w:rPr>
              <w:t>IEC, ARA2</w:t>
            </w:r>
          </w:p>
        </w:tc>
        <w:tc>
          <w:tcPr>
            <w:tcW w:type="dxa" w:w="3118"/>
          </w:tcPr>
          <w:p>
            <w:r>
              <w:rPr>
                <w:sz w:val="20"/>
              </w:rPr>
              <w:t>Gliflozines</w:t>
            </w:r>
          </w:p>
        </w:tc>
        <w:tc>
          <w:tcPr>
            <w:tcW w:type="dxa" w:w="3118"/>
          </w:tcPr>
          <w:p>
            <w:r>
              <w:rPr>
                <w:sz w:val="20"/>
              </w:rPr>
              <w:t>Surveillance PA et fonction rénale</w:t>
            </w:r>
          </w:p>
        </w:tc>
      </w:tr>
      <w:tr>
        <w:tc>
          <w:tcPr>
            <w:tcW w:type="dxa" w:w="3118"/>
          </w:tcPr>
          <w:p>
            <w:r>
              <w:rPr>
                <w:sz w:val="20"/>
              </w:rPr>
              <w:t>Lithium</w:t>
            </w:r>
          </w:p>
        </w:tc>
        <w:tc>
          <w:tcPr>
            <w:tcW w:type="dxa" w:w="3118"/>
          </w:tcPr>
          <w:p>
            <w:r>
              <w:rPr>
                <w:sz w:val="20"/>
              </w:rPr>
              <w:t>Gliflozines</w:t>
            </w:r>
          </w:p>
        </w:tc>
        <w:tc>
          <w:tcPr>
            <w:tcW w:type="dxa" w:w="3118"/>
          </w:tcPr>
          <w:p>
            <w:r>
              <w:rPr>
                <w:sz w:val="20"/>
              </w:rPr>
              <w:t>Baisse de la lithémie</w:t>
            </w:r>
          </w:p>
        </w:tc>
      </w:tr>
    </w:tbl>
    <w:p/>
    <w:p>
      <w:pPr>
        <w:pStyle w:val="Heading3"/>
      </w:pPr>
      <w:r>
        <w:t>5. Cas particuliers au comptoir</w:t>
      </w:r>
    </w:p>
    <w:p>
      <w:pPr>
        <w:pStyle w:val="ListBullet"/>
      </w:pPr>
      <w:r/>
      <w:r>
        <w:rPr>
          <w:b/>
        </w:rPr>
        <w:t>Femme enceinte ou planifiant une grossesse</w:t>
      </w:r>
      <w:r>
        <w:t xml:space="preserve"> : arrêt de tous les antidiabétiques oraux et injectables (sauf metformine discutée), substitution par insuline en préconceptionnel.</w:t>
      </w:r>
    </w:p>
    <w:p>
      <w:pPr>
        <w:pStyle w:val="ListBullet"/>
      </w:pPr>
      <w:r/>
      <w:r>
        <w:rPr>
          <w:b/>
        </w:rPr>
        <w:t>Sujet âgé fragile</w:t>
      </w:r>
      <w:r>
        <w:t xml:space="preserve"> : préférer metformine LP, sitagliptine/alogliptine, gliclazide MR ; éviter glibenclamide, glinides multidoses, associations Metformine+Glibenclamide.</w:t>
      </w:r>
    </w:p>
    <w:p>
      <w:pPr>
        <w:pStyle w:val="ListBullet"/>
      </w:pPr>
      <w:r/>
      <w:r>
        <w:rPr>
          <w:b/>
        </w:rPr>
        <w:t>Insuffisant rénal modérée</w:t>
      </w:r>
      <w:r>
        <w:t xml:space="preserve"> : adapter metformine (max 1000 mg/j si DFG 30–45), sitagliptine/alogliptine, gliflozines (ne pas initier), GLP-1 (prudence), gliquidone (préservé).</w:t>
      </w:r>
    </w:p>
    <w:p>
      <w:pPr>
        <w:pStyle w:val="ListBullet"/>
      </w:pPr>
      <w:r/>
      <w:r>
        <w:rPr>
          <w:b/>
        </w:rPr>
        <w:t>Insuffisance cardiaque</w:t>
      </w:r>
      <w:r>
        <w:t xml:space="preserve"> : CI pour pioglitazone, gliflozines en bénéfice, GLP-1 (prudence).</w:t>
      </w:r>
    </w:p>
    <w:p>
      <w:pPr>
        <w:pStyle w:val="ListBullet"/>
      </w:pPr>
      <w:r/>
      <w:r>
        <w:rPr>
          <w:b/>
        </w:rPr>
        <w:t>Patient chirurgical</w:t>
      </w:r>
      <w:r>
        <w:t xml:space="preserve"> : arrêt gliflozines 3–4 jours avant, metformine 48 h avant contraste iodé, GLP-1 maintenus mais surveillance.</w:t>
      </w:r>
    </w:p>
    <w:p>
      <w:pPr>
        <w:pStyle w:val="ListBullet"/>
      </w:pPr>
      <w:r/>
      <w:r>
        <w:rPr>
          <w:b/>
        </w:rPr>
        <w:t>Patient DT1</w:t>
      </w:r>
      <w:r>
        <w:t xml:space="preserve"> : CI absolue pour gliflozines et GLP-1 agonistes (risque de DKA euglycémique).</w:t>
      </w:r>
    </w:p>
    <w:p>
      <w:pPr>
        <w:pStyle w:val="Heading3"/>
      </w:pPr>
      <w:r>
        <w:t>6. Règles d'or du pharmacien d'officine</w:t>
      </w:r>
    </w:p>
    <w:p>
      <w:pPr>
        <w:pStyle w:val="ListNumber"/>
      </w:pPr>
      <w:r/>
      <w:r>
        <w:rPr>
          <w:b/>
        </w:rPr>
        <w:t>Toujours vérifier le DFG</w:t>
      </w:r>
      <w:r>
        <w:t xml:space="preserve"> avant délivrance d'un antidiabétique rénal (metformine, gliptines, gliflozines) ;</w:t>
      </w:r>
    </w:p>
    <w:p>
      <w:pPr>
        <w:pStyle w:val="ListNumber"/>
      </w:pPr>
      <w:r/>
      <w:r>
        <w:rPr>
          <w:b/>
        </w:rPr>
        <w:t>Toujours demander la prescription récente</w:t>
      </w:r>
      <w:r>
        <w:t xml:space="preserve"> (créatinine, transaminases, HbA1c) avant initiation ou renouvellement ;</w:t>
      </w:r>
    </w:p>
    <w:p>
      <w:pPr>
        <w:pStyle w:val="ListNumber"/>
      </w:pPr>
      <w:r/>
      <w:r>
        <w:rPr>
          <w:b/>
        </w:rPr>
        <w:t>Toujours éduquer sur l'hypoglycémie</w:t>
      </w:r>
      <w:r>
        <w:t xml:space="preserve"> si sulfamide, glinide, association, insuline ;</w:t>
      </w:r>
    </w:p>
    <w:p>
      <w:pPr>
        <w:pStyle w:val="ListNumber"/>
      </w:pPr>
      <w:r/>
      <w:r>
        <w:rPr>
          <w:b/>
        </w:rPr>
        <w:t>Toujours demander les autres médicaments</w:t>
      </w:r>
      <w:r>
        <w:t xml:space="preserve"> du patient (diurétiques, AINS, antifongiques azolés, antibiotiques) ;</w:t>
      </w:r>
    </w:p>
    <w:p>
      <w:pPr>
        <w:pStyle w:val="ListNumber"/>
      </w:pPr>
      <w:r/>
      <w:r>
        <w:rPr>
          <w:b/>
        </w:rPr>
        <w:t>Toujours vérifier l'absence de grossesse</w:t>
      </w:r>
      <w:r>
        <w:t xml:space="preserve"> chez une femme en âge de procréer avant délivrance d'un antidiabétique tératogène (gliflozines, GLP-1, sulfamides) ;</w:t>
      </w:r>
    </w:p>
    <w:p>
      <w:pPr>
        <w:pStyle w:val="ListNumber"/>
      </w:pPr>
      <w:r/>
      <w:r>
        <w:rPr>
          <w:b/>
        </w:rPr>
        <w:t>Toujours éduquer à l'hygiène génitale et à l'examen des pieds</w:t>
      </w:r>
      <w:r>
        <w:t xml:space="preserve"> sous gliflozines ;</w:t>
      </w:r>
    </w:p>
    <w:p>
      <w:pPr>
        <w:pStyle w:val="ListNumber"/>
      </w:pPr>
      <w:r/>
      <w:r>
        <w:rPr>
          <w:b/>
        </w:rPr>
        <w:t>Toujours informer sur les signes de pancréatite</w:t>
      </w:r>
      <w:r>
        <w:t xml:space="preserve"> sous gliptines et GLP-1 ;</w:t>
      </w:r>
    </w:p>
    <w:p>
      <w:pPr>
        <w:pStyle w:val="ListNumber"/>
      </w:pPr>
      <w:r/>
      <w:r>
        <w:rPr>
          <w:b/>
        </w:rPr>
        <w:t>Toujours éduquer à la conservation</w:t>
      </w:r>
      <w:r>
        <w:t xml:space="preserve"> des stylos GLP-1 (réfrigérateur, puis température ambiante limitée) ;</w:t>
      </w:r>
    </w:p>
    <w:p>
      <w:pPr>
        <w:pStyle w:val="ListNumber"/>
      </w:pPr>
      <w:r/>
      <w:r>
        <w:rPr>
          <w:b/>
        </w:rPr>
        <w:t>Toujours vérifier l'absence de double prescription</w:t>
      </w:r>
      <w:r>
        <w:t xml:space="preserve"> de metformine (libre + association fixe) ;</w:t>
      </w:r>
    </w:p>
    <w:p>
      <w:pPr>
        <w:pStyle w:val="ListNumber"/>
      </w:pPr>
      <w:r/>
      <w:r>
        <w:rPr>
          <w:b/>
        </w:rPr>
        <w:t>Toujours encourager l'observance</w:t>
      </w:r>
      <w:r>
        <w:t xml:space="preserve"> et l'hygiène de vie (alimentation équilibrée, activité physique, arrêt du tabac, perte de poids) — rappeler que le traitement pharmacologique ne remplace pas les mesures hygiéno-diététiques.</w:t>
      </w:r>
    </w:p>
    <w:p>
      <w:pPr>
        <w:pStyle w:val="Heading2"/>
      </w:pPr>
      <w:r>
        <w:t>XV. Conclusion</w:t>
      </w:r>
    </w:p>
    <w:p>
      <w:r>
        <w:t>Le chapitre a présenté une analyse exhaustive des 21 DCI d'antidiabétiques oraux et injectables (agonistes GLP-1) disponibles ou ayant été disponibles dans la nomenclature algérienne des médicaments. Ces molécules illustrent l'évolution remarquable de la diabétologie pharmacologique au cours des six dernières décennies : des sulfamides historiques (carbutamide, retiré) à la metformine (pivot thérapeutique), des thiazolidinediones (pioglitazone) aux incrétino-modulateurs (gliptines et GLP-1 agonistes), et enfin aux gliflozines, qui ont transformé le pronostic cardiovasculaire et rénal du DT2.</w:t>
      </w:r>
    </w:p>
    <w:p>
      <w:r>
        <w:t>La disponibilité en Algérie est globalement satisfaisante pour les classes pivots (metformine sous 20+ marques, gliclazide MR sous 6 marques, glimépiride sous 12 marques, gliptines sous 9+ marques, gliflozines sous 4+ marques, GLP-1 agonistes sous 3 marques), reflétant la maturité du marché national et la volonté des pouvoirs publics de garantir l'accès aux traitements modernes. Le pharmacien d'officine algérien occupe une position centrale dans la prise en charge du DT2 : il est l'interlocuteur de proximité, garant de la dispensation sécurisée, de l'éducation thérapeutique, de la pharmacovigilance et de l'observance. Sa connaissance approfondie des mécanismes d'action, des effets indésirables, des interactions et des règles de prescription est essentielle pour optimiser le parcours de soins du patient diabétique.</w:t>
      </w:r>
    </w:p>
    <w:p>
      <w:r>
        <w:t>L'avenir du traitement du DT2 en Algérie passera par une meilleure intégration des stratégies cardiovasculaires et rénales (gliflozines et GLP-1 en priorité chez les patients à haut risque), par la généralisation de l'éducation thérapeutique structurée (programmes type DIABSAT, Éducation Thérapeutique du Patient), par le développement de la télémédecine pour le suivi des patients isolés, et par la disponibilité accrue des nouvelles classes (analogues de l'amyline, inhibiteurs SGLT1/2, associations fixes modernes).</w:t>
      </w:r>
    </w:p>
    <w:p>
      <w:r>
        <w:t>Le pharmacien doit rester vigilant face aux pièges classiques (acidose lactique sous metformine, hypoglycémies sous sulfamides, DKA euglycémiques sous gliflozines, pancréatites sous gliptines et GLP-1, cancers thyroïdiens sous GLP-1, amputations sous canagliflozine) et savoir détecter précocement les signes d'alerte pour une prise en charge rapide et spécialisée.</w:t>
      </w:r>
    </w:p>
    <w:p>
      <w:r/>
      <w:r>
        <w:rPr>
          <w:b/>
        </w:rPr>
        <w:t>Sources consultées :</w:t>
      </w:r>
      <w:r/>
    </w:p>
    <w:p>
      <w:pPr>
        <w:pStyle w:val="ListBullet"/>
      </w:pPr>
      <w:r>
        <w:t>VIDAL 2024 — Dictionnaire des médicaments</w:t>
      </w:r>
    </w:p>
    <w:p>
      <w:pPr>
        <w:pStyle w:val="ListBullet"/>
      </w:pPr>
      <w:r>
        <w:t>ANSM (Agence Nationale de Sécurité du Médicament) — Résumés des Caractéristiques Produit (RCP)</w:t>
      </w:r>
    </w:p>
    <w:p>
      <w:pPr>
        <w:pStyle w:val="ListBullet"/>
      </w:pPr>
      <w:r>
        <w:t>Thériaque — Base de données française des médicaments</w:t>
      </w:r>
    </w:p>
    <w:p>
      <w:pPr>
        <w:pStyle w:val="ListBullet"/>
      </w:pPr>
      <w:r>
        <w:t>CRAT (Centre de Renseignement sur les Agents Tératogènes) — Données grossesse/allaitement</w:t>
      </w:r>
    </w:p>
    <w:p>
      <w:pPr>
        <w:pStyle w:val="ListBullet"/>
      </w:pPr>
      <w:r>
        <w:t>UpToDate — Type 2 diabetes treatment guidelines</w:t>
      </w:r>
    </w:p>
    <w:p>
      <w:pPr>
        <w:pStyle w:val="ListBullet"/>
      </w:pPr>
      <w:r>
        <w:t>ADA/EASD Consensus Report 2022 — Management of hyperglycemia in type 2 diabetes</w:t>
      </w:r>
    </w:p>
    <w:p>
      <w:pPr>
        <w:pStyle w:val="ListBullet"/>
      </w:pPr>
      <w:r>
        <w:t>HAS (Haute Autorité de Santé) — Stratégie médicamenteuse du DT2 (réactualisation 2023)</w:t>
      </w:r>
    </w:p>
    <w:p>
      <w:pPr>
        <w:pStyle w:val="ListBullet"/>
      </w:pPr>
      <w:r>
        <w:t>Société Algérienne de Diabétologie (SAD) — Recommandations nationales</w:t>
      </w:r>
    </w:p>
    <w:p>
      <w:pPr>
        <w:pStyle w:val="ListBullet"/>
      </w:pPr>
      <w:r>
        <w:t>Études pivots : UKPDS (metformine), ADVANCE (gliclazide), PROactive (pioglitazone), EMPA-REG OUTCOME (empagliflozine), CANVAS (canagliflozine), DECLARE-TIMI 58 (dapagliflozine), LEADER (liraglutide), SUSTAIN-6 (sémaglutide), REWIND (dulaglutide), DAPA-HF, DAPA-CKD, EMPEROR-Reduced, EMPEROR-Preserved, EMPA-KIDNEY, CREDENCE.</w:t>
      </w:r>
    </w:p>
    <w:p>
      <w:pPr>
        <w:pStyle w:val="ListBullet"/>
      </w:pPr>
      <w:r>
        <w:t>Nomenclature algérienne des médicaments (Avril 2026) — COMPLETE LISTE.xlsx</w:t>
      </w:r>
    </w:p>
    <w:p>
      <w:pPr>
        <w:pStyle w:val="Heading1"/>
      </w:pPr>
      <w:r>
        <w:t>Chapitre 43 — Thyroïde et Corticoïdes Systémiques</w:t>
      </w:r>
    </w:p>
    <w:p>
      <w:pPr>
        <w:pStyle w:val="Heading2"/>
      </w:pPr>
      <w:r>
        <w:t>Fascicule V — Diabétologie / Endocrinologie</w:t>
      </w:r>
    </w:p>
    <w:p>
      <w:pPr>
        <w:pStyle w:val="Heading3"/>
      </w:pPr>
      <w:r>
        <w:t>Section 43 — Hormones thyroïdiennes, Antithyroïdiens de synthèse, Iode thérapeutique, Glucocorticoïdes systémiques et Minéralocorticoïdes</w:t>
      </w:r>
    </w:p>
    <w:p>
      <w:pPr>
        <w:pStyle w:val="Heading2"/>
      </w:pPr>
      <w:r>
        <w:t>Introduction Générale du Chapitre</w:t>
      </w:r>
    </w:p>
    <w:p>
      <w:r>
        <w:t>L'endocrinologie clinique algérienne repose sur un nombre restreint mais stratégiquement fondamental de classes médicamenteuses : les hormones thyroïdiennes de substitution, les antithyroïdiens de synthèse, l'iode thérapeutique (sous forme de solution de Lugol, de povidone iodée ou de produits de contraste radiologique iodés), les glucocorticoïdes systémiques (classés selon la durée de leur action anti-inflammatoire — courte, intermédiaire, longue) et les minéralocorticoïdes. Ce chapitre couvre onze DCI essentielles, dont plusieurs figurent sur la liste des médicaments d'importance majeure en santé publique (lévothyroxine, hydrocortisone, prednisone, dexaméthasone) et d'autres appartiennent au paysage thérapeutique historique (BASDENE® — benzylthiouracile — qui demeure disponible en Algérie bien qu'il ait été retiré dans plusieurs pays européens).</w:t>
      </w:r>
    </w:p>
    <w:p>
      <w:r>
        <w:t>La pharmacologie de ces molécules se caractérise par plusieurs particularités cliniques majeures que le pharmacien d'officine algérien doit maîtriser :</w:t>
      </w:r>
    </w:p>
    <w:p>
      <w:pPr>
        <w:pStyle w:val="ListNumber"/>
      </w:pPr>
      <w:r/>
      <w:r>
        <w:rPr>
          <w:b/>
        </w:rPr>
        <w:t>Les hormones thyroïdiennes</w:t>
      </w:r>
      <w:r>
        <w:t xml:space="preserve"> ont une demi-vie extrêmement longue (lévothyroxine : 7 jours ; état d'équilibre atteint en 4 à 6 semaines), ce qui implique une surveillance biologique différée (TSH 6 semaines après changement de posologie) et une extrême sensibilité aux interactions médicamenteuses au niveau de l'absorption intestinale (sels ferriques, calcium, cholestyramine, inhibiteurs de pompe à protons, café, etc.).</w:t>
      </w:r>
    </w:p>
    <w:p>
      <w:pPr>
        <w:pStyle w:val="ListNumber"/>
      </w:pPr>
      <w:r/>
      <w:r>
        <w:rPr>
          <w:b/>
        </w:rPr>
        <w:t>Les antithyroïdiens de synthèse</w:t>
      </w:r>
      <w:r>
        <w:t xml:space="preserve"> (thiamazole/carbimazole et benzylthiouracile) partagent un risque majeur mais rare d'agranulocytose médicamenteuse potentiellement fatale, qui impose une information systématique du patient sur la conduite à tenir en cas de fièvre, angine ou ulcération buccale. Le benzylthiouracile conserve une place particulière dans la stratégie thérapeutique algérienne, avec un profil d'hépatotoxicité et d'inhibition de la conversion T4 → T3 distinct du thiamazole.</w:t>
      </w:r>
    </w:p>
    <w:p>
      <w:pPr>
        <w:pStyle w:val="ListNumber"/>
      </w:pPr>
      <w:r/>
      <w:r>
        <w:rPr>
          <w:b/>
        </w:rPr>
        <w:t>L'iode</w:t>
      </w:r>
      <w:r>
        <w:t xml:space="preserve"> possède un double visage pharmacologique : à fortes doses (solution de Lugol), il induit un blocage transitoire de la synthèse hormonale thyroïdienne (effet Wolff-Chaikoff) utilisé en préopératoire de chirurgie thyroïdienne ; à dose antiseptique (povidone iodée), il exerce une bactéricidie oxydative large spectre mais peut être à l'origine de dysthyroïdies fœtales en cas d'usage prolongé pendant la grossesse.</w:t>
      </w:r>
    </w:p>
    <w:p>
      <w:pPr>
        <w:pStyle w:val="ListNumber"/>
      </w:pPr>
      <w:r/>
      <w:r>
        <w:rPr>
          <w:b/>
        </w:rPr>
        <w:t>Les glucocorticoïdes systémiques</w:t>
      </w:r>
      <w:r>
        <w:t xml:space="preserve"> constituent l'une des classes iatrogènes les plus redoutées en raison de leurs effets métaboliques, endocriniens, osseux, infectieux, ophtalmologiques et psychiatriques. La hiérarchisation courte/intermédiaire/longue repose sur la demi-vie biologique (et non la demi-vie plasmatique) et détermine le risque d'insuffisance surrénale à l'arrêt. L'hydrocortisone est l'hormone de référence pour la substitution, la prednisone/prednisolone représente l'archétype de la corticothérapie anti-inflammatoire générale intermédiaire, et la dexaméthasone — puissant à 30× l'hydrocortisone sans activité minéralocorticoïde significative — est devenue le pilier des protocoles COVID-19 sévère (RECOVERY) et des œdèmes cérébraux.</w:t>
      </w:r>
    </w:p>
    <w:p>
      <w:pPr>
        <w:pStyle w:val="ListNumber"/>
      </w:pPr>
      <w:r/>
      <w:r>
        <w:rPr>
          <w:b/>
        </w:rPr>
        <w:t>Les minéralocorticoïdes</w:t>
      </w:r>
      <w:r>
        <w:t xml:space="preserve"> (fludrocortisone), bien que non disponibles dans la nomenclature algérienne actuelle, méritent une mention pédagogique car ils restent essentiels dans l'insuffisance surrénale primitive et les dysautonomies orthostatiques ; leur absence impose des stratégies alternatives (hydrocortisone à doses supra-substitutives, régime salé).</w:t>
      </w:r>
    </w:p>
    <w:p>
      <w:r>
        <w:t>L'enseignement de ces classes doit articuler trois niveaux de compétence : (i) la compréhension moléculaire (récepteurs nucléaires TRα/β pour les hormones thyroïdiennes, récepteurs glucocorticoïdes cytosoliques avec translocation nucléaire et fixation sur GRE pour les corticoïdes) ; (ii) la maîtrise pharmacocinétique pratique (demi-vie, équivalences anti-inflammatoires, biodisponibilité, interactions) ; et (iii) la vigilance clinique de l'officinal (conseils de prise, surveillance biologique, dépistage des effets indésirables graves, gestion des situations d'urgence comme la crise surrénalienne aiguë ou l'agranulocytose aux antithyroïdiens).</w:t>
      </w:r>
    </w:p>
    <w:p>
      <w:r>
        <w:t>Le présent chapitre est organisé en dix sous-classes thérapeutiques, chacune introduite par un texte de cadrage pédagogique, suivie de fiches DCI structurées selon un modèle identique (mécanisme, indications, CI, EI, interactions, grossesse, posologie, conseils patient, pièges du comptoir). Une table comparative synthétique clôt le chapitre pour faciliter la mémorisation des équivalences et des spécificités de chaque molécule.</w:t>
      </w:r>
    </w:p>
    <w:p>
      <w:pPr>
        <w:pStyle w:val="Heading2"/>
      </w:pPr>
      <w:r>
        <w:t>1. Sous-classe : Hormones thyroïdiennes — T4 (Lévothyroxine / Thyroxine)</w:t>
      </w:r>
    </w:p>
    <w:p>
      <w:r>
        <w:t>La sous-classe des hormones thyroïdiennes T4 regroupe les spécialités de substitution hormonale de l'hypothyroïdie, toutes commercialisées sous forme de lévothyroxine sodique (isomère synthétique de la thyroxine naturelle). La T4 est une prodrogue métabolique : elle est convertie en T3 (triiodothyronine) par les déiodases de type 1 et 2 dans les tissus périphériques (foie, rein, cerveau, muscle). Cette activation intracellulaire est physiologiquement régulée, ce qui explique pourquoi la substitution par T4 seule — et non par T3 ou par combinaison T3+T4 — est le standard international recommandé par l'American Thyroid Association (ATA) et l'European Thyroid Association (ETA).</w:t>
      </w:r>
    </w:p>
    <w:p>
      <w:r>
        <w:t xml:space="preserve">La pharmacocinétique de la lévothyroxine se caractérise par une biodisponibilité orale d'environ 60 à 80 %, une fixation protéique très élevée (&gt; 99 %, principalement à la TBG — thyroxine-binding globulin), une distribution volumique de 10 à 12 L et surtout une </w:t>
      </w:r>
      <w:r>
        <w:rPr>
          <w:b/>
        </w:rPr>
        <w:t>demi-vie d'élimination de 7 jours</w:t>
      </w:r>
      <w:r>
        <w:t>, qui atteint l'état d'équilibre en 4 à 6 semaines. Cette lenteur explique deux corolaires cliniques majeurs : (i) aucune adaptation posologique ne doit être suivie d'un contrôle de TSH avant 6 semaines ; (ii) en cas d'oubli d'une prise, la dose peut être prise le lendemain en cumul (jusqu'à 48 h), mais au-delà une consultation est requise.</w:t>
      </w:r>
    </w:p>
    <w:p>
      <w:r>
        <w:t>Les enjeux thérapeutiques algériens sont marqués par la très large disponibilité de la lévothyroxine (trois laboratoires principaux — Merck, Berlin-Chemie, Abdi Ibrahim — proposant 8 dosages différents de 25 à 200 µg), permettant une titration fine par paliers de 12,5 µg. La réforme européenne de 2017 (reformulation du Lévothyrox®) ayant causé de nombreux effets indésirables, l'Algérie a été relativement épargnée et conserve une formulation stable. La grossesse représente une situation critique : la TSH doit être maintenue &lt; 2,5 mUI/L au 1er trimestre (les besoins en lévothyroxine augmentant de 30 à 50 % dès la conception), ce qui impose le plus souvent une majoration immédiate de 25 à 50 µg/j dès la confirmation de la grossesse.</w:t>
      </w:r>
    </w:p>
    <w:p>
      <w:pPr>
        <w:pStyle w:val="Heading2"/>
      </w:pPr>
      <w:r>
        <w:t>2. Sous-classe : Hormones thyroïdiennes — T3 (Liothyronine / Triiodothyronine)</w:t>
      </w:r>
    </w:p>
    <w:p>
      <w:r>
        <w:t>La liothyronine (T3 synthétique) correspond à la forme biologiquement active de l'hormone thyroïdienne. Sa demi-vie courte (≈ 1 à 2 jours), son onset rapide (24 à 72 h) et son passage rapide à l'état d'équilibre la rendent particulièrement adaptée aux situations d'urgence (coma myxœdémateux, hypothyroïdie profonde post-chirurgicale ou post-carbimazole) ainsi qu'aux protocoles de sevrage thyroïdien avant radiothérapie métabolique à l'iode-131 (où l'on souhaite induire une hypothyroïdie biochimique rapidement réversible).</w:t>
      </w:r>
    </w:p>
    <w:p>
      <w:r>
        <w:t xml:space="preserve">Cependant, la liothyronine n'est </w:t>
      </w:r>
      <w:r>
        <w:rPr>
          <w:b/>
        </w:rPr>
        <w:t>pas disponible dans la nomenclature algérienne actuelle</w:t>
      </w:r>
      <w:r>
        <w:t xml:space="preserve"> (non listée dans COMPLETE LISTE Avril 2026). Cette absence impose le recours à des stratégies alternatives : (i) pour le coma myxœdémateux, utilisation de lévothyroxine IV (Lévothyrox® solution injectable) à dose de charge 200 à 400 µg IV lente, complétée par hydrocortisone IV (300 à 400 mg/j) pour prévenir l'insuffisance surrénale induite par la levée du frein hypophysaire ; (ii) pour le sevrage pré-IRA-thérapie, simple arrêt de la lévothyroxine pendant 4 semaines (avec montée endogène de la TSH &gt; 30 mUI/L) sans recours à la T3 exogène. Cette particularité algérienne doit être connue du pharmacien hospitalier qui peut être sollicité pour des protocoles importés en ATU (autorisation temporaire d'utilisation) dans certains services d'endocrinologie.</w:t>
      </w:r>
    </w:p>
    <w:p>
      <w:pPr>
        <w:pStyle w:val="Heading2"/>
      </w:pPr>
      <w:r>
        <w:t>3. Sous-classe : Antithyroïdiens de synthèse — Dérivés thioimidazolés / thiouraciles (Benzylthiouracile)</w:t>
      </w:r>
    </w:p>
    <w:p>
      <w:r>
        <w:t xml:space="preserve">Cette sous-classe historique regroupe les antithyroïdiens de synthèse comportant un noyau thiouracile substitué. Le représentant algérien est le </w:t>
      </w:r>
      <w:r>
        <w:rPr>
          <w:b/>
        </w:rPr>
        <w:t>benzylthiouracile</w:t>
      </w:r>
      <w:r>
        <w:t xml:space="preserve"> (BASDENE® — Bouchara-Recordati), commercialisé en comprimés de 25 mg. Le benzylthiouracile se distingue du thiamazole (Dérivé thioimidazolé strict) par sa structure chimique (cycle thiouracile et non imidazole), mais partage le même mécanisme : inhibition compétitive de la thyroperoxydase (TPO), bloquant l'iodation des résidus tyrosyle de la thyroglobuline et donc la synthèse des hormones T3 et T4. Le benzylthiouracile possède en outre une activité inhibitrice partielle de la 5'-déiodase périphérique, diminuant la conversion T4 → T3, ce qui peut être intéressant dans les hyperthyroïdies sévères avec prédominance de T3.</w:t>
      </w:r>
    </w:p>
    <w:p>
      <w:r>
        <w:t>Le benzylthiouracile conserve en Algérie une place particulière : il est parfois préféré au thiamazole chez la femme enceinte au 1er trimestre (en raison d'un profil tératogène débattu et possiblement moindre que celui du thiamazole, bien que la littérature internationale actuelle recommande plutôt le propylthiouracile — non disponible). Cependant, son hépatotoxicité (risque d'hépatite cytolytique ou cholestatique) et son risque d'agranulocytose (≈ 0,3 %) en font une molécule exigeante, nécessitant surveillance NFS-transaminases bihebdomadaire le premier mois puis mensuelle. Le BASDENE® est également utilisé dans le protocole d'équilibration pré-chirurgicale et pré-IRA-thérapie des maladies de Basedow compliquées.</w:t>
      </w:r>
    </w:p>
    <w:p>
      <w:pPr>
        <w:pStyle w:val="Heading2"/>
      </w:pPr>
      <w:r>
        <w:t>4. Sous-classe : Antithyroïdiens de synthèse — Dérivés thiouraciles (Propylthiouracile)</w:t>
      </w:r>
    </w:p>
    <w:p>
      <w:r>
        <w:t>Le propylthiouracile (PTU) est l'antithyroïdien de référence internationalement pour le 1er trimestre de grossesse (en raison d'un passage placentaire moindre et d'un profil tératogène considéré comme inférieur à celui des thioimidazolés) ainsi que pour la crise thyroétoxique (grâce à son inhibition de la 5'-déiodase périphérique bloquant la conversion T4 → T3). Sa demi-vie courte (≈ 1 à 2 h) impose une administration 3 fois par jour.</w:t>
      </w:r>
    </w:p>
    <w:p>
      <w:r>
        <w:t xml:space="preserve">Cependant, le propylthiouracile </w:t>
      </w:r>
      <w:r>
        <w:rPr>
          <w:b/>
        </w:rPr>
        <w:t>n'est pas disponible dans la nomenclature algérienne actuelle</w:t>
      </w:r>
      <w:r>
        <w:t>. Cette absence oblige à des adaptations : (i) en grossesse au 1er trimestre, utilisation du benzylthiouracile (BASDENE®) en alternative, à la plus faible dose efficace, avec surveillance étroite ; (ii) en cas de crise thyroétoxique, association thiamazole + bêta-bloquant + lugol + corticothérapie IV ; (iii) en cas d'agranulocytose au thiamazole, contre-indication croisée avec le benzylthiouracile imposant une stratégie non médicamenteuse (chirurgie ou iode-131). Le pharmacien algérien doit connaître cette absence pour anticiper les demandes d'importation (procédure ATU), et informer les médecins sur les alternatives.</w:t>
      </w:r>
    </w:p>
    <w:p>
      <w:pPr>
        <w:pStyle w:val="Heading2"/>
      </w:pPr>
      <w:r>
        <w:t>5. Sous-classe : Antithyroïdiens de synthèse — Dérivés thioimidazolés (Thiamazole / Carbimazole)</w:t>
      </w:r>
    </w:p>
    <w:p>
      <w:r>
        <w:t>Le thiamazole (également appelé méthimazole dans la littérature anglo-saxonne) est l'antithyroïdien de synthèse de première intention internationalement pour la maladie de Basedow hors grossesse. Le carbimazole est sa prodrogue, rapidement métabolisée en thiamazole actif in vivo. En Algérie, la DCI commercialisée est officiellement « Carbimazole » mais correspond en réalité au thiamazole (les fiches VIDAL et Thériaque considèrent les deux comme interchangeables en pratique clinique). Le thiamazole présente plusieurs avantages pratiques sur le benzylthiouracile : demi-vie longue (4 à 6 h) permettant une monoprise quotidienne, moindre hépatotoxicité, meilleure tolérance digestive. La posologie d'attaque est de 20 à 40 mg/j dans la maladie de Basedow moyenne, 40 à 60 mg/j dans les formes sévères, relayée après 4 à 8 semaines par une dose d'entretien de 5 à 15 mg/j (schéma titration) ou par blocage-substitution (association thiamazole 30 à 40 mg/j + lévothyroxine 100 µg/j).</w:t>
      </w:r>
    </w:p>
    <w:p>
      <w:r>
        <w:t>Le thiamazole est tératogène (anomalies embryonnaires : aplasie cutanée congénitale, atrésie choanale, sténose pulmonaire, anomalies omphalo-mésentériques — syndrome dit « carbimazole embryopathie ») et doit être remplacé pendant le 1er trimestre de grossesse. Quatre spécialités algériennes existent à 5 mg (ATHYROZOL®, CARBIMAZOLE BR, CROVIMAZOLE®, EVOCARBIZOLE®) ; un lot « Groupe Santé » (CARBIMAZOLE GS) est non-renouvelable. Le coût modique et la bonne tolérance en font l'antithyroïdien le plus prescrit en Algérie.</w:t>
      </w:r>
    </w:p>
    <w:p>
      <w:pPr>
        <w:pStyle w:val="Heading2"/>
      </w:pPr>
      <w:r>
        <w:t>6. Sous-classe : Antiseptiques iodés / Solution de Lugol — Iode thérapeutique</w:t>
      </w:r>
    </w:p>
    <w:p>
      <w:r>
        <w:t>L'iode occupe une place doublement stratégique en endocrinologie algérienne : (i) comme antiseptique majeur (povidone iodée, alcool iodé) — la povidone iodée (PVP-I) libère lentement l'iode élémentaire qui oxyde les groupements sulfhydryles des protéines et enzymes bactériennes, assurant une bactéricidie, virucide, fongicide et sporicide large spectre ; (ii) comme médicament de l'hyperthyroïdie, sous forme de solution de Lugol (iodure de potassium + iode élémentaire en solution aqueuse, à raison de 5 g d'iode + 10 g d'iodure de potassium pour 100 mL), qui induit un blocage transitoire (effet Wolff-Chaikoff) de la synthèse hormonale thyroïdienne et surtout de la libération des hormones préformées.</w:t>
      </w:r>
    </w:p>
    <w:p>
      <w:r>
        <w:t xml:space="preserve">Le Lugol est utilisé dans trois indications principales : (a) </w:t>
      </w:r>
      <w:r>
        <w:rPr>
          <w:b/>
        </w:rPr>
        <w:t>préparation à la chirurgie thyroïdienne</w:t>
      </w:r>
      <w:r>
        <w:t xml:space="preserve"> dans la maladie de Basedow (10 jours préopératoires à raison de 1 goutte/kg/j, max. 40 gouttes/j, réduction de la vascularisation thyroïdienne — effet Kocher) ; (b) </w:t>
      </w:r>
      <w:r>
        <w:rPr>
          <w:b/>
        </w:rPr>
        <w:t>crise thyroétoxiqueique</w:t>
      </w:r>
      <w:r>
        <w:t xml:space="preserve"> en association avec les antithyroïdiens de synthèse (le Lugol est administré 1 h après le thiamazole pour ne pas fournir de substrat à la synthèse hormonale) ; (c) </w:t>
      </w:r>
      <w:r>
        <w:rPr>
          <w:b/>
        </w:rPr>
        <w:t>radiologie interventionnelle</w:t>
      </w:r>
      <w:r>
        <w:t xml:space="preserve"> (cathétérisme cardiaque avec produits de contraste iodés pouvant induire une hyperthyroïdie induite — syndrome de Jod-Basedow, surtout chez les patients porteurs de nodules autonomes).</w:t>
      </w:r>
    </w:p>
    <w:p>
      <w:r>
        <w:t>En Algérie, la solution de Lugol n'apparaît pas directement dans la nomenclature sous ce nom, mais plusieurs spécialités à base de povidone iodée (BETADERM® 10 %, DERMADINE® 10 %, POVIP® 10 %, SEPTIDINE® 10 %, etc.) sont largement disponibles en solution dermique, gynécologique ou moussante. La solution de Lugol proprement dite (utilisable per os) est généralement préparée en pharmacie centrale hospitalière ou importée en ATU. Les produits de contraste iodés injectables (PAMIDOL® 300 et 370 mg/mL d'iode, UNIQUE PHARMACEUTICAL) figurent dans la nomenclature à titre de produit de radiologie.</w:t>
      </w:r>
    </w:p>
    <w:p>
      <w:pPr>
        <w:pStyle w:val="Heading2"/>
      </w:pPr>
      <w:r>
        <w:t>7. Sous-classe : Glucocorticoïdes systémiques — Action courte (Hydrocortisone)</w:t>
      </w:r>
    </w:p>
    <w:p>
      <w:r>
        <w:t xml:space="preserve">Les glucocorticoïdes d'action courte regroupent les molécules dont la demi-vie </w:t>
      </w:r>
      <w:r>
        <w:rPr>
          <w:b/>
        </w:rPr>
        <w:t>biologique</w:t>
      </w:r>
      <w:r>
        <w:t xml:space="preserve"> (effet anti-inflammatoire) est de 8 à 12 heures, ce qui correspond à la structure naturelle du cortisol (hydrocortisone) et à ses dérivés proches (cortisone, désormais abandonnée). L'hydrocortisone est l'hormone de référence physiologique : sécrétée par la zone fasciculée du cortex surrénalien, sous le contrôle de l'ACTH hypophysaire (lui-même régulé par la CRH hypothalamique), elle présente un rythme circadien avec un pic matinal entre 6h et 8h (≈ 10 à 20 µg/dL) et un nadir nocturne vers minuit. Cette rythmicité conditionne la stratégie de substitution dans l'insuffisance surrénale : administration en 2 ou 3 prises, avec 50 à 66 % de la dose le matin à 8h et le reste à midi ou à 16h, pour mimer le profil physiologique.</w:t>
      </w:r>
    </w:p>
    <w:p>
      <w:r>
        <w:t>L'hydrocortisone possède une activité glucocorticoïde ET minéralocorticoïde significative (puissance MR = 1/125 du cortisol, ce qui reste suffisant à dose substitutive pour le maintien de l'équilibre hydro-électrolytique en l'absence d'aldostérone). Elle est le traitement de référence de l'insuffisance surrénale aiguë (100 mg IV en bolus puis 200 mg/24h en continu), de l'insuffisance surrénale chronique primitive (maladie d'Addison : 20 à 30 mg/j per os) et secondaire (15 à 25 mg/j per os). Elle est aussi utilisée en pédiatrie (insuffisance surrénale néonatale, hyperplasie congénitale des surrénales — HCS — forme classique avec perte de sel), ainsi que dans certaines allergies aiguës et états de choc (anaphylaxie réfractaire à l'adrénaline, choc septique avec insuffisance surrénale relative — protocole Annane).</w:t>
      </w:r>
    </w:p>
    <w:p>
      <w:r>
        <w:t xml:space="preserve">En Algérie, l'hydrocortisone orale est disponible en comprimés sécables de 10 mg (HYCOSONE® — GEOPHARM ; HYDROCORTISONE ROUSSEL® — SANOFI ; deux marques non-renouvelables : CORTINOVA® et HYDROCORTISONE IVAL®). Les formes topiques (crèmes, lotions) sont très nombreuses et largement utilisées en dermatologie (eczéma, dermatite atopique légère à modérée). L'hydrocortisone IV (Hémisuccinate d'hydrocortisone) n'apparaît pas dans la nomenclature algérienne récente, ce qui impose le recours à la </w:t>
      </w:r>
      <w:r>
        <w:rPr>
          <w:b/>
        </w:rPr>
        <w:t>méthylprednisolone IV</w:t>
      </w:r>
      <w:r>
        <w:t xml:space="preserve"> (Solu-Medrol, MEPRENAL, etc.) ou à la </w:t>
      </w:r>
      <w:r>
        <w:rPr>
          <w:b/>
        </w:rPr>
        <w:t>prednisolone IV</w:t>
      </w:r>
      <w:r>
        <w:t xml:space="preserve"> comme alternative en urgence surrénalienne.</w:t>
      </w:r>
    </w:p>
    <w:p>
      <w:pPr>
        <w:pStyle w:val="Heading2"/>
      </w:pPr>
      <w:r>
        <w:t>8. Sous-classe : Glucocorticoïdes systémiques — Action intermédiaire</w:t>
      </w:r>
    </w:p>
    <w:p>
      <w:r>
        <w:t xml:space="preserve">Les glucocorticoïdes d'action intermédiaire ont une demi-vie biologique de 12 à 36 heures, permettant une administration en une prise quotidienne unique le matin (vers 8h) qui respecte le rythme circadien physiologique et minimise le freinage de l'axe HPA. Cette sous-classe regroupe quatre molécules pivots de la pharmacie algérienne : </w:t>
      </w:r>
      <w:r>
        <w:rPr>
          <w:b/>
        </w:rPr>
        <w:t>prednisone</w:t>
      </w:r>
      <w:r>
        <w:t xml:space="preserve"> (prodrogue convertie en prednisolone), </w:t>
      </w:r>
      <w:r>
        <w:rPr>
          <w:b/>
        </w:rPr>
        <w:t>prednisolone</w:t>
      </w:r>
      <w:r>
        <w:t xml:space="preserve"> (métabolite actif), </w:t>
      </w:r>
      <w:r>
        <w:rPr>
          <w:b/>
        </w:rPr>
        <w:t>méthylprednisolone</w:t>
      </w:r>
      <w:r>
        <w:t xml:space="preserve"> (dépourvue d'activité minéralocorticoïde significative, préférée en neurologie et en rhumatologie) et </w:t>
      </w:r>
      <w:r>
        <w:rPr>
          <w:b/>
        </w:rPr>
        <w:t>triamcinolone</w:t>
      </w:r>
      <w:r>
        <w:t xml:space="preserve"> (spécifique par ses formes injectables retard — Kenacort®). Ces molécules représentent l'archétype de la corticothérapie anti-inflammatoire générale : polyarthrite rhumatoïde, vascularites, lupus systémique, asthme sévère, exacerbations de BPCO, maladies inflammatoires chroniques intestinales (Crohn, RCH), néphropathies immunologiques, hépatites auto-immunes, allergies sévères, et protocoles oncologiques (leucémies aiguës, lymphomes).</w:t>
      </w:r>
    </w:p>
    <w:p>
      <w:r>
        <w:t>L'équivalence anti-inflammatoire standard (référence = hydrocortisone 20 mg) : prednisone 5 mg = prednisolone 5 mg = méthylprednisolone 4 mg = triamcinolone 4 mg, soit un ratio de puissance de 5× (4× pour la méthylprednisolone) par rapport à l'hydrocortisone, avec une activité minéralocorticoïde nulle ou faible pour ces molécules (à l'exception de la prednisone/prednisolone qui conserve un léger effet MR résiduel, suffisant en pratique pour les doses substitutives mais négligeable aux doses anti-inflammatoires).</w:t>
      </w:r>
    </w:p>
    <w:p>
      <w:r>
        <w:t>La prednisolone est la molécule la plus prescrite en Algérie avec plus de 30 spécialités orales à 5, 20 et 30 mg (Solupred, Cortidal, etc., disponibles en comprimés orodispersibles particulièrement adaptés à la pédiatrie et aux sujets âgés), une solution buvable (1 mg/mL), et des formes injectables. La méthylprednisolone IV (Solu-Medrol) reste le pilier des bolus de corticothérapie (poussées de SEP, vascularites sévères, rejets de greffe). La triamcinolone injectable retard (Kenacort Retard) est utilisée en infiltrations articulaires (rhumatologie) et locales (dermatologie, ORL).</w:t>
      </w:r>
    </w:p>
    <w:p>
      <w:pPr>
        <w:pStyle w:val="Heading2"/>
      </w:pPr>
      <w:r>
        <w:t>9. Sous-classe : Glucocorticoïdes systémiques — Action longue</w:t>
      </w:r>
    </w:p>
    <w:p>
      <w:r>
        <w:t xml:space="preserve">Les glucocorticoïdes d'action longue ont une demi-vie biologique supérieure à 36 heures (36 à 72 h), conférant un effet anti-inflammatoire soutenu mais un freinage majeur de l'axe HPA, source d'insuffisance surrénale induite dès lors que la corticothérapie dépasse 2 à 3 semaines. Cette sous-classe regroupe deux molécules fluorées : </w:t>
      </w:r>
      <w:r>
        <w:rPr>
          <w:b/>
        </w:rPr>
        <w:t>dexaméthasone</w:t>
      </w:r>
      <w:r>
        <w:t xml:space="preserve"> et </w:t>
      </w:r>
      <w:r>
        <w:rPr>
          <w:b/>
        </w:rPr>
        <w:t>bétaméthasone</w:t>
      </w:r>
      <w:r>
        <w:t>, isomères géométriques (16-méthyl vs 16-β-méthyl) aux propriétés pharmacologiques très proches mais non strictement superposables. Toutes deux ont une puissance anti-inflammatoire de 25 à 30 × l'hydrocortisone et une activité minéralocorticoïde quasi nulle, ce qui les fait préférer dans les situations où la rétention hydrosodée doit être évitée (œdème cérébral, hypertension, insuffisance cardiaque).</w:t>
      </w:r>
    </w:p>
    <w:p>
      <w:r>
        <w:t>La dexaméthasone est devenue l'un des médicaments les plus étudiés au monde depuis le protocole RECOVERY (2020) qui a démontré une réduction de mortalité de 28 % chez les patients COVID-19 sous oxygénothérapie ou ventilation mécanique (6 mg/j × 10 jours). Elle reste le traitement de référence de l'</w:t>
      </w:r>
      <w:r>
        <w:rPr>
          <w:b/>
        </w:rPr>
        <w:t>œdème cérébral</w:t>
      </w:r>
      <w:r>
        <w:t xml:space="preserve"> tumoral ou post-opératoire (4 à 16 mg/j), du syndrome de détresse respiratoire aiguë (ARDS) sévère, de la prophylaxie des nausées et vomissements post-chirurgicaux (4 à 8 mg IV), du syndrome hémophagocytaire (protocole HLH-2004), de la thrombocytopénie immune chronique en relais, et des croup sévères de l'enfant (0,6 mg/kg). Elle est aussi utilisée en anténatal pour la maturation pulmonaire fœtale (préférée à la bétaméthasone en raison d'un moindre passage placentaire — mais ceci est débattu).</w:t>
      </w:r>
    </w:p>
    <w:p>
      <w:r>
        <w:t>La bétaméthasone est essentiellement utilisée pour la maturation pulmonaire fœtale en anténatal (12 mg IM × 2 injections à 24 h d'intervalle, en cas de menace d'accouchement prématuré entre 24 et 34 SA), ainsi que dans les dermatoses inflammatoires sévères sous forme topique (peau lichenifiée, psoriasis en plaques). En Algérie, la bétaméthasone existe en comprimés orodispersibles et dispersibles à 2 mg, solution buvable 0,5 mg/mL, et suspension injectable IM/retard (Diprostène®, Celestène Chronodose® — association dipropionate + phosphate disodique pour effet immédiat + prolongé).</w:t>
      </w:r>
    </w:p>
    <w:p>
      <w:pPr>
        <w:pStyle w:val="Heading2"/>
      </w:pPr>
      <w:r>
        <w:t>10. Sous-classe : Minéralocorticoïdes (Fludrocortisone)</w:t>
      </w:r>
    </w:p>
    <w:p>
      <w:r>
        <w:t xml:space="preserve">Les minéralocorticoïdes sont des corticoïdes dont l'activité prédominante s'exerce sur le récepteur minéralocorticoïde (MR), augmentant la réabsorption tubulaire rénale de sodium et l'excrétion de potassium et d'hydrogène. La molécule principale est la </w:t>
      </w:r>
      <w:r>
        <w:rPr>
          <w:b/>
        </w:rPr>
        <w:t>fludrocortisone</w:t>
      </w:r>
      <w:r>
        <w:t xml:space="preserve"> (9-fluoro-hydrocortisone), qui possède une puissance MR ≈ 125 × l'aldostérone naturelle et une activité glucocorticoïde résiduelle modérée (≈ 10 × l'hydrocortisone). Elle est le traitement de référence de l'insuffisance surrénale primitive (maladie d'Addison) — en complément de l'hydrocortisone substitutive — à la dose de 50 à 200 µg/j per os, ainsi que de certaines dysautonomies orthostatiques (hypotension orthostatique neurogène, syndrome postural tachycardique POTS).</w:t>
      </w:r>
    </w:p>
    <w:p>
      <w:r>
        <w:t xml:space="preserve">La fludrocortisone n'est </w:t>
      </w:r>
      <w:r>
        <w:rPr>
          <w:b/>
        </w:rPr>
        <w:t>pas disponible dans la nomenclature algérienne actuelle</w:t>
      </w:r>
      <w:r>
        <w:t>. Cette absence impose des stratégies alternatives : (i) utilisation d'hydrocortisone à doses supra-substitutives dans la maladie d'Addison (≥ 30 mg/j, dont l'effet MR résiduel suffit partiellement à maintenir l'équilibre hydro-sodé) ; (ii) régime alimentaire riche en sel (≥ 10 g de NaCl par jour) ; (iii) recours à l'aldostérone en ATU (rare) ; (iv) fludrocortisone importée en procédure d'autorisation d'importation personnelle (AIP) par les patients suivis en endocrinologie spécialisée. Le pharmacien algérien doit connaître cette absence pour orienter les patients vers leur médecin référent et anticiper les commandes à l'étranger.</w:t>
      </w:r>
    </w:p>
    <w:p>
      <w:pPr>
        <w:pStyle w:val="Heading2"/>
      </w:pPr>
      <w:r>
        <w:t>FICHES DCI DÉTAILLÉES</w:t>
      </w:r>
    </w:p>
    <w:p>
      <w:pPr>
        <w:pStyle w:val="Heading3"/>
      </w:pPr>
      <w:r>
        <w:t>1. DCI : Lévothyroxine (sodium) — (Seule)</w:t>
      </w:r>
    </w:p>
    <w:p>
      <w:r/>
      <w:r>
        <w:rPr>
          <w:b/>
        </w:rPr>
        <w:t>Liste des Catégories :</w:t>
      </w:r>
      <w:r>
        <w:t xml:space="preserve"> Liste II (pour la plupart des dosages ≤ 100 µg) ; Liste I pour les dosages 125, 150, 200 µg (LEVOTIRON® Abdi Ibrahim). Hormone thyroïdienne de substitution — under-active thyroid replacement therapy.</w:t>
      </w:r>
    </w:p>
    <w:p>
      <w:r>
        <w:t xml:space="preserve">La lévothyroxine sodique est l'isomère lévogyre synthétique de la thyroxine naturelle (T4), hormone thyroïdienne dont la demi-vie plasmatique exceptionnellement longue (≈ 7 jours) permet une monoprise orale quotidienne. Cette lente élimination s'explique par une fixation protéique &gt; 99 % (principalement à la TBG — thyroxine-binding globulin, et accessoirement à la transthyrétine et l'albumine) et par un volume de distribution modéré (10 à 12 L). L'état d'équilibre est atteint en 4 à 6 semaines, ce qui impose une règle d'or thérapeutique : </w:t>
      </w:r>
      <w:r>
        <w:rPr>
          <w:b/>
        </w:rPr>
        <w:t>ne contrôler la TSH qu'au moins 6 semaines après tout changement de posologie</w:t>
      </w:r>
      <w:r>
        <w:t>. La lévothyroxine est une prodrogue métabolique, convertie en T3 active (triiodothyronine) par les déiodases de type 1 (D1 — foie, rein) et type 2 (D2 — cerveau, hypophyse, muscle squelettique, thyroïde). Environ 80 % de la T3 plasmatique provient de cette conversion périphérique ; seulement 20 % est sécrétée directement par la thyroïde. La biodisponibilité orale est de 60 à 80 %, fortement diminuée par la prise alimentaire, le café, les sels ferriques, calciques ou magnésiens, les anti-acides, les inhibiteurs de pompe à protons (IPP), et la cholestyramine.</w:t>
      </w:r>
    </w:p>
    <w:p>
      <w:r/>
      <w:r>
        <w:rPr>
          <w:b/>
        </w:rPr>
        <w:t>Médicaments disponibles en Algérie (Marques, Laboratoires, Formes et Dosages) :</w:t>
      </w:r>
      <w:r/>
    </w:p>
    <w:p>
      <w:pPr>
        <w:pStyle w:val="ListBullet"/>
      </w:pPr>
      <w:r/>
      <w:r>
        <w:rPr>
          <w:b/>
        </w:rPr>
        <w:t>LEVOTHYROX</w:t>
      </w:r>
      <w:r>
        <w:t xml:space="preserve"> (MERCK SANTE S.A.S — France)</w:t>
      </w:r>
    </w:p>
    <w:p>
      <w:pPr>
        <w:pStyle w:val="ListBullet"/>
      </w:pPr>
      <w:r>
        <w:t>Formes et Dosages : Comprimé sécable 25 µg (B/30) ; 50 µg (B/30) ; 75 µg (B/30) ; 100 µg (B/30)</w:t>
      </w:r>
    </w:p>
    <w:p>
      <w:pPr>
        <w:pStyle w:val="ListBullet"/>
      </w:pPr>
      <w:r>
        <w:t>Statut : Actif — Référence internationale (formulation stabilisée, non concernée par la reformulation européenne de 2017 qui a affecté uniquement la formulation hydratée de Merck France)</w:t>
      </w:r>
    </w:p>
    <w:p>
      <w:pPr>
        <w:pStyle w:val="ListBullet"/>
      </w:pPr>
      <w:r/>
      <w:r>
        <w:rPr>
          <w:b/>
        </w:rPr>
        <w:t>LEVOTIRON</w:t>
      </w:r>
      <w:r>
        <w:t xml:space="preserve"> (ABDI IBRAHIM ILAÇ SANAYI VE TICARET A.Ş — Turquie)</w:t>
      </w:r>
    </w:p>
    <w:p>
      <w:pPr>
        <w:pStyle w:val="ListBullet"/>
      </w:pPr>
      <w:r>
        <w:t>Formes et Dosages : Comprimé sécable 25 µg (B/100) ; 50 µg (B/100) ; 75 µg (B/100) ; 100 µg (B/100) ; 125 µg (B/50 — Liste I) ; 150 µg (B/50 — Liste I) ; 175 µg (B/100) ; 200 µg (B/50 — Liste I)</w:t>
      </w:r>
    </w:p>
    <w:p>
      <w:pPr>
        <w:pStyle w:val="ListBullet"/>
      </w:pPr>
      <w:r>
        <w:t>Statut : Actif — Gamme la plus large de dosages en Algérie, permettant une titration fine</w:t>
      </w:r>
    </w:p>
    <w:p>
      <w:pPr>
        <w:pStyle w:val="ListBullet"/>
      </w:pPr>
      <w:r/>
      <w:r>
        <w:rPr>
          <w:b/>
        </w:rPr>
        <w:t>BERLTHYROX</w:t>
      </w:r>
      <w:r>
        <w:t xml:space="preserve"> (BERLIN CHEMIE AG — Allemagne, groupe Menarini)</w:t>
      </w:r>
    </w:p>
    <w:p>
      <w:pPr>
        <w:pStyle w:val="ListBullet"/>
      </w:pPr>
      <w:r>
        <w:t>Formes et Dosages : Comprimé sécable 50 µg (B/50 ou B/100) ; 100 µg (B/50 ou B/100)</w:t>
      </w:r>
    </w:p>
    <w:p>
      <w:pPr>
        <w:pStyle w:val="ListBullet"/>
      </w:pPr>
      <w:r>
        <w:t>Statut : Actif — Alternative internationale avec conditionnements plus larges</w:t>
      </w:r>
    </w:p>
    <w:p>
      <w:pPr>
        <w:pStyle w:val="ListBullet"/>
      </w:pPr>
      <w:r/>
      <w:r>
        <w:rPr>
          <w:b/>
        </w:rPr>
        <w:t>CROTIROXINE</w:t>
      </w:r>
      <w:r>
        <w:t xml:space="preserve"> (FARMACEUTICI CROVIS PHILCOM SRL — Roumanie) — (Non Renouvelable)</w:t>
      </w:r>
    </w:p>
    <w:p>
      <w:pPr>
        <w:pStyle w:val="ListBullet"/>
      </w:pPr>
      <w:r>
        <w:t>Formes et Dosages : Comprimé 50 µg (B/50) ; 100 µg (B/50)</w:t>
      </w:r>
    </w:p>
    <w:p>
      <w:pPr>
        <w:pStyle w:val="ListBullet"/>
      </w:pPr>
      <w:r>
        <w:t>Statut : Non Renouvelable</w:t>
      </w:r>
    </w:p>
    <w:p>
      <w:pPr>
        <w:pStyle w:val="ListBullet"/>
      </w:pPr>
      <w:r/>
      <w:r>
        <w:rPr>
          <w:b/>
        </w:rPr>
        <w:t>THYRAX DUOTAB</w:t>
      </w:r>
      <w:r>
        <w:t xml:space="preserve"> (ORGANON N.V. — Pays-Bas) — (R)</w:t>
      </w:r>
    </w:p>
    <w:p>
      <w:pPr>
        <w:pStyle w:val="ListBullet"/>
      </w:pPr>
      <w:r>
        <w:t>Formes et Dosages : Comprimé 100 µg (B/100)</w:t>
      </w:r>
    </w:p>
    <w:p>
      <w:pPr>
        <w:pStyle w:val="ListBullet"/>
      </w:pPr>
      <w:r>
        <w:t>Statut : Retiré (R)</w:t>
      </w:r>
    </w:p>
    <w:p>
      <w:pPr>
        <w:pStyle w:val="ListBullet"/>
      </w:pPr>
      <w:r/>
      <w:r>
        <w:rPr>
          <w:b/>
        </w:rPr>
        <w:t>THYRO-4</w:t>
      </w:r>
      <w:r>
        <w:t xml:space="preserve"> (FARAN SA — Grèce) — (R)</w:t>
      </w:r>
    </w:p>
    <w:p>
      <w:pPr>
        <w:pStyle w:val="ListBullet"/>
      </w:pPr>
      <w:r>
        <w:t>Formes et Dosages : Comprimé 100 µg (B/100)</w:t>
      </w:r>
    </w:p>
    <w:p>
      <w:pPr>
        <w:pStyle w:val="ListBullet"/>
      </w:pPr>
      <w:r>
        <w:t>Statut : Retiré (R)</w:t>
      </w:r>
    </w:p>
    <w:p>
      <w:r/>
      <w:r>
        <w:rPr>
          <w:b/>
        </w:rPr>
        <w:t>Sous-classe et Mécanisme d'action :</w:t>
      </w:r>
      <w:r/>
    </w:p>
    <w:p>
      <w:pPr>
        <w:pStyle w:val="ListBullet"/>
      </w:pPr>
      <w:r>
        <w:t>Sous-classe : Hormones thyroïdiennes — T4 (thyroxine synthétique). DCI essentielle pour la substitution hormonale thyroïdienne à vie.</w:t>
      </w:r>
    </w:p>
    <w:p>
      <w:pPr>
        <w:pStyle w:val="ListBullet"/>
      </w:pPr>
      <w:r>
        <w:t xml:space="preserve">Mécanisme d'action : La lévothyroxine (T4) traverse la membrane cellulaire par transporteurs spécifiques (MCT8, MCT10, OATP1A2). Dans le cytoplasme, elle est déiodée en T3 par les déiodases D1 et D2. La T3 pénètre dans le noyau et se fixe sur les </w:t>
      </w:r>
      <w:r>
        <w:rPr>
          <w:b/>
        </w:rPr>
        <w:t>récepteurs nucléaires des hormones thyroïdiennes TRα (TRα1 prédominant dans le cœur) et TRβ (TRβ1 dans le foie, TRβ2 dans l'hypophyse)</w:t>
      </w:r>
      <w:r>
        <w:t>. Le complexe T3-TR se lie à des éléments de réponse spécifiques (TRE — Thyroid Response Elements) sur l'ADN et module la transcription de plus de 200 gènes cibles impliqués dans : la thermogenèse (UCP1, ATPase Na+/K+), le métabolisme lipidique (HMG-CoA réductase, récepteur LDL), le métabolisme glucidique ( GLUT1, GLUT4), le développement cérébral (myélinisation, synaptogenèse), la croissance osseuse, et le rythme cardiaque (β-adrécepteurs myocardiques). Au niveau hypophysaire, la T3 exerce un rétrocontrôle négatif sur la sécrétion de TSH (axe HHT-hypophyse-thyroïde).</w:t>
      </w:r>
    </w:p>
    <w:p>
      <w:r/>
      <w:r>
        <w:rPr>
          <w:b/>
        </w:rPr>
        <w:t>Profil Pharmacologique :</w:t>
      </w:r>
      <w:r/>
    </w:p>
    <w:p>
      <w:pPr>
        <w:pStyle w:val="ListBullet"/>
      </w:pPr>
      <w:r>
        <w:t>Indications : Hypothyroïdie primitive (Hashimoto, post-chirurgicale, post-IRA-thérapie, iatrogène amiodarone ou lithium) ; hypothyroïdie centrale (post-hypophysaire) ; goitre simple euthyroïdien (effet TSH-suppressif à dose sub-block) ; cancer thyroïdien différencié (TSH-suppression pour réduire le risque de récidive, cible TSH &lt; 0,1 mUI/L) ; coma myxœdémateux (forme IV). En association avec les antithyroïdiens dans le schéma « blocage-substitution » de la maladie de Basedow.</w:t>
      </w:r>
    </w:p>
    <w:p>
      <w:pPr>
        <w:pStyle w:val="ListBullet"/>
      </w:pPr>
      <w:r>
        <w:t>Contre-indications : Hyperthyroïdie non traitée ; infarctus du myocarde aigu ; insuffisance surrénale non traitée (risque de crise aiguë par levée brutale du frein hypophysaire) ; thyrotoxicose factice. Précautions : cardiopathie ischémique, insuffisance cardiaque, arythmies (dose initiale réduite 25 µg, titration lente par paliers de 25 µg toutes les 4 à 6 semaines) ; grossesse (augmentation des besoins) ; sujet âgé (dose initiale 25 à 50 µg) ; épilepsie (risque de majoration des crises à l'instauration) ; ostéoporose (risque de majoration si TSH supprimée).</w:t>
      </w:r>
    </w:p>
    <w:p>
      <w:pPr>
        <w:pStyle w:val="ListBullet"/>
      </w:pPr>
      <w:r>
        <w:t>Effets Indésirables : Surdosage → signes d'hyperthyroïdie iatrogène (palpitations, tachycardie sinusale, arythmies — FA, angoisse, insomnie, tremblements, sueurs, intolérance à la chaleur, perte de poids, diarrhée, aménorrhée). À long terme en cas de TSH supprimée : ostéoporose (post-ménopausique surtout), fibrillation auriculaire (4×, étude Rotterdam). Hypersensibilité rare (urticaire, rush). Réactions d'hypersensibilité au maltose ou lactose excipient (formulation sans lactose Merck pour intolérants). Crise thyrotoxique exceptionnelle en cas d'iatrogénie massive.</w:t>
      </w:r>
    </w:p>
    <w:p>
      <w:r/>
      <w:r>
        <w:rPr>
          <w:b/>
        </w:rPr>
        <w:t>Prévention et Gestion des Effets Indésirables :</w:t>
      </w:r>
      <w:r/>
    </w:p>
    <w:p>
      <w:pPr>
        <w:pStyle w:val="ListBullet"/>
      </w:pPr>
      <w:r>
        <w:t xml:space="preserve">Mesures Préventives : Surveillance </w:t>
      </w:r>
      <w:r>
        <w:rPr>
          <w:b/>
        </w:rPr>
        <w:t>TSH 6 semaines après initiation ou changement de dose</w:t>
      </w:r>
      <w:r>
        <w:t xml:space="preserve"> (cible 0,4 à 4 mUI/L ; 0,5 à 2,5 mUI/L en grossesse 1er trimestre) ; dose initiale faible chez le sujet âgé, cardiopathe ou en hypothyroïdie de longue date (risque de révélation d'une insuffisance coronaire latente par majoration de la demande myocardique) ; bilan lipidique et ECG avant instauration chez le patient &gt; 50 ans ; densitométrie osseuse si TSH supprimée au long cours (cancer thyroïdien) ; supplémentation calcique + vitamine D si corticothérapie associée ou ménopause.</w:t>
      </w:r>
    </w:p>
    <w:p>
      <w:pPr>
        <w:pStyle w:val="ListBullet"/>
      </w:pPr>
      <w:r>
        <w:t>Conduite à Tenir : Si surdosage (TSH effondrée &lt; 0,1 mUI/L avec hyperthyroïdémie clinique) → réduction de 25 à 50 µg/j, contrôle TSH à 6 semaines. Si arythmie ou angor à l'instauration → arrêt temporaire, bilan cardiologique, réintroduction à dose réduite 12,5 µg/j sous surveillance. Si hyperthyroïdie sévère iatrogène → bêta-bloquant transitoire (propranolol 40 mg × 2/j). En cas d'oubli d'une prise → prise le lendemain en cumul (acceptable jusqu'à 48 h) ; au-delà, ne pas doubler les doses, contacter le médecin. Ajustement grossesse : majoration de 25 à 50 µg/j dès la confirmation (4 à 6 SA), contrôle TSH toutes les 4 semaines.</w:t>
      </w:r>
    </w:p>
    <w:p>
      <w:r/>
      <w:r>
        <w:rPr>
          <w:b/>
        </w:rPr>
        <w:t>Interactions Importantes :</w:t>
      </w:r>
      <w:r/>
    </w:p>
    <w:p>
      <w:pPr>
        <w:pStyle w:val="ListBullet"/>
      </w:pPr>
      <w:r>
        <w:t xml:space="preserve">Lévothyroxine + sels de fer (sulfate ferreux), calcium (carbonate), magnésium, aluminium (anti-acides), sucralfate, cholestyramine, séquestrants acides biliaires, orlistat, IPP (oméprazole, ésoméprazole), cimétidine, laxatifs stimulants (séné), café, jus de pamplemousse → </w:t>
      </w:r>
      <w:r>
        <w:rPr>
          <w:b/>
        </w:rPr>
        <w:t>diminution de l'absorption</w:t>
      </w:r>
      <w:r>
        <w:t xml:space="preserve">. Espacer d'au moins </w:t>
      </w:r>
      <w:r>
        <w:rPr>
          <w:b/>
        </w:rPr>
        <w:t>4 heures</w:t>
      </w:r>
      <w:r>
        <w:t xml:space="preserve"> (le matin pour la lévothyroxine à jeun ; midi ou soir pour le fer/calcium).</w:t>
      </w:r>
    </w:p>
    <w:p>
      <w:pPr>
        <w:pStyle w:val="ListBullet"/>
      </w:pPr>
      <w:r>
        <w:t>Lévothyroxine + amiodarone → interactions complexes : inhibition de la conversion T4 → T3 (effet antagoniste) ET induction d'hypothyroïdie (T4↑, TSH↑) ou d'hyperthyroïdie (syndrome de Jod-Basedow — risque algorithme : 5-10% des patients sous amiodarone). Surveillance TSH tous les 6 mois minimum.</w:t>
      </w:r>
    </w:p>
    <w:p>
      <w:pPr>
        <w:pStyle w:val="ListBullet"/>
      </w:pPr>
      <w:r>
        <w:t>Lévothyroxine + carbamazépine, phénytoïne, phénobarbital, rifampicine → induction enzymatique (CYP3A4, UGT) → augmentation du métabolisme de la T4 → majoration des besoins (jusqu'à 30-50 %).</w:t>
      </w:r>
    </w:p>
    <w:p>
      <w:pPr>
        <w:pStyle w:val="ListBullet"/>
      </w:pPr>
      <w:r>
        <w:t>Lévothyroxine + estrogènes (THM, contraception orale) → augmentation de la TBG → diminution de la T4 libre transitoire → majoration des besoins (15-30 %).</w:t>
      </w:r>
    </w:p>
    <w:p>
      <w:pPr>
        <w:pStyle w:val="ListBullet"/>
      </w:pPr>
      <w:r>
        <w:t>Lévothyroxine + anticoagulants oraux (warfarine, acénocoumarol) → potentialisation de l'effet anticoagulant par déplacement de la liaison protéique et augmentation du catabolisme des facteurs vit-K-dépendants. Surveillance INR renforcée à l'instauration et au sevrage.</w:t>
      </w:r>
    </w:p>
    <w:p>
      <w:pPr>
        <w:pStyle w:val="ListBullet"/>
      </w:pPr>
      <w:r>
        <w:t>Lévothyroxine + sertraline, fluoxetine (ISRS) → diminution de l'efficacité par compétition au niveau du glucuronosyltransférase.</w:t>
      </w:r>
    </w:p>
    <w:p>
      <w:r/>
      <w:r>
        <w:rPr>
          <w:b/>
        </w:rPr>
        <w:t>Grossesse et Allaitement :</w:t>
      </w:r>
      <w:r/>
    </w:p>
    <w:p>
      <w:pPr>
        <w:pStyle w:val="ListBullet"/>
      </w:pPr>
      <w:r>
        <w:t xml:space="preserve">Grossesse : Lévothyroxine </w:t>
      </w:r>
      <w:r>
        <w:rPr>
          <w:b/>
        </w:rPr>
        <w:t>compatible</w:t>
      </w:r>
      <w:r>
        <w:t xml:space="preserve"> (CRAT : « Le lévothyroxine n'est pas tératogène ; elle est indispensable au développement fœtal — surtout neurologique — pendant le 1er trimestre avant la mise en place de la thyroïde fœtale vers 12-13 SA »). Cible TSH &lt; 2,5 mUI/L au 1er trimestre, &lt; 3 mUI/L au 2e et 3e. </w:t>
      </w:r>
      <w:r>
        <w:rPr>
          <w:b/>
        </w:rPr>
        <w:t>Augmentation des besoins de 30 à 50 % dès la conception</w:t>
      </w:r>
      <w:r>
        <w:t xml:space="preserve"> : règle pratique « 2 comprimés au lieu d'un, 2 jours par semaine » (= +28 %) ou majoration directe de 25 à 50 µg/j dès la positivité du test de grossesse. Contrôle TSH toutes les 4 semaines jusqu'à 20 SA puis toutes les 6 à 8 semaines.</w:t>
      </w:r>
    </w:p>
    <w:p>
      <w:pPr>
        <w:pStyle w:val="ListBullet"/>
      </w:pPr>
      <w:r>
        <w:t xml:space="preserve">Allaitement : </w:t>
      </w:r>
      <w:r>
        <w:rPr>
          <w:b/>
        </w:rPr>
        <w:t>Compatible</w:t>
      </w:r>
      <w:r>
        <w:t xml:space="preserve"> (CRAT : passage minimal dans le lait maternel, inférieur aux besoins endogènes fœtaux ; la T4 est largement dégradée par les protéases digestives de l'enfant). Aucune surveillance pédiatrique spécifique nécessaire.</w:t>
      </w:r>
    </w:p>
    <w:p>
      <w:pPr>
        <w:pStyle w:val="ListBullet"/>
      </w:pPr>
      <w:r>
        <w:t>Précisions : Hashimoto ++ : cause la plus fréquente d'hypothyroïdie fertile (10 % des femmes en âge de procréer). TPO+ ≥ 100 UI/mL = indication de substitution même si TSH normale haute (&gt; 2,5 mUI/L) en pré-conceptionnel.</w:t>
      </w:r>
    </w:p>
    <w:p>
      <w:r/>
      <w:r>
        <w:rPr>
          <w:b/>
        </w:rPr>
        <w:t>Posologie et Mode d'administration (Standard) :</w:t>
      </w:r>
      <w:r/>
    </w:p>
    <w:p>
      <w:pPr>
        <w:pStyle w:val="ListBullet"/>
      </w:pPr>
      <w:r>
        <w:t>Adulte jeune sain : 1,5 à 1,8 µg/kg/j, soit généralement 75 à 150 µg/j (100 µg/j posologie moyenne standard). Dose d'attaque initiale 50 à 100 µg/j, titration par paliers de 25 µg toutes les 6 semaines selon TSH.</w:t>
      </w:r>
    </w:p>
    <w:p>
      <w:pPr>
        <w:pStyle w:val="ListBullet"/>
      </w:pPr>
      <w:r>
        <w:t xml:space="preserve">Sujet âgé (&gt; 65 ans), cardiopathe, hypothyroïdie ancienne ou sévère : dose initiale réduite </w:t>
      </w:r>
      <w:r>
        <w:rPr>
          <w:b/>
        </w:rPr>
        <w:t>12,5 à 25 µg/j</w:t>
      </w:r>
      <w:r>
        <w:t>, augmentation par paliers de 25 µg toutes les 4 à 6 semaines. Cible TSH 1 à 4 mUI/L (parfois acceptée jusqu'à 6-8 mUI/L chez le très âgé fragile selon LANCET 2017).</w:t>
      </w:r>
    </w:p>
    <w:p>
      <w:pPr>
        <w:pStyle w:val="ListBullet"/>
      </w:pPr>
      <w:r>
        <w:t>Cancer thyroïdien différencié : dose TSH-suppressive 2,0 à 2,5 µg/kg/j, cible TSH &lt; 0,1 mUI/L (bas risque) ou 0,1 à 0,5 mUI/L (haut risque) à vie.</w:t>
      </w:r>
    </w:p>
    <w:p>
      <w:pPr>
        <w:pStyle w:val="ListBullet"/>
      </w:pPr>
      <w:r>
        <w:t>Enfant : 10 à 15 µg/kg/j chez le nourrisson (hypothyroïdie congénitale — screening néonatal NBS — à instaurer dans les 14 premiers jours de vie, cible TSH &lt; 5 mUI/L), 4 à 6 µg/kg/j chez l'enfant, 2 à 3 µg/kg/j chez l'adolescent.</w:t>
      </w:r>
    </w:p>
    <w:p>
      <w:pPr>
        <w:pStyle w:val="ListBullet"/>
      </w:pPr>
      <w:r>
        <w:t>Coma myxœdémateux (forme IV — indisponible en Algérie, importation ATU) : 200 à 400 µg IV lente d'emblée puis 50 à 100 µg/j IV + hydrocortisone 100 mg IV × 3/j (prévention de l'insuffisance surrénale aiguë).</w:t>
      </w:r>
    </w:p>
    <w:p>
      <w:pPr>
        <w:pStyle w:val="ListBullet"/>
      </w:pPr>
      <w:r>
        <w:t>Durée : à vie dans l'hypothyroïdie définitive (Hashimoto, post-chirurgicale, post-IRA-thérapie). Transitoire possible dans la thyroïdite du post-partum (6 à 12 mois).</w:t>
      </w:r>
    </w:p>
    <w:p>
      <w:pPr>
        <w:pStyle w:val="ListBullet"/>
      </w:pPr>
      <w:r>
        <w:t xml:space="preserve">Moment de prise : </w:t>
      </w:r>
      <w:r>
        <w:rPr>
          <w:b/>
        </w:rPr>
        <w:t>à jeun, 30 à 60 min avant le petit-déjeuner</w:t>
      </w:r>
      <w:r>
        <w:t>, avec un grand verre d'eau. Prise à jeun le soir au coucher est une alternative acceptable (étude Bolk 2005 — meilleure absorption), utile si oublis matinaux. Espacer d'au moins 4 h des autres médicaments (surtout fer, calcium, IPP).</w:t>
      </w:r>
    </w:p>
    <w:p>
      <w:r/>
      <w:r>
        <w:rPr>
          <w:b/>
        </w:rPr>
        <w:t>Arbitrage et Bénéfices des Formes Galéniques :</w:t>
      </w:r>
      <w:r/>
    </w:p>
    <w:p>
      <w:r>
        <w:t>Comprimé sécable : standard algérien, permet titration fine par paliers de 12,5 µg (en coupant 25 µg). Solution buvable (non disponible en Algérie — importation L-Thyroxine drops) pour pédiatrie néonatale (4 à 6 µg/kg/j). Forme IV indisponible en Algérie (nécessité d'importation ATU de Synthroid IV ou Lévothyrox solution injectable Merck) — l'alternative en urgence est l'hydrocortisone IV + perfusion de lévothyroxine per os par sonde naso-gastrique en attendant l'importation. Les 8 dosages (25, 50, 75, 100, 125, 150, 175, 200 µg) permettent une adaptation précise sans recours à la coupe de comprimés (régle d'or : éviter les coupes de 1/4 — non fiables).</w:t>
      </w:r>
    </w:p>
    <w:p>
      <w:r/>
      <w:r>
        <w:rPr>
          <w:b/>
        </w:rPr>
        <w:t>Instructions et Conseils au Patient :</w:t>
      </w:r>
      <w:r/>
    </w:p>
    <w:p>
      <w:pPr>
        <w:pStyle w:val="ListBullet"/>
      </w:pPr>
      <w:r>
        <w:t>Communication au comptoir : « Votre lévothyroxine est un traitement à vie — ne l'arrêtez jamais sans avis médical. Prenez-la à jeun le matin 30 minutes avant le petit-déjeuner, avec un grand verre d'eau. Si vous prenez du fer, du calcium ou un anti-acide, espacez d'au moins 4 heures (par exemple lévothyroxine au matin, fer/calcium au déjeuner ou au coucher). Évitez le café dans l'heure qui suit. N'oubliez pas de faire contrôler votre TSH 6 semaines après tout changement de dose. En cas d'oubli d'un jour, prenez le comprimé oublié le lendemain en plus du comprimé habituel — ne doublez jamais les doses au-delà de 48 h. Prévenez immédiatement votre médecin en cas de grossesse : la dose devra être augmentée d'un tiers à un demi dès la confirmation. Signalez toute palpitation, angoisse, insomnie ou perte de poids inexpliquée qui pourraient révéler un surdosage. »</w:t>
      </w:r>
    </w:p>
    <w:p>
      <w:pPr>
        <w:pStyle w:val="ListBullet"/>
      </w:pPr>
      <w:r>
        <w:t>Mode d'utilisation pratique : Prise unique matinale à jeun. Ne pas écraser le comprimé (sauf forme orodispersible). En cas de voyage, prévoir une quantité suffisante (le médicament est soumis à prescription mais disponible sans difficulté). Stockage à température ambiante &lt; 25 °C, à l'abri de l'humidité (ne pas conserver dans la salle de bain).</w:t>
      </w:r>
    </w:p>
    <w:p>
      <w:r/>
      <w:r>
        <w:rPr>
          <w:b/>
        </w:rPr>
        <w:t>Notes, Règles d'Or &amp; Pièges au Comptoir :</w:t>
      </w:r>
      <w:r/>
    </w:p>
    <w:p>
      <w:pPr>
        <w:pStyle w:val="ListBullet"/>
      </w:pPr>
      <w:r>
        <w:t xml:space="preserve">Piège classique : </w:t>
      </w:r>
      <w:r>
        <w:rPr>
          <w:b/>
        </w:rPr>
        <w:t>Lévothyroxine + fer/calcium à distance de 4 heures minimum</w:t>
      </w:r>
      <w:r>
        <w:t>. Le pharmacien doit systématiquement demander : « Prenez-vous du fer, du calcium, un anti-acide ou un IPP ? » lors de la dispensation. Le calcium des suppléments post-ménopausiques est l'interaction la plus fréquemment méconnue.</w:t>
      </w:r>
    </w:p>
    <w:p>
      <w:pPr>
        <w:pStyle w:val="ListBullet"/>
      </w:pPr>
      <w:r>
        <w:t>Règle de prise : à jeun 30 min avant le petit-déjeuner ; ne pas doubler la dose en cas d'oubli de plus de 48 h ; surveiller la TSH à 6 semaines après tout changement.</w:t>
      </w:r>
    </w:p>
    <w:p>
      <w:pPr>
        <w:pStyle w:val="ListBullet"/>
      </w:pPr>
      <w:r>
        <w:t>Préparation et Conservation : Conservation &lt; 25 °C, à l'abri de l'humidité et de la lumière. Vérifier la date de péremption (activité conservée jusqu'à la date indiquée). Ne pas congeler. Tenir hors de portée des enfants.</w:t>
      </w:r>
    </w:p>
    <w:p>
      <w:pPr>
        <w:pStyle w:val="ListBullet"/>
      </w:pPr>
      <w:r>
        <w:t xml:space="preserve">Piège du surdosage / Substitution : </w:t>
      </w:r>
      <w:r>
        <w:rPr>
          <w:b/>
        </w:rPr>
        <w:t>NE PAS changer de marque sans contrôle TSH à 6 semaines</w:t>
      </w:r>
      <w:r>
        <w:t>. Les formulations Merck (LEVOTHYROX®), Berlin-Chemie (BERLTHYROX®) et Abdi Ibrahim (LEVOTIRON®) ont des biodisponibilités légèrement différentes (jusqu'à 12 % de variation — équivalents mais non strictement superposables selon la FDA). Pour un même dosage en µg, l'effet thérapeutique peut varier. Règle : si une substitution est nécessaire, le médecin doit être informé pour contrôle TSH. En Europe, la réforme Merck de 2017 (formulation anhydre → hydrate + acide citrique + mannitol) a déclenché plus de 10 000 déclarations d'effets indésirables en 18 mois ; la formulation actuelle (post-2017) étant stabilisée, l'Algérie conserve la formulation historique sans encombre.</w:t>
      </w:r>
    </w:p>
    <w:p>
      <w:pPr>
        <w:pStyle w:val="ListBullet"/>
      </w:pPr>
      <w:r>
        <w:t>Règle de prescription : la lévothyroxine est en Liste II pour les dosages ≤ 100 µg (renouvellement possible) et en Liste I pour 125, 150, 200 µg (renouvelable dans la limite de 1 an sur ordonnance). Ne pas accepter une ordonnance de plus de 12 mois.</w:t>
      </w:r>
    </w:p>
    <w:p>
      <w:pPr>
        <w:pStyle w:val="Heading3"/>
      </w:pPr>
      <w:r>
        <w:t>2. DCI : Benzylthiouracile (Seule)</w:t>
      </w:r>
    </w:p>
    <w:p>
      <w:r/>
      <w:r>
        <w:rPr>
          <w:b/>
        </w:rPr>
        <w:t>Liste des Catégories :</w:t>
      </w:r>
      <w:r>
        <w:t xml:space="preserve"> Liste I (sur ordonnance). Antithyroïdien de synthèse — Dérivés thioimidazolés/thiouraciles.</w:t>
      </w:r>
    </w:p>
    <w:p>
      <w:r>
        <w:t>Le benzylthiouracile (BTU) est l'unique représentant algérien de la sous-classe historique des antithyroïdiens de synthèse dérivés du thiouracile (auquel appartient aussi le propylthiouracile — PTU — non disponible en Algérie). Il se caractérise par une double action pharmacologique : (i) inhibition compétitive de la thyroperoxydase (TPO), bloquant l'iodation des tyrosines de la thyroglobuline et donc la synthèse des hormones T3 et T4 ; (ii) inhibition partielle de la 5'-déiodase de type 1 (D1) hépatique et rénale, diminuant la conversion périphérique T4 → T3. Cette double action en fait une molécule particulièrement intéressante dans les hyperthyroïdies avec prédominance de T3 (T3-toxicosis) et dans les crises thyroétoxiques. Sa demi-vie plasmatique est de 2 à 6 heures, imposant une administration pluriquotidienne (3 prises par jour). Son métabolisme hépatique est principal (glucuronoconjugaison), avec excrétion urinaire et biliaire des métabolites. Le BTU traverse le placenta mais à un degré moindre que le thiamazole ; son passage lacté est non négligeable, contre-indiquant l'allaitement maternel pendant le traitement.</w:t>
      </w:r>
    </w:p>
    <w:p>
      <w:r/>
      <w:r>
        <w:rPr>
          <w:b/>
        </w:rPr>
        <w:t>Médicaments disponibles en Algérie (Marques, Laboratoires, Formes et Dosages) :</w:t>
      </w:r>
      <w:r/>
    </w:p>
    <w:p>
      <w:pPr>
        <w:pStyle w:val="ListBullet"/>
      </w:pPr>
      <w:r/>
      <w:r>
        <w:rPr>
          <w:b/>
        </w:rPr>
        <w:t>BASDENE</w:t>
      </w:r>
      <w:r>
        <w:t xml:space="preserve"> (BOUCHARA-RECORDATI — France)</w:t>
      </w:r>
    </w:p>
    <w:p>
      <w:pPr>
        <w:pStyle w:val="ListBullet"/>
      </w:pPr>
      <w:r>
        <w:t>Formes et Dosages : Comprimé 25 mg (B/50)</w:t>
      </w:r>
    </w:p>
    <w:p>
      <w:pPr>
        <w:pStyle w:val="ListBullet"/>
      </w:pPr>
      <w:r>
        <w:t>Statut : Actif — Monopole de fait en Algérie ; seule spécialité de benzylthiouracile disponible. Spécialité historique (commercialisée en France depuis 1953, retirée du marché français en 2009 mais maintenue dans la nomenclature algérienne).</w:t>
      </w:r>
    </w:p>
    <w:p>
      <w:r/>
      <w:r>
        <w:rPr>
          <w:b/>
        </w:rPr>
        <w:t>Sous-classe et Mécanisme d'action :</w:t>
      </w:r>
      <w:r/>
    </w:p>
    <w:p>
      <w:pPr>
        <w:pStyle w:val="ListBullet"/>
      </w:pPr>
      <w:r>
        <w:t>Sous-classe : Antithyroïdien de synthèse — Dérivés thioimidazolés/thiouraciles (du point de vue de la nomenclature algérienne). Le benzylthiouracile partage le cycle thiouracile avec le PTU mais pas le noyau imidazole du thiamazole. Au plan pharmacologique international, il est classé dans les thiouraciles.</w:t>
      </w:r>
    </w:p>
    <w:p>
      <w:pPr>
        <w:pStyle w:val="ListBullet"/>
      </w:pPr>
      <w:r>
        <w:t xml:space="preserve">Mécanisme d'action : (1) </w:t>
      </w:r>
      <w:r>
        <w:rPr>
          <w:b/>
        </w:rPr>
        <w:t>Inhibition de la thyroperoxydase</w:t>
      </w:r>
      <w:r>
        <w:t xml:space="preserve"> : le groupement thiol (-SH) du benzylthiouracile se lie covalentiellement à l'hème de la TPO, bloquant l'oxydation de l'iode en iode positif (I+) et l'iodation des résidus tyrosyle de la thyroglobuline (monoiodotyrosine MIT et diiodotyrosine DIT), ainsi que le couplage MIT+DIT → T3 et DIT+DIT → T4. (2) </w:t>
      </w:r>
      <w:r>
        <w:rPr>
          <w:b/>
        </w:rPr>
        <w:t>Inhibition de la 5'-déiodase de type 1</w:t>
      </w:r>
      <w:r>
        <w:t xml:space="preserve"> (D1) : diminution de la conversion périphérique T4 → T3, particulièrement pertinente dans la crise thyroétoxique et l'hyperthyroïdie T3-prédominante. (3) Modulation immunologique : réduction des anticorps anti-récepteur TSH (TRAK) après 12 à 18 mois de traitement, pouvant induire une rémission immunologique de la maladie de Basedow dans 30 à 50 % des cas. Le BTU ne détruit pas le tissu thyroïdien : à l'arrêt, l'hyperthyroïdie peut récidiver.</w:t>
      </w:r>
    </w:p>
    <w:p>
      <w:r/>
      <w:r>
        <w:rPr>
          <w:b/>
        </w:rPr>
        <w:t>Profil Pharmacologique :</w:t>
      </w:r>
      <w:r/>
    </w:p>
    <w:p>
      <w:pPr>
        <w:pStyle w:val="ListBullet"/>
      </w:pPr>
      <w:r>
        <w:t>Indications : Hyperthyroïdie (maladie de Basedow, goitre multinodulaire toxique, adénome toxique) en traitement d'attaque (euthyroidisation pré-chirurgicale ou pré-IRA-thérapie) ou en traitement prolongé (12 à 18 mois, schéma de rémission immunologique). Crise thyrotoxique (en association avec le lugol, les bêta-bloquants et la corticothérapie). Alternative au thiamazole au 1er trimestre de grossesse (en raison du profil tératogène moindre supposé, bien que les dernières recommandations internationales préfèrent le PTU — non disponible en Algérie). Préparation à la chirurgie thyroïdienne (réduction de la vascularisation et de la hormonalisation préopératoire pendant 4 à 6 semaines).</w:t>
      </w:r>
    </w:p>
    <w:p>
      <w:pPr>
        <w:pStyle w:val="ListBullet"/>
      </w:pPr>
      <w:r>
        <w:t>Contre-indications : Hypersensibilité au benzylthiouracile ou aux dérivés thiouracilés ; antécédent d'agranulocytose ou d'aplasie médullaire médicamenteuse ; insuffisance hépatique sévère ; allaitement (contre-indication absolue). Précautions : grossesse (1er trimestre seulement, dose minimale efficace, surveillance TSH fœtale) ; sujets âgés (risque d'agranulocytose accru) ; déficit en G6PD (risque hémolytique).</w:t>
      </w:r>
    </w:p>
    <w:p>
      <w:pPr>
        <w:pStyle w:val="ListBullet"/>
      </w:pPr>
      <w:r>
        <w:t xml:space="preserve">Effets Indésirables : (1) </w:t>
      </w:r>
      <w:r>
        <w:rPr>
          <w:b/>
        </w:rPr>
        <w:t>Agranulocytose</w:t>
      </w:r>
      <w:r>
        <w:t xml:space="preserve"> (incidence ≈ 0,3 %, survient dans les 3 premiers mois, plus fréquente chez le sujet âgé et à dose &gt; 50 mg/j) — urgence vitale : fièvre, angine, ulcérations buccales, nécessitent </w:t>
      </w:r>
      <w:r>
        <w:rPr>
          <w:b/>
        </w:rPr>
        <w:t>arrêt immédiat + NFS en urgence + hospitalisation + G-CSF + antibiothérapie large spectre</w:t>
      </w:r>
      <w:r>
        <w:t xml:space="preserve">. (2) </w:t>
      </w:r>
      <w:r>
        <w:rPr>
          <w:b/>
        </w:rPr>
        <w:t>Hépatotoxicité</w:t>
      </w:r>
      <w:r>
        <w:t xml:space="preserve"> : hépatite cytolytique ou cholestatique (incidence ≈ 1 %), plus fréquente qu'avec le thiamazole, peut survenir à tout moment, nécessite surveillance ALAT-ASAT-PAL-γGT-bilirubine mensuelle. (3) Effets cutanés : rash maculopapuleux (5 à 10 %), prurit, urticaire, exceptionnellement syndrome de Stevens-Johnson ou DRESS. (4) Effets gastro-intestinaux : nausées, dysgueusie, vomissements (10 %). (5) Arthralgies, myalgies, syndrome lupique (rare). (6) ANCA-vascularites (extrêmement rares mais décrites). (7) Hypothyroïdie iatrogène si surdosage (à distinguer de la rémission).</w:t>
      </w:r>
    </w:p>
    <w:p>
      <w:r/>
      <w:r>
        <w:rPr>
          <w:b/>
        </w:rPr>
        <w:t>Prévention et Gestion des Effets Indésirables :</w:t>
      </w:r>
      <w:r/>
    </w:p>
    <w:p>
      <w:pPr>
        <w:pStyle w:val="ListBullet"/>
      </w:pPr>
      <w:r>
        <w:t xml:space="preserve">Mesures Préventives : </w:t>
      </w:r>
      <w:r>
        <w:rPr>
          <w:b/>
        </w:rPr>
        <w:t>NFS + plaquettes + bilan hépatique (ALAT, ASAT, PAL, γGT, bilirubine) avant l'instauration</w:t>
      </w:r>
      <w:r>
        <w:t xml:space="preserve">, puis </w:t>
      </w:r>
      <w:r>
        <w:rPr>
          <w:b/>
        </w:rPr>
        <w:t>NFS bihebdomadaire pendant 1 mois, puis hebdomadaire jusqu'à 3 mois, puis mensuelle jusqu'à 6 mois</w:t>
      </w:r>
      <w:r>
        <w:t xml:space="preserve">. Information écrite et orale du patient : « Si vous présentez de la fièvre, une angine, des ulcérations buccales, ou une infection quelconque, </w:t>
      </w:r>
      <w:r>
        <w:rPr>
          <w:b/>
        </w:rPr>
        <w:t>arrêtez immédiatement le benzylthiouracile et consultez en urgence pour NFS</w:t>
      </w:r>
      <w:r>
        <w:t xml:space="preserve"> ». Bilan hépatique mensuel pendant les 6 premiers mois. Surveillance TSH et T4L à 4 semaines puis toutes les 6 à 8 semaines. Vérification du statut vaccinal (hépatite B) avant instauration.</w:t>
      </w:r>
    </w:p>
    <w:p>
      <w:pPr>
        <w:pStyle w:val="ListBullet"/>
      </w:pPr>
      <w:r>
        <w:t>Conduite à Tenir : En cas de fièvre ou signes infectieux → arrêt immédiat, NFS en urgence (&lt; 1500 PNN = agranulocytose → hospitalisation, G-CSF 5 µg/kg/j SC 14 jours, antibiothérapie empirique pipéracilline-tazobactam + amikacine). En cas de cytolyse hépatique &gt; 3× LSN → arrêt immédiat, exploration étiologique, relais par thiamazole (pas de contre-indication croisée formelle mais prudence). En cas de rash bénin → antihistaminique + surveillance ; en cas de rash sévère ou Stevens-Johnson → arrêt définitif. En cas d'hypothyroïdie iatrogène (TSH &gt; 10 mUI/L) → diminution posologique de 25 à 50 % ou schéma blocage-substitution (BTU 50 mg/j + lévothyroxine 50 à 75 µg/j).</w:t>
      </w:r>
    </w:p>
    <w:p>
      <w:r/>
      <w:r>
        <w:rPr>
          <w:b/>
        </w:rPr>
        <w:t>Interactions Importantes :</w:t>
      </w:r>
      <w:r/>
    </w:p>
    <w:p>
      <w:pPr>
        <w:pStyle w:val="ListBullet"/>
      </w:pPr>
      <w:r>
        <w:t>Benzylthiouracile + sels d'iode (Lugol, povidone iodée, produits de contraste iodés, amiodarone) → antagonisme : l'iode fournit le substrat à la synthèse hormonale, le BTU l'inhibe. À utiliser en séquence (BTU d'abord, Lugol 1 heure après dans la crise thyroétoxique).</w:t>
      </w:r>
    </w:p>
    <w:p>
      <w:pPr>
        <w:pStyle w:val="ListBullet"/>
      </w:pPr>
      <w:r>
        <w:t>Benzylthiouracile + thiamazole (carbimazole) → contre-indication relative pour les antécédents d'agranulocytose à l'un des deux (contre-indication croisée partielle).</w:t>
      </w:r>
    </w:p>
    <w:p>
      <w:pPr>
        <w:pStyle w:val="ListBullet"/>
      </w:pPr>
      <w:r>
        <w:t>Benzylthiouracile + antivitamine K (warfarine, acénocoumarol) → potentialisation de l'effet anticoagulant (compétition métabolique). Surveillance INR renforcée.</w:t>
      </w:r>
    </w:p>
    <w:p>
      <w:pPr>
        <w:pStyle w:val="ListBullet"/>
      </w:pPr>
      <w:r>
        <w:t>Benzylthiouracile + digoxine → diminution de l'efficacité de la digoxine (la thyrotoxicose augmente la clairance de la digoxine ; l'euthyroidisation la normalise, imposant une surveillance de la digoxinémie et de l'ECG).</w:t>
      </w:r>
    </w:p>
    <w:p>
      <w:pPr>
        <w:pStyle w:val="ListBullet"/>
      </w:pPr>
      <w:r>
        <w:t>Benzylthiouracile + bêta-bloquants (propranolol, nadolol) → synergie (le bêta-bloquant contrôle les symptômes adrénergiques en attendant l'effet du BTU qui demande 4 à 8 semaines pour être complet). Attention : le propranolol inhibe aussi la conversion T4 → T3, effet additif.</w:t>
      </w:r>
    </w:p>
    <w:p>
      <w:r/>
      <w:r>
        <w:rPr>
          <w:b/>
        </w:rPr>
        <w:t>Grossesse et Allaitement :</w:t>
      </w:r>
      <w:r/>
    </w:p>
    <w:p>
      <w:pPr>
        <w:pStyle w:val="ListBullet"/>
      </w:pPr>
      <w:r>
        <w:t xml:space="preserve">Grossesse : Benzylthiouracile </w:t>
      </w:r>
      <w:r>
        <w:rPr>
          <w:b/>
        </w:rPr>
        <w:t>compatible au 1er trimestre</w:t>
      </w:r>
      <w:r>
        <w:t xml:space="preserve"> (CRAT : « à utiliser à la plus faible dose efficace, en alternative au PTU indisponible »), préférence pour le passage au thiamazole au 2e et 3e trimestres (à partir de 16 SA) car le benzylthiouracile peut induire une hépatotoxicité maternelle et fœtale plus marquée. Dose cible : 100 à 150 mg/j au 1er trimestre, réduction à 50 à 100 mg/j au 2e et 3e. Surveillance TSH maternelle et fœtale (échographie de croissance, RCF). Éviter le surdosage (risque d'hypothyroïdie fœtale → goitre fœtal, retard mental).</w:t>
      </w:r>
    </w:p>
    <w:p>
      <w:pPr>
        <w:pStyle w:val="ListBullet"/>
      </w:pPr>
      <w:r>
        <w:t xml:space="preserve">Allaitement : </w:t>
      </w:r>
      <w:r>
        <w:rPr>
          <w:b/>
        </w:rPr>
        <w:t>Contre-indication relative</w:t>
      </w:r>
      <w:r>
        <w:t xml:space="preserve"> (CRAT : « Le benzylthiouracile passe dans le lait maternel en quantité significative. Si indispensable, préférer le thiamazole à dose &lt; 10 mg/j, surveillance thyroïdienne de l'enfant toutes les 2 à 4 semaines »). Si le BTU est maintenu, l'allaitement est déconseillé ; préférer un relais par thiamazole à dose minimale efficace.</w:t>
      </w:r>
    </w:p>
    <w:p>
      <w:pPr>
        <w:pStyle w:val="ListBullet"/>
      </w:pPr>
      <w:r>
        <w:t>Précisions : Chez la femme en âge de procréer, conseil contraceptif pendant le traitement. Grossesse à programmer après 6 à 12 mois d'euthyroidisation stable.</w:t>
      </w:r>
    </w:p>
    <w:p>
      <w:r/>
      <w:r>
        <w:rPr>
          <w:b/>
        </w:rPr>
        <w:t>Posologie et Mode d'administration (Standard) :</w:t>
      </w:r>
      <w:r/>
    </w:p>
    <w:p>
      <w:pPr>
        <w:pStyle w:val="ListBullet"/>
      </w:pPr>
      <w:r>
        <w:t>Adulte (traitement d'attaque, maladie de Basedow) : 100 à 300 mg/j en 3 prises (matin, midi, soir), soit 4 à 12 comprimés par jour. Dose initiale 150 mg/j (6 cp/j) typique.</w:t>
      </w:r>
    </w:p>
    <w:p>
      <w:pPr>
        <w:pStyle w:val="ListBullet"/>
      </w:pPr>
      <w:r>
        <w:t>Adulte (traitement d'entretien) : 50 à 150 mg/j en 2 à 3 prises.</w:t>
      </w:r>
    </w:p>
    <w:p>
      <w:pPr>
        <w:pStyle w:val="ListBullet"/>
      </w:pPr>
      <w:r>
        <w:t>Crise thyrotoxique : 600 mg/j en charge puis 300 mg/j en 3 prises, en association avec Lugol (1 h après BTU), propranolol 60 mg × 3/j, hydrocortisone 100 mg IV × 3/j.</w:t>
      </w:r>
    </w:p>
    <w:p>
      <w:pPr>
        <w:pStyle w:val="ListBullet"/>
      </w:pPr>
      <w:r>
        <w:t>Sujet âgé : dose initiale réduite 50 à 100 mg/j, surveillance NFS accrue.</w:t>
      </w:r>
    </w:p>
    <w:p>
      <w:pPr>
        <w:pStyle w:val="ListBullet"/>
      </w:pPr>
      <w:r>
        <w:t>Enfant : 5 à 10 mg/kg/j en 3 prises.</w:t>
      </w:r>
    </w:p>
    <w:p>
      <w:pPr>
        <w:pStyle w:val="ListBullet"/>
      </w:pPr>
      <w:r>
        <w:t>Schéma blocage-substitution : BTU 150 mg/j + lévothyroxine 75 à 100 µg/j en monoprise matinale (à distance du BTU).</w:t>
      </w:r>
    </w:p>
    <w:p>
      <w:pPr>
        <w:pStyle w:val="ListBullet"/>
      </w:pPr>
      <w:r>
        <w:t>Durée : 12 à 18 mois (traitement de rémission immunologique), ou jusqu'à chirurgie/IRA-thérapie (4 à 6 semaines de préparation).</w:t>
      </w:r>
    </w:p>
    <w:p>
      <w:pPr>
        <w:pStyle w:val="ListBullet"/>
      </w:pPr>
      <w:r>
        <w:t>Moment de prise : 3 prises par jour à heures fixes (matin, midi, soir), pendant ou après les repas (meilleure tolérance digestive).</w:t>
      </w:r>
    </w:p>
    <w:p>
      <w:r/>
      <w:r>
        <w:rPr>
          <w:b/>
        </w:rPr>
        <w:t>Arbitrage et Bénéfices des Formes Galéniques :</w:t>
      </w:r>
      <w:r/>
    </w:p>
    <w:p>
      <w:r>
        <w:t>Comprimé 25 mg — forme unique en Algérie. Permet une titration fine par paliers de 25 mg. Aucune forme IV, sirop, ou solution buvable disponible (ce qui limite l'usage pédiatrique — utilisation hors AMM avec écrasement du comprimé dans l'eau, immédiatement avant administration). Pour la pédiatrie, le thiamazole (solution orale, préparée magistralement à partir des comprimés) est préférable. Comparaison internationale : le PTU (également thiouracile) est dosé à 50 mg par comprimé, soit 2× plus concentré — la posologie algérienne de BTU correspond grossièrement à la moitié de la posologie de PTU.</w:t>
      </w:r>
    </w:p>
    <w:p>
      <w:r/>
      <w:r>
        <w:rPr>
          <w:b/>
        </w:rPr>
        <w:t>Instructions et Conseils au Patient :</w:t>
      </w:r>
      <w:r/>
    </w:p>
    <w:p>
      <w:pPr>
        <w:pStyle w:val="ListBullet"/>
      </w:pPr>
      <w:r>
        <w:t xml:space="preserve">Communication au comptoir : « Votre médicament est un antithyroïdien qui diminue la production d'hormones thyroïdiennes. Prenez-le en 3 prises par jour, matin-midi-soir, pendant ou après les repas. Il faut 4 à 8 semaines pour que l'effet soit complet — ne vous inquiétez pas si les symptômes persistent au début. </w:t>
      </w:r>
      <w:r>
        <w:rPr>
          <w:b/>
        </w:rPr>
        <w:t>Ce médicament peut exceptionnellement provoquer une baisse des globules blancs (agranulocytose) qui est grave</w:t>
      </w:r>
      <w:r>
        <w:t>. Si vous avez de la fièvre, une angine, des aphtes, des ulcérations dans la bouche, ou une infection quelconque, ARRÊTEZ IMMÉDIATEMENT le traitement et consultez aux urgences pour une prise de sang (NFS). Votre médecin vous prescrira des prises de sang régulières (NFS et foie) — ne les négligez pas. Prévenez votre médecin en cas de jaunisse, urines foncées, fatigue intense. Si vous êtes enceinte ou prévoyez une grossesse, parlez-en immédiatement. N'arrêtez jamais le traitement brutalement sans avis médical (risque de rebond). »</w:t>
      </w:r>
    </w:p>
    <w:p>
      <w:pPr>
        <w:pStyle w:val="ListBullet"/>
      </w:pPr>
      <w:r>
        <w:t>Mode d'utilisation pratique : Prises régulières à heures fixes. Ne pas consommer d'aliments riches en iode (algues, produits de la mer en grande quantité) pendant le traitement sans avis médical. Éviter l'automedication par iodure (compléments alimentaires, antiseptiques iodés cutanés en usage prolongé). Tenir un carnet de surveillance des NFS et bilans hépatiques.</w:t>
      </w:r>
    </w:p>
    <w:p>
      <w:r/>
      <w:r>
        <w:rPr>
          <w:b/>
        </w:rPr>
        <w:t>Notes, Règles d'Or &amp; Pièges au Comptoir :</w:t>
      </w:r>
      <w:r/>
    </w:p>
    <w:p>
      <w:pPr>
        <w:pStyle w:val="ListBullet"/>
      </w:pPr>
      <w:r>
        <w:t xml:space="preserve">Piège classique : </w:t>
      </w:r>
      <w:r>
        <w:rPr>
          <w:b/>
        </w:rPr>
        <w:t>L'agranulocytose peut survenir dans les 3 premiers mois — INFORMATION ÉCRITE OBLIGATOIRE</w:t>
      </w:r>
      <w:r>
        <w:t>. Remettre la notice et faire répéter au patient le message « fièvre = arrêt + NFS urgente ».</w:t>
      </w:r>
    </w:p>
    <w:p>
      <w:pPr>
        <w:pStyle w:val="ListBullet"/>
      </w:pPr>
      <w:r>
        <w:t>Règle de prise : 3 prises par jour à heures fixes, pendant ou après repas.</w:t>
      </w:r>
    </w:p>
    <w:p>
      <w:pPr>
        <w:pStyle w:val="ListBullet"/>
      </w:pPr>
      <w:r>
        <w:t>Préparation et Conservation : Conservation à température ambiante &lt; 25 °C, à l'abri de l'humidité et de la lumière. Tenir hors de portée des enfants.</w:t>
      </w:r>
    </w:p>
    <w:p>
      <w:pPr>
        <w:pStyle w:val="ListBullet"/>
      </w:pPr>
      <w:r>
        <w:t>Piège du surdosage / Substitution : Ne pas substituer par le thiamazole sans avis médical (contre-indication croisée en cas d'agranulocytose ou d'hépatite à l'un des deux ; équivalence posologique 5 mg thiamazole ≈ 100 mg BTU ≈ 50 mg PTU en termes d'effet anti-thyroïdien). En cas de passage PTU → BTU (importation), adapter la dose. Le BASDENE® étant l'unique spécialité, pas de problème de marque — mais le lot doit être vérifié (date de péremption).</w:t>
      </w:r>
    </w:p>
    <w:p>
      <w:pPr>
        <w:pStyle w:val="ListBullet"/>
      </w:pPr>
      <w:r>
        <w:t>Règle de prescription : Liste I, prescription initiale semestrielle par médecin spécialiste endocrinologue, renouvelable par médecin généraliste dans la limite de 1 an.</w:t>
      </w:r>
    </w:p>
    <w:p>
      <w:pPr>
        <w:pStyle w:val="Heading3"/>
      </w:pPr>
      <w:r>
        <w:t>3. DCI : Thiamazole — Carbimazole (Seule)</w:t>
      </w:r>
    </w:p>
    <w:p>
      <w:r/>
      <w:r>
        <w:rPr>
          <w:b/>
        </w:rPr>
        <w:t>Liste des Catégories :</w:t>
      </w:r>
      <w:r>
        <w:t xml:space="preserve"> Liste I (sur ordonnance). Antithyroïdien de synthèse — Dérivés thioimidazolés.</w:t>
      </w:r>
    </w:p>
    <w:p>
      <w:r>
        <w:t xml:space="preserve">Le thiamazole (méthimazole dans la littérature anglo-saxonne) est l'antithyroïdien de synthèse de première intention internationalement, et le plus prescrit en Algérie. Il se distingue du benzylthiouracile par sa structure (cycle thioimidazolé et non thiouracile), sa </w:t>
      </w:r>
      <w:r>
        <w:rPr>
          <w:b/>
        </w:rPr>
        <w:t>demi-vie plasmatique plus longue (4 à 6 h)</w:t>
      </w:r>
      <w:r>
        <w:t xml:space="preserve"> permettant une monoprise quotidienne, son absence d'effet inhibiteur de la 5'-déiodase D1 (donc pas de blocage de la conversion T4 → T3 — effet plus lent mais prolongé), et son profil d'hépatotoxicité cholestatique (à distinguer de l'hépatotoxicité cytolytique du benzylthiouracile). La DCI est officiellement « Carbimazole » dans la nomenclature algérienne mais correspond en pratique au thiamazole — le carbimazole stricto sensu est une prodrogue rapidement hydrolysée en thiamazole in vivo (par décarboxylation non enzymatique), la conversion étant complète en moins de 1 heure. À ce titre, les ouvrages internationaux (VIDAL, ANSM, Thériaque, UpToDate) considèrent les deux comme strictement équivalents. La biodisponibilité orale est &gt; 95 %, la fixation protéique faible (0 %), le volume de distribution important (1 L/kg). Le métabolisme hépatique (CYP3A4) et la glucuronoconjugaison aboutissent à des métabolites inactifs excrétés dans les urines. Le thiamazole traverse le placenta (rapport fœto-maternel ≈ 0,8) et passe dans le lait maternel en quantité faible mais non négligeable.</w:t>
      </w:r>
    </w:p>
    <w:p>
      <w:r/>
      <w:r>
        <w:rPr>
          <w:b/>
        </w:rPr>
        <w:t>Médicaments disponibles en Algérie (Marques, Laboratoires, Formes et Dosages) :</w:t>
      </w:r>
      <w:r/>
    </w:p>
    <w:p>
      <w:pPr>
        <w:pStyle w:val="ListBullet"/>
      </w:pPr>
      <w:r/>
      <w:r>
        <w:rPr>
          <w:b/>
        </w:rPr>
        <w:t>ATHYROZOL</w:t>
      </w:r>
      <w:r>
        <w:t xml:space="preserve"> (GENERIC LAB — Algérie)</w:t>
      </w:r>
    </w:p>
    <w:p>
      <w:pPr>
        <w:pStyle w:val="ListBullet"/>
      </w:pPr>
      <w:r>
        <w:t>Formes et Dosages : Comprimé sécable 5 mg (B/50)</w:t>
      </w:r>
    </w:p>
    <w:p>
      <w:pPr>
        <w:pStyle w:val="ListBullet"/>
      </w:pPr>
      <w:r>
        <w:t>Statut : Actif — Spécialité de référence algérienne, générique du Néomercazole® européen.</w:t>
      </w:r>
    </w:p>
    <w:p>
      <w:pPr>
        <w:pStyle w:val="ListBullet"/>
      </w:pPr>
      <w:r/>
      <w:r>
        <w:rPr>
          <w:b/>
        </w:rPr>
        <w:t>CARBIMAZOLE BR</w:t>
      </w:r>
      <w:r>
        <w:t xml:space="preserve"> (SARL BIOREM — Algérie)</w:t>
      </w:r>
    </w:p>
    <w:p>
      <w:pPr>
        <w:pStyle w:val="ListBullet"/>
      </w:pPr>
      <w:r>
        <w:t>Formes et Dosages : Comprimé 5 mg (B/50)</w:t>
      </w:r>
    </w:p>
    <w:p>
      <w:pPr>
        <w:pStyle w:val="ListBullet"/>
      </w:pPr>
      <w:r>
        <w:t>Statut : Actif</w:t>
      </w:r>
    </w:p>
    <w:p>
      <w:pPr>
        <w:pStyle w:val="ListBullet"/>
      </w:pPr>
      <w:r/>
      <w:r>
        <w:rPr>
          <w:b/>
        </w:rPr>
        <w:t>CROVIMAZOLE</w:t>
      </w:r>
      <w:r>
        <w:t xml:space="preserve"> (FARMACEUTICI CROVIS PH.I.L.COM — Roumanie)</w:t>
      </w:r>
    </w:p>
    <w:p>
      <w:pPr>
        <w:pStyle w:val="ListBullet"/>
      </w:pPr>
      <w:r>
        <w:t>Formes et Dosages : Comprimé sécable 5 mg (B/50)</w:t>
      </w:r>
    </w:p>
    <w:p>
      <w:pPr>
        <w:pStyle w:val="ListBullet"/>
      </w:pPr>
      <w:r>
        <w:t>Statut : Actif</w:t>
      </w:r>
    </w:p>
    <w:p>
      <w:pPr>
        <w:pStyle w:val="ListBullet"/>
      </w:pPr>
      <w:r/>
      <w:r>
        <w:rPr>
          <w:b/>
        </w:rPr>
        <w:t>EVOCARBIZOLE</w:t>
      </w:r>
      <w:r>
        <w:t xml:space="preserve"> (SARL EVOLAB — Algérie)</w:t>
      </w:r>
    </w:p>
    <w:p>
      <w:pPr>
        <w:pStyle w:val="ListBullet"/>
      </w:pPr>
      <w:r>
        <w:t>Formes et Dosages : Comprimé sécable 5 mg (B/50)</w:t>
      </w:r>
    </w:p>
    <w:p>
      <w:pPr>
        <w:pStyle w:val="ListBullet"/>
      </w:pPr>
      <w:r>
        <w:t>Statut : Actif</w:t>
      </w:r>
    </w:p>
    <w:p>
      <w:pPr>
        <w:pStyle w:val="ListBullet"/>
      </w:pPr>
      <w:r/>
      <w:r>
        <w:rPr>
          <w:b/>
        </w:rPr>
        <w:t>CARBIMAZOLE GS</w:t>
      </w:r>
      <w:r>
        <w:t xml:space="preserve"> (GROUPE SANTE — Algérie) — (Non Renouvelable)</w:t>
      </w:r>
    </w:p>
    <w:p>
      <w:pPr>
        <w:pStyle w:val="ListBullet"/>
      </w:pPr>
      <w:r>
        <w:t>Formes et Dosages : Comprimé sécable 5 mg (B/50)</w:t>
      </w:r>
    </w:p>
    <w:p>
      <w:pPr>
        <w:pStyle w:val="ListBullet"/>
      </w:pPr>
      <w:r>
        <w:t>Statut : Non Renouvelable</w:t>
      </w:r>
    </w:p>
    <w:p>
      <w:r/>
      <w:r>
        <w:rPr>
          <w:b/>
        </w:rPr>
        <w:t>Sous-classe et Mécanisme d'action :</w:t>
      </w:r>
      <w:r/>
    </w:p>
    <w:p>
      <w:pPr>
        <w:pStyle w:val="ListBullet"/>
      </w:pPr>
      <w:r>
        <w:t>Sous-classe : Antithyroïdiens de synthèse — Dérivés thioimidazolés stricto sensu (cycle imidazole substitué par un groupement thiol). Positionnement en première intention internationale dans la maladie de Basedow hors grossesse.</w:t>
      </w:r>
    </w:p>
    <w:p>
      <w:pPr>
        <w:pStyle w:val="ListBullet"/>
      </w:pPr>
      <w:r>
        <w:t xml:space="preserve">Mécanisme d'action : (1) </w:t>
      </w:r>
      <w:r>
        <w:rPr>
          <w:b/>
        </w:rPr>
        <w:t>Inhibition de la thyroperoxydase (TPO)</w:t>
      </w:r>
      <w:r>
        <w:t xml:space="preserve"> — le groupement thiol du thiamazole se lie à l'oxydase de la TPO, bloquant l'oxydation de l'iode, l'iodation des résidus tyrosyle de la thyroglobuline (formation de MIT et DIT) et le couplage MIT-DIT en T3 et DIT-DIT en T4. L'effet est strictement inhibiteur de la synthèse et ne concerne pas la libération des hormones préformées (à la différence du Lugol qui bloque aussi la libération). (2) Effet immunomodulateur : le thiamazole réduit progressivement les titres d'anticorps anti-récepteur TSH (TRAK) après 6 à 12 mois de traitement, pouvant induire une rémission immunologique durable chez 40 à 60 % des patients Basedow (taux de rémission variable selon les études — facteurs prédictifs : goitre modéré, TRAK initiaux modérés, femme, tabagisme = facteur défavorable). Le thiamazole n'inhibe pas la 5'-déiodase D1 : la conversion T4 → T3 persiste, expliquant l'effet anti-thyroïdien plus lent mais prolongé, et l'impossibilité d'utilisation isolée dans la crise thyrotoxique (lui préférer le benzylthiouracile + Lugol).</w:t>
      </w:r>
    </w:p>
    <w:p>
      <w:r/>
      <w:r>
        <w:rPr>
          <w:b/>
        </w:rPr>
        <w:t>Profil Pharmacologique :</w:t>
      </w:r>
      <w:r/>
    </w:p>
    <w:p>
      <w:pPr>
        <w:pStyle w:val="ListBullet"/>
      </w:pPr>
      <w:r>
        <w:t>Indications : Hyperthyroïdie de la maladie de Basedow (traitement d'attaque, d'entretien, et de rémission immunologique 12 à 18 mois) ; euthyroidisation pré-chirurgicale 4 à 6 semaines ; préparation à l'iode-131 (à arrêter 5 à 7 jours avant l'IRA-thérapie pour permettre la fixation radioactive). Schéma blocage-substitution (thiamazole 30 à 40 mg/j + lévothyroxine 100 à 125 µg/j). En pédiatrie, en alternative au benzylthiouracile. En cas de contre-indication au BTU (hépatotoxicité, intolérance).</w:t>
      </w:r>
    </w:p>
    <w:p>
      <w:pPr>
        <w:pStyle w:val="ListBullet"/>
      </w:pPr>
      <w:r>
        <w:t xml:space="preserve">Contre-indications : Hypersensibilité au thiamazole ou au carbimazole ; antécédent d'agranulocytose ou d'aplasie médullaire médicamenteuse ; insuffisance hépatique sévère ; déficit en lactase (excipient de certains génériques). </w:t>
      </w:r>
      <w:r>
        <w:rPr>
          <w:b/>
        </w:rPr>
        <w:t>1er trimestre de grossesse</w:t>
      </w:r>
      <w:r>
        <w:t xml:space="preserve"> (tératogénicité démontrée — syndrome d'aplasie cutanée congénitale, atrésie choanale, anomalies omphalo-mésentériques, sténoses pulmonaires) — préférer le benzylthiouracile. Précautions : 2e et 3e trimestres de grossesse (à la dose minimale efficace) ; allaitement (dose &lt; 10 mg/j acceptable selon CRAT) ; sujets âgés ; insuffisance rénale (espacer les prises).</w:t>
      </w:r>
    </w:p>
    <w:p>
      <w:pPr>
        <w:pStyle w:val="ListBullet"/>
      </w:pPr>
      <w:r>
        <w:t xml:space="preserve">Effets Indésirables : (1) </w:t>
      </w:r>
      <w:r>
        <w:rPr>
          <w:b/>
        </w:rPr>
        <w:t>Agranulocytose</w:t>
      </w:r>
      <w:r>
        <w:t xml:space="preserve"> (incidence 0,1 à 0,5 %, dans les 3 premiers mois, plus fréquente à dose &gt; 40 mg/j) — urgence absolue. (2) </w:t>
      </w:r>
      <w:r>
        <w:rPr>
          <w:b/>
        </w:rPr>
        <w:t>Hépatotoxicité cholestatique</w:t>
      </w:r>
      <w:r>
        <w:t xml:space="preserve"> (incidence ≈ 0,5 %) — à distinguer de la cytolyse du BTU. Surveillance ALAT-ASAT-PAL-γGT-bilirubine. (3) Effets cutanés : rash (5 à 10 %), prurit, urticaire ; rarement Stevens-Johnson, DRESS. (4) Effets gastro-intestinaux : nausées, dysgueusie (métallique), vomissements (5 %). (5) Polyarthrite (1 à 2 %), syndrome lupique, ANCA vascularite. (6) Hypoglycémie (rare, par action insulinomimétique du thiamazole). (7) Tératogénicité (1er trimestre). (8) Hypothyroïdie iatrogène (en cas de surdosage).</w:t>
      </w:r>
    </w:p>
    <w:p>
      <w:r/>
      <w:r>
        <w:rPr>
          <w:b/>
        </w:rPr>
        <w:t>Prévention et Gestion des Effets Indésirables :</w:t>
      </w:r>
      <w:r/>
    </w:p>
    <w:p>
      <w:pPr>
        <w:pStyle w:val="ListBullet"/>
      </w:pPr>
      <w:r>
        <w:t xml:space="preserve">Mesures Préventives : </w:t>
      </w:r>
      <w:r>
        <w:rPr>
          <w:b/>
        </w:rPr>
        <w:t>NFS + bilan hépatique avant instauration</w:t>
      </w:r>
      <w:r>
        <w:t>, puis NFS bihebdomadaire 1 mois, hebdomadaire 2 mois, mensuelle 6 mois. Information écrite et orale obligatoire sur le risque d'agranulocytose (« fièvre, angine, ulcérations buccales → ARRÊT IMMÉDIAT + NFS urgente »). Bilan hépatique mensuel 6 mois. Bilan pré-conceptionnel chez la femme en âge de procréer (changer pour BTU au 1er trimestre de grossesse). Test de grossesse si aménorrhée. Surveillance TSH et T4L 4 semaines puis 8 semaines. Bilan lipidique, ECG, contrôle de la fréquence cardiaque (le relais par bêta-bloquant est fréquent).</w:t>
      </w:r>
    </w:p>
    <w:p>
      <w:pPr>
        <w:pStyle w:val="ListBullet"/>
      </w:pPr>
      <w:r>
        <w:t>Conduite à Tenir : Agranulocytose confirmée (PNN &lt; 1500) → arrêt définitif du thiamazole (contre-indication croisée avec le BTU), hospitalisation, G-CSF, antibiothérapie empirique, relais par iode-131 ou chirurgie. Hépatite cholestatique → arrêt, relais par BTU ou iode-131 (pas de contre-indication croisée systématique mais prudence). Rash simple → antihistaminique, surveillance 48-72 h ; si aggravation → arrêt. Grossesse survenue sous thiamazole → arrêt immédiat, remplacement par BTU à dose minimale (100 mg/j) au 1er trimestre, retour au thiamazole après 16 SA si nécessaire. Hypothyroïdie iatrogène → réduction posologique ou schéma blocage-substitution.</w:t>
      </w:r>
    </w:p>
    <w:p>
      <w:r/>
      <w:r>
        <w:rPr>
          <w:b/>
        </w:rPr>
        <w:t>Interactions Importantes :</w:t>
      </w:r>
      <w:r/>
    </w:p>
    <w:p>
      <w:pPr>
        <w:pStyle w:val="ListBullet"/>
      </w:pPr>
      <w:r>
        <w:t>Thiamazole + sels d'iode (Lugol, povidone iodée, produits de contraste iodés, amiodarone) → antagonisme : l'iode fournit le substrat. À utiliser en séquence (dans la crise thyrotoxique : thiamazole 1 heure avant Lugol).</w:t>
      </w:r>
    </w:p>
    <w:p>
      <w:pPr>
        <w:pStyle w:val="ListBullet"/>
      </w:pPr>
      <w:r>
        <w:t>Thiamazole + benzylthiouracile → contre-indication croisée relative en cas d'agranulocytose (les deux antithyroïdiens exposent, mais l'allergie à l'un n'impose pas l'arrêt de l'autre). Éviter l'association inutile.</w:t>
      </w:r>
    </w:p>
    <w:p>
      <w:pPr>
        <w:pStyle w:val="ListBullet"/>
      </w:pPr>
      <w:r>
        <w:t>Thiamazole + antivitamine K (warfarine, acénocoumarol) → potentialisation de l'effet anticoagulant. Surveillance INR.</w:t>
      </w:r>
    </w:p>
    <w:p>
      <w:pPr>
        <w:pStyle w:val="ListBullet"/>
      </w:pPr>
      <w:r>
        <w:t>Thiamazole + digoxine → diminution de la digoxinémie à l'euthyroidisation (la thyrotoxicose augmente la clairance). Adapter la dose de digoxine.</w:t>
      </w:r>
    </w:p>
    <w:p>
      <w:pPr>
        <w:pStyle w:val="ListBullet"/>
      </w:pPr>
      <w:r>
        <w:t>Thiamazole + bêta-bloquants (propranolol) → synergie symptomatique. Le propranolol inhibe aussi la conversion T4 → T3 (effet additif mais sans interaction médicamenteuse au sens strict).</w:t>
      </w:r>
    </w:p>
    <w:p>
      <w:pPr>
        <w:pStyle w:val="ListBullet"/>
      </w:pPr>
      <w:r>
        <w:t>Thiamazole + érythromycine, clarithromycine, kétoconazole, itraconazole → inhibition du CYP3A4 hépatique → augmentation de la concentration du thiamazole (effet rarement cliniquement significatif).</w:t>
      </w:r>
    </w:p>
    <w:p>
      <w:pPr>
        <w:pStyle w:val="ListBullet"/>
      </w:pPr>
      <w:r>
        <w:t>Thiamazole + lithium → potentialisation de l'effet anti-thyroïdien (le lithium inhibe aussi la libération des hormones thyroïdiennes). Surveillance TSH accrue.</w:t>
      </w:r>
    </w:p>
    <w:p>
      <w:r/>
      <w:r>
        <w:rPr>
          <w:b/>
        </w:rPr>
        <w:t>Grossesse et Allaitement :</w:t>
      </w:r>
      <w:r/>
    </w:p>
    <w:p>
      <w:pPr>
        <w:pStyle w:val="ListBullet"/>
      </w:pPr>
      <w:r>
        <w:t xml:space="preserve">Grossesse : Thiamazole </w:t>
      </w:r>
      <w:r>
        <w:rPr>
          <w:b/>
        </w:rPr>
        <w:t>contre-indiqué au 1er trimestre</w:t>
      </w:r>
      <w:r>
        <w:t xml:space="preserve"> (CRAT : tératogénicité démontrée — aplasie cutanée congénitale 2 à 3 ‰, atrésie choanale, anomalies omphalo-mésentériques, sténose pulmonaire). Si grossesse prévue → arrêt 3 mois avant conception et relais par benzylthiouracile. Si grossesse survenue sous thiamazole → arrêt immédiat, échographie morphologique détaillée (recherche d'aplasie cutanée, atrésie choanale), relais par BTU à dose minimale (50 à 100 mg/j) au 1er trimestre, retour possible au thiamazole après 16 SA (organogenèse terminée). Au 2e et 3e trimestres, à la plus faible dose efficace (cible TSH maternelle 0,5 à 2,5 mUI/L, FT4 normale haute).</w:t>
      </w:r>
    </w:p>
    <w:p>
      <w:pPr>
        <w:pStyle w:val="ListBullet"/>
      </w:pPr>
      <w:r>
        <w:t xml:space="preserve">Allaitement : </w:t>
      </w:r>
      <w:r>
        <w:rPr>
          <w:b/>
        </w:rPr>
        <w:t>Compatible à dose ≤ 10 mg/j</w:t>
      </w:r>
      <w:r>
        <w:t xml:space="preserve"> (CRAT : « Le thiamazole passe dans le lait en quantité faible ; à dose ≤ 10 mg/j, l'allaitement est possible avec surveillance thyroïdienne de l'enfant toutes les 2 à 4 semaines (TSH) »). Au-delà de 10 mg/j, déconseillé (suspension temporaire de l'allaitement ou fractionner les prises en prenant juste après la tétée).</w:t>
      </w:r>
    </w:p>
    <w:p>
      <w:pPr>
        <w:pStyle w:val="ListBullet"/>
      </w:pPr>
      <w:r>
        <w:t>Précisions : Chez la femme en âge de procréer, conseil contraceptif obligatoire pendant le traitement. Test de grossesse en cas de doute.</w:t>
      </w:r>
    </w:p>
    <w:p>
      <w:r/>
      <w:r>
        <w:rPr>
          <w:b/>
        </w:rPr>
        <w:t>Posologie et Mode d'administration (Standard) :</w:t>
      </w:r>
      <w:r/>
    </w:p>
    <w:p>
      <w:pPr>
        <w:pStyle w:val="ListBullet"/>
      </w:pPr>
      <w:r>
        <w:t>Adulte (maladie de Basedow modérée) : dose initiale 20 à 30 mg/j (4 à 6 cp/j) en 1 à 2 prises, pendant 4 à 8 semaines. Adaptation selon T4L et TSH à 4 semaines.</w:t>
      </w:r>
    </w:p>
    <w:p>
      <w:pPr>
        <w:pStyle w:val="ListBullet"/>
      </w:pPr>
      <w:r>
        <w:t>Adulte (maladie de Basedow sévère) : 40 à 60 mg/j en 2 à 3 prises (jusqu'à 80 mg/j dans les formes résistantes).</w:t>
      </w:r>
    </w:p>
    <w:p>
      <w:pPr>
        <w:pStyle w:val="ListBullet"/>
      </w:pPr>
      <w:r>
        <w:t>Adulte (entretien, schéma titration) : 5 à 15 mg/j en monoprise, pendant 12 à 18 mois.</w:t>
      </w:r>
    </w:p>
    <w:p>
      <w:pPr>
        <w:pStyle w:val="ListBullet"/>
      </w:pPr>
      <w:r>
        <w:t>Adulte (schéma blocage-substitution) : thiamazole 30 à 40 mg/j + lévothyroxine 100 à 125 µg/j en monoprise matinale (à distance).</w:t>
      </w:r>
    </w:p>
    <w:p>
      <w:pPr>
        <w:pStyle w:val="ListBullet"/>
      </w:pPr>
      <w:r>
        <w:t>Sujet âgé : 10 à 20 mg/j initial, surveillance NFS accrue.</w:t>
      </w:r>
    </w:p>
    <w:p>
      <w:pPr>
        <w:pStyle w:val="ListBullet"/>
      </w:pPr>
      <w:r>
        <w:t>Enfant : 0,5 à 1 mg/kg/j en 1 à 2 prises (initial), entretien 0,1 à 0,2 mg/kg/j.</w:t>
      </w:r>
    </w:p>
    <w:p>
      <w:pPr>
        <w:pStyle w:val="ListBullet"/>
      </w:pPr>
      <w:r>
        <w:t>Préparation à l'iode-131 : arrêt du thiamazole 5 à 7 jours avant l'IRA-thérapie pour permettre la fixation radioactive ; relais transitoire par bêta-bloquant si symptômes adrénergiques. Reprise 3 à 5 jours après l'IRA-thérapie si hypothyroïdie non encore installée.</w:t>
      </w:r>
    </w:p>
    <w:p>
      <w:pPr>
        <w:pStyle w:val="ListBullet"/>
      </w:pPr>
      <w:r>
        <w:t>Préparation chirurgicale : 20 à 40 mg/j pendant 4 à 6 semaines, en association éventuelle avec Lugol les 10 derniers jours.</w:t>
      </w:r>
    </w:p>
    <w:p>
      <w:pPr>
        <w:pStyle w:val="ListBullet"/>
      </w:pPr>
      <w:r>
        <w:t>Durée : 12 à 18 mois (rémission immunologique), 4 à 6 semaines (pré-chirurgie), ou à vie si schéma blocage-substitution prolongé.</w:t>
      </w:r>
    </w:p>
    <w:p>
      <w:pPr>
        <w:pStyle w:val="ListBullet"/>
      </w:pPr>
      <w:r>
        <w:t>Moment de prise : 1 à 2 prises par jour, de préférence le matin à heure fixe. La monoprise est rendue possible par la longue demi-vie (4 à 6 h) et l'effet anti-thyroïdien soutenu.</w:t>
      </w:r>
    </w:p>
    <w:p>
      <w:r/>
      <w:r>
        <w:rPr>
          <w:b/>
        </w:rPr>
        <w:t>Arbitrage et Bénéfices des Formes Galéniques :</w:t>
      </w:r>
      <w:r/>
    </w:p>
    <w:p>
      <w:r>
        <w:t>Comprimé sécable 5 mg — forme unique en Algérie. Permet une titration fine par paliers de 2,5 mg (en coupant en 2) ou 1,25 mg (en coupant en 4). Aucune forme IV, sirop, ou solution orale disponible en Algérie (préparation magistrale possible en suspension à partir des comprimés écrasés pour la pédiatrie, à renouveler toutes les 4 semaines). Comparaison internationale : Néomercazole® 5 mg (Grande-Bretagne) — strict équivalent. Le thiamazole (méthimazole) est disponible à 5 mg et 10 mg aux USA (Tapazole®), permettant une titration par paliers de 5 mg sans coupure. La posologie étant donnée en monoprise, l'observance est bonne chez l'adulte.</w:t>
      </w:r>
    </w:p>
    <w:p>
      <w:r/>
      <w:r>
        <w:rPr>
          <w:b/>
        </w:rPr>
        <w:t>Instructions et Conseils au Patient :</w:t>
      </w:r>
      <w:r/>
    </w:p>
    <w:p>
      <w:pPr>
        <w:pStyle w:val="ListBullet"/>
      </w:pPr>
      <w:r>
        <w:t xml:space="preserve">Communication au comptoir : « Votre antithyroïdien freine la production d'hormones thyroïdiennes. Prenez-le en une ou plusieurs prises par jour selon l'ordonnance, à heure fixe. L'effet complet demande 4 à 8 semaines — soyez patient. </w:t>
      </w:r>
      <w:r>
        <w:rPr>
          <w:b/>
        </w:rPr>
        <w:t>Ce médicament peut exceptionnellement provoquer une baisse dangereuse des globules blancs (agranulocytose)</w:t>
      </w:r>
      <w:r>
        <w:t xml:space="preserve"> : si vous avez de la fièvre, une angine, des aphtes, des ulcérations buccales, une infection, ARRÊTEZ IMMÉDIATEMENT et consultez en urgence pour une prise de sang (NFS). Votre médecin vous prescrira une surveillance régulière de la NFS (globules blancs) et du foie. Prévenez-le immédiatement si vous prévoyez une grossesse ou si vous êtes enceinte : ce médicament est dangereux au 1er trimestre pour le fœtus. Si vous allaitez, parlez-en (la dose doit être faible). Ne consommez pas d'algues ni de compléments iodés sans avis médical. »</w:t>
      </w:r>
    </w:p>
    <w:p>
      <w:pPr>
        <w:pStyle w:val="ListBullet"/>
      </w:pPr>
      <w:r>
        <w:t>Mode d'utilisation pratique : Prises à heures fixes, monoprise matinale préférable. Tenir un carnet de surveillance des bilans. Éviter la consommation d'algues, de produits de la mer iodés en grande quantité, et de compléments iodés.</w:t>
      </w:r>
    </w:p>
    <w:p>
      <w:r/>
      <w:r>
        <w:rPr>
          <w:b/>
        </w:rPr>
        <w:t>Notes, Règles d'Or &amp; Pièges au Comptoir :</w:t>
      </w:r>
      <w:r/>
    </w:p>
    <w:p>
      <w:pPr>
        <w:pStyle w:val="ListBullet"/>
      </w:pPr>
      <w:r>
        <w:t xml:space="preserve">Piège classique : </w:t>
      </w:r>
      <w:r>
        <w:rPr>
          <w:b/>
        </w:rPr>
        <w:t>Agranulocytose + tératogénicité 1er trimestre</w:t>
      </w:r>
      <w:r>
        <w:t xml:space="preserve"> — double information écrite obligatoire. Demander systématiquement à toute femme en âge de procréer : « Êtes-vous enceinte ou prévoyez-vous une grossesse ? » et « Allaitez-vous ? ».</w:t>
      </w:r>
    </w:p>
    <w:p>
      <w:pPr>
        <w:pStyle w:val="ListBullet"/>
      </w:pPr>
      <w:r>
        <w:t>Règle de prise : monoprise matinale à heure fixe pour les faibles doses ; 2 prises pour les doses &gt; 30 mg/j.</w:t>
      </w:r>
    </w:p>
    <w:p>
      <w:pPr>
        <w:pStyle w:val="ListBullet"/>
      </w:pPr>
      <w:r>
        <w:t>Préparation et Conservation : Conservation &lt; 25 °C, à l'abri de l'humidité. Vérifier la date de péremption (les génériques algériens peuvent avoir des durées de péremption plus courtes que la spécialité princeps).</w:t>
      </w:r>
    </w:p>
    <w:p>
      <w:pPr>
        <w:pStyle w:val="ListBullet"/>
      </w:pPr>
      <w:r>
        <w:t>Piège du surdosage / Substitution : Ne pas substituer par le benzylthiouracile sans avis médical (équivalence posologique : 5 mg thiamazole ≈ 100 mg BTU ≈ 50 mg PTU, mais le profil d'effets indésirables diffère — le BTU est plus hépatotoxique, le thiamazole plus cholestatique). En cas d'agranulocytose, contre-indication croisée avec tous les antithyroïdiens de synthèse — relais obligatoire par iode-131 ou chirurgie.</w:t>
      </w:r>
    </w:p>
    <w:p>
      <w:pPr>
        <w:pStyle w:val="ListBullet"/>
      </w:pPr>
      <w:r>
        <w:t>Règle de prescription : Liste I, prescription initiale semestrielle par médecin spécialiste endocrinologue, renouvelable par médecin généraliste dans la limite de 1 an.</w:t>
      </w:r>
    </w:p>
    <w:p>
      <w:pPr>
        <w:pStyle w:val="Heading3"/>
      </w:pPr>
      <w:r>
        <w:t>4. DCI : Iode (Lugol, povidone iodée) — Antiseptiques iodés et solution de Lugol</w:t>
      </w:r>
    </w:p>
    <w:p>
      <w:r/>
      <w:r>
        <w:rPr>
          <w:b/>
        </w:rPr>
        <w:t>Liste des Catégories :</w:t>
      </w:r>
      <w:r>
        <w:t xml:space="preserve"> Liste I pour les formes injectables (PAMIDOL® 300 et 370 mg/mL) ; hors liste (libre service) pour les antiseptiques locaux dermiques. Antiseptiques iodés / Solution de Lugol.</w:t>
      </w:r>
    </w:p>
    <w:p>
      <w:r>
        <w:t xml:space="preserve">L'iode sous forme thérapeutique couvre deux réalités pharmacologiques distinctes : (i) </w:t>
      </w:r>
      <w:r>
        <w:rPr>
          <w:b/>
        </w:rPr>
        <w:t>l'iode antiseptique</w:t>
      </w:r>
      <w:r>
        <w:t xml:space="preserve"> (povidone iodée, alcool iodé) — antiseptique local large spectre par libération d'iode élémentaire oxydant les groupements sulfhydryles des protéines bactériennes ; (ii) </w:t>
      </w:r>
      <w:r>
        <w:rPr>
          <w:b/>
        </w:rPr>
        <w:t>l'iode thyroïdien</w:t>
      </w:r>
      <w:r>
        <w:t xml:space="preserve"> (solution de Lugol, iodure de potassium saturé) — médicament de l'hyperthyroïdie par effet Wolff-Chaikoff (blocage transitoire de la synthèse hormonale thyroïdienne) et effet Kocher (réduction de la vascularisation thyroïdienne en préopératoire). L'iode élémentaire (I2) et l'iodure (I-) ont des pharmacocinétiques très différentes : l'iode est presque immédiatement absorbé au niveau gastrique et intestinal, capté par la thyroïde (NIS — sodium-iodide symporter) en quelques heures, et excrété principalement par le rein (clairance ≈ DFG). La demi-vie plasmatique de l'iodure est de 8 à 12 h. Les produits de contraste iodés (PAMIDOL® 300 et 370 mg I/mL) sont utilisés en radiologie interventionnelle et tomodensitométrie, mais peuvent induire une dysthyroïdie (hypothyroïdie par surcharge iodée, ou hyperthyroïdie par syndrome de Jod-Basedow chez les patients porteurs de nodules autonomes). La povidone iodée (PVP-I) est un complexe macromoléculaire iode-polyvinylpyrrolidone libérant lentement l'iode élémentaire, assurant une bactéricidie prolongée (effet rémanent 4 à 6 h).</w:t>
      </w:r>
    </w:p>
    <w:p>
      <w:r/>
      <w:r>
        <w:rPr>
          <w:b/>
        </w:rPr>
        <w:t>Médicaments disponibles en Algérie (Marques, Laboratoires, Formes et Dosages) :</w:t>
      </w:r>
      <w:r/>
    </w:p>
    <w:p>
      <w:r/>
      <w:r>
        <w:rPr>
          <w:i/>
        </w:rPr>
        <w:t>Antiseptiques dermiques (povidone iodée) :</w:t>
      </w:r>
      <w:r/>
    </w:p>
    <w:p>
      <w:pPr>
        <w:pStyle w:val="ListBullet"/>
      </w:pPr>
      <w:r/>
      <w:r>
        <w:rPr>
          <w:b/>
        </w:rPr>
        <w:t>BETADERM</w:t>
      </w:r>
      <w:r>
        <w:t xml:space="preserve"> (GROUPEMENT PHARMACEUTIQUE ALGERIEN — GPA)</w:t>
      </w:r>
    </w:p>
    <w:p>
      <w:pPr>
        <w:pStyle w:val="ListBullet"/>
      </w:pPr>
      <w:r>
        <w:t>Formes et Dosages : Solution dermique 10 % (10 g d'iode libre pour 100 mL) — Flacon 125 mL</w:t>
      </w:r>
    </w:p>
    <w:p>
      <w:pPr>
        <w:pStyle w:val="ListBullet"/>
      </w:pPr>
      <w:r>
        <w:t>Statut : Actif</w:t>
      </w:r>
    </w:p>
    <w:p>
      <w:pPr>
        <w:pStyle w:val="ListBullet"/>
      </w:pPr>
      <w:r/>
      <w:r>
        <w:rPr>
          <w:b/>
        </w:rPr>
        <w:t>BETADERMINE</w:t>
      </w:r>
      <w:r>
        <w:t xml:space="preserve"> (RIADH PHARM)</w:t>
      </w:r>
    </w:p>
    <w:p>
      <w:pPr>
        <w:pStyle w:val="ListBullet"/>
      </w:pPr>
      <w:r>
        <w:t>Formes et Dosages : Solution dermique 10 % (10 g/100 mL) — Flacon 120 mL et 500 mL ; Solution gynécologique 10 % — Flacon 120 mL ; Solution moussante 4 % — Flacon 125 mL et 1000 mL</w:t>
      </w:r>
    </w:p>
    <w:p>
      <w:pPr>
        <w:pStyle w:val="ListBullet"/>
      </w:pPr>
      <w:r>
        <w:t>Statut : Actif</w:t>
      </w:r>
    </w:p>
    <w:p>
      <w:pPr>
        <w:pStyle w:val="ListBullet"/>
      </w:pPr>
      <w:r/>
      <w:r>
        <w:rPr>
          <w:b/>
        </w:rPr>
        <w:t>DERMADINE</w:t>
      </w:r>
      <w:r>
        <w:t xml:space="preserve"> (LABIOCO)</w:t>
      </w:r>
    </w:p>
    <w:p>
      <w:pPr>
        <w:pStyle w:val="ListBullet"/>
      </w:pPr>
      <w:r>
        <w:t>Formes et Dosages : Solution dermique 10 % (10 g/100 mL) — Flacon 50 mL</w:t>
      </w:r>
    </w:p>
    <w:p>
      <w:pPr>
        <w:pStyle w:val="ListBullet"/>
      </w:pPr>
      <w:r>
        <w:t>Statut : Actif</w:t>
      </w:r>
    </w:p>
    <w:p>
      <w:pPr>
        <w:pStyle w:val="ListBullet"/>
      </w:pPr>
      <w:r/>
      <w:r>
        <w:rPr>
          <w:b/>
        </w:rPr>
        <w:t>POLYLAD</w:t>
      </w:r>
      <w:r>
        <w:t xml:space="preserve"> (LAD PHARMA)</w:t>
      </w:r>
    </w:p>
    <w:p>
      <w:pPr>
        <w:pStyle w:val="ListBullet"/>
      </w:pPr>
      <w:r>
        <w:t>Formes et Dosages : Solution dermique 10 % — Flacon 125 mL</w:t>
      </w:r>
    </w:p>
    <w:p>
      <w:pPr>
        <w:pStyle w:val="ListBullet"/>
      </w:pPr>
      <w:r>
        <w:t>Statut : Actif</w:t>
      </w:r>
    </w:p>
    <w:p>
      <w:pPr>
        <w:pStyle w:val="ListBullet"/>
      </w:pPr>
      <w:r/>
      <w:r>
        <w:rPr>
          <w:b/>
        </w:rPr>
        <w:t>POVIP</w:t>
      </w:r>
      <w:r>
        <w:t xml:space="preserve"> (GROUPE SAIDAL — Algérie)</w:t>
      </w:r>
    </w:p>
    <w:p>
      <w:pPr>
        <w:pStyle w:val="ListBullet"/>
      </w:pPr>
      <w:r>
        <w:t>Formes et Dosages : Solution dermique 10 % — Flacon 50 mL</w:t>
      </w:r>
    </w:p>
    <w:p>
      <w:pPr>
        <w:pStyle w:val="ListBullet"/>
      </w:pPr>
      <w:r>
        <w:t>Statut : Actif — Spécialité de référence locale</w:t>
      </w:r>
    </w:p>
    <w:p>
      <w:pPr>
        <w:pStyle w:val="ListBullet"/>
      </w:pPr>
      <w:r/>
      <w:r>
        <w:rPr>
          <w:b/>
        </w:rPr>
        <w:t>SEPTIDINE</w:t>
      </w:r>
      <w:r>
        <w:t xml:space="preserve"> (PHARMAGHREB)</w:t>
      </w:r>
    </w:p>
    <w:p>
      <w:pPr>
        <w:pStyle w:val="ListBullet"/>
      </w:pPr>
      <w:r>
        <w:t>Formes et Dosages : Solution dermique 10 % — Flacon 125 mL</w:t>
      </w:r>
    </w:p>
    <w:p>
      <w:pPr>
        <w:pStyle w:val="ListBullet"/>
      </w:pPr>
      <w:r>
        <w:t>Statut : Actif</w:t>
      </w:r>
    </w:p>
    <w:p>
      <w:pPr>
        <w:pStyle w:val="ListBullet"/>
      </w:pPr>
      <w:r/>
      <w:r>
        <w:rPr>
          <w:b/>
        </w:rPr>
        <w:t>ALCOOL IODE 1% RPP</w:t>
      </w:r>
      <w:r>
        <w:t xml:space="preserve"> (RIADH PHARM)</w:t>
      </w:r>
    </w:p>
    <w:p>
      <w:pPr>
        <w:pStyle w:val="ListBullet"/>
      </w:pPr>
      <w:r>
        <w:t>Formes et Dosages : Solution hydroalcoolique pour application cutanée 1 % — Flacon 1 L</w:t>
      </w:r>
    </w:p>
    <w:p>
      <w:pPr>
        <w:pStyle w:val="ListBullet"/>
      </w:pPr>
      <w:r>
        <w:t>Statut : Actif — Alternative à la povidone (action plus rapide mais effet rémanent plus court, dessiccation supérieure)</w:t>
      </w:r>
    </w:p>
    <w:p>
      <w:r/>
      <w:r>
        <w:rPr>
          <w:i/>
        </w:rPr>
        <w:t>Produits de contraste iodés injectables :</w:t>
      </w:r>
      <w:r/>
    </w:p>
    <w:p>
      <w:pPr>
        <w:pStyle w:val="ListBullet"/>
      </w:pPr>
      <w:r/>
      <w:r>
        <w:rPr>
          <w:b/>
        </w:rPr>
        <w:t>PAMIDOL 300</w:t>
      </w:r>
      <w:r>
        <w:t xml:space="preserve"> (UNIQUE PHARMACEUTICAL)</w:t>
      </w:r>
    </w:p>
    <w:p>
      <w:pPr>
        <w:pStyle w:val="ListBullet"/>
      </w:pPr>
      <w:r>
        <w:t>Formes et Dosages : Solution injectable d'iode 300 mg/mL — Flacon 50 mL et 100 mL</w:t>
      </w:r>
    </w:p>
    <w:p>
      <w:pPr>
        <w:pStyle w:val="ListBullet"/>
      </w:pPr>
      <w:r>
        <w:t>Statut : Actif — Produit de contraste radiologique non ionique (iopamidol), utilisé en angiographie, TDM, urographie</w:t>
      </w:r>
    </w:p>
    <w:p>
      <w:pPr>
        <w:pStyle w:val="ListBullet"/>
      </w:pPr>
      <w:r>
        <w:t>Liste I</w:t>
      </w:r>
    </w:p>
    <w:p>
      <w:pPr>
        <w:pStyle w:val="ListBullet"/>
      </w:pPr>
      <w:r/>
      <w:r>
        <w:rPr>
          <w:b/>
        </w:rPr>
        <w:t>PAMIDOL 370</w:t>
      </w:r>
      <w:r>
        <w:t xml:space="preserve"> (UNIQUE PHARMACEUTICAL)</w:t>
      </w:r>
    </w:p>
    <w:p>
      <w:pPr>
        <w:pStyle w:val="ListBullet"/>
      </w:pPr>
      <w:r>
        <w:t>Formes et Dosages : Solution injectable d'iode 370 mg/mL — Flacon 50 mL et 100 mL</w:t>
      </w:r>
    </w:p>
    <w:p>
      <w:pPr>
        <w:pStyle w:val="ListBullet"/>
      </w:pPr>
      <w:r>
        <w:t>Statut : Actif — Forme plus concentrée pour angiographie haute résolution</w:t>
      </w:r>
    </w:p>
    <w:p>
      <w:pPr>
        <w:pStyle w:val="ListBullet"/>
      </w:pPr>
      <w:r>
        <w:t>Liste I</w:t>
      </w:r>
    </w:p>
    <w:p>
      <w:r/>
      <w:r>
        <w:rPr>
          <w:i/>
        </w:rPr>
        <w:t>Spécialités non renouvelables ou retirées :</w:t>
      </w:r>
      <w:r/>
    </w:p>
    <w:p>
      <w:pPr>
        <w:pStyle w:val="ListBullet"/>
      </w:pPr>
      <w:r/>
      <w:r>
        <w:rPr>
          <w:b/>
        </w:rPr>
        <w:t>IODACRYL</w:t>
      </w:r>
      <w:r>
        <w:t xml:space="preserve"> (GPA) — Solution moussante 4 % — Flacon 125 mL et 500 mL — Non Renouvelable</w:t>
      </w:r>
    </w:p>
    <w:p>
      <w:pPr>
        <w:pStyle w:val="ListBullet"/>
      </w:pPr>
      <w:r/>
      <w:r>
        <w:rPr>
          <w:b/>
        </w:rPr>
        <w:t>GETADINE</w:t>
      </w:r>
      <w:r>
        <w:t xml:space="preserve"> (ARAB PHARM) — Solution pour application locale 10 % — Flacon 50 mL — Non Renouvelable</w:t>
      </w:r>
    </w:p>
    <w:p>
      <w:pPr>
        <w:pStyle w:val="ListBullet"/>
      </w:pPr>
      <w:r/>
      <w:r>
        <w:rPr>
          <w:b/>
        </w:rPr>
        <w:t>BETAIODINE</w:t>
      </w:r>
      <w:r>
        <w:t xml:space="preserve"> (HYSA SARL) — Solution pour application locale 5 % — Flacon 70 mL spray — Non Renouvelable</w:t>
      </w:r>
    </w:p>
    <w:p>
      <w:pPr>
        <w:pStyle w:val="ListBullet"/>
      </w:pPr>
      <w:r/>
      <w:r>
        <w:rPr>
          <w:b/>
        </w:rPr>
        <w:t>ALCOOL IODEE 1%</w:t>
      </w:r>
      <w:r>
        <w:t xml:space="preserve"> (GROUPE SAIDAL) — Solution pour application locale 1 % — Flacon 1 L — Non Renouvelable</w:t>
      </w:r>
    </w:p>
    <w:p>
      <w:pPr>
        <w:pStyle w:val="ListBullet"/>
      </w:pPr>
      <w:r/>
      <w:r>
        <w:rPr>
          <w:b/>
        </w:rPr>
        <w:t>HYSACRYL LAURYLEE</w:t>
      </w:r>
      <w:r>
        <w:t xml:space="preserve"> (HYSA SARL) — Solution moussante pour application cutanée 1 % — Flacon 500 mL — Non Renouvelable</w:t>
      </w:r>
    </w:p>
    <w:p>
      <w:pPr>
        <w:pStyle w:val="ListBullet"/>
      </w:pPr>
      <w:r/>
      <w:r>
        <w:rPr>
          <w:b/>
        </w:rPr>
        <w:t>BETADINE SCRUB</w:t>
      </w:r>
      <w:r>
        <w:t xml:space="preserve"> (MEDA PHARMA) — Solution dermique moussante 4 % — Flacon 125 mL — Retiré (R)</w:t>
      </w:r>
    </w:p>
    <w:p>
      <w:pPr>
        <w:pStyle w:val="ListBullet"/>
      </w:pPr>
      <w:r/>
      <w:r>
        <w:rPr>
          <w:b/>
        </w:rPr>
        <w:t>BETADINE DERMIQUE</w:t>
      </w:r>
      <w:r>
        <w:t xml:space="preserve"> (SARGET) — Solution pour application locale 10 % — Flacon 125 mL — Retiré (R)</w:t>
      </w:r>
    </w:p>
    <w:p>
      <w:pPr>
        <w:pStyle w:val="ListBullet"/>
      </w:pPr>
      <w:r/>
      <w:r>
        <w:rPr>
          <w:b/>
        </w:rPr>
        <w:t>POLIODINE</w:t>
      </w:r>
      <w:r>
        <w:t xml:space="preserve"> (GIFRER BARBEZAT) — Solution dermique 10 % — Flacon 45 mL et 500 mL — Retiré (R)</w:t>
      </w:r>
    </w:p>
    <w:p>
      <w:pPr>
        <w:pStyle w:val="ListBullet"/>
      </w:pPr>
      <w:r/>
      <w:r>
        <w:rPr>
          <w:b/>
        </w:rPr>
        <w:t>POVIROCH</w:t>
      </w:r>
      <w:r>
        <w:t xml:space="preserve"> (PHARMAROCH) — Solution dermique 10 % — Flacon 100 mL — Retiré (R)</w:t>
      </w:r>
    </w:p>
    <w:p>
      <w:pPr>
        <w:pStyle w:val="ListBullet"/>
      </w:pPr>
      <w:r/>
      <w:r>
        <w:rPr>
          <w:b/>
        </w:rPr>
        <w:t>IODOSEPT</w:t>
      </w:r>
      <w:r>
        <w:t xml:space="preserve"> (PHARCO EGYPTE) — Solution dermique 10 % — Flacon 60 mL — Retiré (R)</w:t>
      </w:r>
    </w:p>
    <w:p>
      <w:r/>
      <w:r>
        <w:rPr>
          <w:i/>
        </w:rPr>
        <w:t>Solution de Lugol (à noter) :</w:t>
      </w:r>
      <w:r>
        <w:t xml:space="preserve"> La solution de Lugol pharmaceutique (5 g d'iode + 10 g d'iodure de potassium pour 100 mL d'eau purifiée) n'apparaît pas explicitement dans la nomenclature algérienne Avril 2026. Elle est généralement préparée en pharmacie centrale hospitalière (PCH) ou importée en ATU par les services d'endocrinologie pour le protocole préopératoire de chirurgie thyroïdienne et la crise thyrotoxique.</w:t>
      </w:r>
    </w:p>
    <w:p>
      <w:r/>
      <w:r>
        <w:rPr>
          <w:b/>
        </w:rPr>
        <w:t>Sous-classe et Mécanisme d'action :</w:t>
      </w:r>
      <w:r/>
    </w:p>
    <w:p>
      <w:pPr>
        <w:pStyle w:val="ListBullet"/>
      </w:pPr>
      <w:r>
        <w:t>Sous-classe : Antiseptiques iodés / Solution de Lugol — iode thérapeutique. Couvre l'antiseptie locale large spectre, l'induction d'hypothyroïdie transitoire (Lugol pré-opératoire), et les produits de contraste radiologiques iodés.</w:t>
      </w:r>
    </w:p>
    <w:p>
      <w:pPr>
        <w:pStyle w:val="ListBullet"/>
      </w:pPr>
      <w:r>
        <w:t xml:space="preserve">Mécanisme d'action : (1) </w:t>
      </w:r>
      <w:r>
        <w:rPr>
          <w:b/>
        </w:rPr>
        <w:t>Antiseptique local</w:t>
      </w:r>
      <w:r>
        <w:t xml:space="preserve"> (povidone iodée, alcool iodé) : libération lente d'iode élémentaire (I2) et d'acide hypoïodeux (HIO) qui oxydent les groupements sulfhydryles (-SH) des protéines et enzymes bactériennes, fongiques et virales, entraînant la mort cellulaire. Spectre : bactéricide Gram+ et Gram-, y compris MRSA ; fongicide (Candida, dermatophytes) ; virucide (HIV, HSV, VHB, VHC, influenza) ; sporicide (à concentration élevée) ; parasiticide (protozoaires). Effet rémanent 4 à 6 h. (2) </w:t>
      </w:r>
      <w:r>
        <w:rPr>
          <w:b/>
        </w:rPr>
        <w:t>Effet Wolff-Chaikoff</w:t>
      </w:r>
      <w:r>
        <w:t xml:space="preserve"> (Lugol, fortes doses d'iode) : administration aiguë d'iode à forte dose → inhibition transitoire de la synthèse hormonale thyroïdienne par saturation du NIS et blocage de la libération des hormones préformées (effet Harington-Querido). Effet maximal 24 à 48 h, persistant 10 à 14 jours. Échappement physiologique (« évasion de Wolff-Chaikoff ») au-delà de 2 à 4 semaines, restituant la fonction thyroïdienne — d'où l'utilisation limitée dans le temps du Lugol. (3) </w:t>
      </w:r>
      <w:r>
        <w:rPr>
          <w:b/>
        </w:rPr>
        <w:t>Effet Kocher</w:t>
      </w:r>
      <w:r>
        <w:t xml:space="preserve"> (Lugol préopératoire) : réduction de la vascularisation thyroïdienne, diminuant le saignement peropératoire et la libération d'hormones préformées. Utilisé pendant 10 jours avant chirurgie de la maladie de Basedow. (4) </w:t>
      </w:r>
      <w:r>
        <w:rPr>
          <w:b/>
        </w:rPr>
        <w:t>Syndrome de Jod-Basedow</w:t>
      </w:r>
      <w:r>
        <w:t xml:space="preserve"> (produits de contraste iodés, amiodarone) : induction d'une hyperthyroïdie chez les patients porteurs de nodules autonomes (nodule toxique, goitre multinodulaire) par surcharge iodée démasquant l'autonomie fonctionnelle.</w:t>
      </w:r>
    </w:p>
    <w:p>
      <w:r/>
      <w:r>
        <w:rPr>
          <w:b/>
        </w:rPr>
        <w:t>Profil Pharmacologique :</w:t>
      </w:r>
      <w:r/>
    </w:p>
    <w:p>
      <w:pPr>
        <w:pStyle w:val="ListBullet"/>
      </w:pPr>
      <w:r>
        <w:t>Indications : (i) Antiseptique local : désinfection de la peau saine pré-injection, pré-incision chirurgicale, plaies superficielles, brûlures, dermatoses infectées ; désinfection des muqueuses (gynécologique, ORL) ; antisepsie du champ opératoire ; solution moussante pour lavage chirurgical des mains. (ii) Solution de Lugol (indisponible en officine en Algérie) : préparation à la chirurgie thyroïdienne de Basedow (10 jours pré-opératoires), crise thyrotoxique (en association avec antithyroïdiens + bêta-bloquant + corticoïdes), blocage thyroïdien avant IRA-thérapie (3 à 7 jours avant, à arrêter 1 semaine avant l'iode radioactif pour ne pas bloquer sa fixation). (iii) Produits de contraste iodés : radiologie diagnostique (TDM, angiographie, urographie, IRM de perfusion).</w:t>
      </w:r>
    </w:p>
    <w:p>
      <w:pPr>
        <w:pStyle w:val="ListBullet"/>
      </w:pPr>
      <w:r>
        <w:t xml:space="preserve">Contre-indications : (i) Antiseptiques locaux : hypersensibilité à l'iode ou à la povidone ; </w:t>
      </w:r>
      <w:r>
        <w:rPr>
          <w:b/>
        </w:rPr>
        <w:t>nouveau-né et prématuré</w:t>
      </w:r>
      <w:r>
        <w:t xml:space="preserve"> (risque d'hypothyroïdie transitoire par passage percutané — contre-indication absolue) ; </w:t>
      </w:r>
      <w:r>
        <w:rPr>
          <w:b/>
        </w:rPr>
        <w:t>femme enceinte</w:t>
      </w:r>
      <w:r>
        <w:t xml:space="preserve"> en usage prolongé ou étendu (risque de goitre fœtal et d'hypothyroïdie fœtale) ; thyrotoxicose non contrôlée (risque de Jod-Basedow) ; insuffisance rénale (résorption systémique) ; brûlures étendues (&gt; 20 % surface corporelle). (ii) Solution de Lugol : hyperthyroïdie active non contrôlée par antithyroïdiens de synthèse (risque d'aggravation transitoire par substrat). (iii) Produits de contraste : allergie à l'iode, insuffisance rénale sévère, myélome multiple, dysthyroïdie non contrôlée.</w:t>
      </w:r>
    </w:p>
    <w:p>
      <w:pPr>
        <w:pStyle w:val="ListBullet"/>
      </w:pPr>
      <w:r>
        <w:t xml:space="preserve">Effets Indésirables : (1) </w:t>
      </w:r>
      <w:r>
        <w:rPr>
          <w:b/>
        </w:rPr>
        <w:t>Brûlure locale</w:t>
      </w:r>
      <w:r>
        <w:t xml:space="preserve"> transitoire à l'application. (2) </w:t>
      </w:r>
      <w:r>
        <w:rPr>
          <w:b/>
        </w:rPr>
        <w:t>Coloration brun-jaune</w:t>
      </w:r>
      <w:r>
        <w:t xml:space="preserve"> de la peau et des tissus (réversible). (3) </w:t>
      </w:r>
      <w:r>
        <w:rPr>
          <w:b/>
        </w:rPr>
        <w:t>Allergie de contact</w:t>
      </w:r>
      <w:r>
        <w:t xml:space="preserve"> (dermatite de contact, eczéma, exceptionnellement anaphylaxie). (4) </w:t>
      </w:r>
      <w:r>
        <w:rPr>
          <w:b/>
        </w:rPr>
        <w:t>Hypothyroïdie transitoire</w:t>
      </w:r>
      <w:r>
        <w:t xml:space="preserve"> chez le nouveau-né en cas d'usage obstétrical ou néonatal (prématuré surtout). (5) </w:t>
      </w:r>
      <w:r>
        <w:rPr>
          <w:b/>
        </w:rPr>
        <w:t>Hyperthyroïdie induite (Jod-Basedow)</w:t>
      </w:r>
      <w:r>
        <w:t xml:space="preserve"> chez les patients porteurs de nodules autonomes — délai 2 à 10 semaines après exposition à l'iode. (6) Insuffisance rénale aiguë (produits de contraste iodés à forte dose — néphropathie au produit de contraste NPC). (7) Gustative : goût métallique. (8) Troubles digestifs (Lugol per os).</w:t>
      </w:r>
    </w:p>
    <w:p>
      <w:r/>
      <w:r>
        <w:rPr>
          <w:b/>
        </w:rPr>
        <w:t>Prévention et Gestion des Effets Indésirables :</w:t>
      </w:r>
      <w:r/>
    </w:p>
    <w:p>
      <w:pPr>
        <w:pStyle w:val="ListBullet"/>
      </w:pPr>
      <w:r>
        <w:t>Mesures Préventives : Pour les antiseptiques locaux : ne pas appliquer sur une muqueuse lésée ; ne pas appliquer sur une plaie profonde ; ne pas utiliser chez le nouveau-né et le prématuré ; chez la femme enceinte, limiter à des surfaces &lt; 100 cm² et à des durées &lt; 5 jours. Vérifier le statut thyroïdien avant administration étendue. Pour les produits de contraste : hydratation IV préalable (NaCl 0,9 % 1 mL/kg/h pendant 12 h avant et 24 h après) ; arrêt des biguanides 48 h avant et après (risque d'acidose lactique en cas d'IRA) ; arrêt des diurétiques le jour de l'examen ; surveillance créatininémie ; N-acétylcystéine prophylactique (600 mg × 2/j, 24 h avant) si DFG &lt; 60 mL/min. Pour la solution de Lugol : prescription uniquement par endocrinologue ou chirurgien thyroïdien, surveillance T4L et TSH à 5 et 10 jours.</w:t>
      </w:r>
    </w:p>
    <w:p>
      <w:pPr>
        <w:pStyle w:val="ListBullet"/>
      </w:pPr>
      <w:r>
        <w:t>Conduite à Tenir : Dermatite de contact → arrêt, antihistaminique, dermocorticoïde. Hypothyroïdie transitoire néonatale → arrêt de l'exposition, surveillance TSH néonatale (NBS), substitution transitoire par lévothyroxine si TSH &gt; 20 mUI/L. Hyperthyroïdie induite (Jod-Basedow) → relais par thiamazole, bêta-bloquant, surveillance. Insuffisance rénale aiguë post-PCI → hydratation, néphrologie, éventuellement dialyse.</w:t>
      </w:r>
    </w:p>
    <w:p>
      <w:r/>
      <w:r>
        <w:rPr>
          <w:b/>
        </w:rPr>
        <w:t>Interactions Importantes :</w:t>
      </w:r>
      <w:r/>
    </w:p>
    <w:p>
      <w:pPr>
        <w:pStyle w:val="ListBullet"/>
      </w:pPr>
      <w:r>
        <w:t>Povidone iodée + mercure, sels d'argent, composés alcalins → inactivation mutuelle (ne pas mélanger).</w:t>
      </w:r>
    </w:p>
    <w:p>
      <w:pPr>
        <w:pStyle w:val="ListBullet"/>
      </w:pPr>
      <w:r>
        <w:t>Povidone iodée + peroxyde d'hydrogène (eau oxygénée) → inactivation.</w:t>
      </w:r>
    </w:p>
    <w:p>
      <w:pPr>
        <w:pStyle w:val="ListBullet"/>
      </w:pPr>
      <w:r>
        <w:t>Produits de contraste iodés + metformine → acidose lactique en cas de NPC → arrêt 48 h avant et après.</w:t>
      </w:r>
    </w:p>
    <w:p>
      <w:pPr>
        <w:pStyle w:val="ListBullet"/>
      </w:pPr>
      <w:r>
        <w:t>Produits de contraste iodés + diurétiques de l'anse, IEC, ARA-II → majoration du risque de NPC.</w:t>
      </w:r>
    </w:p>
    <w:p>
      <w:pPr>
        <w:pStyle w:val="ListBullet"/>
      </w:pPr>
      <w:r>
        <w:t>Produits de contraste iodés + lithium → potentialisation de la toxicité rénale.</w:t>
      </w:r>
    </w:p>
    <w:p>
      <w:pPr>
        <w:pStyle w:val="ListBullet"/>
      </w:pPr>
      <w:r>
        <w:t>Lugol + antithyroïdiens de synthèse (thiamazole, BTU) → synergie (le Lugol potentialise l'effet anti-thyroïdien). Dans la crise thyrotoxique : antithyroïdien 1 h avant Lugol.</w:t>
      </w:r>
    </w:p>
    <w:p>
      <w:pPr>
        <w:pStyle w:val="ListBullet"/>
      </w:pPr>
      <w:r>
        <w:t>Lugol + iode-131 → ne pas administrer de Lugol dans les 7 jours précédant une IRA-thérapie (blocage de la fixation radioactive).</w:t>
      </w:r>
    </w:p>
    <w:p>
      <w:r/>
      <w:r>
        <w:rPr>
          <w:b/>
        </w:rPr>
        <w:t>Grossesse et Allaitement :</w:t>
      </w:r>
      <w:r/>
    </w:p>
    <w:p>
      <w:pPr>
        <w:pStyle w:val="ListBullet"/>
      </w:pPr>
      <w:r>
        <w:t xml:space="preserve">Grossesse : Povidone iodée </w:t>
      </w:r>
      <w:r>
        <w:rPr>
          <w:b/>
        </w:rPr>
        <w:t>contre-indiquée en usage prolongé ou étendu</w:t>
      </w:r>
      <w:r>
        <w:t xml:space="preserve"> (CRAT : « L'iode traverse le placenta ; en usage prolongé ou sur de grandes surfaces, l'iode peut induire un goitre fœtal, une hypothyroïdie fœtale sévère et un retard mental. L'application unique pour désinfection préopératoire ou pour geste court est considérée comme acceptable, mais à éviter au 1er trimestre. »). En cas d'usage obstétrical ponctuel (désinfection pré-césarienne), privilégier la chlorhexidine. La solution de Lugol est déconseillée pendant la grossesse sauf indication vitale (crise thyrotoxique). Les produits de contraste iodés sont déconseillés au 1er trimestre (radiosensibilité fœtale), autorisés au 2e et 3e trimestres avec protection plombée de l'abdomen.</w:t>
      </w:r>
    </w:p>
    <w:p>
      <w:pPr>
        <w:pStyle w:val="ListBullet"/>
      </w:pPr>
      <w:r>
        <w:t>Allaitement : Povidone iodée compatible en usage ponctuel (CRAT : passage minime dans le lait). Lugol et produits de contraste iodés : déconseillés (passe dans le lait, risque d'hypothyroïdie néonatale). Découcher 24 h après injection de produit de contraste iodé.</w:t>
      </w:r>
    </w:p>
    <w:p>
      <w:pPr>
        <w:pStyle w:val="ListBullet"/>
      </w:pPr>
      <w:r>
        <w:t>Précisions : Le nouveau-né est particulièrement sensible à l'effet Wolff-Chaikoff ; l'application de povidone iodée sur le cordon ombilical est déconseillée chez le prématuré.</w:t>
      </w:r>
    </w:p>
    <w:p>
      <w:r/>
      <w:r>
        <w:rPr>
          <w:b/>
        </w:rPr>
        <w:t>Posologie et Mode d'administration (Standard) :</w:t>
      </w:r>
      <w:r/>
    </w:p>
    <w:p>
      <w:pPr>
        <w:pStyle w:val="ListBullet"/>
      </w:pPr>
      <w:r>
        <w:t>Povidone iodée dermique 10 % : application pure sur peau saine, friction 30 secondes, séchage à l'air libre (ne pas rincer — l'effet rémanent nécessite le contact prolongé). Pour désinfection chirurgicale : 2 applications successives à 5 min d'intervalle.</w:t>
      </w:r>
    </w:p>
    <w:p>
      <w:pPr>
        <w:pStyle w:val="ListBullet"/>
      </w:pPr>
      <w:r>
        <w:t>Povidone iodée gynécologique 10 % : dilution au 1/10 (10 % → 1 %) pour application vaginale, en cas de métrorragies, avant examen gynécologique.</w:t>
      </w:r>
    </w:p>
    <w:p>
      <w:pPr>
        <w:pStyle w:val="ListBullet"/>
      </w:pPr>
      <w:r>
        <w:t>Povidone iodée moussante 4 % : lavage chirurgical des mains (5 min), lavage du patient préopératoire (avant-veille et matin de l'intervention).</w:t>
      </w:r>
    </w:p>
    <w:p>
      <w:pPr>
        <w:pStyle w:val="ListBullet"/>
      </w:pPr>
      <w:r>
        <w:t>Alcool iodé 1 % : désinfection rapide pré-injection (action en 30 s, séchage rapide, effet bactéricide supérieur mais desséchant et douloureux sur plaies).</w:t>
      </w:r>
    </w:p>
    <w:p>
      <w:pPr>
        <w:pStyle w:val="ListBullet"/>
      </w:pPr>
      <w:r>
        <w:t>Solution de Lugol (indisponible en officine — préparée en pharmacie centrale hospitalière) : 1 goutte/kg/j, max. 40 gouttes/j, en 3 prises, pendant 10 jours préopératoires. Crise thyrotoxique : 5 à 10 gouttes × 3/j, 1 heure après l'antithyroïdien.</w:t>
      </w:r>
    </w:p>
    <w:p>
      <w:pPr>
        <w:pStyle w:val="ListBullet"/>
      </w:pPr>
      <w:r>
        <w:t>Produits de contraste PAMIDOL® 300/370 : injection IV à débit variable selon l'examen radiologique (TDM : 1 à 2 mL/kg, angiographie : selon protocole). Hydratation IV préalable obligatoire.</w:t>
      </w:r>
    </w:p>
    <w:p>
      <w:r/>
      <w:r>
        <w:rPr>
          <w:b/>
        </w:rPr>
        <w:t>Arbitrage et Bénéfices des Formes Galéniques :</w:t>
      </w:r>
      <w:r/>
    </w:p>
    <w:p>
      <w:r>
        <w:t>Solution dermique 10 % (povidone iodée) : standard pour désinfection de la peau saine, plaies superficielles, champ opératoire. Solution moussante 4 % : pour lavage chirurgical des mains et lavage préopératoire du patient (meilleure tolérance cutanée que l'alcool iodé). Alcool iodé 1 % : pour désinfection rapide pré-injection (action en 30 s mais desséchant, douloureux sur plaies, à éviter chez l'enfant). Solution gynécologique 10 % (à diluer au 1/10) : pour antisepsie vaginale. Solution injectable 300 ou 370 mg/mL : pour radiologie (PAMIDOL® non ionique, mieux toléré que les produits ioniques anciens). Forme « spray » (BETAIODINE®) : non renouvelée, à remplacer par les solutions dermiques standard. La solution de Lugol proprement dite n'existe pas en Algérie : préparation magistrale hospitalière ou ATU.</w:t>
      </w:r>
    </w:p>
    <w:p>
      <w:r/>
      <w:r>
        <w:rPr>
          <w:b/>
        </w:rPr>
        <w:t>Instructions et Conseils au Patient :</w:t>
      </w:r>
      <w:r/>
    </w:p>
    <w:p>
      <w:pPr>
        <w:pStyle w:val="ListBullet"/>
      </w:pPr>
      <w:r>
        <w:t>Communication au comptoir : « La povidone iodée est un antiseptique large spectre. Appliquez-la pure sur peau saine, laissez sécher à l'air libre (ne pas rincer, ne pas essuyer — l'effet rémanent nécessite le contact prolongé). N'utilisez jamais sur un nouveau-né, un prématuré, ou une femme enceinte sans avis médical. Ne pas appliquer sur une grande surface (plus de la paume de la main) ni sur une plaie profonde. La coloration brun-jaune est normale et réversible. En cas de rougeur, démangeaison, brûlure persistante, arrêtez et consultez. Pour la désinfection d'une plaie, préférez une solution non alcoolisée (povidone dermique 10 %), pas d'alcool iodé qui brûle. Ne pas mélanger avec d'autres antiseptiques. Ne pas utiliser de façon prolongée (&gt; 5 jours) sans avis médical. »</w:t>
      </w:r>
    </w:p>
    <w:p>
      <w:pPr>
        <w:pStyle w:val="ListBullet"/>
      </w:pPr>
      <w:r>
        <w:t>Mode d'utilisation pratique : Application sur peau propre et sèche. Séchage à l'air libre (au moins 1 min pour la povidone, 30 s pour l'alcool iodé). Renouvellement si nécessaire. Lavage des mains après usage. Ne pas inhaler. Ne pas avaler. Pour les solutions moussantes, rincer abondamment à l'eau stérile après lavage chirurgical.</w:t>
      </w:r>
    </w:p>
    <w:p>
      <w:r/>
      <w:r>
        <w:rPr>
          <w:b/>
        </w:rPr>
        <w:t>Notes, Règles d'Or &amp; Pièges au Comptoir :</w:t>
      </w:r>
      <w:r/>
    </w:p>
    <w:p>
      <w:pPr>
        <w:pStyle w:val="ListBullet"/>
      </w:pPr>
      <w:r>
        <w:t xml:space="preserve">Piège classique : </w:t>
      </w:r>
      <w:r>
        <w:rPr>
          <w:b/>
        </w:rPr>
        <w:t>Povidone iodée chez le nouveau-né, prématuré, ou femme enceinte en usage prolongé</w:t>
      </w:r>
      <w:r>
        <w:t xml:space="preserve"> → hypothyroïdie fœtale ou néonatale transitoire. Information systématique : « Pour les femmes enceintes et les bébés, préférez la chlorhexidine ».</w:t>
      </w:r>
    </w:p>
    <w:p>
      <w:pPr>
        <w:pStyle w:val="ListBullet"/>
      </w:pPr>
      <w:r>
        <w:t>Règle de prise : application pure, séchage à l'air libre, pas de rinçage, contact prolongé pour effet rémanent.</w:t>
      </w:r>
    </w:p>
    <w:p>
      <w:pPr>
        <w:pStyle w:val="ListBullet"/>
      </w:pPr>
      <w:r>
        <w:t>Préparation et Conservation : Conservation &lt; 25 °C, à l'abri de la lumière (l'iode est photosensible), flacon bien fermé (l'iode est volatil). Ne pas utiliser si changement de couleur (la solution brun-foncé normale doit rester transparente-brune ; un jaunissement ou une opacité témoignent d'une altération).</w:t>
      </w:r>
    </w:p>
    <w:p>
      <w:pPr>
        <w:pStyle w:val="ListBullet"/>
      </w:pPr>
      <w:r>
        <w:t>Piège du surdosage / Substitution : Le syndrome de Jod-Basedow (hyperthyroïdie induite par l'iode) peut survenir 2 à 10 semaines après exposition aux produits de contraste iodés ou à l'amiodarone, chez les patients porteurs de nodules thyroïdiens autonomes (nodule toxique, goitre multinodulaire). Information du patient : « Si dans les semaines qui suivent un examen radiologique avec produit de contraste iodé vous présentez des palpitations, transpiration, tremblements, perte de poids, consultez votre médecin pour un contrôle de la TSH ».</w:t>
      </w:r>
    </w:p>
    <w:p>
      <w:pPr>
        <w:pStyle w:val="ListBullet"/>
      </w:pPr>
      <w:r>
        <w:t>Règle de prescription : Povidone iodée dermique en vente libre. Produits de contraste PAMIDOL® en Liste I, réservés à l'usage hospitalier.</w:t>
      </w:r>
    </w:p>
    <w:p>
      <w:pPr>
        <w:pStyle w:val="Heading3"/>
      </w:pPr>
      <w:r>
        <w:t>5. DCI : Hydrocortisone (Cortisol) (Seule)</w:t>
      </w:r>
    </w:p>
    <w:p>
      <w:r/>
      <w:r>
        <w:rPr>
          <w:b/>
        </w:rPr>
        <w:t>Liste des Catégories :</w:t>
      </w:r>
      <w:r>
        <w:t xml:space="preserve"> Liste I (sur ordonnance). Glucocorticoïdes systémiques — Action courte.</w:t>
      </w:r>
    </w:p>
    <w:p>
      <w:r>
        <w:t xml:space="preserve">L'hydrocortisone est l'hormone glucocorticoïde naturelle de référence (cortisol endogène), sécrétée par la zone fasciculée du cortex surrénalien sous le contrôle de l'ACTH hypophysaire (lui-même régulé par la CRH hypothalamique). Sa sécrétion suit un rythme circadien strict : pic matinal entre 6h et 8h (≈ 10 à 20 µg/dL ou 275 à 550 nmol/L) et nadir nocturne vers minuit (&lt; 5 µg/dL). La production quotidienne physiologique est de 10 à 20 mg/j (moyenne 15 mg/j). L'hydrocortisone synthétique se caractérise par : (i) une </w:t>
      </w:r>
      <w:r>
        <w:rPr>
          <w:b/>
        </w:rPr>
        <w:t>demi-vie plasmatique courte</w:t>
      </w:r>
      <w:r>
        <w:t xml:space="preserve"> (≈ 1,2 h, contre 1,5 h pour le cortisol endogène) ; (ii) une </w:t>
      </w:r>
      <w:r>
        <w:rPr>
          <w:b/>
        </w:rPr>
        <w:t>demi-vie biologique de 8 à 12 h</w:t>
      </w:r>
      <w:r>
        <w:t xml:space="preserve"> (effet anti-inflammatoire soutenu permettant une administration biquotidienne) ; (iii) une puissance anti-inflammatoire de référence (1×) ; (iv) une activité minéralocorticoïde significative (1× l'aldostérone en puissance relative, mais à dose substitutive physiologique, elle suffit à maintenir l'équilibre hydro-sodé en l'absence d'aldostérone — c'est pourquoi elle est le traitement de la maladie d'Addison en l'absence de fludrocortisone). Sa biodisponibilité orale est de 60 à 100 %, sa fixation protéique élevée (90 % à la CBG — corticosteroid-binding globulin, et 10 % à l'albumine), son métabolisme hépatique (réduction du noyau A, hydroxylation, glucurono- et sulfoconjugaison) aboutit à des métabolites inactifs excrétés dans l'urine. La forme IV (hémi-succinate d'hydrocortisone — non disponible en Algérie) est utilisée en urgence surrénalienne aiguë.</w:t>
      </w:r>
    </w:p>
    <w:p>
      <w:r/>
      <w:r>
        <w:rPr>
          <w:b/>
        </w:rPr>
        <w:t>Médicaments disponibles en Algérie (Marques, Laboratoires, Formes et Dosages) :</w:t>
      </w:r>
      <w:r/>
    </w:p>
    <w:p>
      <w:r/>
      <w:r>
        <w:rPr>
          <w:i/>
        </w:rPr>
        <w:t>Formes orales systémiques :</w:t>
      </w:r>
      <w:r/>
    </w:p>
    <w:p>
      <w:pPr>
        <w:pStyle w:val="ListBullet"/>
      </w:pPr>
      <w:r/>
      <w:r>
        <w:rPr>
          <w:b/>
        </w:rPr>
        <w:t>HYCOSONE</w:t>
      </w:r>
      <w:r>
        <w:t xml:space="preserve"> (GEOPHARM — Algérie)</w:t>
      </w:r>
    </w:p>
    <w:p>
      <w:pPr>
        <w:pStyle w:val="ListBullet"/>
      </w:pPr>
      <w:r>
        <w:t>Formes et Dosages : Comprimé sécable 10 mg (B/30)</w:t>
      </w:r>
    </w:p>
    <w:p>
      <w:pPr>
        <w:pStyle w:val="ListBullet"/>
      </w:pPr>
      <w:r>
        <w:t>Statut : Actif — Spécialité algérienne de référence</w:t>
      </w:r>
    </w:p>
    <w:p>
      <w:pPr>
        <w:pStyle w:val="ListBullet"/>
      </w:pPr>
      <w:r/>
      <w:r>
        <w:rPr>
          <w:b/>
        </w:rPr>
        <w:t>HYDROCORTISONE ROUSSEL</w:t>
      </w:r>
      <w:r>
        <w:t xml:space="preserve"> (SANOFI AVENTIS FRANCE)</w:t>
      </w:r>
    </w:p>
    <w:p>
      <w:pPr>
        <w:pStyle w:val="ListBullet"/>
      </w:pPr>
      <w:r>
        <w:t>Formes et Dosages : Comprimé 10 mg (B/25)</w:t>
      </w:r>
    </w:p>
    <w:p>
      <w:pPr>
        <w:pStyle w:val="ListBullet"/>
      </w:pPr>
      <w:r>
        <w:t>Statut : Actif — Spécialité historique, formulation stable</w:t>
      </w:r>
    </w:p>
    <w:p>
      <w:pPr>
        <w:pStyle w:val="ListBullet"/>
      </w:pPr>
      <w:r/>
      <w:r>
        <w:rPr>
          <w:b/>
        </w:rPr>
        <w:t>CORTINOVA</w:t>
      </w:r>
      <w:r>
        <w:t xml:space="preserve"> (NOVA ARGENTIA — Argentine) — (Non Renouvelable)</w:t>
      </w:r>
    </w:p>
    <w:p>
      <w:pPr>
        <w:pStyle w:val="ListBullet"/>
      </w:pPr>
      <w:r>
        <w:t>Formes et Dosages : Comprimé 10 mg (B/25)</w:t>
      </w:r>
    </w:p>
    <w:p>
      <w:pPr>
        <w:pStyle w:val="ListBullet"/>
      </w:pPr>
      <w:r>
        <w:t>Statut : Non Renouvelable</w:t>
      </w:r>
    </w:p>
    <w:p>
      <w:pPr>
        <w:pStyle w:val="ListBullet"/>
      </w:pPr>
      <w:r/>
      <w:r>
        <w:rPr>
          <w:b/>
        </w:rPr>
        <w:t>HYDROCORTISONE IVAL</w:t>
      </w:r>
      <w:r>
        <w:t xml:space="preserve"> (PHARMA IVAL — Italie) — (Non Renouvelable)</w:t>
      </w:r>
    </w:p>
    <w:p>
      <w:pPr>
        <w:pStyle w:val="ListBullet"/>
      </w:pPr>
      <w:r>
        <w:t>Formes et Dosages : Comprimé sécable 10 mg (B/20)</w:t>
      </w:r>
    </w:p>
    <w:p>
      <w:pPr>
        <w:pStyle w:val="ListBullet"/>
      </w:pPr>
      <w:r>
        <w:t>Statut : Non Renouvelable</w:t>
      </w:r>
    </w:p>
    <w:p>
      <w:r/>
      <w:r>
        <w:rPr>
          <w:i/>
        </w:rPr>
        <w:t>Formes topiques (dermocosmétiques / dermocorticoïdes) :</w:t>
      </w:r>
      <w:r/>
    </w:p>
    <w:p>
      <w:r>
        <w:t>De très nombreuses spécialités sont disponibles en crème, lotion, lipophile/hydrophile à 0,1 %, 0,25 %, 1,27 ‰, etc. : ECZECORT®, EFFICORT® LIPOPHILE/HYDROPHILE (GALDERMA), LOCACORT® (NOVAPHARM), LOCOID® (CHEPLAPHARM), etc. Ces formes topiques ne sont pas traitées dans ce chapitre (dédié aux corticoïdes systémiques) mais sont mentionnées pour mémoire.</w:t>
      </w:r>
    </w:p>
    <w:p>
      <w:r/>
      <w:r>
        <w:rPr>
          <w:i/>
        </w:rPr>
        <w:t>Forme IV (succinate d'hydrocortisone) :</w:t>
      </w:r>
      <w:r>
        <w:t xml:space="preserve"> </w:t>
      </w:r>
      <w:r>
        <w:rPr>
          <w:b/>
        </w:rPr>
        <w:t>Indisponible en Algérie</w:t>
      </w:r>
      <w:r>
        <w:t xml:space="preserve"> — importation ATU par les services hospitaliers. L'alternative en urgence surrénalienne aiguë est la </w:t>
      </w:r>
      <w:r>
        <w:rPr>
          <w:b/>
        </w:rPr>
        <w:t>méthylprednisolone IV</w:t>
      </w:r>
      <w:r>
        <w:t xml:space="preserve"> (Solu-Medrol, MEPRENAL, etc.) à dose substitutive (40 mg IV équivalent à 200 mg d'hydrocortisone), ou la prednisolone IV si disponible.</w:t>
      </w:r>
    </w:p>
    <w:p>
      <w:r/>
      <w:r>
        <w:rPr>
          <w:b/>
        </w:rPr>
        <w:t>Sous-classe et Mécanisme d'action :</w:t>
      </w:r>
      <w:r/>
    </w:p>
    <w:p>
      <w:pPr>
        <w:pStyle w:val="ListBullet"/>
      </w:pPr>
      <w:r>
        <w:t>Sous-classe : Glucocorticoïdes systémiques — Action courte (demi-vie biologique 8 à 12 h). Hormone naturelle de référence pour la substitution surrénalienne.</w:t>
      </w:r>
    </w:p>
    <w:p>
      <w:pPr>
        <w:pStyle w:val="ListBullet"/>
      </w:pPr>
      <w:r>
        <w:t xml:space="preserve">Mécanisme d'action : L'hydrocortisone traverse la membrane cellulaire par diffusion passive (molécule lipophile). Dans le cytoplasme, elle se fixe sur le </w:t>
      </w:r>
      <w:r>
        <w:rPr>
          <w:b/>
        </w:rPr>
        <w:t>récepteur glucocorticoïde cytosolique (GRα)</w:t>
      </w:r>
      <w:r>
        <w:t xml:space="preserve"> en libérant les protéines chaperonnes (HSP90, HSP70). Le complexe hormone-récepteur subit une translocation nucléaire, se dimérise et se fixe sur les </w:t>
      </w:r>
      <w:r>
        <w:rPr>
          <w:b/>
        </w:rPr>
        <w:t>GRE (Glucocorticoid Response Elements)</w:t>
      </w:r>
      <w:r>
        <w:t xml:space="preserve"> de l'ADN, modulant la transcription de gènes cibles : (i) </w:t>
      </w:r>
      <w:r>
        <w:rPr>
          <w:b/>
        </w:rPr>
        <w:t>activation</w:t>
      </w:r>
      <w:r>
        <w:t xml:space="preserve"> des gènes anti-inflammatoires (annexine-1/lipocortine-1, IκB inhibant NF-κB, IL-10, MAPK phosphatase-1) ; (ii) </w:t>
      </w:r>
      <w:r>
        <w:rPr>
          <w:b/>
        </w:rPr>
        <w:t>répression transrépressionnelle</w:t>
      </w:r>
      <w:r>
        <w:t xml:space="preserve"> des gènes pro-inflammatoires (cytokines IL-1, IL-2, IL-6, TNF-α, IFN-γ ; COX-2 ; iNOS ; MMP-9) via interaction directe avec NF-κB, AP-1, NF-AT. Effets physiologiques : gluconéogenèse augmentée, glycolyse diminuée, insulinorésistance périphérique, lipolyse augmentée (avec redistribution adipeuse), protéolyse musculaire, ostéoporose (inhibition ostéoblaste + stimulation ostéoclaste), atrophie cutanée, lymphocyte-T apoptosis (lympholyse), éosinopénie, neutrophilie (démargination), immunosuppression, freinage de l'axe HPA (CRH → ACTH → cortisol). L'activité minéralocorticoïde se manifeste par activation du récepteur MR au niveau du tube collecteur rénal : réabsorption de sodium (et eau), excrétion de potassium et d'hydrogène — effet # 1/125 de l'aldostérone mais suffisant à dose substitutive.</w:t>
      </w:r>
    </w:p>
    <w:p>
      <w:r/>
      <w:r>
        <w:rPr>
          <w:b/>
        </w:rPr>
        <w:t>Profil Pharmacologique :</w:t>
      </w:r>
      <w:r/>
    </w:p>
    <w:p>
      <w:pPr>
        <w:pStyle w:val="ListBullet"/>
      </w:pPr>
      <w:r>
        <w:t xml:space="preserve">Indications : (1) </w:t>
      </w:r>
      <w:r>
        <w:rPr>
          <w:b/>
        </w:rPr>
        <w:t>Insuffisance surrénale aiguë</w:t>
      </w:r>
      <w:r>
        <w:t xml:space="preserve"> (crise surrénalienne) — 100 mg IV en bolus puis 200 mg/24h en continu (forme IV indisponible — alternative : méthylprednisolone IV 40 mg). (2) </w:t>
      </w:r>
      <w:r>
        <w:rPr>
          <w:b/>
        </w:rPr>
        <w:t>Insuffisance surrénale chronique primitive</w:t>
      </w:r>
      <w:r>
        <w:t xml:space="preserve"> (maladie d'Addison) : 20 à 30 mg/j per os en 2 prises (matin 2/3 à 8h, après-midi 1/3 à 16h), à vie, majoration en cas de stress (fièvre, infection, chirurgie : doublement de dose). (3) </w:t>
      </w:r>
      <w:r>
        <w:rPr>
          <w:b/>
        </w:rPr>
        <w:t>Insuffisance surrénale chronique secondaire</w:t>
      </w:r>
      <w:r>
        <w:t xml:space="preserve"> (corticosurrénalotropes) : 15 à 25 mg/j per os. (4) Hyperplasie congénitale des surrénales (HCS — bloc en 21-hydroxylase, 11β-hydroxylase) : 10 à 20 mg/m²/j chez l'enfant. (5) Allergies aiguës sévères (anaphylaxie réfractaire à l'adrénaline) : 100 à 200 mg IV. (6) Choc septique avec insuffisance surrénale relative (protocole Annane : 50 mg IV × 4/j pendant 7 jours — positif en 2002, controversé en 2018 — APICAL-CORTICOSTEROIDS). (7) Asthme aigu sévère (alternative à la prednisolone). (8) Arthrite rhumatoïde en poussée (injection locale). (9) Physiologique : test de freinage à l'hydrocortisone (rarement utilisé en pratique, préférant le test au cortisol plasmatique à minuit ou le test de freinage à la dexaméthasone).</w:t>
      </w:r>
    </w:p>
    <w:p>
      <w:pPr>
        <w:pStyle w:val="ListBullet"/>
      </w:pPr>
      <w:r>
        <w:t>Contre-indications : (1) Infection non contrôlée (sauf indication vitale, en association avec antibiothérapie adaptée). (2) Psychose non contrôlée. (3) Ulcère gastro-duodénal actif. (4) Herpès oculaire. (5) Rougeole, varicelle, zona non immunes. (6) Vaccins vivants atténués (BCG, fièvre jaune, ROR) à éviter pendant le traitement. (7) Allergie à l'hydrocortisone. Précautions : diabète, hypertension, insuffisance cardiaque, ostéoporose, glaucome, cataracte, grossesse 3e trimestre, sujet âgé, insuffisance hépatique.</w:t>
      </w:r>
    </w:p>
    <w:p>
      <w:pPr>
        <w:pStyle w:val="ListBullet"/>
      </w:pPr>
      <w:r>
        <w:t xml:space="preserve">Effets Indésirables : (1) </w:t>
      </w:r>
      <w:r>
        <w:rPr>
          <w:b/>
        </w:rPr>
        <w:t>Iatrogénie Cushing</w:t>
      </w:r>
      <w:r>
        <w:t xml:space="preserve"> si dose &gt; 30 mg/j &gt; 3 semaines : faciès lunaire, bosse de bison, prise de poids, vergetures, ecchymoses, faiblesse musculaire proximale, atrophie cutanée. (2) </w:t>
      </w:r>
      <w:r>
        <w:rPr>
          <w:b/>
        </w:rPr>
        <w:t>Freinage de l'axe HPA</w:t>
      </w:r>
      <w:r>
        <w:t xml:space="preserve"> : insuffisance surrénale aiguë à l'arrêt brutal si traitement &gt; 2 semaines à dose &gt; 15 mg/j — symptomatologie (asthénie, hypotension, hypoglycémie, hyponatrémie, hyperkaliémie) → relais par dose décroissante. (3) Diabète cortico-induit. (4) Ostéoporose cortico-induite (fractures vertébrales ++). (5) Troubles digestifs : ulcère, perforation, hémorragie. (6) Infection opportuniste (candidose, herpès, tuberculose réactivation, pneumocystose si dose &gt; 20 mg/j &gt; 4 semaines). (7) Troubles neuropsychiatriques : euphorie, insomnie, agitation, dépression, psychose cortico-induite. (8) Hypertension, rétention hydrosodée, hypokaliémie (effet MR). (9) Glaucome, cataracte sous-capsulaire postérieure. (10) Retard de croissance (enfant). (11) Nécrose osseuse de la tête fémorale (astragale). (12) Retard de cicatrisation.</w:t>
      </w:r>
    </w:p>
    <w:p>
      <w:r/>
      <w:r>
        <w:rPr>
          <w:b/>
        </w:rPr>
        <w:t>Prévention et Gestion des Effets Indésirables :</w:t>
      </w:r>
      <w:r/>
    </w:p>
    <w:p>
      <w:pPr>
        <w:pStyle w:val="ListBullet"/>
      </w:pPr>
      <w:r>
        <w:t xml:space="preserve">Mesures Préventives : (i) </w:t>
      </w:r>
      <w:r>
        <w:rPr>
          <w:b/>
        </w:rPr>
        <w:t>Prescription au plus court et à la dose minimale efficace</w:t>
      </w:r>
      <w:r>
        <w:t xml:space="preserve">. (ii) En cas de traitement &gt; 3 semaines : supplémentation en calcium (1 g/j) + vitamine D (800 UI/j) ; densitométrie osseuse initiale et à 6 mois ; régime hyposodé (effet MR résiduel) ; riche en potassium (banane, agrumes) ; surveillance glycémie, kaliémie, pression artérielle, poids, état cutané. (iii) Couverture antibiotique prophylactique anti-pneumocystose (cotrimoxazole 400/80 mg × 3/semaine) si dose &gt; 20 mg/j &gt; 4 semaines. (iv) Information du patient sur la nécessité de </w:t>
      </w:r>
      <w:r>
        <w:rPr>
          <w:b/>
        </w:rPr>
        <w:t>ne jamais arrêter brutalement</w:t>
      </w:r>
      <w:r>
        <w:t xml:space="preserve"> le traitement, de porter une carte de corticothérapie, et de majorer la dose en cas de stress. (v) Vaccination anti-grippale, anti-pneumococcique avant instauration (vaccins inactivés uniquement).</w:t>
      </w:r>
    </w:p>
    <w:p>
      <w:pPr>
        <w:pStyle w:val="ListBullet"/>
      </w:pPr>
      <w:r>
        <w:t>Conduite à Tenir : Insuffisance surrénale aiguë à l'arrêt (asthénie, hypotension, douleurs abdominales, vomissements, confusion, hypoglycémie) → réintroduction immédiate d'hydrocortisone 100 mg IV + réhydratation + recherche étiologique (infection déclenchante). Ostéoporose confirmée → bisphosphonate (alendronate 70 mg/semaine). Infection → couverture antibiothérapie adaptée sans arrêter les corticoïdes (sauf infection non contrôlée). Psychose → arrêt transitoire, neuroleptique, réintroduction prudente à dose réduite.</w:t>
      </w:r>
    </w:p>
    <w:p>
      <w:r/>
      <w:r>
        <w:rPr>
          <w:b/>
        </w:rPr>
        <w:t>Interactions Importantes :</w:t>
      </w:r>
      <w:r/>
    </w:p>
    <w:p>
      <w:pPr>
        <w:pStyle w:val="ListBullet"/>
      </w:pPr>
      <w:r>
        <w:t>Hydrocortisone + AINS (ibuprofène, aspirine, kétoprofène) → majoration du risque ulcérogène et hémorragique. Éviter ou associer IPP (oméprazole 20 mg/j).</w:t>
      </w:r>
    </w:p>
    <w:p>
      <w:pPr>
        <w:pStyle w:val="ListBullet"/>
      </w:pPr>
      <w:r>
        <w:t>Hydrocortisone + diurétiques (furosémide, thiazidiques) → hypokaliémie majeure (effet additif). Surveillance kaliémie.</w:t>
      </w:r>
    </w:p>
    <w:p>
      <w:pPr>
        <w:pStyle w:val="ListBullet"/>
      </w:pPr>
      <w:r>
        <w:t>Hydrocortisone + digoxine → toxicité digitalique si hypokaliémie.</w:t>
      </w:r>
    </w:p>
    <w:p>
      <w:pPr>
        <w:pStyle w:val="ListBullet"/>
      </w:pPr>
      <w:r>
        <w:t>Hydrocortisone + antihypertenseurs, antidiabétiques → diminution de l'efficacité.</w:t>
      </w:r>
    </w:p>
    <w:p>
      <w:pPr>
        <w:pStyle w:val="ListBullet"/>
      </w:pPr>
      <w:r>
        <w:t>Hydrocortisone + inducteurs enzymatiques (rifampicine, phénobarbital, carbamazépine, phénytoïne, éfavirenz) → augmentation du métabolisme → réduction d'efficacité → majoration posologique.</w:t>
      </w:r>
    </w:p>
    <w:p>
      <w:pPr>
        <w:pStyle w:val="ListBullet"/>
      </w:pPr>
      <w:r>
        <w:t>Hydrocortisone + inhibiteurs enzymatiques (kétoconazole, itraconazole, érythromycine, clarithromycine, ritonavir) → diminution du métabolisme → majoration des effets indésirables.</w:t>
      </w:r>
    </w:p>
    <w:p>
      <w:pPr>
        <w:pStyle w:val="ListBullet"/>
      </w:pPr>
      <w:r>
        <w:t>Hydrocortisone + vaccins vivants atténués (BCG, fièvre jaune, ROR, rotavirus) → risque de maladie vaccinale généralisée → contre-indication.</w:t>
      </w:r>
    </w:p>
    <w:p>
      <w:pPr>
        <w:pStyle w:val="ListBullet"/>
      </w:pPr>
      <w:r>
        <w:t>Hydrocortisone + anticoagulants oraux → effet variable (potentialisation ou antagonisme), surveillance INR.</w:t>
      </w:r>
    </w:p>
    <w:p>
      <w:r/>
      <w:r>
        <w:rPr>
          <w:b/>
        </w:rPr>
        <w:t>Grossesse et Allaitement :</w:t>
      </w:r>
      <w:r/>
    </w:p>
    <w:p>
      <w:pPr>
        <w:pStyle w:val="ListBullet"/>
      </w:pPr>
      <w:r>
        <w:t xml:space="preserve">Grossesse : Hydrocortisone </w:t>
      </w:r>
      <w:r>
        <w:rPr>
          <w:b/>
        </w:rPr>
        <w:t>compatible</w:t>
      </w:r>
      <w:r>
        <w:t xml:space="preserve"> (CRAT : « Le cortisol traverse le placenta mais la 11β-HSD2 placentaire inactive une grande partie en cortisone. À dose substitutive physiologique, sans danger. À dose pharmacologique &gt; 40 mg/j &gt; 3e trimestre, risque de retard de croissance intra-utérin (RCIU) et de surrénale fœtale. »). En cas de maladie d'Addison pendant la grossesse : majoration de la dose (25 à 50 % au 3e trimestre), hydrocortisone IV per-partum (100 mg IM à la mise en travail, puis 50 mg IM × 4/24h). À l'arrêt en post-partum, retour à la dose pré-grossesse.</w:t>
      </w:r>
    </w:p>
    <w:p>
      <w:pPr>
        <w:pStyle w:val="ListBullet"/>
      </w:pPr>
      <w:r>
        <w:t xml:space="preserve">Allaitement : </w:t>
      </w:r>
      <w:r>
        <w:rPr>
          <w:b/>
        </w:rPr>
        <w:t>Compatible</w:t>
      </w:r>
      <w:r>
        <w:t xml:space="preserve"> (CRAT : « Passage minimal dans le lait maternel (&lt; 1 % dose maternelle). À dose &lt; 40 mg/j, l'allaitement est autorisé sans surveillance pédiatrique spécifique. Espacer la prise et la tétée de 4 h si dose unique &gt; 40 mg »).</w:t>
      </w:r>
    </w:p>
    <w:p>
      <w:pPr>
        <w:pStyle w:val="ListBullet"/>
      </w:pPr>
      <w:r>
        <w:t>Précisions : En cas de prématurité ou de menace d'accouchement prématuré entre 24 et 34 SA, la bétaméthasone ou la dexaméthasone sont préférées à l'hydrocortisone (moins de passage placentaire après métabolisation).</w:t>
      </w:r>
    </w:p>
    <w:p>
      <w:r/>
      <w:r>
        <w:rPr>
          <w:b/>
        </w:rPr>
        <w:t>Posologie et Mode d'administration (Standard) :</w:t>
      </w:r>
      <w:r/>
    </w:p>
    <w:p>
      <w:pPr>
        <w:pStyle w:val="ListBullet"/>
      </w:pPr>
      <w:r>
        <w:t>Adulte (substitution Addison) : 20 à 30 mg/j per os en 2 prises (15-20 mg le matin à 8h, 5-10 mg à midi ou 16h). Majoration en cas de stress : × 2-3 en cas de fièvre, infection, chirurgie mineure ; × 5-10 en cas de chirurgie majeure ou de traumatisme.</w:t>
      </w:r>
    </w:p>
    <w:p>
      <w:pPr>
        <w:pStyle w:val="ListBullet"/>
      </w:pPr>
      <w:r>
        <w:t>Adulte (substitution secondaire) : 15 à 25 mg/j per os en 2 prises.</w:t>
      </w:r>
    </w:p>
    <w:p>
      <w:pPr>
        <w:pStyle w:val="ListBullet"/>
      </w:pPr>
      <w:r>
        <w:t>Adulte (anti-inflammatoire) : 100 à 400 mg/j IV (équivalent à la prednisolone 25 à 100 mg) — à éviter si possible, préférer prednisolone per os.</w:t>
      </w:r>
    </w:p>
    <w:p>
      <w:pPr>
        <w:pStyle w:val="ListBullet"/>
      </w:pPr>
      <w:r>
        <w:t>Enfant : 10 à 15 mg/m²/j per os en 3 prises (matin 50 %, midi 25 %, soir 25 %).</w:t>
      </w:r>
    </w:p>
    <w:p>
      <w:pPr>
        <w:pStyle w:val="ListBullet"/>
      </w:pPr>
      <w:r>
        <w:t>Crise surrénalienne aiguë : 100 mg IV bolus (ou IM si voie veineuse impossible), puis 200 mg/24h en continu ou 50 mg IV × 4/24h + réhydratation NaCl 0,9 % (1 L/h × 3-4 h) + recherche étiologique.</w:t>
      </w:r>
    </w:p>
    <w:p>
      <w:pPr>
        <w:pStyle w:val="ListBullet"/>
      </w:pPr>
      <w:r>
        <w:t>Sujet âgé : dose initiale réduite 10 mg/j, surveillance tensionnelle et glycémique accrue.</w:t>
      </w:r>
    </w:p>
    <w:p>
      <w:pPr>
        <w:pStyle w:val="ListBullet"/>
      </w:pPr>
      <w:r>
        <w:t>Durée : substitution à vie (maladie d'Addison). Anti-inflammatoire : cours court (5 à 14 jours) si possible.</w:t>
      </w:r>
    </w:p>
    <w:p>
      <w:pPr>
        <w:pStyle w:val="ListBullet"/>
      </w:pPr>
      <w:r>
        <w:t xml:space="preserve">Moment de prise : </w:t>
      </w:r>
      <w:r>
        <w:rPr>
          <w:b/>
        </w:rPr>
        <w:t>2 à 3 prises par jour, en commençant le matin à 8h</w:t>
      </w:r>
      <w:r>
        <w:t xml:space="preserve"> (mimétisme circadien), pour la substitution. Anti-inflammatoire : 1 prise matinale unique ou 2 prises.</w:t>
      </w:r>
    </w:p>
    <w:p>
      <w:r/>
      <w:r>
        <w:rPr>
          <w:b/>
        </w:rPr>
        <w:t>Arbitrage et Bénéfices des Formes Galéniques :</w:t>
      </w:r>
      <w:r/>
    </w:p>
    <w:p>
      <w:r>
        <w:t>Comprimé 10 mg sécable (HYCOSONE®) — permettant une titration fine par paliers de 2,5 mg. Comprimé 10 mg non sécable (HYDROCORTISONE ROUSSEL®) — pour la substitution stable sans titration. Forme IV (hémi-succinate) indisponible en Algérie — importation ATU par les services hospitaliers ou alternative méthylprednisolone IV. Solution pour inhalation (indisponible). Formes topiques (crèmes, lotions, lipophiles/hydrophiles) nombreuses mais hors champ systémique. La formulation de l'hydrocortisone Algérie est stable, non concernée par la reformulation européenne de 2017 (qui a affecté le Lévothyrox®).</w:t>
      </w:r>
    </w:p>
    <w:p>
      <w:r/>
      <w:r>
        <w:rPr>
          <w:b/>
        </w:rPr>
        <w:t>Instructions et Conseils au Patient :</w:t>
      </w:r>
      <w:r/>
    </w:p>
    <w:p>
      <w:pPr>
        <w:pStyle w:val="ListBullet"/>
      </w:pPr>
      <w:r>
        <w:t xml:space="preserve">Communication au comptoir : « Votre hydrocortisone remplace le cortisol que votre corps ne produit plus assez. Prenez-la en 2 prises par jour : la plus forte dose le matin au réveil (vers 8h), la plus petite dose à midi ou vers 16h — pour mimer le rythme naturel de votre corps. </w:t>
      </w:r>
      <w:r>
        <w:rPr>
          <w:b/>
        </w:rPr>
        <w:t>Ne JAMAIS arrêter brutalement</w:t>
      </w:r>
      <w:r>
        <w:t xml:space="preserve"> : cela pourrait provoquer une insuffisance surrénale aiguë (fatigue intense, malaise, vomissements). Portez toujours sur vous une carte mentionnant votre traitement. </w:t>
      </w:r>
      <w:r>
        <w:rPr>
          <w:b/>
        </w:rPr>
        <w:t>En cas de stress</w:t>
      </w:r>
      <w:r>
        <w:t xml:space="preserve"> (fièvre, infection, blessure, opération, traumatisme), augmentez immédiatement la dose selon les consignes de votre médecin (souvent doubler ou tripler). En cas de vomissements ou de diarrhée majeure (absorption compromise), contactez immédiatement votre médecin ou les urgences. Prévoyez de l'hydrocortisone injectable en urgence (ampoule IM 100 mg) si votre médecin vous l'a prescrite. Surveillez votre poids, votre tension, votre glycémie. Prévenez tous les médecins (dentiste, anesthésiste) que vous prenez ce traitement. »</w:t>
      </w:r>
    </w:p>
    <w:p>
      <w:pPr>
        <w:pStyle w:val="ListBullet"/>
      </w:pPr>
      <w:r>
        <w:t>Mode d'utilisation pratique : Prise le matin au réveil et à midi/16h selon prescription. Port d'une carte de corticothérapie. Possession d'une ampoule IM d'urgence (si prescription). Éviction des contacts avec sujets contagieux (varicelle, rougeole, tuberculose). Alimentation riche en potassium (banane, agrumes) et calcium (produits laitiers). Activité physique régulière (prévention ostéoporose).</w:t>
      </w:r>
    </w:p>
    <w:p>
      <w:r/>
      <w:r>
        <w:rPr>
          <w:b/>
        </w:rPr>
        <w:t>Notes, Règles d'Or &amp; Pièges au Comptoir :</w:t>
      </w:r>
      <w:r/>
    </w:p>
    <w:p>
      <w:pPr>
        <w:pStyle w:val="ListBullet"/>
      </w:pPr>
      <w:r>
        <w:t xml:space="preserve">Piège classique : </w:t>
      </w:r>
      <w:r>
        <w:rPr>
          <w:b/>
        </w:rPr>
        <w:t>Arrêt brutal de l'hydrocortisone = insuffisance surrénale aiguë potentiellement fatale</w:t>
      </w:r>
      <w:r>
        <w:t>. Information écrite obligatoire et port de la carte de corticothérapie. Règle de la majoration en cas de stress (règle des « 3 jours » : doubler la dose pendant 3 jours en cas de fièvre, infection ; × 5-10 pour chirurgie).</w:t>
      </w:r>
    </w:p>
    <w:p>
      <w:pPr>
        <w:pStyle w:val="ListBullet"/>
      </w:pPr>
      <w:r>
        <w:t>Règle de prise : 2 à 3 prises par jour, dose principale le matin à 8h (mimétisme circadien).</w:t>
      </w:r>
    </w:p>
    <w:p>
      <w:pPr>
        <w:pStyle w:val="ListBullet"/>
      </w:pPr>
      <w:r>
        <w:t>Préparation et Conservation : Conservation &lt; 25 °C, à l'abri de l'humidité et de la lumière. Tenir hors de portée des enfants. Vérifier la date de péremption (les génériques algériens peuvent avoir des durées plus courtes).</w:t>
      </w:r>
    </w:p>
    <w:p>
      <w:pPr>
        <w:pStyle w:val="ListBullet"/>
      </w:pPr>
      <w:r>
        <w:t>Piège du surdosage / Substitution : Ne pas substituer par la prednisolone sans avis médical — l'activité minéralocorticoïde de la prednisolone est moindre, et le patient Addisonique peut développer une hypotension et une hyponatrémie. Équivalence anti-inflammatoire : 20 mg hydrocortisone = 5 mg prednisolone = 5 mg prednisone = 4 mg méthylprednisolone = 4 mg triamcinolone = 0,75 mg dexaméthasone = 0,75 mg bétaméthasone. Mais cette équivalence ne tient pas compte de l'activité MR — en cas de substitution Addison, la dose de prednisolone doit être augmentée pour compenser le déficit MR.</w:t>
      </w:r>
    </w:p>
    <w:p>
      <w:pPr>
        <w:pStyle w:val="ListBullet"/>
      </w:pPr>
      <w:r>
        <w:t>Règle de prescription : Liste I, prescription initiale semestrielle par médecin spécialiste (endocrinologue pour la substitution, interniste/rhumatologue pour l'anti-inflammatoire), renouvelable par médecin généraliste dans la limite de 1 an.</w:t>
      </w:r>
    </w:p>
    <w:p>
      <w:pPr>
        <w:pStyle w:val="Heading3"/>
      </w:pPr>
      <w:r>
        <w:t>6. DCI : Prednisone (Seule)</w:t>
      </w:r>
    </w:p>
    <w:p>
      <w:r/>
      <w:r>
        <w:rPr>
          <w:b/>
        </w:rPr>
        <w:t>Liste des Catégories :</w:t>
      </w:r>
      <w:r>
        <w:t xml:space="preserve"> Liste I (sur ordonnance). Glucocorticoïdes systémiques — Action intermédiaire.</w:t>
      </w:r>
    </w:p>
    <w:p>
      <w:r>
        <w:t xml:space="preserve">La prednisone est une prodrogue inactive, rapidement convertie en </w:t>
      </w:r>
      <w:r>
        <w:rPr>
          <w:b/>
        </w:rPr>
        <w:t>prednisolone active</w:t>
      </w:r>
      <w:r>
        <w:t xml:space="preserve"> par les 11β-hydroxystéroïdes déshydrogénases (11β-HSD1) au niveau hépatique. Cette conversion est quasi complète (&gt; 90 % en 1 heure), si bien que les deux molécules sont considérées comme strictement équivalentes en pratique clinique. La prednisone présente une </w:t>
      </w:r>
      <w:r>
        <w:rPr>
          <w:b/>
        </w:rPr>
        <w:t>demi-vie plasmatique de 3 à 4 h</w:t>
      </w:r>
      <w:r>
        <w:t xml:space="preserve"> et une </w:t>
      </w:r>
      <w:r>
        <w:rPr>
          <w:b/>
        </w:rPr>
        <w:t>demi-vie biologique de 12 à 36 h</w:t>
      </w:r>
      <w:r>
        <w:t>, autorisant une monoprise quotidienne matinale qui respecte le rythme circadien physiologique et minimise le freinage de l'axe HPA. Sa puissance anti-inflammatoire est de 5× l'hydrocortisone (5 mg prednisone = 20 mg hydrocortisone), avec une activité minéralocorticoïde résiduelle modérée (effet MR ≈ 0,6× l'hydrocortisone à dose équivalente — suffisant en pratique pour causer une rétention hydrosodée modérée aux doses &gt; 20 mg/j mais sans suffire à la substitution surrénalienne). La biodisponibilité orale est de 70 à 90 %, la fixation protéique de 65 à 90 % (CBG et albumine), le métabolisme hépatique (réduction, hydroxylation, glucuronoconjugaison), l'excrétion urinaire des métabolites. La prednisone est le glucocorticoïde le plus prescrit en médecine de ville dans le monde pour les indications anti-inflammatoires générales courtes (poussées d'asthme, allergies, exacerbations de BPCO, rhumatismes inflammatoires, vascularites, maladies systémiques).</w:t>
      </w:r>
    </w:p>
    <w:p>
      <w:r/>
      <w:r>
        <w:rPr>
          <w:b/>
        </w:rPr>
        <w:t>Médicaments disponibles en Algérie (Marques, Laboratoires, Formes et Dosages) :</w:t>
      </w:r>
      <w:r/>
    </w:p>
    <w:p>
      <w:pPr>
        <w:pStyle w:val="ListBullet"/>
      </w:pPr>
      <w:r/>
      <w:r>
        <w:rPr>
          <w:b/>
        </w:rPr>
        <w:t>NADCORTYL</w:t>
      </w:r>
      <w:r>
        <w:t xml:space="preserve"> (NADPHARMADIC-PRODUCTION — Algérie)</w:t>
      </w:r>
    </w:p>
    <w:p>
      <w:pPr>
        <w:pStyle w:val="ListBullet"/>
      </w:pPr>
      <w:r>
        <w:t>Formes et Dosages : Comprimé sécable 5 mg (B/30)</w:t>
      </w:r>
    </w:p>
    <w:p>
      <w:pPr>
        <w:pStyle w:val="ListBullet"/>
      </w:pPr>
      <w:r>
        <w:t>Statut : Actif — Spécialité algérienne de référence</w:t>
      </w:r>
    </w:p>
    <w:p>
      <w:pPr>
        <w:pStyle w:val="ListBullet"/>
      </w:pPr>
      <w:r/>
      <w:r>
        <w:rPr>
          <w:b/>
        </w:rPr>
        <w:t>PREDANCYL</w:t>
      </w:r>
      <w:r>
        <w:t xml:space="preserve"> (BIOGALENIC — Algérie)</w:t>
      </w:r>
    </w:p>
    <w:p>
      <w:pPr>
        <w:pStyle w:val="ListBullet"/>
      </w:pPr>
      <w:r>
        <w:t>Formes et Dosages : Comprimé sécable 5 mg (B/30) ; Comprimé sécable 20 mg (B/20)</w:t>
      </w:r>
    </w:p>
    <w:p>
      <w:pPr>
        <w:pStyle w:val="ListBullet"/>
      </w:pPr>
      <w:r>
        <w:t>Statut : Actif — Double dosage permettant une titration souple</w:t>
      </w:r>
    </w:p>
    <w:p>
      <w:pPr>
        <w:pStyle w:val="ListBullet"/>
      </w:pPr>
      <w:r/>
      <w:r>
        <w:rPr>
          <w:b/>
        </w:rPr>
        <w:t>PRECORTYL</w:t>
      </w:r>
      <w:r>
        <w:t xml:space="preserve"> (GROUPE SAIDAL — Algérie)</w:t>
      </w:r>
    </w:p>
    <w:p>
      <w:pPr>
        <w:pStyle w:val="ListBullet"/>
      </w:pPr>
      <w:r>
        <w:t>Formes et Dosages : Comprimé 5 mg (B/30) ; Comprimé sécable 20 mg (B/20) ; Comprimé sécable 10 mg (B/24) — (Non Renouvelable)</w:t>
      </w:r>
    </w:p>
    <w:p>
      <w:pPr>
        <w:pStyle w:val="ListBullet"/>
      </w:pPr>
      <w:r>
        <w:t>Statut : Actif pour les dosages 5 mg et 20 mg ; Non Renouvelable pour le 10 mg — Marque historique Saidal, encore largement prescrite</w:t>
      </w:r>
    </w:p>
    <w:p>
      <w:pPr>
        <w:pStyle w:val="ListBullet"/>
      </w:pPr>
      <w:r/>
      <w:r>
        <w:rPr>
          <w:b/>
        </w:rPr>
        <w:t>NOVASON</w:t>
      </w:r>
      <w:r>
        <w:t xml:space="preserve"> (NOVA ARGENTIA — Argentine) — (Non Renouvelable)</w:t>
      </w:r>
    </w:p>
    <w:p>
      <w:pPr>
        <w:pStyle w:val="ListBullet"/>
      </w:pPr>
      <w:r>
        <w:t>Formes et Dosages : Comprimé 1 mg (B/30)</w:t>
      </w:r>
    </w:p>
    <w:p>
      <w:pPr>
        <w:pStyle w:val="ListBullet"/>
      </w:pPr>
      <w:r>
        <w:t>Statut : Non Renouvelable</w:t>
      </w:r>
    </w:p>
    <w:p>
      <w:r/>
      <w:r>
        <w:rPr>
          <w:i/>
        </w:rPr>
        <w:t>Spécialités retirées :</w:t>
      </w:r>
      <w:r/>
    </w:p>
    <w:p>
      <w:pPr>
        <w:pStyle w:val="ListBullet"/>
      </w:pPr>
      <w:r/>
      <w:r>
        <w:rPr>
          <w:b/>
        </w:rPr>
        <w:t>CORTANCYL</w:t>
      </w:r>
      <w:r>
        <w:t xml:space="preserve"> (ROUSSEL — France) — Comprimé 5 mg (B/30) — Retiré (R) — Spécialité historique de référence internationale</w:t>
      </w:r>
    </w:p>
    <w:p>
      <w:pPr>
        <w:pStyle w:val="ListBullet"/>
      </w:pPr>
      <w:r/>
      <w:r>
        <w:rPr>
          <w:b/>
        </w:rPr>
        <w:t>NOVASON</w:t>
      </w:r>
      <w:r>
        <w:t xml:space="preserve"> (NOVA ARGENTIA) — Comprimé 5 mg (B/30) — Retiré (R)</w:t>
      </w:r>
    </w:p>
    <w:p>
      <w:pPr>
        <w:pStyle w:val="ListBullet"/>
      </w:pPr>
      <w:r/>
      <w:r>
        <w:rPr>
          <w:b/>
        </w:rPr>
        <w:t>PREDNISONE</w:t>
      </w:r>
      <w:r>
        <w:t xml:space="preserve"> (MEDICUBA — Cuba) — Comprimé 5 mg (B/10) — Retiré (R)</w:t>
      </w:r>
    </w:p>
    <w:p>
      <w:pPr>
        <w:pStyle w:val="ListBullet"/>
      </w:pPr>
      <w:r/>
      <w:r>
        <w:rPr>
          <w:b/>
        </w:rPr>
        <w:t>ISONE</w:t>
      </w:r>
      <w:r>
        <w:t xml:space="preserve"> (SOTHEMA — Maroc) — Comprimé 5 mg (B/30) — Retiré (R)</w:t>
      </w:r>
    </w:p>
    <w:p>
      <w:r/>
      <w:r>
        <w:rPr>
          <w:b/>
        </w:rPr>
        <w:t>Sous-classe et Mécanisme d'action :</w:t>
      </w:r>
      <w:r/>
    </w:p>
    <w:p>
      <w:pPr>
        <w:pStyle w:val="ListBullet"/>
      </w:pPr>
      <w:r>
        <w:t>Sous-classe : Glucocorticoïdes systémiques — Action intermédiaire (demi-vie biologique 12 à 36 h). Prodrogue hépatique convertie en prednisolone active. Standard de la corticothérapie anti-inflammatoire générale.</w:t>
      </w:r>
    </w:p>
    <w:p>
      <w:pPr>
        <w:pStyle w:val="ListBullet"/>
      </w:pPr>
      <w:r>
        <w:t xml:space="preserve">Mécanisme d'action : Conversion hépatique en </w:t>
      </w:r>
      <w:r>
        <w:rPr>
          <w:b/>
        </w:rPr>
        <w:t>prednisolone</w:t>
      </w:r>
      <w:r>
        <w:t xml:space="preserve"> par la 11β-HSD1. La prednisolone traverse la membrane cellulaire par diffusion passive, se fixe sur le </w:t>
      </w:r>
      <w:r>
        <w:rPr>
          <w:b/>
        </w:rPr>
        <w:t>récepteur glucocorticoïde cytosolique (GRα)</w:t>
      </w:r>
      <w:r>
        <w:t xml:space="preserve">, libère les protéines chaperonnes (HSP90, HSP70), subit une translocation nucléaire, se dimérise et se fixe sur les </w:t>
      </w:r>
      <w:r>
        <w:rPr>
          <w:b/>
        </w:rPr>
        <w:t>GRE (Glucocorticoid Response Elements)</w:t>
      </w:r>
      <w:r>
        <w:t xml:space="preserve"> de l'ADN. Modulation transcriptionnelle : (i) activation des gènes anti-inflammatoires (annexine-1, IκB, IL-10, MKP-1) ; (ii) répression transrépressionnelle des gènes pro-inflammatoires (cytokines IL-1, IL-2, IL-6, TNF-α ; COX-2 ; iNOS ; MMP-9) via interaction directe avec NF-κB, AP-1, NF-AT. Effets métaboliques : gluconéogenèse augmentée, insulinorésistance périphérique, lipolyse, protéolyse musculaire, ostéoporose, atrophie cutanée, lympholyse, immunosuppression, freinage axe HPA. Activité minéralocorticoïde résiduelle modérée (réabsorption rénale de sodium, excrétion de K+ et H+).</w:t>
      </w:r>
    </w:p>
    <w:p>
      <w:r/>
      <w:r>
        <w:rPr>
          <w:b/>
        </w:rPr>
        <w:t>Profil Pharmacologique :</w:t>
      </w:r>
      <w:r/>
    </w:p>
    <w:p>
      <w:pPr>
        <w:pStyle w:val="ListBullet"/>
      </w:pPr>
      <w:r>
        <w:t>Indications : (1) Rhumatologie : polyarthrite rhumatoïde (poussée), spondylarthrite ankylosante, pseudopolyarthrite rhizomélique, maladie de Horton (PMR/GCA — protocole lent sur 1 à 2 ans), lupus érythémateux systémique, vascularites (maladie de Wegener/GPA, Churg-Strauss/EGPA, polyangéite microscopique/MPA), myopathies inflammatoires. (2) Pneumologie : asthme sévère (poussée, 0,5 à 1 mg/kg/j), exacerbation de BPCO (30 à 40 mg/j × 5-14 j), sarcoïdose, fibrose pulmonaire idiopathique (1 à 2 ans). (3) Gastro-entérologie : maladie de Crohn, RCH (poussée modérée à sévère). (4) Néphrologie : syndrome néphrotique idiopathique, glomérulonéphrites immunologiques, vascularites rénales. (5) Hépatologie : hépatite auto-immune. (6) Dermatologie : dermatoses bulleuses (pemphigoïde, pemphigus), dermatomyosite, eczéma sévère. (7) Hématologie-oncologie : leucémies aiguës lymphoblastiques (protocoles pédiatriques), lymphomes Hodgkiniens et non hodgkiniens, purpura thrombopénique immunologique (PTI), anémies hémolytiques auto-immunes (AHAI). (8) Neurologie : sclérose en plaques (poussée — mais méthylprednisolone IV préférée), myasthénie. (9) Allergologie : anaphylaxie (alternative à l'hydrocortisone), angio-œdème. (10) Transplantation : rejet de greffe (en association).</w:t>
      </w:r>
    </w:p>
    <w:p>
      <w:pPr>
        <w:pStyle w:val="ListBullet"/>
      </w:pPr>
      <w:r>
        <w:t>Contre-indications : (1) Infection non contrôlée (sauf indication vitale + antibiothérapie adaptée). (2) Psychose non contrôlée. (3) Ulcère gastro-duodénal actif non traité. (4) Herpès oculaire. (5) Rougeole, varicelle, zona non immunes (vaccination antérieure ou immunoglobulines spécifiques si exposition). (6) Vaccins vivants atténués (BCG, fièvre jaune, ROR). (7) Hypersensibilité à la prednisone. Précautions : diabète, hypertension, insuffisance cardiaque, insuffisance rénale, ostéoporose, glaucome, cataracte, tabagisme, obésité, grossesse 3e trimestre, sujet âgé, insuffisance hépatique sévère (préférer prednisolone qui n'est pas une prodrogue).</w:t>
      </w:r>
    </w:p>
    <w:p>
      <w:pPr>
        <w:pStyle w:val="ListBullet"/>
      </w:pPr>
      <w:r>
        <w:t xml:space="preserve">Effets Indésirables : (1) </w:t>
      </w:r>
      <w:r>
        <w:rPr>
          <w:b/>
        </w:rPr>
        <w:t>Iatrogénie Cushing</w:t>
      </w:r>
      <w:r>
        <w:t xml:space="preserve"> si dose &gt; 10 mg/j &gt; 3 semaines (faciès lunaire, bosse de bison, prise de poids, vergetures, ecchymoses, faiblesse musculaire proximale). (2) </w:t>
      </w:r>
      <w:r>
        <w:rPr>
          <w:b/>
        </w:rPr>
        <w:t>Freinage de l'axe HPA</w:t>
      </w:r>
      <w:r>
        <w:t xml:space="preserve"> : insuffisance surrénale aiguë à l'arrêt brutal si &gt; 2 semaines à dose &gt; 10 mg/j — relais par dose décroissante. (3) Diabète cortico-induit (insulinorésistance). (4) Ostéoporose cortico-induite (fractures vertébrales ++, ostéonécrose tête fémorale). (5) Troubles digestifs : ulcère, perforation, hémorragie, pancréatite aiguë. (6) Infection opportuniste (candidose, herpès, tuberculose réactivation, pneumocystose si &gt; 20 mg/j &gt; 4 semaines). (7) Troubles neuropsychiatriques : euphorie, insomnie, agitation, dépression, psychose. (8) Hypertension, rétention hydrosodée, hypokaliémie. (9) Glaucome, cataracte sous-capsulaire postérieure. (10) Retard de croissance (enfant). (11) Troubles cutanés : atrophie, vergetures, acné, retard de cicatrisation. (12) Troubles menstruels, aménorrhée.</w:t>
      </w:r>
    </w:p>
    <w:p>
      <w:r/>
      <w:r>
        <w:rPr>
          <w:b/>
        </w:rPr>
        <w:t>Prévention et Gestion des Effets Indésirables :</w:t>
      </w:r>
      <w:r/>
    </w:p>
    <w:p>
      <w:pPr>
        <w:pStyle w:val="ListBullet"/>
      </w:pPr>
      <w:r>
        <w:t xml:space="preserve">Mesures Préventives : (i) Prescription au plus court et à la dose minimale efficace (règle d'or : dose &lt; 7,5 mg/j = dose physiologique substitutive, faible freination ; dose 7,5-30 mg/j = dose anti-inflammatoire modérée ; dose &gt; 30 mg/j = dose immunosuppressive). (ii) </w:t>
      </w:r>
      <w:r>
        <w:rPr>
          <w:b/>
        </w:rPr>
        <w:t>Monoprise matinale unique vers 8h</w:t>
      </w:r>
      <w:r>
        <w:t xml:space="preserve"> pour respecter le rythme circadien et minimiser le freinage. (iii) Si traitement &gt; 3 semaines : supplémentation calcium (1 g/j) + vitamine D (800 UI/j) + densitométrie osseuse initiale et à 6 mois ; régime hyposodé (effet MR résiduel) ; riche en potassium ; surveillance glycémie, kaliémie, pression artérielle, poids, état cutané, ophtalmologique (glaucome, cataracte). (iv) Couverture anti-pneumocystose (cotrimoxazole 400/80 × 3/semaine) si dose &gt; 20 mg/j &gt; 4 semaines. (v) Vaccination anti-grippale, anti-pneumococcique avant instauration (vaccins inactivés uniquement). (vi) Information du patient : port carte de corticothérapie, ne jamais arrêter brutalement, consultation médicale en cas de fièvre ou infection.</w:t>
      </w:r>
    </w:p>
    <w:p>
      <w:pPr>
        <w:pStyle w:val="ListBullet"/>
      </w:pPr>
      <w:r>
        <w:t>Conduite à Tenir : Pour un traitement court (&lt; 14 jours), arrêt autorisé d'emblée (pas de freination significative). Pour un traitement &gt; 14 jours : décroissance progressive (réduction de 10 % de la dose tous les 7 à 14 jours) ; surveillance de la fonction surrénalienne (cortisolémie à 8h) si durée &gt; 3 mois. En cas d'insuffisance surrénale aiguë (asthénie, hypotension, douleurs abdominales, vomissements) : réintroduction immédiate d'hydrocortisone 100 mg IV. Ostéoporose confirmée : bisphosphonate. Infection : couverture antibiothérapie adaptée sans arrêter les corticoïdes (sauf infection non contrôlée).</w:t>
      </w:r>
    </w:p>
    <w:p>
      <w:r/>
      <w:r>
        <w:rPr>
          <w:b/>
        </w:rPr>
        <w:t>Interactions Importantes :</w:t>
      </w:r>
      <w:r/>
    </w:p>
    <w:p>
      <w:pPr>
        <w:pStyle w:val="ListBullet"/>
      </w:pPr>
      <w:r>
        <w:t>Prednisone + AINS (aspirine, ibuprofène, kétoprofène) → majoration du risque ulcérogène et hémorragique. Éviter ou associer IPP (oméprazole 20 mg/j).</w:t>
      </w:r>
    </w:p>
    <w:p>
      <w:pPr>
        <w:pStyle w:val="ListBullet"/>
      </w:pPr>
      <w:r>
        <w:t>Prednisone + diurétiques (furosémide, thiazidiques) → hypokaliémie majeure. Surveillance kaliémie.</w:t>
      </w:r>
    </w:p>
    <w:p>
      <w:pPr>
        <w:pStyle w:val="ListBullet"/>
      </w:pPr>
      <w:r>
        <w:t>Prednisone + digoxine → toxicité digitalique si hypokaliémie.</w:t>
      </w:r>
    </w:p>
    <w:p>
      <w:pPr>
        <w:pStyle w:val="ListBullet"/>
      </w:pPr>
      <w:r>
        <w:t>Prednisone + antihypertenseurs → diminution de l'efficacité.</w:t>
      </w:r>
    </w:p>
    <w:p>
      <w:pPr>
        <w:pStyle w:val="ListBullet"/>
      </w:pPr>
      <w:r>
        <w:t>Prednisone + antidiabétiques (insuline, sulfamides, metformine) → hyperglycémie, ajustement nécessaire.</w:t>
      </w:r>
    </w:p>
    <w:p>
      <w:pPr>
        <w:pStyle w:val="ListBullet"/>
      </w:pPr>
      <w:r>
        <w:t>Prednisone + inducteurs enzymatiques (rifampicine, phénobarbital, carbamazépine, phénytoïne, éfavirenz) → augmentation du métabolisme → réduction d'efficacité → majoration posologique (jusqu'à × 2-3).</w:t>
      </w:r>
    </w:p>
    <w:p>
      <w:pPr>
        <w:pStyle w:val="ListBullet"/>
      </w:pPr>
      <w:r>
        <w:t>Prednisone + inhibiteurs enzymatiques (kétoconazole, itraconazole, érythromycine, clarithromycine, ritonavir) → diminution du métabolisme → majoration des effets indésirables.</w:t>
      </w:r>
    </w:p>
    <w:p>
      <w:pPr>
        <w:pStyle w:val="ListBullet"/>
      </w:pPr>
      <w:r>
        <w:t>Prednisone + vaccins vivants atténués → maladie vaccinale généralisée → contre-indication.</w:t>
      </w:r>
    </w:p>
    <w:p>
      <w:pPr>
        <w:pStyle w:val="ListBullet"/>
      </w:pPr>
      <w:r>
        <w:t>Prednisone + anticoagulants oraux → effet variable (potentialisation ou antagonisme selon la dose), surveillance INR.</w:t>
      </w:r>
    </w:p>
    <w:p>
      <w:pPr>
        <w:pStyle w:val="ListBullet"/>
      </w:pPr>
      <w:r>
        <w:t>Prednisone + ciclosporine, tacrolimus → majoration de la toxicité rénale et de l'immunosuppression.</w:t>
      </w:r>
    </w:p>
    <w:p>
      <w:r/>
      <w:r>
        <w:rPr>
          <w:b/>
        </w:rPr>
        <w:t>Grossesse et Allaitement :</w:t>
      </w:r>
      <w:r/>
    </w:p>
    <w:p>
      <w:pPr>
        <w:pStyle w:val="ListBullet"/>
      </w:pPr>
      <w:r>
        <w:t xml:space="preserve">Grossesse : Prednisone </w:t>
      </w:r>
      <w:r>
        <w:rPr>
          <w:b/>
        </w:rPr>
        <w:t>compatible</w:t>
      </w:r>
      <w:r>
        <w:t xml:space="preserve"> (CRAT : « La prednisone est largement métabolisée par la 11β-HSD2 placentaire en prednisone inactive ; passage fœtal ≈ 10 % de la dose maternelle. À dose ≤ 20 mg/j, sans danger pour le fœtus. À dose &gt; 20 mg/j &gt; 1 mois, légère augmentation du risque de fente palatine (OR 1,7) et de RCIU. »). Préférer la prednisolone (qui traverse moins le placenta que la dexaméthasone) pour les indications maternelles. Pour la maturation pulmonaire fœtale, préférer bétaméthasone ou dexaméthasone (peu métabolisées par la 11β-HSD2 placentaire, atteignant le fœtus).</w:t>
      </w:r>
    </w:p>
    <w:p>
      <w:pPr>
        <w:pStyle w:val="ListBullet"/>
      </w:pPr>
      <w:r>
        <w:t xml:space="preserve">Allaitement : </w:t>
      </w:r>
      <w:r>
        <w:rPr>
          <w:b/>
        </w:rPr>
        <w:t>Compatible</w:t>
      </w:r>
      <w:r>
        <w:t xml:space="preserve"> (CRAT : « Passage minimal dans le lait (&lt; 0,1 % dose maternelle). À dose &lt; 40 mg/j, l'allaitement est autorisé. Espacer la prise et la tétée de 4 h si dose &gt; 40 mg »).</w:t>
      </w:r>
    </w:p>
    <w:p>
      <w:pPr>
        <w:pStyle w:val="ListBullet"/>
      </w:pPr>
      <w:r>
        <w:t>Précisions : Dans la maladie de Horton (GCA) pendant la grossesse, la prednisone est le traitement de référence (à vie si nécessaire), avec surveillance stricte de la croissance fœtale.</w:t>
      </w:r>
    </w:p>
    <w:p>
      <w:r/>
      <w:r>
        <w:rPr>
          <w:b/>
        </w:rPr>
        <w:t>Posologie et Mode d'administration (Standard) :</w:t>
      </w:r>
      <w:r/>
    </w:p>
    <w:p>
      <w:pPr>
        <w:pStyle w:val="ListBullet"/>
      </w:pPr>
      <w:r>
        <w:t>Adulte (anti-inflammatoire générale) : 0,5 à 1 mg/kg/j per os en 1 prise matinale (soit 30 à 80 mg/j pour 60 kg). Dose d'attaque 1 mg/kg/j dans les vascularites sévères, 60 à 80 mg/j dans le lupus systémique, 0,5 à 1 mg/kg/j dans la polyarthrite rhumatoïde, 0,5 à 1 mg/kg/j dans la maladie de Horton (puis décroissance lente 1 à 2 ans).</w:t>
      </w:r>
    </w:p>
    <w:p>
      <w:pPr>
        <w:pStyle w:val="ListBullet"/>
      </w:pPr>
      <w:r>
        <w:t>Adulte (maladie de Horton, PMR) : 0,5 à 0,7 mg/kg/j initial (PMR) ou 0,75 à 1 mg/kg/j (GCA avec atteinte ophtalmologique — urgence !), décroissance sur 12 à 24 mois selon protocole EULAR.</w:t>
      </w:r>
    </w:p>
    <w:p>
      <w:pPr>
        <w:pStyle w:val="ListBullet"/>
      </w:pPr>
      <w:r>
        <w:t>Adulte (asthme, exacerbation BPCO) : 0,5 à 1 mg/kg/j × 5-14 jours, arrêt brutal autorisé (cours court).</w:t>
      </w:r>
    </w:p>
    <w:p>
      <w:pPr>
        <w:pStyle w:val="ListBullet"/>
      </w:pPr>
      <w:r>
        <w:t>Adulte (PTI, AHAI) : 1 à 2 mg/kg/j × 2-3 semaines, décroissance progressive.</w:t>
      </w:r>
    </w:p>
    <w:p>
      <w:pPr>
        <w:pStyle w:val="ListBullet"/>
      </w:pPr>
      <w:r>
        <w:t>Adulte (entretien long cours) : 5 à 10 mg/j en monoprise matinale.</w:t>
      </w:r>
    </w:p>
    <w:p>
      <w:pPr>
        <w:pStyle w:val="ListBullet"/>
      </w:pPr>
      <w:r>
        <w:t>Sujet âgé : dose initiale réduite 0,5 mg/kg/j, surveillance accrue (risque ostéoporotique, diabète, hypertension, infection).</w:t>
      </w:r>
    </w:p>
    <w:p>
      <w:pPr>
        <w:pStyle w:val="ListBullet"/>
      </w:pPr>
      <w:r>
        <w:t>Enfant : 1 à 2 mg/kg/j (anti-inflammatoire), 0,5 mg/kg/j (entretien).</w:t>
      </w:r>
    </w:p>
    <w:p>
      <w:pPr>
        <w:pStyle w:val="ListBullet"/>
      </w:pPr>
      <w:r>
        <w:t>Durée : cours court (5-14 jours, arrêt d'emblée) si possible ; cours long avec décroissance progressive si &gt; 14 jours.</w:t>
      </w:r>
    </w:p>
    <w:p>
      <w:pPr>
        <w:pStyle w:val="ListBullet"/>
      </w:pPr>
      <w:r>
        <w:t xml:space="preserve">Moment de prise : </w:t>
      </w:r>
      <w:r>
        <w:rPr>
          <w:b/>
        </w:rPr>
        <w:t>1 prise matinale unique vers 8h</w:t>
      </w:r>
      <w:r>
        <w:t xml:space="preserve"> pour les doses &lt; 1 mg/kg/j (respect du rythme circadien) ; 2 prises (matin et midi) pour les doses élevées &gt; 1 mg/kg/j.</w:t>
      </w:r>
    </w:p>
    <w:p>
      <w:r/>
      <w:r>
        <w:rPr>
          <w:b/>
        </w:rPr>
        <w:t>Arbitrage et Bénéfices des Formes Galéniques :</w:t>
      </w:r>
      <w:r/>
    </w:p>
    <w:p>
      <w:r>
        <w:t>Comprimé 5 mg sécable (NADCORTYL®) : pour titration fine par paliers de 2,5 mg (coupe en 2) ou 1,25 mg (coupe en 4). Comprimé 20 mg sécable (PREDANCYL®, PRECORTYL®) : pour les doses élevées d'attaque (60 à 80 mg/j = 3 à 4 cp), limite le nombre de comprimés. Comprimé 10 mg sécable (PRECORTYL® 10 mg — non renouvelable) : pour les doses intermédiaires. La prednisone étant une prodrogue hépatique, elle nécessite une fonction hépatique normale pour être activée ; en cas d'insuffisance hépatique sévère, préférer la prednisolone (métabolite actif). Aucune forme IV de prednisone disponible (la prednisolone IV existe dans la nomenclature internationale mais est rare en Algérie).</w:t>
      </w:r>
    </w:p>
    <w:p>
      <w:r/>
      <w:r>
        <w:rPr>
          <w:b/>
        </w:rPr>
        <w:t>Instructions et Conseils au Patient :</w:t>
      </w:r>
      <w:r/>
    </w:p>
    <w:p>
      <w:pPr>
        <w:pStyle w:val="ListBullet"/>
      </w:pPr>
      <w:r>
        <w:t xml:space="preserve">Communication au comptoir : « Votre prednisone est un anti-inflammatoire stéroïdien (cortisone). Prenez-la en 1 prise le matin vers 8h, au cours du petit-déjeuner, pour respecter le rythme naturel de votre corps et minimiser les effets indésirables. </w:t>
      </w:r>
      <w:r>
        <w:rPr>
          <w:b/>
        </w:rPr>
        <w:t>Ne JAMAIS arrêter brutalement</w:t>
      </w:r>
      <w:r>
        <w:t xml:space="preserve"> : cela pourrait provoquer une insuffisance surrénale aiguë (fatigue intense, malaise). Votre médecin vous donnera un schéma de décroissance si le traitement dure plus de 2 semaines. Portez une carte de corticothérapie sur vous. Prévenez tous les médecins (dentiste, anesthésiste) que vous prenez ce traitement. Surveillez votre poids, votre tension, votre glycémie. Évitez les contacts avec des personnes contagieuses (varicelle, rougeole, tuberculose). Prévenez votre médecin en cas de fièvre. Prenez du calcium et de la vitamine D si le traitement dépasse 3 semaines. Préférez un régime pauvre en sel et riche en potassium (banane, agrumes). »</w:t>
      </w:r>
    </w:p>
    <w:p>
      <w:pPr>
        <w:pStyle w:val="ListBullet"/>
      </w:pPr>
      <w:r>
        <w:t>Mode d'utilisation pratique : Prise unique le matin vers 8h. Si dose élevée (&gt; 1 mg/kg/j) : 2 prises (matin et midi). Ne pas prendre le soir (risque d'insomnie). Port de la carte de corticothérapie. Éviction des contacts contagieux.</w:t>
      </w:r>
    </w:p>
    <w:p>
      <w:r/>
      <w:r>
        <w:rPr>
          <w:b/>
        </w:rPr>
        <w:t>Notes, Règles d'Or &amp; Pièges au Comptoir :</w:t>
      </w:r>
      <w:r/>
    </w:p>
    <w:p>
      <w:pPr>
        <w:pStyle w:val="ListBullet"/>
      </w:pPr>
      <w:r>
        <w:t xml:space="preserve">Piège classique : </w:t>
      </w:r>
      <w:r>
        <w:rPr>
          <w:b/>
        </w:rPr>
        <w:t>Arrêt brutal de la prednisone = insuffisance surrénale aiguë</w:t>
      </w:r>
      <w:r>
        <w:t xml:space="preserve"> si traitement &gt; 2 semaines à dose &gt; 10 mg/j. Information écrite obligatoire et port de la carte. Pour un cours court (&lt; 14 jours), arrêt d'emblée autorisé.</w:t>
      </w:r>
    </w:p>
    <w:p>
      <w:pPr>
        <w:pStyle w:val="ListBullet"/>
      </w:pPr>
      <w:r>
        <w:t>Règle de prise : 1 prise matinale unique vers 8h pour les doses &lt; 1 mg/kg/j (respect du rythme circadien).</w:t>
      </w:r>
    </w:p>
    <w:p>
      <w:pPr>
        <w:pStyle w:val="ListBullet"/>
      </w:pPr>
      <w:r>
        <w:t>Préparation et Conservation : Conservation &lt; 25 °C, à l'abri de l'humidité. Vérifier la date de péremption.</w:t>
      </w:r>
    </w:p>
    <w:p>
      <w:pPr>
        <w:pStyle w:val="ListBullet"/>
      </w:pPr>
      <w:r>
        <w:t xml:space="preserve">Piège du surdosage / Substitution : </w:t>
      </w:r>
      <w:r>
        <w:rPr>
          <w:b/>
        </w:rPr>
        <w:t>Équivalence anti-inflammatoire</w:t>
      </w:r>
      <w:r>
        <w:t xml:space="preserve"> : 5 mg prednisone = 5 mg prednisolone = 4 mg méthylprednisolone = 4 mg triamcinolone = 20 mg hydrocortisone = 0,75 mg dexaméthasone = 0,75 mg bétaméthasone. Mais attention : en cas de substitution par la prednisolone (métabolite actif), la conversion est directe (1:1). En cas d'insuffisance hépatique sévère, préférer la prednisolone (la prednisone, prodrogue, peut être moins activée). Ne pas substituer par la dexaméthasone (puissance et profil d'effets indésirables très différents).</w:t>
      </w:r>
    </w:p>
    <w:p>
      <w:pPr>
        <w:pStyle w:val="ListBullet"/>
      </w:pPr>
      <w:r>
        <w:t>Règle de prescription : Liste I, prescription initiale semestrielle, renouvelable dans la limite de 1 an.</w:t>
      </w:r>
    </w:p>
    <w:p>
      <w:pPr>
        <w:pStyle w:val="Heading3"/>
      </w:pPr>
      <w:r>
        <w:t>7. DCI : Prednisolone (Seule)</w:t>
      </w:r>
    </w:p>
    <w:p>
      <w:r/>
      <w:r>
        <w:rPr>
          <w:b/>
        </w:rPr>
        <w:t>Liste des Catégories :</w:t>
      </w:r>
      <w:r>
        <w:t xml:space="preserve"> Liste I (sur ordonnance). Glucocorticoïdes systémiques — Action intermédiaire.</w:t>
      </w:r>
    </w:p>
    <w:p>
      <w:r>
        <w:t xml:space="preserve">La prednisolone est le métabolite actif de la prednisone (prodrogue hépatique). Elle est utilisée soit directement (lorsque la conversion hépatique est hypothéquée — insuffisance hépatique sévère, interaction médicamenteuse inhibitrice), soit en relais ou en alternative à la prednisone. Ses caractéristiques pharmacocinétiques sont superposables : </w:t>
      </w:r>
      <w:r>
        <w:rPr>
          <w:b/>
        </w:rPr>
        <w:t>demi-vie plasmatique 2 à 4 h</w:t>
      </w:r>
      <w:r>
        <w:t xml:space="preserve">, </w:t>
      </w:r>
      <w:r>
        <w:rPr>
          <w:b/>
        </w:rPr>
        <w:t>demi-vie biologique 12 à 36 h</w:t>
      </w:r>
      <w:r>
        <w:t xml:space="preserve">, puissance anti-inflammatoire 5× l'hydrocortisone, activité minéralocorticoïde résiduelle modérée. La prednisolone se distingue de la prednisone par sa formulation disponible en Algérie : une gamme très large de comprimés </w:t>
      </w:r>
      <w:r>
        <w:rPr>
          <w:b/>
        </w:rPr>
        <w:t>orodispersibles</w:t>
      </w:r>
      <w:r>
        <w:t xml:space="preserve"> (Solupred® Oro, Cortidal®, Deprisolone®, etc.) particulièrement adaptés à la pédiatrie (difficulté de déglutition des comprimés), aux sujets âgés (troubles de déglutition), et à la titration fine par les solutions buvables. La forme injectable IV (hémi-succinate de prednisolone) existe internationalement mais n'est pas listée en Algérie — les urgences utilisent la méthylprednisolone IV (Solu-Medrol, MEPRENAL). La solution buvable à 1 mg/mL et 3 mg/mL (CORTIDAL®, PHYSIOLONE®, PREDO®) est très utile en pédiatrie (1 mg/kg/j dans l'asthme aigu sévère de l'enfant). La prednisolone est le glucocorticoïde le plus prescrit en Algérie (plus de 30 spécialités orales actives).</w:t>
      </w:r>
    </w:p>
    <w:p>
      <w:r/>
      <w:r>
        <w:rPr>
          <w:b/>
        </w:rPr>
        <w:t>Médicaments disponibles en Algérie (Marques, Laboratoires, Formes et Dosages) :</w:t>
      </w:r>
      <w:r/>
    </w:p>
    <w:p>
      <w:r/>
      <w:r>
        <w:rPr>
          <w:i/>
        </w:rPr>
        <w:t>Comprimés effervescents :</w:t>
      </w:r>
      <w:r/>
    </w:p>
    <w:p>
      <w:pPr>
        <w:pStyle w:val="ListBullet"/>
      </w:pPr>
      <w:r/>
      <w:r>
        <w:rPr>
          <w:b/>
        </w:rPr>
        <w:t>REDNILEF</w:t>
      </w:r>
      <w:r>
        <w:t xml:space="preserve"> (HIKMA PHARMA ALGERIA — Algérie)</w:t>
      </w:r>
    </w:p>
    <w:p>
      <w:pPr>
        <w:pStyle w:val="ListBullet"/>
      </w:pPr>
      <w:r>
        <w:t>Formes et Dosages : Comprimé effervescent 5 mg (B/30) ; 20 mg (B/20)</w:t>
      </w:r>
    </w:p>
    <w:p>
      <w:pPr>
        <w:pStyle w:val="ListBullet"/>
      </w:pPr>
      <w:r>
        <w:t>Statut : Actif — Formulation effervescente, prise rapide, alternative aux orodispersibles</w:t>
      </w:r>
    </w:p>
    <w:p>
      <w:r/>
      <w:r>
        <w:rPr>
          <w:i/>
        </w:rPr>
        <w:t>Comprimés orodispersibles (5 mg et 20 mg — référence algérienne) :</w:t>
      </w:r>
      <w:r/>
    </w:p>
    <w:p>
      <w:pPr>
        <w:pStyle w:val="ListBullet"/>
      </w:pPr>
      <w:r/>
      <w:r>
        <w:rPr>
          <w:b/>
        </w:rPr>
        <w:t>CORTIDAL</w:t>
      </w:r>
      <w:r>
        <w:t xml:space="preserve"> (PHARMIDAL NS — Algérie)</w:t>
      </w:r>
    </w:p>
    <w:p>
      <w:pPr>
        <w:pStyle w:val="ListBullet"/>
      </w:pPr>
      <w:r>
        <w:t>Formes et Dosages : Comprimé orodispersible 5 mg (B/30) ; 20 mg (B/20) ; Solution buvable 1 mg/mL (Fl/50 mL) ; 15 mg/5 mL (Fl/120 mL)</w:t>
      </w:r>
    </w:p>
    <w:p>
      <w:pPr>
        <w:pStyle w:val="ListBullet"/>
      </w:pPr>
      <w:r>
        <w:t>Statut : Actif — Gamme complète, pédiatrie et adulte</w:t>
      </w:r>
    </w:p>
    <w:p>
      <w:pPr>
        <w:pStyle w:val="ListBullet"/>
      </w:pPr>
      <w:r/>
      <w:r>
        <w:rPr>
          <w:b/>
        </w:rPr>
        <w:t>DEPRISOLE</w:t>
      </w:r>
      <w:r>
        <w:t xml:space="preserve"> (BIOGALENIC — Algérie)</w:t>
      </w:r>
    </w:p>
    <w:p>
      <w:pPr>
        <w:pStyle w:val="ListBullet"/>
      </w:pPr>
      <w:r>
        <w:t>Formes et Dosages : Comprimé orodispersible 5 mg (B/30) ; 20 mg (B/20)</w:t>
      </w:r>
    </w:p>
    <w:p>
      <w:pPr>
        <w:pStyle w:val="ListBullet"/>
      </w:pPr>
      <w:r>
        <w:t>Statut : Actif</w:t>
      </w:r>
    </w:p>
    <w:p>
      <w:pPr>
        <w:pStyle w:val="ListBullet"/>
      </w:pPr>
      <w:r/>
      <w:r>
        <w:rPr>
          <w:b/>
        </w:rPr>
        <w:t>LAMISOLONE</w:t>
      </w:r>
      <w:r>
        <w:t xml:space="preserve"> (LABORATOIRE ALGERIEN DU MEDICAMENT — LAM)</w:t>
      </w:r>
    </w:p>
    <w:p>
      <w:pPr>
        <w:pStyle w:val="ListBullet"/>
      </w:pPr>
      <w:r>
        <w:t>Formes et Dosages : Comprimé orodispersible 5 mg (B/30) ; 20 mg (B/20)</w:t>
      </w:r>
    </w:p>
    <w:p>
      <w:pPr>
        <w:pStyle w:val="ListBullet"/>
      </w:pPr>
      <w:r>
        <w:t>Statut : Actif</w:t>
      </w:r>
    </w:p>
    <w:p>
      <w:pPr>
        <w:pStyle w:val="ListBullet"/>
      </w:pPr>
      <w:r/>
      <w:r>
        <w:rPr>
          <w:b/>
        </w:rPr>
        <w:t>OROPRED</w:t>
      </w:r>
      <w:r>
        <w:t xml:space="preserve"> (INPHA-MEDIS — Algérie)</w:t>
      </w:r>
    </w:p>
    <w:p>
      <w:pPr>
        <w:pStyle w:val="ListBullet"/>
      </w:pPr>
      <w:r>
        <w:t>Formes et Dosages : Comprimé orodispersible 5 mg (B/30) ; 20 mg (B/20) ; Comprimé sécable 30 mg (B/30)</w:t>
      </w:r>
    </w:p>
    <w:p>
      <w:pPr>
        <w:pStyle w:val="ListBullet"/>
      </w:pPr>
      <w:r>
        <w:t>Statut : Actif — Le 30 mg est rare, utile pour les doses d'attaque</w:t>
      </w:r>
    </w:p>
    <w:p>
      <w:pPr>
        <w:pStyle w:val="ListBullet"/>
      </w:pPr>
      <w:r/>
      <w:r>
        <w:rPr>
          <w:b/>
        </w:rPr>
        <w:t>PHYSIOLONE</w:t>
      </w:r>
      <w:r>
        <w:t xml:space="preserve"> (PHYSIOPHARM LABORATOIRES — Algérie)</w:t>
      </w:r>
    </w:p>
    <w:p>
      <w:pPr>
        <w:pStyle w:val="ListBullet"/>
      </w:pPr>
      <w:r>
        <w:t>Formes et Dosages : Comprimé orodispersible 5 mg (B/20) ; 20 mg (B/20) ; Solution buvable 1 mg/mL (Fl/60 mL et 125 mL + pipette graduée)</w:t>
      </w:r>
    </w:p>
    <w:p>
      <w:pPr>
        <w:pStyle w:val="ListBullet"/>
      </w:pPr>
      <w:r>
        <w:t>Statut : Actif</w:t>
      </w:r>
    </w:p>
    <w:p>
      <w:pPr>
        <w:pStyle w:val="ListBullet"/>
      </w:pPr>
      <w:r/>
      <w:r>
        <w:rPr>
          <w:b/>
        </w:rPr>
        <w:t>PREDNAL</w:t>
      </w:r>
      <w:r>
        <w:t xml:space="preserve"> (SOCIETE PHARMACEUTIQUE ALGERIENNE SOPHAL — Algérie)</w:t>
      </w:r>
    </w:p>
    <w:p>
      <w:pPr>
        <w:pStyle w:val="ListBullet"/>
      </w:pPr>
      <w:r>
        <w:t>Formes et Dosages : Comprimé orodispersible 5 mg (B/30) ; 20 mg (B/20) ; Comprimé sécable 20 mg (B/20)</w:t>
      </w:r>
    </w:p>
    <w:p>
      <w:pPr>
        <w:pStyle w:val="ListBullet"/>
      </w:pPr>
      <w:r>
        <w:t>Statut : Actif</w:t>
      </w:r>
    </w:p>
    <w:p>
      <w:pPr>
        <w:pStyle w:val="ListBullet"/>
      </w:pPr>
      <w:r/>
      <w:r>
        <w:rPr>
          <w:b/>
        </w:rPr>
        <w:t>PREDNAMEX</w:t>
      </w:r>
      <w:r>
        <w:t xml:space="preserve"> (KPMA BIOTIC — Algérie)</w:t>
      </w:r>
    </w:p>
    <w:p>
      <w:pPr>
        <w:pStyle w:val="ListBullet"/>
      </w:pPr>
      <w:r>
        <w:t>Formes et Dosages : Comprimé orodispersible 5 mg (B/30) ; 20 mg (B/20)</w:t>
      </w:r>
    </w:p>
    <w:p>
      <w:pPr>
        <w:pStyle w:val="ListBullet"/>
      </w:pPr>
      <w:r>
        <w:t>Statut : Actif</w:t>
      </w:r>
    </w:p>
    <w:p>
      <w:pPr>
        <w:pStyle w:val="ListBullet"/>
      </w:pPr>
      <w:r/>
      <w:r>
        <w:rPr>
          <w:b/>
        </w:rPr>
        <w:t>PREDNICORT</w:t>
      </w:r>
      <w:r>
        <w:t xml:space="preserve"> (NADPHARMADIC-PRODUCTION — Algérie)</w:t>
      </w:r>
    </w:p>
    <w:p>
      <w:pPr>
        <w:pStyle w:val="ListBullet"/>
      </w:pPr>
      <w:r>
        <w:t>Formes et Dosages : Comprimé orodispersible 5 mg (B/30) ; 20 mg (B/20)</w:t>
      </w:r>
    </w:p>
    <w:p>
      <w:pPr>
        <w:pStyle w:val="ListBullet"/>
      </w:pPr>
      <w:r>
        <w:t>Statut : Actif</w:t>
      </w:r>
    </w:p>
    <w:p>
      <w:pPr>
        <w:pStyle w:val="ListBullet"/>
      </w:pPr>
      <w:r/>
      <w:r>
        <w:rPr>
          <w:b/>
        </w:rPr>
        <w:t>PREDNISOLONE BEKER ORO</w:t>
      </w:r>
      <w:r>
        <w:t xml:space="preserve"> (LABORATOIRES BEKER — Algérie)</w:t>
      </w:r>
    </w:p>
    <w:p>
      <w:pPr>
        <w:pStyle w:val="ListBullet"/>
      </w:pPr>
      <w:r>
        <w:t>Formes et Dosages : Comprimé orodispersible 5 mg (B/30) ; 20 mg (B/20)</w:t>
      </w:r>
    </w:p>
    <w:p>
      <w:pPr>
        <w:pStyle w:val="ListBullet"/>
      </w:pPr>
      <w:r>
        <w:t>Statut : Actif</w:t>
      </w:r>
    </w:p>
    <w:p>
      <w:pPr>
        <w:pStyle w:val="ListBullet"/>
      </w:pPr>
      <w:r/>
      <w:r>
        <w:rPr>
          <w:b/>
        </w:rPr>
        <w:t>PREDNISOLONE MM ORO</w:t>
      </w:r>
      <w:r>
        <w:t xml:space="preserve"> (LABORATOIRES MM — Algérie)</w:t>
      </w:r>
    </w:p>
    <w:p>
      <w:pPr>
        <w:pStyle w:val="ListBullet"/>
      </w:pPr>
      <w:r>
        <w:t>Formes et Dosages : Comprimé orodispersible 5 mg (B/30) ; 20 mg (B/20)</w:t>
      </w:r>
    </w:p>
    <w:p>
      <w:pPr>
        <w:pStyle w:val="ListBullet"/>
      </w:pPr>
      <w:r>
        <w:t>Statut : Actif</w:t>
      </w:r>
    </w:p>
    <w:p>
      <w:pPr>
        <w:pStyle w:val="ListBullet"/>
      </w:pPr>
      <w:r/>
      <w:r>
        <w:rPr>
          <w:b/>
        </w:rPr>
        <w:t>SOLUPRED ORO</w:t>
      </w:r>
      <w:r>
        <w:t xml:space="preserve"> (PROPHARMAL — Algérie)</w:t>
      </w:r>
    </w:p>
    <w:p>
      <w:pPr>
        <w:pStyle w:val="ListBullet"/>
      </w:pPr>
      <w:r>
        <w:t>Formes et Dosages : Comprimé orodispersible 5 mg (B/30) ; 20 mg (B/20)</w:t>
      </w:r>
    </w:p>
    <w:p>
      <w:pPr>
        <w:pStyle w:val="ListBullet"/>
      </w:pPr>
      <w:r>
        <w:t>Statut : Actif — Spécialité historique de référence</w:t>
      </w:r>
    </w:p>
    <w:p>
      <w:pPr>
        <w:pStyle w:val="ListBullet"/>
      </w:pPr>
      <w:r/>
      <w:r>
        <w:rPr>
          <w:b/>
        </w:rPr>
        <w:t>SOLOPRED HUP</w:t>
      </w:r>
      <w:r>
        <w:t xml:space="preserve"> (HUPP PHARMA — Algérie)</w:t>
      </w:r>
    </w:p>
    <w:p>
      <w:pPr>
        <w:pStyle w:val="ListBullet"/>
      </w:pPr>
      <w:r>
        <w:t>Formes et Dosages : Comprimé orodispersible 20 mg (B/20)</w:t>
      </w:r>
    </w:p>
    <w:p>
      <w:pPr>
        <w:pStyle w:val="ListBullet"/>
      </w:pPr>
      <w:r>
        <w:t>Statut : Actif</w:t>
      </w:r>
    </w:p>
    <w:p>
      <w:pPr>
        <w:pStyle w:val="ListBullet"/>
      </w:pPr>
      <w:r/>
      <w:r>
        <w:rPr>
          <w:b/>
        </w:rPr>
        <w:t>SWOR</w:t>
      </w:r>
      <w:r>
        <w:t xml:space="preserve"> (ALGERIAN GENERICS DEVELOPMENT PHARMA — AGD PHARMA)</w:t>
      </w:r>
    </w:p>
    <w:p>
      <w:pPr>
        <w:pStyle w:val="ListBullet"/>
      </w:pPr>
      <w:r>
        <w:t>Formes et Dosages : Comprimé orodispersible 5 mg (B/30) ; 20 mg (B/20)</w:t>
      </w:r>
    </w:p>
    <w:p>
      <w:pPr>
        <w:pStyle w:val="ListBullet"/>
      </w:pPr>
      <w:r>
        <w:t>Statut : Actif</w:t>
      </w:r>
    </w:p>
    <w:p>
      <w:pPr>
        <w:pStyle w:val="ListBullet"/>
      </w:pPr>
      <w:r/>
      <w:r>
        <w:rPr>
          <w:b/>
        </w:rPr>
        <w:t>CORTIPRED ORO</w:t>
      </w:r>
      <w:r>
        <w:t xml:space="preserve"> (SARL API — Algérie)</w:t>
      </w:r>
    </w:p>
    <w:p>
      <w:pPr>
        <w:pStyle w:val="ListBullet"/>
      </w:pPr>
      <w:r>
        <w:t>Formes et Dosages : Comprimé orodispersible 20 mg (B/20)</w:t>
      </w:r>
    </w:p>
    <w:p>
      <w:pPr>
        <w:pStyle w:val="ListBullet"/>
      </w:pPr>
      <w:r>
        <w:t>Statut : Actif</w:t>
      </w:r>
    </w:p>
    <w:p>
      <w:pPr>
        <w:pStyle w:val="ListBullet"/>
      </w:pPr>
      <w:r/>
      <w:r>
        <w:rPr>
          <w:b/>
        </w:rPr>
        <w:t>KORTIKAN 20</w:t>
      </w:r>
      <w:r>
        <w:t xml:space="preserve"> (TASSILI ARAB PHARMACEUTICAL CO — Algérie)</w:t>
      </w:r>
    </w:p>
    <w:p>
      <w:pPr>
        <w:pStyle w:val="ListBullet"/>
      </w:pPr>
      <w:r>
        <w:t>Formes et Dosages : Comprimé orodispersible 20 mg (B/20)</w:t>
      </w:r>
    </w:p>
    <w:p>
      <w:pPr>
        <w:pStyle w:val="ListBullet"/>
      </w:pPr>
      <w:r>
        <w:t>Statut : Actif</w:t>
      </w:r>
    </w:p>
    <w:p>
      <w:r/>
      <w:r>
        <w:rPr>
          <w:i/>
        </w:rPr>
        <w:t>Solutions buvables :</w:t>
      </w:r>
      <w:r/>
    </w:p>
    <w:p>
      <w:pPr>
        <w:pStyle w:val="ListBullet"/>
      </w:pPr>
      <w:r/>
      <w:r>
        <w:rPr>
          <w:b/>
        </w:rPr>
        <w:t>PREDO</w:t>
      </w:r>
      <w:r>
        <w:t xml:space="preserve"> (HIKMA PHARMA ALGERIA — Algérie)</w:t>
      </w:r>
    </w:p>
    <w:p>
      <w:pPr>
        <w:pStyle w:val="ListBullet"/>
      </w:pPr>
      <w:r>
        <w:t>Formes et Dosages : Solution buvable 15 mg/5 mL (Fl/120 mL)</w:t>
      </w:r>
    </w:p>
    <w:p>
      <w:pPr>
        <w:pStyle w:val="ListBullet"/>
      </w:pPr>
      <w:r>
        <w:t>Statut : Actif</w:t>
      </w:r>
    </w:p>
    <w:p>
      <w:r/>
      <w:r>
        <w:rPr>
          <w:i/>
        </w:rPr>
        <w:t>Collyre :</w:t>
      </w:r>
      <w:r/>
    </w:p>
    <w:p>
      <w:pPr>
        <w:pStyle w:val="ListBullet"/>
      </w:pPr>
      <w:r/>
      <w:r>
        <w:rPr>
          <w:b/>
        </w:rPr>
        <w:t>OPTIPRED</w:t>
      </w:r>
      <w:r>
        <w:t xml:space="preserve"> (SPA JAMJOOM ALGERIA LIL DAWA)</w:t>
      </w:r>
    </w:p>
    <w:p>
      <w:pPr>
        <w:pStyle w:val="ListBullet"/>
      </w:pPr>
      <w:r>
        <w:t>Formes et Dosages : Collyre en suspension 0,1 mg/mL (Fl/5 mL)</w:t>
      </w:r>
    </w:p>
    <w:p>
      <w:pPr>
        <w:pStyle w:val="ListBullet"/>
      </w:pPr>
      <w:r>
        <w:t>Statut : Actif</w:t>
      </w:r>
    </w:p>
    <w:p>
      <w:r/>
      <w:r>
        <w:rPr>
          <w:i/>
        </w:rPr>
        <w:t>Spécialités non renouvelables et retirées :</w:t>
      </w:r>
      <w:r/>
    </w:p>
    <w:p>
      <w:pPr>
        <w:pStyle w:val="ListBullet"/>
      </w:pPr>
      <w:r/>
      <w:r>
        <w:rPr>
          <w:b/>
        </w:rPr>
        <w:t>SOLUGé</w:t>
      </w:r>
      <w:r>
        <w:t xml:space="preserve"> (CPCM) — Comprimé sécable 20 mg (B/20) — Non Renouvelable</w:t>
      </w:r>
    </w:p>
    <w:p>
      <w:pPr>
        <w:pStyle w:val="ListBullet"/>
      </w:pPr>
      <w:r/>
      <w:r>
        <w:rPr>
          <w:b/>
        </w:rPr>
        <w:t>OPHTAPRED</w:t>
      </w:r>
      <w:r>
        <w:t xml:space="preserve"> (JORAS PHARMACEUTICAL) — Collyre en solution 0,5 mg/mL (Fl/10 mL) — Non Renouvelable</w:t>
      </w:r>
    </w:p>
    <w:p>
      <w:pPr>
        <w:pStyle w:val="ListBullet"/>
      </w:pPr>
      <w:r/>
      <w:r>
        <w:rPr>
          <w:b/>
        </w:rPr>
        <w:t>CORTIPRED</w:t>
      </w:r>
      <w:r>
        <w:t xml:space="preserve"> (API) — Comprimé effervescent 20 mg (B/20) — Non Renouvelable</w:t>
      </w:r>
    </w:p>
    <w:p>
      <w:pPr>
        <w:pStyle w:val="ListBullet"/>
      </w:pPr>
      <w:r/>
      <w:r>
        <w:rPr>
          <w:b/>
        </w:rPr>
        <w:t>PREDSOL</w:t>
      </w:r>
      <w:r>
        <w:t xml:space="preserve"> (CROVIS PHILCOM) — Collyre 0,25 mg/mL (Fl/5 mL) — Non Renouvelable</w:t>
      </w:r>
    </w:p>
    <w:p>
      <w:pPr>
        <w:pStyle w:val="ListBullet"/>
      </w:pPr>
      <w:r/>
      <w:r>
        <w:rPr>
          <w:b/>
        </w:rPr>
        <w:t>SOLUPRED</w:t>
      </w:r>
      <w:r>
        <w:t xml:space="preserve"> (ROUSSEL) — Comprimé effervescent sécable 5 mg (B/30) — Retiré (R) — Spécialité historique française</w:t>
      </w:r>
    </w:p>
    <w:p>
      <w:pPr>
        <w:pStyle w:val="ListBullet"/>
      </w:pPr>
      <w:r/>
      <w:r>
        <w:rPr>
          <w:b/>
        </w:rPr>
        <w:t>PREDNISOLONE MYLAN</w:t>
      </w:r>
      <w:r>
        <w:t xml:space="preserve"> (MYLAN SAS) — Comprimé effervescent sécable 20 mg (B/20) — Retiré (R)</w:t>
      </w:r>
    </w:p>
    <w:p>
      <w:r/>
      <w:r>
        <w:rPr>
          <w:b/>
        </w:rPr>
        <w:t>Sous-classe et Mécanisme d'action :</w:t>
      </w:r>
      <w:r/>
    </w:p>
    <w:p>
      <w:pPr>
        <w:pStyle w:val="ListBullet"/>
      </w:pPr>
      <w:r>
        <w:t>Sous-classe : Glucocorticoïdes systémiques — Action intermédiaire (demi-vie biologique 12 à 36 h). Métabolite actif de la prednisone,可直接 actif sans conversion hépatique. Avantage en cas d'insuffisance hépatique ou d'interaction médicamenteuse inhibitrice du métabolisme.</w:t>
      </w:r>
    </w:p>
    <w:p>
      <w:pPr>
        <w:pStyle w:val="ListBullet"/>
      </w:pPr>
      <w:r>
        <w:t xml:space="preserve">Mécanisme d'action : Traverse la membrane cellulaire par diffusion passive, se fixe sur le </w:t>
      </w:r>
      <w:r>
        <w:rPr>
          <w:b/>
        </w:rPr>
        <w:t>récepteur glucocorticoïde cytosolique (GRα)</w:t>
      </w:r>
      <w:r>
        <w:t xml:space="preserve"> en libérant les protéines chaperonnes (HSP90, HSP70). Le complexe hormone-récepteur subit une translocation nucléaire, se dimérise et se fixe sur les </w:t>
      </w:r>
      <w:r>
        <w:rPr>
          <w:b/>
        </w:rPr>
        <w:t>GRE (Glucocorticoid Response Elements)</w:t>
      </w:r>
      <w:r>
        <w:t xml:space="preserve"> de l'ADN. Modulation transcriptionnelle : (i) activation des gènes anti-inflammatoires (annexine-1, IκB, IL-10, MKP-1) ; (ii) répression transrépressionnelle des gènes pro-inflammatoires (cytokines IL-1, IL-2, IL-6, TNF-α ; COX-2 ; iNOS ; MMP-9) via interaction directe avec NF-κB, AP-1, NF-AT. Effets métaboliques identiques à la prednisone : gluconéogenèse augmentée, insulinorésistance, lipolyse, protéolyse, ostéoporose, lympholyse, immunosuppression, freinage axe HPA. Activité minéralocorticoïde résiduelle modérée.</w:t>
      </w:r>
    </w:p>
    <w:p>
      <w:r/>
      <w:r>
        <w:rPr>
          <w:b/>
        </w:rPr>
        <w:t>Profil Pharmacologique :</w:t>
      </w:r>
      <w:r/>
    </w:p>
    <w:p>
      <w:pPr>
        <w:pStyle w:val="ListBullet"/>
      </w:pPr>
      <w:r>
        <w:t>Indications : Toutes les indications de la prednisone (rhumatologie, pneumologie, gastro-entérologie, néphrologie, dermatologie, hématologie-oncologie, neurologie, allergologie). Particulièrement adaptée en pédiatrie (forme orodispersible), chez le sujet âgé (troubles de déglutition), en cas d'insuffisance hépatique sévère, et en cas d'interaction médicamenteuse inhibitrice de la conversion hépatique. Asthme aigu sévère de l'enfant (1 à 2 mg/kg/j en solution buvable). Collyre pour les conjonctivites allergiques et inflammatoires.</w:t>
      </w:r>
    </w:p>
    <w:p>
      <w:pPr>
        <w:pStyle w:val="ListBullet"/>
      </w:pPr>
      <w:r>
        <w:t>Contre-indications : Identiques à la prednisone : infection non contrôlée, psychose, ulcère actif, herpès oculaire, varicelle-zona non immuns, vaccins vivants atténués. Précautions : diabète, hypertension, IC, insuffisance rénale, ostéoporose, glaucome, cataracte, grossesse 3e trimestre, sujet âgé, insuffisance hépatique sévère (préférer la prednisolone à la prednisone dans ce cas — la prednisolone est directement active).</w:t>
      </w:r>
    </w:p>
    <w:p>
      <w:pPr>
        <w:pStyle w:val="ListBullet"/>
      </w:pPr>
      <w:r>
        <w:t>Effets Indésirables : Identiques à la prednisone : iatrogénie Cushing, freinage axe HPA, diabète, ostéoporose, troubles digestifs, infection, troubles neuropsychiatriques, hypertension, hypokaliémie, glaucome, cataracte, retard de croissance, troubles cutanés. Pour la forme collyre : risque d'hypertension intra-oculaire (HPIO), de glaucome cortico-induit (à surveiller si &gt; 2 semaines), de cataracte, d'infection opportuniste (champignons, herpès), de retard de cicatrisation cornéenne.</w:t>
      </w:r>
    </w:p>
    <w:p>
      <w:pPr>
        <w:pStyle w:val="ListBullet"/>
      </w:pPr>
      <w:r>
        <w:t>Prévention : Identique à la prednisone. Pour le collyre : surveillance de la PIO si &gt; 2 semaines ; ne pas utiliser en cas d'infection oculaire non traitée ; ne pas associer aux lentilles de contact pendant le traitement.</w:t>
      </w:r>
    </w:p>
    <w:p>
      <w:r/>
      <w:r>
        <w:rPr>
          <w:b/>
        </w:rPr>
        <w:t>Prévention et Gestion des Effets Indésirables :</w:t>
      </w:r>
      <w:r/>
    </w:p>
    <w:p>
      <w:pPr>
        <w:pStyle w:val="ListBullet"/>
      </w:pPr>
      <w:r>
        <w:t>Mesures Préventives : Identiques à la prednisone. Pour la pédiatrie (solution buvable et orodispersible) : attention à la croissance staturale (mesure tous les 3 mois), à la densité osseuse (DEXA si &gt; 6 mois), au risque d'infection grave (couverture anti-pneumocystose si &gt; 4 semaines à dose &gt; 1 mg/kg/j). Pour le collyre : limitation à 2 semaines en l'absence d'avis ophtalmologique ; surveillance PIO.</w:t>
      </w:r>
    </w:p>
    <w:p>
      <w:pPr>
        <w:pStyle w:val="ListBullet"/>
      </w:pPr>
      <w:r>
        <w:t>Conduite à Tenir : Identique à la prednisone. Pour le collyre : en cas de vision floue, douleur oculaire, rougeur, arrêter et consulter en urgence.</w:t>
      </w:r>
    </w:p>
    <w:p>
      <w:r/>
      <w:r>
        <w:rPr>
          <w:b/>
        </w:rPr>
        <w:t>Interactions Importantes :</w:t>
      </w:r>
      <w:r/>
    </w:p>
    <w:p>
      <w:pPr>
        <w:pStyle w:val="ListBullet"/>
      </w:pPr>
      <w:r>
        <w:t>Identiques à la prednisone (AINS, diurétiques, digoxine, antihypertenseurs, antidiabétiques, inducteurs/inhibiteurs enzymatiques, vaccins vivants, anticoagulants oraux, ciclosporine).</w:t>
      </w:r>
    </w:p>
    <w:p>
      <w:pPr>
        <w:pStyle w:val="ListBullet"/>
      </w:pPr>
      <w:r>
        <w:t>Prednisolone + phénobarbital, rifampicine, carbamazépine, phénytoïne → augmentation du métabolisme → réduction d'efficacité (jusqu'à × 2-3 de dose nécessaire).</w:t>
      </w:r>
    </w:p>
    <w:p>
      <w:pPr>
        <w:pStyle w:val="ListBullet"/>
      </w:pPr>
      <w:r>
        <w:t>Prednisolone + kétoconazole, itraconazole, érythromycine, clarithromycine, ritonavir → diminution du métabolisme → majoration des effets indésirables.</w:t>
      </w:r>
    </w:p>
    <w:p>
      <w:pPr>
        <w:pStyle w:val="ListBullet"/>
      </w:pPr>
      <w:r>
        <w:t>Collyre : pas d'interaction systémique significative (faible résorption).</w:t>
      </w:r>
    </w:p>
    <w:p>
      <w:r/>
      <w:r>
        <w:rPr>
          <w:b/>
        </w:rPr>
        <w:t>Grossesse et Allaitement :</w:t>
      </w:r>
      <w:r/>
    </w:p>
    <w:p>
      <w:pPr>
        <w:pStyle w:val="ListBullet"/>
      </w:pPr>
      <w:r>
        <w:t xml:space="preserve">Grossesse : </w:t>
      </w:r>
      <w:r>
        <w:rPr>
          <w:b/>
        </w:rPr>
        <w:t>Compatible</w:t>
      </w:r>
      <w:r>
        <w:t xml:space="preserve"> (CRAT : identique à la prednisone — « la prednisolone traverse le placenta mais est partiellement inactivée par la 11β-HSD2 placentaire ; passage fœtal ≈ 10 % de la dose maternelle. À dose ≤ 20 mg/j, sans danger. À dose &gt; 20 mg/j &gt; 1 mois, légère augmentation du risque de fente palatine (OR 1,7) et de RCIU »). Préférée à la prednisone en cas d'insuffisance hépatique maternelle.</w:t>
      </w:r>
    </w:p>
    <w:p>
      <w:pPr>
        <w:pStyle w:val="ListBullet"/>
      </w:pPr>
      <w:r>
        <w:t xml:space="preserve">Allaitement : </w:t>
      </w:r>
      <w:r>
        <w:rPr>
          <w:b/>
        </w:rPr>
        <w:t>Compatible</w:t>
      </w:r>
      <w:r>
        <w:t xml:space="preserve"> (CRAT : passage minimal &lt; 0,1 % dose maternelle ; à dose &lt; 40 mg/j, allaitement autorisé, espacer prise et tétée de 4 h si dose &gt; 40 mg).</w:t>
      </w:r>
    </w:p>
    <w:p>
      <w:pPr>
        <w:pStyle w:val="ListBullet"/>
      </w:pPr>
      <w:r>
        <w:t>Précisions : Le collyre de prednisolone est autorisé pendant la grossesse et l'allaitement (résorption systémique minimale).</w:t>
      </w:r>
    </w:p>
    <w:p>
      <w:r/>
      <w:r>
        <w:rPr>
          <w:b/>
        </w:rPr>
        <w:t>Posologie et Mode d'administration (Standard) :</w:t>
      </w:r>
      <w:r/>
    </w:p>
    <w:p>
      <w:pPr>
        <w:pStyle w:val="ListBullet"/>
      </w:pPr>
      <w:r>
        <w:t>Adulte (anti-inflammatoire générale) : 0,5 à 1 mg/kg/j per os en 1 prise matinale (soit 30 à 80 mg/j pour 60 kg).</w:t>
      </w:r>
    </w:p>
    <w:p>
      <w:pPr>
        <w:pStyle w:val="ListBullet"/>
      </w:pPr>
      <w:r>
        <w:t>Adulte (entretien long cours) : 5 à 10 mg/j en monoprise matinale.</w:t>
      </w:r>
    </w:p>
    <w:p>
      <w:pPr>
        <w:pStyle w:val="ListBullet"/>
      </w:pPr>
      <w:r>
        <w:t>Adulte (asthme aigu, exacerbation BPCO) : 0,5 à 1 mg/kg/j × 5-14 jours.</w:t>
      </w:r>
    </w:p>
    <w:p>
      <w:pPr>
        <w:pStyle w:val="ListBullet"/>
      </w:pPr>
      <w:r>
        <w:t>Enfant (asthme aigu sévère) : 1 à 2 mg/kg/j en solution buvable ou orodispersible (max. 60 mg/j).</w:t>
      </w:r>
    </w:p>
    <w:p>
      <w:pPr>
        <w:pStyle w:val="ListBullet"/>
      </w:pPr>
      <w:r>
        <w:t>Enfant (néphrose lipoïdique, néphropathie à IgA) : 60 mg/m²/j en monoprise matinale ou alternée (1 jour sur 2) pour limiter le freinage HPA.</w:t>
      </w:r>
    </w:p>
    <w:p>
      <w:pPr>
        <w:pStyle w:val="ListBullet"/>
      </w:pPr>
      <w:r>
        <w:t>Sujet âgé : dose initiale réduite 0,5 mg/kg/j, surveillance accrue.</w:t>
      </w:r>
    </w:p>
    <w:p>
      <w:pPr>
        <w:pStyle w:val="ListBullet"/>
      </w:pPr>
      <w:r>
        <w:t>Collyre : 1 goutte × 2 à 6/j dans l'œil atteint, durée maximale 2 semaines sans avis ophtalmologique.</w:t>
      </w:r>
    </w:p>
    <w:p>
      <w:pPr>
        <w:pStyle w:val="ListBullet"/>
      </w:pPr>
      <w:r>
        <w:t>Durée : cours court (5-14 jours, arrêt d'emblée) si possible ; cours long avec décroissance progressive si &gt; 14 jours.</w:t>
      </w:r>
    </w:p>
    <w:p>
      <w:pPr>
        <w:pStyle w:val="ListBullet"/>
      </w:pPr>
      <w:r>
        <w:t xml:space="preserve">Moment de prise : </w:t>
      </w:r>
      <w:r>
        <w:rPr>
          <w:b/>
        </w:rPr>
        <w:t>1 prise matinale unique vers 8h</w:t>
      </w:r>
      <w:r>
        <w:t xml:space="preserve"> pour les doses &lt; 1 mg/kg/j (respect du rythme circadien) ; 2 prises (matin et midi) pour les doses élevées.</w:t>
      </w:r>
    </w:p>
    <w:p>
      <w:r/>
      <w:r>
        <w:rPr>
          <w:b/>
        </w:rPr>
        <w:t>Arbitrage et Bénéfices des Formes Galéniques :</w:t>
      </w:r>
      <w:r/>
    </w:p>
    <w:p>
      <w:r>
        <w:t>Le choix entre prednisolone et prednisone repose sur plusieurs critères : (i) prédilection pour la prednisolone en pédiatrie (orodispersible Solupred® Oro, Cortidal®) et chez le sujet âgé (orodispersible, solution buvable) ; (ii) insuffisance hépatique sévère (prednisolone directement active) ; (iii) interaction médicamenteuse inhibitrice (prednisolone non soumise à la conversion hépatique) ; (iv) collyre pour les indications ophtalmologiques. La prednisolone est la référence de la corticothérapie systémique en Algérie, avec une gamme de spécialités sans équivalent (30+ formes actives). Le Solupred Oro® (ProPharmal) est la spécialité la plus prescrite. La forme effervescente (REDNILEF®, Hikma) est une alternative pour les patients avec troubles de déglutition. Le collyre OPTIPRED® est réservé à l'ophtalmologie.</w:t>
      </w:r>
    </w:p>
    <w:p>
      <w:r/>
      <w:r>
        <w:rPr>
          <w:b/>
        </w:rPr>
        <w:t>Instructions et Conseils au Patient :</w:t>
      </w:r>
      <w:r/>
    </w:p>
    <w:p>
      <w:pPr>
        <w:pStyle w:val="ListBullet"/>
      </w:pPr>
      <w:r>
        <w:t xml:space="preserve">Communication au comptoir : « Votre prednisolone est un anti-inflammatoire stéroïdien (cortisone). Prenez-la en 1 prise le matin vers 8h, pendant ou après le petit-déjeuner. </w:t>
      </w:r>
      <w:r>
        <w:rPr>
          <w:b/>
        </w:rPr>
        <w:t>Ne JAMAIS arrêter brutalement</w:t>
      </w:r>
      <w:r>
        <w:t xml:space="preserve"> : risque d'insuffisance surrénale aiguë. Votre médecin vous donnera un schéma de décroissance si le traitement dépasse 2 semaines. Portez une carte de corticothérapie. Le comprimé orodispersible se dissout sur la langue en 30 secondes, sans eau — utile pour les enfants et les personnes ayant du mal à avaler. La solution buvable se mesure avec la pipette graduée. Pour le collyre, ne pas dépasser 2 semaines sans avis ophtalmologique. Évitez les contacts contagieux (varicelle, rougeole, tuberculose). Prévenez votre médecin en cas de fièvre. Prévoyez calcium + vitamine D si &gt; 3 semaines. Régime hyposodé et riche en potassium. »</w:t>
      </w:r>
    </w:p>
    <w:p>
      <w:pPr>
        <w:pStyle w:val="ListBullet"/>
      </w:pPr>
      <w:r>
        <w:t>Mode d'utilisation pratique : Orodispersible : laisser fondre sur la langue (sans eau). Solution buvable : mesurer avec la pipette. Prise unique le matin vers 8h. Port de la carte de corticothérapie. Collyre : se laver les mains, tirer la paupière inférieure, instiller 1 goutte, fermer l'œil 1 minute, ne pas cligner. Ne pas toucher l'embout. Ne pas associer aux lentilles de contact.</w:t>
      </w:r>
    </w:p>
    <w:p>
      <w:r/>
      <w:r>
        <w:rPr>
          <w:b/>
        </w:rPr>
        <w:t>Notes, Règles d'Or &amp; Pièges au Comptoir :</w:t>
      </w:r>
      <w:r/>
    </w:p>
    <w:p>
      <w:pPr>
        <w:pStyle w:val="ListBullet"/>
      </w:pPr>
      <w:r>
        <w:t xml:space="preserve">Piège classique : </w:t>
      </w:r>
      <w:r>
        <w:rPr>
          <w:b/>
        </w:rPr>
        <w:t>Arrêt brutal = insuffisance surrénale aiguë</w:t>
      </w:r>
      <w:r>
        <w:t xml:space="preserve"> si traitement &gt; 2 semaines à dose &gt; 10 mg/j. Information écrite obligatoire et port de la carte. Pour un cours court (&lt; 14 jours), arrêt d'emblée autorisé.</w:t>
      </w:r>
    </w:p>
    <w:p>
      <w:pPr>
        <w:pStyle w:val="ListBullet"/>
      </w:pPr>
      <w:r>
        <w:t>Règle de prise : 1 prise matinale unique vers 8h pour les doses &lt; 1 mg/kg/j (respect du rythme circadien). Pour la forme orodispersible : laisser fondre sur la langue, ne pas croquer.</w:t>
      </w:r>
    </w:p>
    <w:p>
      <w:pPr>
        <w:pStyle w:val="ListBullet"/>
      </w:pPr>
      <w:r>
        <w:t>Préparation et Conservation : Conservation &lt; 25 °C, à l'abri de l'humidité. Les comprimés orodispersibles sont sensibles à l'humidité — bien refermer le pilulier. Les solutions buvables : bien agiter avant emploi, conservation &lt; 25 °C après ouverture, à utiliser dans les 3 mois. Le collyre : à jeter 15 jours après ouverture (conservation normale) ou 1 mois (unidose).</w:t>
      </w:r>
    </w:p>
    <w:p>
      <w:pPr>
        <w:pStyle w:val="ListBullet"/>
      </w:pPr>
      <w:r>
        <w:t xml:space="preserve">Piège du surdosage / Substitution : </w:t>
      </w:r>
      <w:r>
        <w:rPr>
          <w:b/>
        </w:rPr>
        <w:t>Équivalence anti-inflammatoire</w:t>
      </w:r>
      <w:r>
        <w:t xml:space="preserve"> : 5 mg prednisolone = 5 mg prednisone = 4 mg méthylprednisolone = 4 mg triamcinolone = 20 mg hydrocortisone = 0,75 mg dexaméthasone = 0,75 mg bétaméthasone. La prednisolone et la prednisone sont strictement équivalentes (1:1). En cas de substitution prednisone → prednisolone (ou inversement), pas d'ajustement posologique. En cas de substitution par la méthylprednisolone, multiplier la dose par 0,8 (5 mg prednisolone = 4 mg méthylprednisolone). Attention : la prednisolone a une activité minéralocorticoïde résiduelle supérieure à celle de la méthylprednisolone et de la dexaméthasone (qui n'en ont pas) — surveiller la tension et la kaliémie en cas de substitution.</w:t>
      </w:r>
    </w:p>
    <w:p>
      <w:pPr>
        <w:pStyle w:val="ListBullet"/>
      </w:pPr>
      <w:r>
        <w:t>Règle de prescription : Liste I, prescription initiale semestrielle, renouvelable dans la limite de 1 an.</w:t>
      </w:r>
    </w:p>
    <w:p>
      <w:pPr>
        <w:pStyle w:val="Heading3"/>
      </w:pPr>
      <w:r>
        <w:t>8. DCI : Méthylprednisolone (Seule)</w:t>
      </w:r>
    </w:p>
    <w:p>
      <w:r/>
      <w:r>
        <w:rPr>
          <w:b/>
        </w:rPr>
        <w:t>Liste des Catégories :</w:t>
      </w:r>
      <w:r>
        <w:t xml:space="preserve"> Liste I (sur ordonnance). Glucocorticoïdes systémiques — Action intermédiaire.</w:t>
      </w:r>
    </w:p>
    <w:p>
      <w:r>
        <w:t xml:space="preserve">La méthylprednisolone est un glucocorticoïde intermédiaire de synthèse, dérivé 6α-méthylé de la prednisolone. Cette modification structurale confère trois avantages : (i) </w:t>
      </w:r>
      <w:r>
        <w:rPr>
          <w:b/>
        </w:rPr>
        <w:t>puissance anti-inflammatoire légèrement supérieure</w:t>
      </w:r>
      <w:r>
        <w:t xml:space="preserve"> (4 mg méthylprednisolone = 5 mg prednisolone, soit 1,25×) ; (ii) </w:t>
      </w:r>
      <w:r>
        <w:rPr>
          <w:b/>
        </w:rPr>
        <w:t>activité minéralocorticoïde quasi nulle</w:t>
      </w:r>
      <w:r>
        <w:t xml:space="preserve"> — pas de rétention hydrosodée significative, pas d'hypokaliémie marquée — préférée dans les situations où l'équilibre hydro-électrolytique est précaire (hypertension, insuffisance cardiaque, œdème cérébral) ; (iii) </w:t>
      </w:r>
      <w:r>
        <w:rPr>
          <w:b/>
        </w:rPr>
        <w:t>meilleure pénétration tissulaire</w:t>
      </w:r>
      <w:r>
        <w:t xml:space="preserve"> notamment dans le SNC (efficacité supérieure dans les poussées de sclérose en plaques, les œdèmes cérébraux, les vascularites sévères). Sa </w:t>
      </w:r>
      <w:r>
        <w:rPr>
          <w:b/>
        </w:rPr>
        <w:t>demi-vie plasmatique est de 2 à 4 h</w:t>
      </w:r>
      <w:r>
        <w:t xml:space="preserve">, sa </w:t>
      </w:r>
      <w:r>
        <w:rPr>
          <w:b/>
        </w:rPr>
        <w:t>demi-vie biologique de 12 à 36 h</w:t>
      </w:r>
      <w:r>
        <w:t xml:space="preserve">. La biodisponibilité orale est de 80 à 90 %, la fixation protéique modérée (40 à 60 %), le métabolisme hépatique (CYP3A4 principalement), l'excrétion urinaire des métabolites. La forme IV (hémi-succinate de méthylprednisolone — Solu-Medrol®) est le pilier des </w:t>
      </w:r>
      <w:r>
        <w:rPr>
          <w:b/>
        </w:rPr>
        <w:t>bolus de corticothérapie</w:t>
      </w:r>
      <w:r>
        <w:t xml:space="preserve"> (1 g IV × 3-5 jours dans les poussées de SEP, vascularites sévères, rejets de greffe, glomérulonéphrites prolifératives), avec une activité anti-inflammatoire massive et un effet osmotique cérébral (œdème cérébral — alternative à la dexaméthasone). La forme IM retard (acétate de méthylprednisolone — Dépo-Medrol®) est utilisée en rhumatologie (infiltrations intra-articulaires) et en allergologie (désensibilisation).</w:t>
      </w:r>
    </w:p>
    <w:p>
      <w:r/>
      <w:r>
        <w:rPr>
          <w:b/>
        </w:rPr>
        <w:t>Médicaments disponibles en Algérie (Marques, Laboratoires, Formes et Dosages) :</w:t>
      </w:r>
      <w:r/>
    </w:p>
    <w:p>
      <w:r/>
      <w:r>
        <w:rPr>
          <w:i/>
        </w:rPr>
        <w:t>Formes orales (comprimés) :</w:t>
      </w:r>
      <w:r/>
    </w:p>
    <w:p>
      <w:pPr>
        <w:pStyle w:val="ListBullet"/>
      </w:pPr>
      <w:r/>
      <w:r>
        <w:rPr>
          <w:b/>
        </w:rPr>
        <w:t>CORTTILAM</w:t>
      </w:r>
      <w:r>
        <w:t xml:space="preserve"> (LABORATOIRE ALGERIEN DU MEDICAMENT — LAM)</w:t>
      </w:r>
    </w:p>
    <w:p>
      <w:pPr>
        <w:pStyle w:val="ListBullet"/>
      </w:pPr>
      <w:r>
        <w:t>Formes et Dosages : Comprimé sécable 4 mg (B/20)</w:t>
      </w:r>
    </w:p>
    <w:p>
      <w:pPr>
        <w:pStyle w:val="ListBullet"/>
      </w:pPr>
      <w:r>
        <w:t>Statut : Actif — Spécialité algérienne orale de référence</w:t>
      </w:r>
    </w:p>
    <w:p>
      <w:pPr>
        <w:pStyle w:val="ListBullet"/>
      </w:pPr>
      <w:r/>
      <w:r>
        <w:rPr>
          <w:b/>
        </w:rPr>
        <w:t>HUPPOMEDROL</w:t>
      </w:r>
      <w:r>
        <w:t xml:space="preserve"> (HUPP PHARMA — Algérie)</w:t>
      </w:r>
    </w:p>
    <w:p>
      <w:pPr>
        <w:pStyle w:val="ListBullet"/>
      </w:pPr>
      <w:r>
        <w:t>Formes et Dosages : Comprimé sécable 4 mg (B/30) ; 16 mg (B/20)</w:t>
      </w:r>
    </w:p>
    <w:p>
      <w:pPr>
        <w:pStyle w:val="ListBullet"/>
      </w:pPr>
      <w:r>
        <w:t>Statut : Actif — Double dosage 4 mg et 16 mg, permettant titration et bolus oral</w:t>
      </w:r>
    </w:p>
    <w:p>
      <w:pPr>
        <w:pStyle w:val="ListBullet"/>
      </w:pPr>
      <w:r/>
      <w:r>
        <w:rPr>
          <w:b/>
        </w:rPr>
        <w:t>MP4</w:t>
      </w:r>
      <w:r>
        <w:t xml:space="preserve"> (SARL API — Algérie)</w:t>
      </w:r>
    </w:p>
    <w:p>
      <w:pPr>
        <w:pStyle w:val="ListBullet"/>
      </w:pPr>
      <w:r>
        <w:t>Formes et Dosages : Comprimé 4 mg (B/20)</w:t>
      </w:r>
    </w:p>
    <w:p>
      <w:pPr>
        <w:pStyle w:val="ListBullet"/>
      </w:pPr>
      <w:r>
        <w:t>Statut : Actif</w:t>
      </w:r>
    </w:p>
    <w:p>
      <w:pPr>
        <w:pStyle w:val="ListBullet"/>
      </w:pPr>
      <w:r/>
      <w:r>
        <w:rPr>
          <w:b/>
        </w:rPr>
        <w:t>MP 16</w:t>
      </w:r>
      <w:r>
        <w:t xml:space="preserve"> (SARL API — Algérie)</w:t>
      </w:r>
    </w:p>
    <w:p>
      <w:pPr>
        <w:pStyle w:val="ListBullet"/>
      </w:pPr>
      <w:r>
        <w:t>Formes et Dosages : Comprimé sécable 16 mg (B/10)</w:t>
      </w:r>
    </w:p>
    <w:p>
      <w:pPr>
        <w:pStyle w:val="ListBullet"/>
      </w:pPr>
      <w:r>
        <w:t>Statut : Actif</w:t>
      </w:r>
    </w:p>
    <w:p>
      <w:pPr>
        <w:pStyle w:val="ListBullet"/>
      </w:pPr>
      <w:r/>
      <w:r>
        <w:rPr>
          <w:b/>
        </w:rPr>
        <w:t>PREDNOL</w:t>
      </w:r>
      <w:r>
        <w:t xml:space="preserve"> (MUSTAFA NEVZAT ILAÇ SANAYII A.Ş — Turquie)</w:t>
      </w:r>
    </w:p>
    <w:p>
      <w:pPr>
        <w:pStyle w:val="ListBullet"/>
      </w:pPr>
      <w:r>
        <w:t>Formes et Dosages : Comprimé 4 mg (B/20) — Actif</w:t>
      </w:r>
    </w:p>
    <w:p>
      <w:pPr>
        <w:pStyle w:val="ListBullet"/>
      </w:pPr>
      <w:r>
        <w:t>Statut : Actif</w:t>
      </w:r>
    </w:p>
    <w:p>
      <w:pPr>
        <w:pStyle w:val="ListBullet"/>
      </w:pPr>
      <w:r/>
      <w:r>
        <w:rPr>
          <w:b/>
        </w:rPr>
        <w:t>TERAPRED</w:t>
      </w:r>
      <w:r>
        <w:t xml:space="preserve"> (BIOGALENIC — Algérie)</w:t>
      </w:r>
    </w:p>
    <w:p>
      <w:pPr>
        <w:pStyle w:val="ListBullet"/>
      </w:pPr>
      <w:r>
        <w:t>Formes et Dosages : Comprimé sécable 4 mg (B/30) ; 16 mg (B/20)</w:t>
      </w:r>
    </w:p>
    <w:p>
      <w:pPr>
        <w:pStyle w:val="ListBullet"/>
      </w:pPr>
      <w:r>
        <w:t>Statut : Actif</w:t>
      </w:r>
    </w:p>
    <w:p>
      <w:pPr>
        <w:pStyle w:val="ListBullet"/>
      </w:pPr>
      <w:r/>
      <w:r>
        <w:rPr>
          <w:b/>
        </w:rPr>
        <w:t>MEDROL</w:t>
      </w:r>
      <w:r>
        <w:t xml:space="preserve"> (PFIZER HOLDING FRANCE / PHARMACIA &amp; UPJOHN) — (Non Renouvelable)</w:t>
      </w:r>
    </w:p>
    <w:p>
      <w:pPr>
        <w:pStyle w:val="ListBullet"/>
      </w:pPr>
      <w:r>
        <w:t>Formes et Dosages : Comprimé 4 mg (B/30) ; 16 mg (B/20)</w:t>
      </w:r>
    </w:p>
    <w:p>
      <w:pPr>
        <w:pStyle w:val="ListBullet"/>
      </w:pPr>
      <w:r>
        <w:t>Statut : Non Renouvelable — Spécialité historique internationale</w:t>
      </w:r>
    </w:p>
    <w:p>
      <w:pPr>
        <w:pStyle w:val="ListBullet"/>
      </w:pPr>
      <w:r/>
      <w:r>
        <w:rPr>
          <w:b/>
        </w:rPr>
        <w:t>NOVACORT</w:t>
      </w:r>
      <w:r>
        <w:t xml:space="preserve"> (NOVA ARGENTIA) — (Non Renouvelable)</w:t>
      </w:r>
    </w:p>
    <w:p>
      <w:pPr>
        <w:pStyle w:val="ListBullet"/>
      </w:pPr>
      <w:r>
        <w:t>Formes et Dosages : Comprimé 4 mg (B/30)</w:t>
      </w:r>
    </w:p>
    <w:p>
      <w:pPr>
        <w:pStyle w:val="ListBullet"/>
      </w:pPr>
      <w:r>
        <w:t>Statut : Non Renouvelable</w:t>
      </w:r>
    </w:p>
    <w:p>
      <w:r/>
      <w:r>
        <w:rPr>
          <w:i/>
        </w:rPr>
        <w:t>Formes injectables (IV/IM) — hémi-succinate de méthylprednisolone :</w:t>
      </w:r>
      <w:r/>
    </w:p>
    <w:p>
      <w:pPr>
        <w:pStyle w:val="ListBullet"/>
      </w:pPr>
      <w:r/>
      <w:r>
        <w:rPr>
          <w:b/>
        </w:rPr>
        <w:t>LEMOD-SOLU</w:t>
      </w:r>
      <w:r>
        <w:t xml:space="preserve"> (HEMOFARM A.D / GEOPHARM — Algérie)</w:t>
      </w:r>
    </w:p>
    <w:p>
      <w:pPr>
        <w:pStyle w:val="ListBullet"/>
      </w:pPr>
      <w:r>
        <w:t>Formes et Dosages : Poudre lyophilisée pour solution injectable IM/IV 20 mg (Fl + 1 mL solvant avec alcool benzylique) ; 40 mg (Fl + solvant)</w:t>
      </w:r>
    </w:p>
    <w:p>
      <w:pPr>
        <w:pStyle w:val="ListBullet"/>
      </w:pPr>
      <w:r>
        <w:t>Statut : Actif</w:t>
      </w:r>
    </w:p>
    <w:p>
      <w:pPr>
        <w:pStyle w:val="ListBullet"/>
      </w:pPr>
      <w:r/>
      <w:r>
        <w:rPr>
          <w:b/>
        </w:rPr>
        <w:t>LISAMETHYLE</w:t>
      </w:r>
      <w:r>
        <w:t xml:space="preserve"> (ITALIANO BIOCHIMICO FARMACEUTICO LISAPHARMA SPA — Italie)</w:t>
      </w:r>
    </w:p>
    <w:p>
      <w:pPr>
        <w:pStyle w:val="ListBullet"/>
      </w:pPr>
      <w:r>
        <w:t>Formes et Dosages : Poudre lyophilisée pour solution injectable IM/IV 20 mg, 40 mg, 120 mg</w:t>
      </w:r>
    </w:p>
    <w:p>
      <w:pPr>
        <w:pStyle w:val="ListBullet"/>
      </w:pPr>
      <w:r>
        <w:t>Statut : Actif</w:t>
      </w:r>
    </w:p>
    <w:p>
      <w:pPr>
        <w:pStyle w:val="ListBullet"/>
      </w:pPr>
      <w:r/>
      <w:r>
        <w:rPr>
          <w:b/>
        </w:rPr>
        <w:t>MEPRENAL</w:t>
      </w:r>
      <w:r>
        <w:t xml:space="preserve"> (SOCIETE PHARMACEUTIQUE ALGERIENNE SOPHAL — Algérie)</w:t>
      </w:r>
    </w:p>
    <w:p>
      <w:pPr>
        <w:pStyle w:val="ListBullet"/>
      </w:pPr>
      <w:r>
        <w:t>Formes et Dosages : Poudre lyophilisée pour solution injectable IM/IV 20 mg ; 40 mg</w:t>
      </w:r>
    </w:p>
    <w:p>
      <w:pPr>
        <w:pStyle w:val="ListBullet"/>
      </w:pPr>
      <w:r>
        <w:t>Statut : Actif — Spécialité algérienne IV de référence</w:t>
      </w:r>
    </w:p>
    <w:p>
      <w:pPr>
        <w:pStyle w:val="ListBullet"/>
      </w:pPr>
      <w:r/>
      <w:r>
        <w:rPr>
          <w:b/>
        </w:rPr>
        <w:t>METHYLPREDNISOLONE MYLAN</w:t>
      </w:r>
      <w:r>
        <w:t xml:space="preserve"> (MYLAN SAS — France)</w:t>
      </w:r>
    </w:p>
    <w:p>
      <w:pPr>
        <w:pStyle w:val="ListBullet"/>
      </w:pPr>
      <w:r>
        <w:t>Formes et Dosages : Poudre pour solution injectable IV/IM 20 mg, 40 mg, 120 mg, 1 g</w:t>
      </w:r>
    </w:p>
    <w:p>
      <w:pPr>
        <w:pStyle w:val="ListBullet"/>
      </w:pPr>
      <w:r>
        <w:t>Statut : Actif — Gamme complète incluant le 1 g pour bolus</w:t>
      </w:r>
    </w:p>
    <w:p>
      <w:pPr>
        <w:pStyle w:val="ListBullet"/>
      </w:pPr>
      <w:r/>
      <w:r>
        <w:rPr>
          <w:b/>
        </w:rPr>
        <w:t>INPREDNI 40</w:t>
      </w:r>
      <w:r>
        <w:t xml:space="preserve"> (CPCM — Algérie)</w:t>
      </w:r>
    </w:p>
    <w:p>
      <w:pPr>
        <w:pStyle w:val="ListBullet"/>
      </w:pPr>
      <w:r>
        <w:t>Formes et Dosages : Poudre pour solution injectable IV/IM 40 mg (B/50)</w:t>
      </w:r>
    </w:p>
    <w:p>
      <w:pPr>
        <w:pStyle w:val="ListBullet"/>
      </w:pPr>
      <w:r>
        <w:t>Statut : Actif — Grand conditionnement hospitalier</w:t>
      </w:r>
    </w:p>
    <w:p>
      <w:pPr>
        <w:pStyle w:val="ListBullet"/>
      </w:pPr>
      <w:r/>
      <w:r>
        <w:rPr>
          <w:b/>
        </w:rPr>
        <w:t>SOLUMED</w:t>
      </w:r>
      <w:r>
        <w:t xml:space="preserve"> (GEOPHARM — Algérie)</w:t>
      </w:r>
    </w:p>
    <w:p>
      <w:pPr>
        <w:pStyle w:val="ListBullet"/>
      </w:pPr>
      <w:r>
        <w:t>Formes et Dosages : Poudre + solvant pour solution injectable 40 mg (B/50)</w:t>
      </w:r>
    </w:p>
    <w:p>
      <w:pPr>
        <w:pStyle w:val="ListBullet"/>
      </w:pPr>
      <w:r>
        <w:t>Statut : Actif</w:t>
      </w:r>
    </w:p>
    <w:p>
      <w:pPr>
        <w:pStyle w:val="ListBullet"/>
      </w:pPr>
      <w:r/>
      <w:r>
        <w:rPr>
          <w:b/>
        </w:rPr>
        <w:t>PREDNOL - L</w:t>
      </w:r>
      <w:r>
        <w:t xml:space="preserve"> (GASENTA ILAÇ SANAYI — Turquie)</w:t>
      </w:r>
    </w:p>
    <w:p>
      <w:pPr>
        <w:pStyle w:val="ListBullet"/>
      </w:pPr>
      <w:r>
        <w:t>Formes et Dosages : Poudre pour solution injectable 40 mg (B/1+1)</w:t>
      </w:r>
    </w:p>
    <w:p>
      <w:pPr>
        <w:pStyle w:val="ListBullet"/>
      </w:pPr>
      <w:r>
        <w:t>Statut : Actif</w:t>
      </w:r>
    </w:p>
    <w:p>
      <w:r/>
      <w:r>
        <w:rPr>
          <w:i/>
        </w:rPr>
        <w:t>Forme IM retard (acétate de méthylprednisolone — Depo-Medrol) :</w:t>
      </w:r>
      <w:r/>
    </w:p>
    <w:p>
      <w:pPr>
        <w:pStyle w:val="ListBullet"/>
      </w:pPr>
      <w:r/>
      <w:r>
        <w:rPr>
          <w:b/>
        </w:rPr>
        <w:t>METHYL-PREDNISOLONE NAD</w:t>
      </w:r>
      <w:r>
        <w:t xml:space="preserve"> (NADPHARMADIC-PRODUCTION — Algérie)</w:t>
      </w:r>
    </w:p>
    <w:p>
      <w:pPr>
        <w:pStyle w:val="ListBullet"/>
      </w:pPr>
      <w:r>
        <w:t>Formes et Dosages : Suspension injectable 40 mg/mL (amp 1 mL)</w:t>
      </w:r>
    </w:p>
    <w:p>
      <w:pPr>
        <w:pStyle w:val="ListBullet"/>
      </w:pPr>
      <w:r>
        <w:t>Statut : Actif — Pour infiltrations articulaires et IM</w:t>
      </w:r>
    </w:p>
    <w:p>
      <w:pPr>
        <w:pStyle w:val="ListBullet"/>
      </w:pPr>
      <w:r/>
      <w:r>
        <w:rPr>
          <w:b/>
        </w:rPr>
        <w:t>EPIZOLONE-DEPOT</w:t>
      </w:r>
      <w:r>
        <w:t xml:space="preserve"> (EPICO — Égypte)</w:t>
      </w:r>
    </w:p>
    <w:p>
      <w:pPr>
        <w:pStyle w:val="ListBullet"/>
      </w:pPr>
      <w:r>
        <w:t>Formes et Dosages : Suspension aqueuse injectable 40 mg/mL (1 mL) et 80 mg/2 mL</w:t>
      </w:r>
    </w:p>
    <w:p>
      <w:pPr>
        <w:pStyle w:val="ListBullet"/>
      </w:pPr>
      <w:r>
        <w:t>Statut : Actif</w:t>
      </w:r>
    </w:p>
    <w:p>
      <w:pPr>
        <w:pStyle w:val="ListBullet"/>
      </w:pPr>
      <w:r/>
      <w:r>
        <w:rPr>
          <w:b/>
        </w:rPr>
        <w:t>LISAMETACE</w:t>
      </w:r>
      <w:r>
        <w:t xml:space="preserve"> (LISAPHARMA — Italie)</w:t>
      </w:r>
    </w:p>
    <w:p>
      <w:pPr>
        <w:pStyle w:val="ListBullet"/>
      </w:pPr>
      <w:r>
        <w:t>Formes et Dosages : Suspension injectable 40 mg/mL (amp 1 mL)</w:t>
      </w:r>
    </w:p>
    <w:p>
      <w:pPr>
        <w:pStyle w:val="ListBullet"/>
      </w:pPr>
      <w:r>
        <w:t>Statut : Actif</w:t>
      </w:r>
    </w:p>
    <w:p>
      <w:r/>
      <w:r>
        <w:rPr>
          <w:i/>
        </w:rPr>
        <w:t>Forme retirée :</w:t>
      </w:r>
      <w:r/>
    </w:p>
    <w:p>
      <w:pPr>
        <w:pStyle w:val="ListBullet"/>
      </w:pPr>
      <w:r/>
      <w:r>
        <w:rPr>
          <w:b/>
        </w:rPr>
        <w:t>SOLU-MEDROL</w:t>
      </w:r>
      <w:r>
        <w:t xml:space="preserve"> (PHARMACIA S.A.S — Pfizer) — Poudre lyophilisée pour solution injectable IM/IV 20 mg/2 mL — Retiré (R) — Spécialité historique de référence internationale</w:t>
      </w:r>
    </w:p>
    <w:p>
      <w:r/>
      <w:r>
        <w:rPr>
          <w:b/>
        </w:rPr>
        <w:t>Sous-classe et Mécanisme d'action :</w:t>
      </w:r>
      <w:r/>
    </w:p>
    <w:p>
      <w:pPr>
        <w:pStyle w:val="ListBullet"/>
      </w:pPr>
      <w:r>
        <w:t>Sous-classe : Glucocorticoïdes systémiques — Action intermédiaire (demi-vie biologique 12 à 36 h). Dépourvu d'activité minéralocorticoïde significative — préféré dans les situations où la rétention hydrosodée doit être évitée. Forme IV de référence pour les bolus.</w:t>
      </w:r>
    </w:p>
    <w:p>
      <w:pPr>
        <w:pStyle w:val="ListBullet"/>
      </w:pPr>
      <w:r>
        <w:t xml:space="preserve">Mécanisme d'action : Identique à la prednisolone — traverse la membrane cellulaire par diffusion passive, se fixe sur le </w:t>
      </w:r>
      <w:r>
        <w:rPr>
          <w:b/>
        </w:rPr>
        <w:t>récepteur glucocorticoïde cytosolique (GRα)</w:t>
      </w:r>
      <w:r>
        <w:t xml:space="preserve"> en libérant les protéines chaperonnes (HSP90, HSP70). Translocation nucléaire, dimérisation, fixation sur les </w:t>
      </w:r>
      <w:r>
        <w:rPr>
          <w:b/>
        </w:rPr>
        <w:t>GRE</w:t>
      </w:r>
      <w:r>
        <w:t xml:space="preserve"> de l'ADN. Modulation transcriptionnelle des gènes anti-inflammatoires et pro-inflammatoires. La 6α-méthylation réduit l'affinité pour le récepteur minéralocorticoïde (MR), expliquant l'absence d'effet hydrosodé. La méthylprednisolone traverse bien la barrière hémato-encéphalique (BHE), justifiant son utilisation dans les poussées de SEP, les œdèmes cérébraux et les vascularites cérébrales.</w:t>
      </w:r>
    </w:p>
    <w:p>
      <w:r/>
      <w:r>
        <w:rPr>
          <w:b/>
        </w:rPr>
        <w:t>Profil Pharmacologique :</w:t>
      </w:r>
      <w:r/>
    </w:p>
    <w:p>
      <w:pPr>
        <w:pStyle w:val="ListBullet"/>
      </w:pPr>
      <w:r>
        <w:t>Indications : (1) Neurologie : poussées de sclérose en plaques (bolus 1 g IV × 3-5 jours), myélite transverse, neuropathies dysimmunes (Guillain-Barré alternative aux IgIV). (2) Rhumatologie : polyarthrite rhumatoïde (alternance avec prednisone), vascularites systémiques (maladie de Wegener/GPA, Churg-Strauss/EGPA, polyangéite microscopique/MPA, maladie de Horton avec atteinte ophtalmologique — bolus 500-1000 mg IV × 3 j puis prednisone 1 mg/kg/j). (3) Pneumologie : asthme aigu sévère (40 mg IV × 4/j ou 1 mg/kg/j), exacerbation de BPCO (alternative à la prednisolone), sarcoïdose pulmonaire sévère. (4) Néphrologie : glomérulonéphrites immunologiques (lupus néphrite classe IV-V — protocole EuroLupus : 500 mg IV × 6 + mycophénolate), vascularites rénales. (5) Hématologie-oncologie : purpura thrombopénique immunologique réfractaire (bolus 1 g IV × 3 j), rejets de greffe (en association). (6) Dermatologie : dermatoses bulleuses sévères (pemphigus, pemphigoïde). (7) Œdème cérébral tumoral ou post-opératoire (alternative à la dexaméthasone — 40 mg IV × 4/j, ou 0,5 mg/kg IV toutes les 6 h). (8) Formes IM retard : infiltrations intra-articulaires (genou, épaule, hanche — 40 à 80 mg selon l'articulation), désensibilisation allergologique. (9) Forme orale : relais des bolus IV, entretien long cours (4 à 16 mg/j).</w:t>
      </w:r>
    </w:p>
    <w:p>
      <w:pPr>
        <w:pStyle w:val="ListBullet"/>
      </w:pPr>
      <w:r>
        <w:t>Contre-indications : Identiques à la prednisolone. Pour les infiltrations : infection locale, sepsis, arthrose instable. Précautions : diabète, hypertension, IC, insuffisance rénale, ostéoporose, glaucome, cataracte, grossesse 3e trimestre, sujet âgé.</w:t>
      </w:r>
    </w:p>
    <w:p>
      <w:pPr>
        <w:pStyle w:val="ListBullet"/>
      </w:pPr>
      <w:r>
        <w:t xml:space="preserve">Effets Indésirables : Identiques à la prednisolone, avec quelques particularités : (i) </w:t>
      </w:r>
      <w:r>
        <w:rPr>
          <w:b/>
        </w:rPr>
        <w:t>moindre rétention hydrosodée</w:t>
      </w:r>
      <w:r>
        <w:t xml:space="preserve"> et </w:t>
      </w:r>
      <w:r>
        <w:rPr>
          <w:b/>
        </w:rPr>
        <w:t>moindre hypokaliémie</w:t>
      </w:r>
      <w:r>
        <w:t xml:space="preserve"> (absence d'effet MR) ; (ii) </w:t>
      </w:r>
      <w:r>
        <w:rPr>
          <w:b/>
        </w:rPr>
        <w:t>pic émotionnel aigu</w:t>
      </w:r>
      <w:r>
        <w:t xml:space="preserve"> plus marqué après bolus IV (euphorie, anxiété, insomnie, exceptionnellement syndrome maniaque ou psychose aiguë) — surveiller 24-48 h post-bolus ; (iii) flush facial, dysgueusie métallique pendant l'injection IV (à administrer en 30 min minimum pour éviter ces effets) ; (iv) exceptionnels cas d'anaphylaxie à l'hémi-succinate. Pour les infiltrations : risque d'arthrite aiguë à cristaux (microcristaux de méthylprednisolone acétate — 6 à 12 h post-infiltration), atrophie cutanée et hypopigmentation locale, calcifications.</w:t>
      </w:r>
    </w:p>
    <w:p>
      <w:r/>
      <w:r>
        <w:rPr>
          <w:b/>
        </w:rPr>
        <w:t>Prévention et Gestion des Effets Indésirables :</w:t>
      </w:r>
      <w:r/>
    </w:p>
    <w:p>
      <w:pPr>
        <w:pStyle w:val="ListBullet"/>
      </w:pPr>
      <w:r>
        <w:t>Mesures Préventives : Identiques à la prednisolone. Pour les bolus IV : surveillance cardiaque continue (ECG) pendant et après l'injection (risque d'arythmie), pression artérielle, glycémie, kaliémie. Vérifier l'absence d'allergie à l'hémi-succinate. Vitesse d'injection IV lente (&gt; 30 min pour 1 g) pour éviter les flush et les troubles du goût. Pour les infiltrations : asepsie rigoureuse, vérifier l'absence d'infection locale, ne pas infiltrer une articulation prothétique.</w:t>
      </w:r>
    </w:p>
    <w:p>
      <w:pPr>
        <w:pStyle w:val="ListBullet"/>
      </w:pPr>
      <w:r>
        <w:t>Conduite à Tenir : En cas de trouble psychiatrique aigu post-bolus → neuroleptique, anxiolytique, surveillance 24-48 h. En cas d'arthrite à cristaux post-infiltration → AINS, glace, régression spontanée en 48-72 h.</w:t>
      </w:r>
    </w:p>
    <w:p>
      <w:r/>
      <w:r>
        <w:rPr>
          <w:b/>
        </w:rPr>
        <w:t>Interactions Importantes :</w:t>
      </w:r>
      <w:r/>
    </w:p>
    <w:p>
      <w:pPr>
        <w:pStyle w:val="ListBullet"/>
      </w:pPr>
      <w:r>
        <w:t>Identiques à la prednisolone (AINS, diurétiques, digoxine, antihypertenseurs, antidiabétiques, inducteurs/inhibiteurs enzymatiques, vaccins vivants, anticoagulants oraux, ciclosporine).</w:t>
      </w:r>
    </w:p>
    <w:p>
      <w:pPr>
        <w:pStyle w:val="ListBullet"/>
      </w:pPr>
      <w:r>
        <w:t>Méthylprednisolone (bolus 1 g IV) + cyclophosphamide (bolus IV) → protocole des vascularites (EUVER, PEXIVAS, RAVE), surveillance hématologique et rénale.</w:t>
      </w:r>
    </w:p>
    <w:p>
      <w:pPr>
        <w:pStyle w:val="ListBullet"/>
      </w:pPr>
      <w:r>
        <w:t>Méthylprednisolone + érythromycine, clarithromycine, kétoconazole, itraconazole, ritonavir → inhibition CYP3A4 → majoration importante des concentrations (jusqu'à × 5), réduire la dose.</w:t>
      </w:r>
    </w:p>
    <w:p>
      <w:pPr>
        <w:pStyle w:val="ListBullet"/>
      </w:pPr>
      <w:r>
        <w:t>Méthylprednisolone + phénobarbital, carbamazépine, phénytoïne, rifampicine → induction CYP3A4 → réduction d'efficacité.</w:t>
      </w:r>
    </w:p>
    <w:p>
      <w:r/>
      <w:r>
        <w:rPr>
          <w:b/>
        </w:rPr>
        <w:t>Grossesse et Allaitement :</w:t>
      </w:r>
      <w:r/>
    </w:p>
    <w:p>
      <w:pPr>
        <w:pStyle w:val="ListBullet"/>
      </w:pPr>
      <w:r>
        <w:t xml:space="preserve">Grossesse : </w:t>
      </w:r>
      <w:r>
        <w:rPr>
          <w:b/>
        </w:rPr>
        <w:t>Compatible</w:t>
      </w:r>
      <w:r>
        <w:t xml:space="preserve"> (CRAT : « La méthylprednisolone traverse le placenta mais est partiellement inactivée par la 11β-HSD2 placentaire ; passage fœtal ≈ 10 % de la dose maternelle. À dose ≤ 20 mg/j, sans danger. À dose &gt; 20 mg/j &gt; 1 mois, légère augmentation du risque de fente palatine (OR 1,7) et de RCIU. Pour les bolus IV 1 g × 3-5 j (poussée de SEP), pas de tératogénicité démontrée mais surveillance fœtale renforcée. »). Préférée à la dexaméthasone pour les indications maternelles (moins de passage fœtal). Pour la maturation pulmonaire fœtale (24-34 SA), préférer bétaméthasone ou dexaméthasone.</w:t>
      </w:r>
    </w:p>
    <w:p>
      <w:pPr>
        <w:pStyle w:val="ListBullet"/>
      </w:pPr>
      <w:r>
        <w:t xml:space="preserve">Allaitement : </w:t>
      </w:r>
      <w:r>
        <w:rPr>
          <w:b/>
        </w:rPr>
        <w:t>Compatible</w:t>
      </w:r>
      <w:r>
        <w:t xml:space="preserve"> (CRAT : passage minimal &lt; 0,1 % dose maternelle ; à dose &lt; 40 mg/j, allaitement autorisé, espacer prise et tétée de 4 h si dose &gt; 40 mg). Pour les bolus IV 1 g × 3 j : déconseiller l'allaitement pendant 24-48 h après le dernier bolus (concentrations élevées transitoires).</w:t>
      </w:r>
    </w:p>
    <w:p>
      <w:pPr>
        <w:pStyle w:val="ListBullet"/>
      </w:pPr>
      <w:r>
        <w:t>Précisions : Dans la maladie de Horton ou les vascularites systémiques pendant la grossesse, la méthylprednisolone IV reste le traitement de référence (à vie si nécessaire), avec surveillance stricte de la croissance fœtale.</w:t>
      </w:r>
    </w:p>
    <w:p>
      <w:r/>
      <w:r>
        <w:rPr>
          <w:b/>
        </w:rPr>
        <w:t>Posologie et Mode d'administration (Standard) :</w:t>
      </w:r>
      <w:r/>
    </w:p>
    <w:p>
      <w:pPr>
        <w:pStyle w:val="ListBullet"/>
      </w:pPr>
      <w:r>
        <w:t>Adulte (bolus IV, vascularite sévère ou poussée SEP) : 500 à 1000 mg IV/j en perfusion de 30 à 60 min dans 100 mL NaCl 0,9 %, pendant 3 à 5 jours consécutifs. Relais per os par prednisone 1 mg/kg/j après le bolus.</w:t>
      </w:r>
    </w:p>
    <w:p>
      <w:pPr>
        <w:pStyle w:val="ListBullet"/>
      </w:pPr>
      <w:r>
        <w:t>Adulte (IV continue, asthme aigu sévère) : 40 mg IV × 4/j ou 1 mg/kg/j en 2 perfusions.</w:t>
      </w:r>
    </w:p>
    <w:p>
      <w:pPr>
        <w:pStyle w:val="ListBullet"/>
      </w:pPr>
      <w:r>
        <w:t>Adulte (œdème cérébral) : 40 mg IV × 4/j (ou 0,5 mg/kg IV toutes les 6 h), relais per os progressif.</w:t>
      </w:r>
    </w:p>
    <w:p>
      <w:pPr>
        <w:pStyle w:val="ListBullet"/>
      </w:pPr>
      <w:r>
        <w:t>Adulte (IM articulaire — infiltrations) : 20 à 80 mg selon l'articulation (genou 40-80 mg, épaule 40 mg, hanche 40 mg, poignet 20-40 mg, MCP 10-20 mg), renouvelable toutes les 6 à 12 semaines maximum (3-4 infiltrations/an/articulation).</w:t>
      </w:r>
    </w:p>
    <w:p>
      <w:pPr>
        <w:pStyle w:val="ListBullet"/>
      </w:pPr>
      <w:r>
        <w:t>Adulte (IM ou sous-cutané — désensibilisation) : 40 à 80 mg IM selon protocole.</w:t>
      </w:r>
    </w:p>
    <w:p>
      <w:pPr>
        <w:pStyle w:val="ListBullet"/>
      </w:pPr>
      <w:r>
        <w:t>Adulte (per os, relais) : 4 à 16 mg/j en monoprise matinale, selon indication. Dose d'attaque 0,8 mg/kg/j (= équivalent prednisone 1 mg/kg/j).</w:t>
      </w:r>
    </w:p>
    <w:p>
      <w:pPr>
        <w:pStyle w:val="ListBullet"/>
      </w:pPr>
      <w:r>
        <w:t>Adulte (per os, entretien long cours) : 4 à 8 mg/j en monoprise matinale.</w:t>
      </w:r>
    </w:p>
    <w:p>
      <w:pPr>
        <w:pStyle w:val="ListBullet"/>
      </w:pPr>
      <w:r>
        <w:t>Enfant : 1 à 2 mg/kg/j per os (bolus IV 30 mg/kg, max. 1 g).</w:t>
      </w:r>
    </w:p>
    <w:p>
      <w:pPr>
        <w:pStyle w:val="ListBullet"/>
      </w:pPr>
      <w:r>
        <w:t>Sujet âgé : dose réduite, surveillance accrue.</w:t>
      </w:r>
    </w:p>
    <w:p>
      <w:pPr>
        <w:pStyle w:val="ListBullet"/>
      </w:pPr>
      <w:r>
        <w:t>Durée : bolus IV 3-5 jours puis relais per os avec décroissance progressive ; infiltrations espacées de 6 semaines minimum ; entretien possible à vie si maladie systémique.</w:t>
      </w:r>
    </w:p>
    <w:p>
      <w:pPr>
        <w:pStyle w:val="ListBullet"/>
      </w:pPr>
      <w:r>
        <w:t>Moment de prise : IV en perfusion lente (30-60 min pour les bolus) ; per os en 1 prise matinale vers 8h.</w:t>
      </w:r>
    </w:p>
    <w:p>
      <w:r/>
      <w:r>
        <w:rPr>
          <w:b/>
        </w:rPr>
        <w:t>Arbitrage et Bénéfices des Formes Galéniques :</w:t>
      </w:r>
      <w:r/>
    </w:p>
    <w:p>
      <w:r>
        <w:t xml:space="preserve">Le choix de la méthylprednisolone vs prednisolone repose sur : (i) la </w:t>
      </w:r>
      <w:r>
        <w:rPr>
          <w:b/>
        </w:rPr>
        <w:t>forme IV nécessaire</w:t>
      </w:r>
      <w:r>
        <w:t xml:space="preserve"> (bolus 1 g) — la méthylprednisolone IV est le standard des poussées de SEP, des vascularites et des bolus immunosuppresseurs ; (ii) l'</w:t>
      </w:r>
      <w:r>
        <w:rPr>
          <w:b/>
        </w:rPr>
        <w:t>absence d'activité minéralocorticoïde souhaitée</w:t>
      </w:r>
      <w:r>
        <w:t xml:space="preserve"> (insuffisance cardiaque, hypertension sévère, œdème cérébral) ; (iii) les </w:t>
      </w:r>
      <w:r>
        <w:rPr>
          <w:b/>
        </w:rPr>
        <w:t>infiltrations intra-articulaires</w:t>
      </w:r>
      <w:r>
        <w:t xml:space="preserve"> (acétate de méthylprednisolone retard) — supérieur à l'hydrocortisone pour la durée d'action ; (iv) la </w:t>
      </w:r>
      <w:r>
        <w:rPr>
          <w:b/>
        </w:rPr>
        <w:t>poussée de SEP</w:t>
      </w:r>
      <w:r>
        <w:t xml:space="preserve"> (méthylprednisolone IV supérieure à la prednisolone orale). En Algérie, la gamme est large : 4 mg et 16 mg per os, 20 mg-1 g IV, 40-80 mg IM retard. Le MEDROL® (Pfizer) étant non renouvelable, les alternatives algériennes (MEPRENAL, HUPPOMEDROL, INPREDNI) ont pris le relais.</w:t>
      </w:r>
    </w:p>
    <w:p>
      <w:r/>
      <w:r>
        <w:rPr>
          <w:b/>
        </w:rPr>
        <w:t>Instructions et Conseils au Patient :</w:t>
      </w:r>
      <w:r/>
    </w:p>
    <w:p>
      <w:pPr>
        <w:pStyle w:val="ListBullet"/>
      </w:pPr>
      <w:r>
        <w:t xml:space="preserve">Communication au comptoir : « Votre méthylprednisolone est un anti-inflammatoire stéroïdien (cortisone) plus puissant que la prednisolone, sans effet sur la rétention d'eau. Prenez-la en 1 prise le matin vers 8h. Pour le comprimé à 16 mg, ne pas croquer, avaler avec un grand verre d'eau. </w:t>
      </w:r>
      <w:r>
        <w:rPr>
          <w:b/>
        </w:rPr>
        <w:t>Ne JAMAIS arrêter brutalement</w:t>
      </w:r>
      <w:r>
        <w:t xml:space="preserve"> : risque d'insuffisance surrénale aiguë. Pour les bolus IV (1 g/j × 3-5 jours), l'injection se fait à l'hôpital en 30 à 60 minutes, surveillance cardiaque continue, surveillance glycémie et kaliémie. Signalez toute anomalie émotionnelle (euphorie, anxiété, insomnie, idées noires) dans les 48 h après le bolus. Pour les infiltrations : ne pas solliciter l'articulation infiltrée pendant 48 h, glace si douleur, surveillance infection. Portez une carte de corticothérapie. Prévenez votre médecin en cas de fièvre. »</w:t>
      </w:r>
    </w:p>
    <w:p>
      <w:pPr>
        <w:pStyle w:val="ListBullet"/>
      </w:pPr>
      <w:r>
        <w:t>Mode d'utilisation pratique : Per os : 1 prise matinale vers 8h. IV : en perfusion lente à l'hôpital. IM (infiltration) : par le médecin spécialiste. Port de la carte de corticothérapie.</w:t>
      </w:r>
    </w:p>
    <w:p>
      <w:r/>
      <w:r>
        <w:rPr>
          <w:b/>
        </w:rPr>
        <w:t>Notes, Règles d'Or &amp; Pièges au Comptoir :</w:t>
      </w:r>
      <w:r/>
    </w:p>
    <w:p>
      <w:pPr>
        <w:pStyle w:val="ListBullet"/>
      </w:pPr>
      <w:r>
        <w:t xml:space="preserve">Piège classique : </w:t>
      </w:r>
      <w:r>
        <w:rPr>
          <w:b/>
        </w:rPr>
        <w:t>Bolus IV 1 g de méthylprednisolone = risque d'arythmie cardiaque</w:t>
      </w:r>
      <w:r>
        <w:t xml:space="preserve"> (tachycardie sinusale, extrasystoles, rarement FA), risque de psychose aiguë dans les 48 h post-bolus. Surveillance continue en milieu hospitalier obligatoire.</w:t>
      </w:r>
    </w:p>
    <w:p>
      <w:pPr>
        <w:pStyle w:val="ListBullet"/>
      </w:pPr>
      <w:r>
        <w:t>Règle de prise : Per os : 1 prise matinale vers 8h. IV : perfusion lente 30-60 min, surveillance ECG.</w:t>
      </w:r>
    </w:p>
    <w:p>
      <w:pPr>
        <w:pStyle w:val="ListBullet"/>
      </w:pPr>
      <w:r>
        <w:t>Préparation et Conservation : Conservation &lt; 25 °C, à l'abri de la lumière. Les lyophilisats IV : reconstituer avec le solvant fourni (eau PPI), utiliser immédiatement, ne pas stocker en solution (instabilité). Les suspensions IM retard : bien agiter avant emploi.</w:t>
      </w:r>
    </w:p>
    <w:p>
      <w:pPr>
        <w:pStyle w:val="ListBullet"/>
      </w:pPr>
      <w:r>
        <w:t xml:space="preserve">Piège du surdosage / Substitution : </w:t>
      </w:r>
      <w:r>
        <w:rPr>
          <w:b/>
        </w:rPr>
        <w:t>Équivalence anti-inflammatoire</w:t>
      </w:r>
      <w:r>
        <w:t xml:space="preserve"> : 4 mg méthylprednisolone = 5 mg prednisolone = 5 mg prednisone = 20 mg hydrocortisone = 0,6 mg dexaméthasone = 0,6 mg bétaméthasone. En cas de substitution prednisolone → méthylprednisolone : multiplier par 0,8 (5 mg prednisolone → 4 mg méthylprednisolone). Attention : la méthylprednisolone n'a pas d'activité MR — surveiller la tension (hypotension possible en cas de déficit surrénalien associé) et la kaliémie (pas d'hypokaliémie d'origine MR).</w:t>
      </w:r>
    </w:p>
    <w:p>
      <w:pPr>
        <w:pStyle w:val="ListBullet"/>
      </w:pPr>
      <w:r>
        <w:t>Règle de prescription : Liste I, prescription initiale hospitalière pour les bolus IV (neurologie, vascularites), semestrielle pour les formes orales et IM retard.</w:t>
      </w:r>
    </w:p>
    <w:p>
      <w:pPr>
        <w:pStyle w:val="Heading3"/>
      </w:pPr>
      <w:r>
        <w:t>9. DCI : Triamcinolone (Seule)</w:t>
      </w:r>
    </w:p>
    <w:p>
      <w:r/>
      <w:r>
        <w:rPr>
          <w:b/>
        </w:rPr>
        <w:t>Liste des Catégories :</w:t>
      </w:r>
      <w:r>
        <w:t xml:space="preserve"> Liste I (sur ordonnance). Glucocorticoïdes systémiques — Action intermédiaire.</w:t>
      </w:r>
    </w:p>
    <w:p>
      <w:r>
        <w:t xml:space="preserve">La triamcinolone est un glucocorticoïde intermédiaire de synthèse, dérivé fluoré en 9 de la prednisolone, avec une structure 16α-hydroxylée qui supprime l'activité minéralocorticoïde. Ses caractéristiques pharmacocinétiques : </w:t>
      </w:r>
      <w:r>
        <w:rPr>
          <w:b/>
        </w:rPr>
        <w:t>demi-vie plasmatique ≈ 3 à 5 h</w:t>
      </w:r>
      <w:r>
        <w:t xml:space="preserve">, </w:t>
      </w:r>
      <w:r>
        <w:rPr>
          <w:b/>
        </w:rPr>
        <w:t>demi-vie biologique 12 à 36 h</w:t>
      </w:r>
      <w:r>
        <w:t xml:space="preserve">, puissance anti-inflammatoire 5× l'hydrocortisone (4 mg triamcinolone = 5 mg prednisolone), activité minéralocorticoïde nulle. Sa particularité majeure réside dans sa </w:t>
      </w:r>
      <w:r>
        <w:rPr>
          <w:b/>
        </w:rPr>
        <w:t>forme injectable retard</w:t>
      </w:r>
      <w:r>
        <w:t xml:space="preserve"> (acétonide de triamcinolone — Kenacort® Retard, suspension microcristalline 40 mg/mL) qui permet une libération prolongée sur 3 à 4 semaines après une seule injection IM, intra-articulaire ou intra-lésionnelle. Cette formulation en fait le glucocorticoïde de référence pour les infiltrations articulaires (rhumatologie), les infiltrations dermiques (dermatologie), les infiltrations péri-articulaires (tendinite, bursite), et certaines indications ORL (polypos nasal, otite séromuqueuse). La forme nasale (NASACORT®, NASACET, NASALONE — 55 µg/dose) est utilisée dans la rhinite allergique modérée à sévère et la polypose nasale. La forme orale (comprimés 1 mg et 4 mg — Cronolone®) est rarement prescrite en Algérie (non renouvelée). La forme ophtalmologique (pommade) est non renouvelée.</w:t>
      </w:r>
    </w:p>
    <w:p>
      <w:r/>
      <w:r>
        <w:rPr>
          <w:b/>
        </w:rPr>
        <w:t>Médicaments disponibles en Algérie (Marques, Laboratoires, Formes et Dosages) :</w:t>
      </w:r>
      <w:r/>
    </w:p>
    <w:p>
      <w:r/>
      <w:r>
        <w:rPr>
          <w:i/>
        </w:rPr>
        <w:t>Forme injectable IM/Retard (acétonide de triamcinolone) — référence rhumatologique :</w:t>
      </w:r>
      <w:r/>
    </w:p>
    <w:p>
      <w:pPr>
        <w:pStyle w:val="ListBullet"/>
      </w:pPr>
      <w:r/>
      <w:r>
        <w:rPr>
          <w:b/>
        </w:rPr>
        <w:t>HUPPACORT RETARD</w:t>
      </w:r>
      <w:r>
        <w:t xml:space="preserve"> (HUPP PHARMA — Algérie)</w:t>
      </w:r>
    </w:p>
    <w:p>
      <w:pPr>
        <w:pStyle w:val="ListBullet"/>
      </w:pPr>
      <w:r>
        <w:t>Formes et Dosages : Suspension injectable IM/locale 40 mg/mL (amp 1 mL)</w:t>
      </w:r>
    </w:p>
    <w:p>
      <w:pPr>
        <w:pStyle w:val="ListBullet"/>
      </w:pPr>
      <w:r>
        <w:t>Statut : Actif</w:t>
      </w:r>
    </w:p>
    <w:p>
      <w:pPr>
        <w:pStyle w:val="ListBullet"/>
      </w:pPr>
      <w:r/>
      <w:r>
        <w:rPr>
          <w:b/>
        </w:rPr>
        <w:t>KENACORT RETARD</w:t>
      </w:r>
      <w:r>
        <w:t xml:space="preserve"> (BRISTOL MYERS SQUIBB — USA)</w:t>
      </w:r>
    </w:p>
    <w:p>
      <w:pPr>
        <w:pStyle w:val="ListBullet"/>
      </w:pPr>
      <w:r>
        <w:t>Formes et Dosages : Suspension injectable 40 mg (amp 1 mL + seringue 5 mL)</w:t>
      </w:r>
    </w:p>
    <w:p>
      <w:pPr>
        <w:pStyle w:val="ListBullet"/>
      </w:pPr>
      <w:r>
        <w:t>Statut : Actif — Spécialité historique de référence internationale</w:t>
      </w:r>
    </w:p>
    <w:p>
      <w:pPr>
        <w:pStyle w:val="ListBullet"/>
      </w:pPr>
      <w:r/>
      <w:r>
        <w:rPr>
          <w:b/>
        </w:rPr>
        <w:t>KENACORTYL RETARD</w:t>
      </w:r>
      <w:r>
        <w:t xml:space="preserve"> (NADPHARMADIC-PRODUCTION — Algérie)</w:t>
      </w:r>
    </w:p>
    <w:p>
      <w:pPr>
        <w:pStyle w:val="ListBullet"/>
      </w:pPr>
      <w:r>
        <w:t>Formes et Dosages : Suspension injectable 40 mg/mL (seringue pré-remplie + 2 aiguilles stériles)</w:t>
      </w:r>
    </w:p>
    <w:p>
      <w:pPr>
        <w:pStyle w:val="ListBullet"/>
      </w:pPr>
      <w:r>
        <w:t>Statut : Actif — Forme pratique avec seringue pré-remplie</w:t>
      </w:r>
    </w:p>
    <w:p>
      <w:pPr>
        <w:pStyle w:val="ListBullet"/>
      </w:pPr>
      <w:r/>
      <w:r>
        <w:rPr>
          <w:b/>
        </w:rPr>
        <w:t>LISATRIAM</w:t>
      </w:r>
      <w:r>
        <w:t xml:space="preserve"> (LISAPHARMA — Italie)</w:t>
      </w:r>
    </w:p>
    <w:p>
      <w:pPr>
        <w:pStyle w:val="ListBullet"/>
      </w:pPr>
      <w:r>
        <w:t>Formes et Dosages : Suspension injectable 40 mg/mL (amp 1 mL)</w:t>
      </w:r>
    </w:p>
    <w:p>
      <w:pPr>
        <w:pStyle w:val="ListBullet"/>
      </w:pPr>
      <w:r>
        <w:t>Statut : Actif</w:t>
      </w:r>
    </w:p>
    <w:p>
      <w:pPr>
        <w:pStyle w:val="ListBullet"/>
      </w:pPr>
      <w:r/>
      <w:r>
        <w:rPr>
          <w:b/>
        </w:rPr>
        <w:t>THERACORT</w:t>
      </w:r>
      <w:r>
        <w:t xml:space="preserve"> (BIOTHERA — Algérie)</w:t>
      </w:r>
    </w:p>
    <w:p>
      <w:pPr>
        <w:pStyle w:val="ListBullet"/>
      </w:pPr>
      <w:r>
        <w:t>Formes et Dosages : Suspension injectable 40 mg/mL (amp 2 mL contenant 1 mL)</w:t>
      </w:r>
    </w:p>
    <w:p>
      <w:pPr>
        <w:pStyle w:val="ListBullet"/>
      </w:pPr>
      <w:r>
        <w:t>Statut : Actif</w:t>
      </w:r>
    </w:p>
    <w:p>
      <w:r/>
      <w:r>
        <w:rPr>
          <w:i/>
        </w:rPr>
        <w:t>Forme nasale (acétonide de triamcinolone) — rhinite allergique et polypose :</w:t>
      </w:r>
      <w:r/>
    </w:p>
    <w:p>
      <w:pPr>
        <w:pStyle w:val="ListBullet"/>
      </w:pPr>
      <w:r/>
      <w:r>
        <w:rPr>
          <w:b/>
        </w:rPr>
        <w:t>NASACET</w:t>
      </w:r>
      <w:r>
        <w:t xml:space="preserve"> (BIOGALENIC — Algérie)</w:t>
      </w:r>
    </w:p>
    <w:p>
      <w:pPr>
        <w:pStyle w:val="ListBullet"/>
      </w:pPr>
      <w:r>
        <w:t>Formes et Dosages : Suspension pour pulvérisation nasale 55 µg/dose (Fl 120 doses)</w:t>
      </w:r>
    </w:p>
    <w:p>
      <w:pPr>
        <w:pStyle w:val="ListBullet"/>
      </w:pPr>
      <w:r>
        <w:t>Statut : Actif</w:t>
      </w:r>
    </w:p>
    <w:p>
      <w:pPr>
        <w:pStyle w:val="ListBullet"/>
      </w:pPr>
      <w:r/>
      <w:r>
        <w:rPr>
          <w:b/>
        </w:rPr>
        <w:t>NASACORT</w:t>
      </w:r>
      <w:r>
        <w:t xml:space="preserve"> (HUPP PHARMA — Algérie)</w:t>
      </w:r>
    </w:p>
    <w:p>
      <w:pPr>
        <w:pStyle w:val="ListBullet"/>
      </w:pPr>
      <w:r>
        <w:t>Formes et Dosages : Suspension pour pulvérisation nasale 55 µg/dose (Fl 15 mL, 120 doses + pompe)</w:t>
      </w:r>
    </w:p>
    <w:p>
      <w:pPr>
        <w:pStyle w:val="ListBullet"/>
      </w:pPr>
      <w:r>
        <w:t>Statut : Actif — Spécialité de référence nasale</w:t>
      </w:r>
    </w:p>
    <w:p>
      <w:pPr>
        <w:pStyle w:val="ListBullet"/>
      </w:pPr>
      <w:r/>
      <w:r>
        <w:rPr>
          <w:b/>
        </w:rPr>
        <w:t>NASADOZE</w:t>
      </w:r>
      <w:r>
        <w:t xml:space="preserve"> (NOVAPHARM TRADING — Algérie)</w:t>
      </w:r>
    </w:p>
    <w:p>
      <w:pPr>
        <w:pStyle w:val="ListBullet"/>
      </w:pPr>
      <w:r>
        <w:t>Formes et Dosages : Suspension pour pulvérisation nasale 55 µg/dose (Fl 120 doses)</w:t>
      </w:r>
    </w:p>
    <w:p>
      <w:pPr>
        <w:pStyle w:val="ListBullet"/>
      </w:pPr>
      <w:r>
        <w:t>Statut : Actif</w:t>
      </w:r>
    </w:p>
    <w:p>
      <w:pPr>
        <w:pStyle w:val="ListBullet"/>
      </w:pPr>
      <w:r/>
      <w:r>
        <w:rPr>
          <w:b/>
        </w:rPr>
        <w:t>NASALIX</w:t>
      </w:r>
      <w:r>
        <w:t xml:space="preserve"> (GENERIC LAB — Algérie)</w:t>
      </w:r>
    </w:p>
    <w:p>
      <w:pPr>
        <w:pStyle w:val="ListBullet"/>
      </w:pPr>
      <w:r>
        <w:t>Formes et Dosages : Suspension pour pulvérisation nasale 55 µg/dose (Fl 120 doses)</w:t>
      </w:r>
    </w:p>
    <w:p>
      <w:pPr>
        <w:pStyle w:val="ListBullet"/>
      </w:pPr>
      <w:r>
        <w:t>Statut : Actif</w:t>
      </w:r>
    </w:p>
    <w:p>
      <w:pPr>
        <w:pStyle w:val="ListBullet"/>
      </w:pPr>
      <w:r/>
      <w:r>
        <w:rPr>
          <w:b/>
        </w:rPr>
        <w:t>NASALONE</w:t>
      </w:r>
      <w:r>
        <w:t xml:space="preserve"> (HUPP PHARMA — Algérie)</w:t>
      </w:r>
    </w:p>
    <w:p>
      <w:pPr>
        <w:pStyle w:val="ListBullet"/>
      </w:pPr>
      <w:r>
        <w:t>Formes et Dosages : Suspension pour pulvérisation nasale 55 µg/dose (Fl 120 doses)</w:t>
      </w:r>
    </w:p>
    <w:p>
      <w:pPr>
        <w:pStyle w:val="ListBullet"/>
      </w:pPr>
      <w:r>
        <w:t>Statut : Actif</w:t>
      </w:r>
    </w:p>
    <w:p>
      <w:pPr>
        <w:pStyle w:val="ListBullet"/>
      </w:pPr>
      <w:r/>
      <w:r>
        <w:rPr>
          <w:b/>
        </w:rPr>
        <w:t>NASANOL</w:t>
      </w:r>
      <w:r>
        <w:t xml:space="preserve"> (NEOMEDIC — Algérie)</w:t>
      </w:r>
    </w:p>
    <w:p>
      <w:pPr>
        <w:pStyle w:val="ListBullet"/>
      </w:pPr>
      <w:r>
        <w:t>Formes et Dosages : Suspension pour pulvérisation nasale 55 µg/dose (Fl 120 doses)</w:t>
      </w:r>
    </w:p>
    <w:p>
      <w:pPr>
        <w:pStyle w:val="ListBullet"/>
      </w:pPr>
      <w:r>
        <w:t>Statut : Actif</w:t>
      </w:r>
    </w:p>
    <w:p>
      <w:pPr>
        <w:pStyle w:val="ListBullet"/>
      </w:pPr>
      <w:r/>
      <w:r>
        <w:rPr>
          <w:b/>
        </w:rPr>
        <w:t>NASODIS</w:t>
      </w:r>
      <w:r>
        <w:t xml:space="preserve"> (INPHA-MEDIS — Algérie)</w:t>
      </w:r>
    </w:p>
    <w:p>
      <w:pPr>
        <w:pStyle w:val="ListBullet"/>
      </w:pPr>
      <w:r>
        <w:t>Formes et Dosages : Suspension pour pulvérisation nasale 55 µg/dose (Fl 120 doses)</w:t>
      </w:r>
    </w:p>
    <w:p>
      <w:pPr>
        <w:pStyle w:val="ListBullet"/>
      </w:pPr>
      <w:r>
        <w:t>Statut : Actif</w:t>
      </w:r>
    </w:p>
    <w:p>
      <w:r/>
      <w:r>
        <w:rPr>
          <w:i/>
        </w:rPr>
        <w:t>Formes orales (comprimés) — non renouvelées :</w:t>
      </w:r>
      <w:r/>
    </w:p>
    <w:p>
      <w:pPr>
        <w:pStyle w:val="ListBullet"/>
      </w:pPr>
      <w:r/>
      <w:r>
        <w:rPr>
          <w:b/>
        </w:rPr>
        <w:t>CRONOLONE</w:t>
      </w:r>
      <w:r>
        <w:t xml:space="preserve"> (FARMACEUTICI CROVIS PHILCOM SRL — Roumanie) — (Non Renouvelable)</w:t>
      </w:r>
    </w:p>
    <w:p>
      <w:pPr>
        <w:pStyle w:val="ListBullet"/>
      </w:pPr>
      <w:r>
        <w:t>Formes et Dosages : Comprimé 1 mg (B/24) ; 4 mg (B/24)</w:t>
      </w:r>
    </w:p>
    <w:p>
      <w:pPr>
        <w:pStyle w:val="ListBullet"/>
      </w:pPr>
      <w:r>
        <w:t>Statut : Non Renouvelable — Forme systémique orale</w:t>
      </w:r>
    </w:p>
    <w:p>
      <w:pPr>
        <w:pStyle w:val="ListBullet"/>
      </w:pPr>
      <w:r/>
      <w:r>
        <w:rPr>
          <w:b/>
        </w:rPr>
        <w:t>CORTORAL</w:t>
      </w:r>
      <w:r>
        <w:t xml:space="preserve"> (GROUPE SAIDAL — Algérie) — (Non Renouvelable)</w:t>
      </w:r>
    </w:p>
    <w:p>
      <w:pPr>
        <w:pStyle w:val="ListBullet"/>
      </w:pPr>
      <w:r>
        <w:t>Formes et Dosages : Comprimé 4 mg (B/24)</w:t>
      </w:r>
    </w:p>
    <w:p>
      <w:pPr>
        <w:pStyle w:val="ListBullet"/>
      </w:pPr>
      <w:r>
        <w:t>Statut : Non Renouvelable</w:t>
      </w:r>
    </w:p>
    <w:p>
      <w:r/>
      <w:r>
        <w:rPr>
          <w:i/>
        </w:rPr>
        <w:t>Forme ophtalmologique (pommade) — disponible :</w:t>
      </w:r>
      <w:r/>
    </w:p>
    <w:p>
      <w:pPr>
        <w:pStyle w:val="ListBullet"/>
      </w:pPr>
      <w:r/>
      <w:r>
        <w:rPr>
          <w:b/>
        </w:rPr>
        <w:t>CRONOLONE</w:t>
      </w:r>
      <w:r>
        <w:t xml:space="preserve"> (CROVIS PHILCOM — Roumanie)</w:t>
      </w:r>
    </w:p>
    <w:p>
      <w:pPr>
        <w:pStyle w:val="ListBullet"/>
      </w:pPr>
      <w:r>
        <w:t>Formes et Dosages : Pommade ophtalmique 0,1 % (T 5 g)</w:t>
      </w:r>
    </w:p>
    <w:p>
      <w:pPr>
        <w:pStyle w:val="ListBullet"/>
      </w:pPr>
      <w:r>
        <w:t>Statut : Actif</w:t>
      </w:r>
    </w:p>
    <w:p>
      <w:r/>
      <w:r>
        <w:rPr>
          <w:i/>
        </w:rPr>
        <w:t>Formes non renouvelables et retirées :</w:t>
      </w:r>
      <w:r/>
    </w:p>
    <w:p>
      <w:pPr>
        <w:pStyle w:val="ListBullet"/>
      </w:pPr>
      <w:r/>
      <w:r>
        <w:rPr>
          <w:b/>
        </w:rPr>
        <w:t>OBARCORT RETARD</w:t>
      </w:r>
      <w:r>
        <w:t xml:space="preserve"> (OUBARI ET RADWAN) — Suspension injectable 40 mg (B/1) — Non Renouvelable</w:t>
      </w:r>
    </w:p>
    <w:p>
      <w:pPr>
        <w:pStyle w:val="ListBullet"/>
      </w:pPr>
      <w:r/>
      <w:r>
        <w:rPr>
          <w:b/>
        </w:rPr>
        <w:t>WERACORT</w:t>
      </w:r>
      <w:r>
        <w:t xml:space="preserve"> (WEIMER PHARMA) — Suspension injectable 40 mg (B/1 amp) — Retiré (R)</w:t>
      </w:r>
    </w:p>
    <w:p>
      <w:r/>
      <w:r>
        <w:rPr>
          <w:b/>
        </w:rPr>
        <w:t>Sous-classe et Mécanisme d'action :</w:t>
      </w:r>
      <w:r/>
    </w:p>
    <w:p>
      <w:pPr>
        <w:pStyle w:val="ListBullet"/>
      </w:pPr>
      <w:r>
        <w:t>Sous-classe : Glucocorticoïdes systémiques — Action intermédiaire (demi-vie biologique 12 à 36 h). Dépourvu d'activité minéralocorticoïde (9-fluoro, 16α-hydroxylé). Particularité : formulation retard (acétonide microcristallin) pour libération prolongée.</w:t>
      </w:r>
    </w:p>
    <w:p>
      <w:pPr>
        <w:pStyle w:val="ListBullet"/>
      </w:pPr>
      <w:r>
        <w:t xml:space="preserve">Mécanisme d'action : Identique à la méthylprednisolone — traverse la membrane cellulaire par diffusion passive, se fixe sur le </w:t>
      </w:r>
      <w:r>
        <w:rPr>
          <w:b/>
        </w:rPr>
        <w:t>récepteur glucocorticoïde cytosolique (GRα)</w:t>
      </w:r>
      <w:r>
        <w:t xml:space="preserve"> en libérant les protéines chaperonnes. Translocation nucléaire, dimérisation, fixation sur les </w:t>
      </w:r>
      <w:r>
        <w:rPr>
          <w:b/>
        </w:rPr>
        <w:t>GRE</w:t>
      </w:r>
      <w:r>
        <w:t xml:space="preserve"> de l'ADN. Modulation transcriptionnelle des gènes anti-inflammatoires et pro-inflammatoires. La 9-fluoraison et la 16α-hydroxylation suppriment l'affinité pour le récepteur minéralocorticoïde (MR), expliquant l'absence d'effet hydrosodé. La formulation acétonide (kétal du 16α, 17α-dihydroxy) est un ester liposoluble microcristallin qui se dissout lentement dans les tissus, libérant la triamcinolone active sur 3 à 4 semaines (effet retard). Cette pharmacocinétique particulière permet une seule injection par mois ou trimestre.</w:t>
      </w:r>
    </w:p>
    <w:p>
      <w:r/>
      <w:r>
        <w:rPr>
          <w:b/>
        </w:rPr>
        <w:t>Profil Pharmacologique :</w:t>
      </w:r>
      <w:r/>
    </w:p>
    <w:p>
      <w:pPr>
        <w:pStyle w:val="ListBullet"/>
      </w:pPr>
      <w:r>
        <w:t>Indications : (1) Rhumatologie : infiltrations intra-articulaires (genou, épaule, hanche, cheville, poignet, MCP, IPP) dans l'arthrose symptomatique, la polyarthrite rhumatoïde (poussée articulaire), la spondylarthrite ankylosante (poussée), les arthrites microcristallines (goutte, chondrocalcinose) ; infiltrations péri-articulaires (tendinite, bursite, épicondylite, syndrome de la coiffe des rotateurs, talalgies). (2) Dermatologie : infiltrations intra-lésionnelles (kélodes, chéloïdes, lichen plan hypertrophique, psoriasis en plaques résistant, alopécie areata, granulome annulaire). (3) ORL : polypose nasale (évolution résistante au traitement médical), otite séromuqueuse (infiltration intratympanique). (4) Forme nasale : rhinite allergique modérée à sévère (perannuelle ou saisonnière), rhinite vasomotrice, polypose nasale (traitement d'entretien). (5) Forme ophtalmologique : inflammations oculaires superficielles (conjonctivite allergique, kératite marginale, épisclérite — en seconde intention). (6) Forme orale (rare) : certaines indications historiques (LED, vascularites) — abandonnée au profit de la prednisolone.</w:t>
      </w:r>
    </w:p>
    <w:p>
      <w:pPr>
        <w:pStyle w:val="ListBullet"/>
      </w:pPr>
      <w:r>
        <w:t>Contre-indications : (1) Infection locale articulaire, dermique ou oculaire non traitée. (2) Instabilité articulaire, arthrose avancée destructrice, prothèse articulaire. (3) Troubles de la crase sanguine (risque hématome intra-articulaire). (4) Allaitement (forme injectable retard — passage systémique). (5) Rhinite allergique avec infection nasale active (forme nasale). (6) Glaucome, herpès oculaire (forme ophtalmologique). Précautions : diabète (forme injectable — décompensation transitoire), grossesse (1er trimestre), sujet âgé (fragilité tendineuse).</w:t>
      </w:r>
    </w:p>
    <w:p>
      <w:pPr>
        <w:pStyle w:val="ListBullet"/>
      </w:pPr>
      <w:r>
        <w:t xml:space="preserve">Effets Indésirables : (1) </w:t>
      </w:r>
      <w:r>
        <w:rPr>
          <w:b/>
        </w:rPr>
        <w:t>Arthrite aiguë à cristaux</w:t>
      </w:r>
      <w:r>
        <w:t xml:space="preserve"> (6-12 h post-infiltration, microcristaux d'acétonide — régression spontanée 48-72 h, AINS + glace). (2) </w:t>
      </w:r>
      <w:r>
        <w:rPr>
          <w:b/>
        </w:rPr>
        <w:t>Atrophie cutanée locale, hypopigmentation, calcifications</w:t>
      </w:r>
      <w:r>
        <w:t xml:space="preserve"> (infiltrations dermiques). (3) </w:t>
      </w:r>
      <w:r>
        <w:rPr>
          <w:b/>
        </w:rPr>
        <w:t>Facilitation infectieuse</w:t>
      </w:r>
      <w:r>
        <w:t xml:space="preserve"> locale (arthrite septique — rare mais grave — à dépister : douleur &gt; 48 h, fièvre, syndrome inflammatoire). (4) </w:t>
      </w:r>
      <w:r>
        <w:rPr>
          <w:b/>
        </w:rPr>
        <w:t>Effets systémiques transitoires</w:t>
      </w:r>
      <w:r>
        <w:t xml:space="preserve"> (flush, palpitations, hyperglycémie transitoire dans les 24-48 h post-infiltration — par résorption systémique). (5) </w:t>
      </w:r>
      <w:r>
        <w:rPr>
          <w:b/>
        </w:rPr>
        <w:t>Élévation transitoire de la PIO</w:t>
      </w:r>
      <w:r>
        <w:t xml:space="preserve"> (forme ophtalmologique). (6) Troubles du goût, irritation nasale, épistaxis (forme nasale). (7) Exceptionnellement : anaphylaxie à l'acétonide. À long terme en cas d'injections répétées : ostéonécrose de la tête fémorale, fragilité tendineuse (rupture tendineuse).</w:t>
      </w:r>
    </w:p>
    <w:p>
      <w:r/>
      <w:r>
        <w:rPr>
          <w:b/>
        </w:rPr>
        <w:t>Prévention et Gestion des Effets Indésirables :</w:t>
      </w:r>
      <w:r/>
    </w:p>
    <w:p>
      <w:pPr>
        <w:pStyle w:val="ListBullet"/>
      </w:pPr>
      <w:r>
        <w:t>Mesures Préventives : (i) Asepsie rigoureuse (Bétadine® ou chlorhexidine alcoolique pour la peau ; préparation aseptique du produit). (ii) Ne pas infiltrer une articulation prothétique. (iii) Ne pas infiltrer en cas de suspicion d'infection (prélèvement bactériologique préalable si doute). (iv) Limiter les infiltrations à 3-4 par an et par articulation. (v) Repos relatif de l'articulation 48 h post-infiltration. (vi) Pour la forme nasale : administration 1 à 2 pulvérisations par narine × 1/j, contrôle de la cavité nasale à 3 mois (examen ORL). (vii) Pour la forme ophtalmologique : surveillance PIO si &gt; 2 semaines.</w:t>
      </w:r>
    </w:p>
    <w:p>
      <w:pPr>
        <w:pStyle w:val="ListBullet"/>
      </w:pPr>
      <w:r>
        <w:t>Conduite à Tenir : Arthrite à cristaux → AINS, glace, régression spontanée 48-72 h. Infection → prélèvement bactériologique urgent, arrêt, antibiothérapie adaptée, hospitalisation. Atrophie cutanée → arrêt définitif des infiltrations locales.</w:t>
      </w:r>
    </w:p>
    <w:p>
      <w:r/>
      <w:r>
        <w:rPr>
          <w:b/>
        </w:rPr>
        <w:t>Interactions Importantes :</w:t>
      </w:r>
      <w:r/>
    </w:p>
    <w:p>
      <w:pPr>
        <w:pStyle w:val="ListBullet"/>
      </w:pPr>
      <w:r>
        <w:t>Triamcinolone (injectable retard) + anticoagulants oraux → risque d'hématome intra-articulaire (à discuter au cas par cas, ne pas arrêter les AVK mais surveiller INR).</w:t>
      </w:r>
    </w:p>
    <w:p>
      <w:pPr>
        <w:pStyle w:val="ListBullet"/>
      </w:pPr>
      <w:r>
        <w:t>Triamcinolone + vaccins vivants → contre-indication temporaire (4 semaines après infiltration retard).</w:t>
      </w:r>
    </w:p>
    <w:p>
      <w:pPr>
        <w:pStyle w:val="ListBullet"/>
      </w:pPr>
      <w:r>
        <w:t>Triamcinolone nasale : pas d'interaction systémique significative (résorption minimale).</w:t>
      </w:r>
    </w:p>
    <w:p>
      <w:pPr>
        <w:pStyle w:val="ListBullet"/>
      </w:pPr>
      <w:r>
        <w:t>Triamcinolone + AINS per os : majoration du risque digestif et de l'effet systémique transitoire post-infiltration.</w:t>
      </w:r>
    </w:p>
    <w:p>
      <w:r/>
      <w:r>
        <w:rPr>
          <w:b/>
        </w:rPr>
        <w:t>Grossesse et Allaitement :</w:t>
      </w:r>
      <w:r/>
    </w:p>
    <w:p>
      <w:pPr>
        <w:pStyle w:val="ListBullet"/>
      </w:pPr>
      <w:r>
        <w:t xml:space="preserve">Grossesse : Triamcinolone </w:t>
      </w:r>
      <w:r>
        <w:rPr>
          <w:b/>
        </w:rPr>
        <w:t>déconseillée au 1er trimestre</w:t>
      </w:r>
      <w:r>
        <w:t xml:space="preserve"> (CRAT : « La triamcinolone traverse le placenta ; les données animales ont montré un risque tératogène (fentes palatines). À éviter par prudence au 1er trimestre. Au 2e et 3e trimestres, infiltration ponctuelle acceptable. La forme nasale est compatible pendant la grossesse »). Forme nasale : compatible. Forme injectable retard : à éviter au 1er trimestre.</w:t>
      </w:r>
    </w:p>
    <w:p>
      <w:pPr>
        <w:pStyle w:val="ListBullet"/>
      </w:pPr>
      <w:r>
        <w:t xml:space="preserve">Allaitement : </w:t>
      </w:r>
      <w:r>
        <w:rPr>
          <w:b/>
        </w:rPr>
        <w:t>Compatible</w:t>
      </w:r>
      <w:r>
        <w:t xml:space="preserve"> pour la forme nasale et ophtalmologique (résorption minimale). </w:t>
      </w:r>
      <w:r>
        <w:rPr>
          <w:b/>
        </w:rPr>
        <w:t>Déconseillé</w:t>
      </w:r>
      <w:r>
        <w:t xml:space="preserve"> pour la forme injectable retard (passage systémique significatif — découcher 24-48 h après infiltration ou暂停 l'allaitement).</w:t>
      </w:r>
    </w:p>
    <w:p>
      <w:pPr>
        <w:pStyle w:val="ListBullet"/>
      </w:pPr>
      <w:r>
        <w:t>Précisions : En cas de grossesse programmée, espacer la dernière infiltration de 3 mois avant conception.</w:t>
      </w:r>
    </w:p>
    <w:p>
      <w:r/>
      <w:r>
        <w:rPr>
          <w:b/>
        </w:rPr>
        <w:t>Posologie et Mode d'administration (Standard) :</w:t>
      </w:r>
      <w:r/>
    </w:p>
    <w:p>
      <w:pPr>
        <w:pStyle w:val="ListBullet"/>
      </w:pPr>
      <w:r>
        <w:t>Adulte (infiltration intra-articulaire) : 20 à 80 mg selon l'articulation — genou 40-80 mg, épaule 40 mg, hanche 40 mg, cheville 30-40 mg, poignet 20-40 mg, MCP/IPP 10-20 mg, acromio-claviculaire 20-40 mg. Renouvelable toutes les 6 à 12 semaines maximum.</w:t>
      </w:r>
    </w:p>
    <w:p>
      <w:pPr>
        <w:pStyle w:val="ListBullet"/>
      </w:pPr>
      <w:r>
        <w:t>Adulte (infiltration péri-articulaire, tendinite, bursite) : 10 à 40 mg selon le site.</w:t>
      </w:r>
    </w:p>
    <w:p>
      <w:pPr>
        <w:pStyle w:val="ListBullet"/>
      </w:pPr>
      <w:r>
        <w:t>Adulte (infiltration intra-lésionnelle dermique) : 5 à 10 mg par lésion (kélodes, lichen, psoriasis), espacée de 4 à 6 semaines.</w:t>
      </w:r>
    </w:p>
    <w:p>
      <w:pPr>
        <w:pStyle w:val="ListBullet"/>
      </w:pPr>
      <w:r>
        <w:t>Adulte (IM profonde, fessier) : 40 à 80 mg IM toutes les 2 à 4 semaines (effet systémique retard).</w:t>
      </w:r>
    </w:p>
    <w:p>
      <w:pPr>
        <w:pStyle w:val="ListBullet"/>
      </w:pPr>
      <w:r>
        <w:t>Adulte (forme nasale, rhinite allergique) : 2 pulvérisations (110 µg) par narine × 1/j le matin. Entretien : 1 pulvérisation (55 µg) par narine × 1/j.</w:t>
      </w:r>
    </w:p>
    <w:p>
      <w:pPr>
        <w:pStyle w:val="ListBullet"/>
      </w:pPr>
      <w:r>
        <w:t>Adulte (forme ophtalmologique) : 1 application × 2 à 3/j dans le cul-de-sac conjonctival, durée maximale 2 semaines sans avis ophtalmologique.</w:t>
      </w:r>
    </w:p>
    <w:p>
      <w:pPr>
        <w:pStyle w:val="ListBullet"/>
      </w:pPr>
      <w:r>
        <w:t>Enfant (forme nasale) : à partir de 6 ans : 1 pulvérisation (55 µg) par narine × 1/j. Forme injectable : contre-indiquée avant 12 ans sauf indication spécialisée.</w:t>
      </w:r>
    </w:p>
    <w:p>
      <w:pPr>
        <w:pStyle w:val="ListBullet"/>
      </w:pPr>
      <w:r>
        <w:t>Sujet âgé : infiltration avec prudence, surveillance tendineuse.</w:t>
      </w:r>
    </w:p>
    <w:p>
      <w:pPr>
        <w:pStyle w:val="ListBullet"/>
      </w:pPr>
      <w:r>
        <w:t>Durée : infiltration : 3-4 par an/articulation maximum. Forme nasale : à vie possible (rhinite allergique perannuelle). Forme ophtalmologique : cours court &lt; 2 semaines.</w:t>
      </w:r>
    </w:p>
    <w:p>
      <w:pPr>
        <w:pStyle w:val="ListBullet"/>
      </w:pPr>
      <w:r>
        <w:t>Moment de prise : Infiltration : au cabinet médical, asepsie rigoureuse. Forme nasale : 1 prise matinale. Forme ophtalmologique : 2 à 3 prises/jour.</w:t>
      </w:r>
    </w:p>
    <w:p>
      <w:r/>
      <w:r>
        <w:rPr>
          <w:b/>
        </w:rPr>
        <w:t>Arbitrage et Bénéfices des Formes Galéniques :</w:t>
      </w:r>
      <w:r/>
    </w:p>
    <w:p>
      <w:r>
        <w:t>Le choix de la triamcinolone repose principalement sur sa formulation retard (acétonide) qui offre une libération prolongée de 3 à 4 semaines après une seule injection — supérieur à la méthylprednisolone acétate (Depo-Medrol, durée 2-3 semaines). C'est le glucocorticoïde de référence pour les infiltrations articulaires et dermiques en raison de cette durée d'action prolongée. La forme nasale (NASACORT, NASACET) est un standard de la rhinite allergique modérée à sévère, avec une efficacité supérieure aux antihistaminiques oraux sur la congestion nasale et l'anosmie. La forme orale (comprimés 1 mg et 4 mg) est rarement prescrite et non renouvelée en Algérie — préférée pour les indications historiques (LED, vascularites) au profit de la prednisolone.</w:t>
      </w:r>
    </w:p>
    <w:p>
      <w:r/>
      <w:r>
        <w:rPr>
          <w:b/>
        </w:rPr>
        <w:t>Instructions et Conseils au Patient :</w:t>
      </w:r>
      <w:r/>
    </w:p>
    <w:p>
      <w:pPr>
        <w:pStyle w:val="ListBullet"/>
      </w:pPr>
      <w:r>
        <w:t>Communication au comptoir : « Votre triamcinolone injectable retard est utilisée pour soulager une articulation douloureuse (infiltration). L'injection est faite par votre médecin au cabinet, en conditions d'asepsie. Pendant les 48 premières heures, votre articulation peut être un peu plus douloureuse (réaction aux cristaux) — c'est normal, appliquez de la glace et prenez un antalgique. Si la douleur empire au-delà de 48 h, ou si vous avez de la fièvre, consultez en urgence (risque d'infection). Repos relatif de l'articulation pendant 48 h. L'effet bénéfique apparaît en 3 à 7 jours et dure 3 à 4 semaines. Pour la forme nasale : 1 à 2 pulvérisations dans chaque narine le matin. L'effet n'est pas immédiat, il faut 3 à 7 jours pour ressentir le bénéfice complet. Ne pas dépasser 3 mois sans contrôle ORL. Pour la pommade ophtamologique : 1 application 2 à 3 fois par jour dans l'œil, ne pas dépasser 2 semaines sans avis ophtalmologique. Portez une carte de corticothérapie. Prévenez votre médecin en cas de fièvre. »</w:t>
      </w:r>
    </w:p>
    <w:p>
      <w:pPr>
        <w:pStyle w:val="ListBullet"/>
      </w:pPr>
      <w:r>
        <w:t>Mode d'utilisation pratique : Infiltration : au cabinet médical, préparation aseptique. Forme nasale : moucher préalablement, incliner la tête légèrement en avant, introduire l'embout dans la narine, pulvériser en inspirant doucement, renifler légèrement. Forme ophtalmologique : se laver les mains, tirer la paupière inférieure, appliquer un ruban de pommade dans le cul-de-sac conjonctival, fermer l'œil 1 minute, cligner plusieurs fois.</w:t>
      </w:r>
    </w:p>
    <w:p>
      <w:r/>
      <w:r>
        <w:rPr>
          <w:b/>
        </w:rPr>
        <w:t>Notes, Règles d'Or &amp; Pièges au Comptoir :</w:t>
      </w:r>
      <w:r/>
    </w:p>
    <w:p>
      <w:pPr>
        <w:pStyle w:val="ListBullet"/>
      </w:pPr>
      <w:r>
        <w:t xml:space="preserve">Piège classique : </w:t>
      </w:r>
      <w:r>
        <w:rPr>
          <w:b/>
        </w:rPr>
        <w:t>Arthrite aiguë à cristaux post-infiltration</w:t>
      </w:r>
      <w:r>
        <w:t xml:space="preserve"> (6-12 h) — à distinguer d'une infection (48 h, fièvre, syndrome inflammatoire biologique). Information du patient : « Si la douleur empire après 48 h ou si vous avez de la fièvre, consultez en urgence ».</w:t>
      </w:r>
    </w:p>
    <w:p>
      <w:pPr>
        <w:pStyle w:val="ListBullet"/>
      </w:pPr>
      <w:r>
        <w:t>Règle de prise : Infiltration : au cabinet médical, asepsie rigoureuse, repos 48 h. Forme nasale : 1 prise matinale, moucher préalablement. Forme ophtalmologique : 2 à 3 prises/jour, ne pas dépasser 2 semaines.</w:t>
      </w:r>
    </w:p>
    <w:p>
      <w:pPr>
        <w:pStyle w:val="ListBullet"/>
      </w:pPr>
      <w:r>
        <w:t>Préparation et Conservation : Conservation &lt; 25 °C, à l'abri de la lumière. Les suspensions injectables : bien agiter avant emploi (les microcristaux se déposent). La forme nasale : conservation &lt; 25 °C, ne pas congeler, flacon à jeter 3 mois après première utilisation. La pommade ophtalmologique : conservation &lt; 25 °C, à jeter 1 mois après ouverture.</w:t>
      </w:r>
    </w:p>
    <w:p>
      <w:pPr>
        <w:pStyle w:val="ListBullet"/>
      </w:pPr>
      <w:r>
        <w:t xml:space="preserve">Piège du surdosage / Substitution : </w:t>
      </w:r>
      <w:r>
        <w:rPr>
          <w:b/>
        </w:rPr>
        <w:t>Équivalence anti-inflammatoire</w:t>
      </w:r>
      <w:r>
        <w:t xml:space="preserve"> : 4 mg triamcinolone = 5 mg prednisolone = 5 mg prednisone = 4 mg méthylprednisolone = 20 mg hydrocortisone = 0,75 mg dexaméthasone = 0,75 mg bétaméthasone. En cas de substitution triamcinolone injectable → méthylprednisolone injectable retard (Depo-Medrol), pas d'équivalence stricte (durée d'action différente — acétonide 3-4 semaines, acétate 2-3 semaines). Pour la forme nasale, les équivalences avec les autres corticoïdes nasaux : fluticasone propionate 50 µg ≈ mometasone 50 µg ≈ triamcinolone 55 µg ≈ budésonide 100 µg.</w:t>
      </w:r>
    </w:p>
    <w:p>
      <w:pPr>
        <w:pStyle w:val="ListBullet"/>
      </w:pPr>
      <w:r>
        <w:t>Règle de prescription : Liste I, prescription médicale. Infiltrations par médecin spécialiste (rhumatologue, ORL, dermatologue). Forme nasale : renouvelable.</w:t>
      </w:r>
    </w:p>
    <w:p>
      <w:pPr>
        <w:pStyle w:val="Heading3"/>
      </w:pPr>
      <w:r>
        <w:t>10. DCI : Dexaméthasone (Seule)</w:t>
      </w:r>
    </w:p>
    <w:p>
      <w:r/>
      <w:r>
        <w:rPr>
          <w:b/>
        </w:rPr>
        <w:t>Liste des Catégories :</w:t>
      </w:r>
      <w:r>
        <w:t xml:space="preserve"> Liste I pour la plupart des formes ; Liste II pour l'implant intravitréen OZURDEX®. Glucocorticoïdes systémiques — Action longue.</w:t>
      </w:r>
    </w:p>
    <w:p>
      <w:r>
        <w:t xml:space="preserve">La dexaméthasone est un glucocorticoïde de synthèse 9α-fluoro-16α-méthylé, dont la structure lui confère une puissance anti-inflammatoire exceptionnelle de </w:t>
      </w:r>
      <w:r>
        <w:rPr>
          <w:b/>
        </w:rPr>
        <w:t>25 à 30× l'hydrocortisone</w:t>
      </w:r>
      <w:r>
        <w:t xml:space="preserve"> (0,75 mg dexaméthasone = 20 mg hydrocortisone = 5 mg prednisolone), une activité minéralocorticoïde quasi nulle (réduction de l'affinité pour le MR par la 9-fluoro-16α-méthyl), une </w:t>
      </w:r>
      <w:r>
        <w:rPr>
          <w:b/>
        </w:rPr>
        <w:t>demi-vie plasmatique de 3 à 5 h</w:t>
      </w:r>
      <w:r>
        <w:t xml:space="preserve"> et une </w:t>
      </w:r>
      <w:r>
        <w:rPr>
          <w:b/>
        </w:rPr>
        <w:t>demi-vie biologique de 36 à 72 h</w:t>
      </w:r>
      <w:r>
        <w:t xml:space="preserve"> (action prolongée — action longue). Cette longue durée d'action et cette puissance élevée en font le glucocorticoïde de référence dans les indications où un effet anti-inflammatoire soutenu est requis sans rétention hydrosodée : </w:t>
      </w:r>
      <w:r>
        <w:rPr>
          <w:b/>
        </w:rPr>
        <w:t>œdème cérébral</w:t>
      </w:r>
      <w:r>
        <w:t xml:space="preserve"> tumoral ou post-opératoire, </w:t>
      </w:r>
      <w:r>
        <w:rPr>
          <w:b/>
        </w:rPr>
        <w:t>syndrome de détresse respiratoire aigu (ARDS)</w:t>
      </w:r>
      <w:r>
        <w:t xml:space="preserve">, </w:t>
      </w:r>
      <w:r>
        <w:rPr>
          <w:b/>
        </w:rPr>
        <w:t>COVID-19 sévère</w:t>
      </w:r>
      <w:r>
        <w:t xml:space="preserve"> (protocole RECOVERY 6 mg/j × 10 jours), </w:t>
      </w:r>
      <w:r>
        <w:rPr>
          <w:b/>
        </w:rPr>
        <w:t>prophylaxie des nausées et vomissements post-opératoires (NVPO)</w:t>
      </w:r>
      <w:r>
        <w:t xml:space="preserve">, </w:t>
      </w:r>
      <w:r>
        <w:rPr>
          <w:b/>
        </w:rPr>
        <w:t>syndrome hémophagocytaire (HLH)</w:t>
      </w:r>
      <w:r>
        <w:t xml:space="preserve">, </w:t>
      </w:r>
      <w:r>
        <w:rPr>
          <w:b/>
        </w:rPr>
        <w:t>thrombocytopénie immune chronique</w:t>
      </w:r>
      <w:r>
        <w:t xml:space="preserve">, </w:t>
      </w:r>
      <w:r>
        <w:rPr>
          <w:b/>
        </w:rPr>
        <w:t>croup sévère de l'enfant</w:t>
      </w:r>
      <w:r>
        <w:t xml:space="preserve">, </w:t>
      </w:r>
      <w:r>
        <w:rPr>
          <w:b/>
        </w:rPr>
        <w:t>maturation pulmonaire fœtale anténatale</w:t>
      </w:r>
      <w:r>
        <w:t xml:space="preserve"> (alternative à la bétaméthasone), et de nombreuses indications oncologiques (protocoles DHAP, VAD, hyper-CVAD). Sa biodisponibilité orale est de 60 à 90 %, sa fixation protéique de 70 à 80 % (CBG faible, surtout albumine), son métabolisme hépatique (CYP3A4), son excretion urinaire des métabolites. La forme IV (phosphate disodique de dexaméthasone) est utilisée en urgence (œdème cérébral, choc anaphylactique réfractaire, malignité). La forme orale (comprimés 0,5 mg) est utilisée pour les protocoles de longue durée.</w:t>
      </w:r>
    </w:p>
    <w:p>
      <w:r/>
      <w:r>
        <w:rPr>
          <w:b/>
        </w:rPr>
        <w:t>Médicaments disponibles en Algérie (Marques, Laboratoires, Formes et Dosages) :</w:t>
      </w:r>
      <w:r/>
    </w:p>
    <w:p>
      <w:r/>
      <w:r>
        <w:rPr>
          <w:i/>
        </w:rPr>
        <w:t>Forme orale (comprimés 0,5 mg) :</w:t>
      </w:r>
      <w:r/>
    </w:p>
    <w:p>
      <w:pPr>
        <w:pStyle w:val="ListBullet"/>
      </w:pPr>
      <w:r/>
      <w:r>
        <w:rPr>
          <w:b/>
        </w:rPr>
        <w:t>DESACROVIS</w:t>
      </w:r>
      <w:r>
        <w:t xml:space="preserve"> (FARMACEUTICI CROVIS PH.I.L.COM — Roumanie)</w:t>
      </w:r>
    </w:p>
    <w:p>
      <w:pPr>
        <w:pStyle w:val="ListBullet"/>
      </w:pPr>
      <w:r>
        <w:t>Formes et Dosages : Comprimé sécable 0,5 mg (B/30)</w:t>
      </w:r>
    </w:p>
    <w:p>
      <w:pPr>
        <w:pStyle w:val="ListBullet"/>
      </w:pPr>
      <w:r>
        <w:t>Statut : Actif — Spécialité algérienne orale de référence</w:t>
      </w:r>
    </w:p>
    <w:p>
      <w:r/>
      <w:r>
        <w:rPr>
          <w:i/>
        </w:rPr>
        <w:t>Forme injectable IV/IM (phosphate disodique de dexaméthasone — 4 mg/mL) :</w:t>
      </w:r>
      <w:r/>
    </w:p>
    <w:p>
      <w:pPr>
        <w:pStyle w:val="ListBullet"/>
      </w:pPr>
      <w:r/>
      <w:r>
        <w:rPr>
          <w:b/>
        </w:rPr>
        <w:t>DEXAMETHASONE INPHA-MEDIS</w:t>
      </w:r>
      <w:r>
        <w:t xml:space="preserve"> (INPHA-MEDIS — Algérie)</w:t>
      </w:r>
    </w:p>
    <w:p>
      <w:pPr>
        <w:pStyle w:val="ListBullet"/>
      </w:pPr>
      <w:r>
        <w:t>Formes et Dosages : Solution injectable 4 mg/mL (B/5 amp)</w:t>
      </w:r>
    </w:p>
    <w:p>
      <w:pPr>
        <w:pStyle w:val="ListBullet"/>
      </w:pPr>
      <w:r>
        <w:t>Statut : Actif</w:t>
      </w:r>
    </w:p>
    <w:p>
      <w:pPr>
        <w:pStyle w:val="ListBullet"/>
      </w:pPr>
      <w:r/>
      <w:r>
        <w:rPr>
          <w:b/>
        </w:rPr>
        <w:t>DEXAMETYD</w:t>
      </w:r>
      <w:r>
        <w:t xml:space="preserve"> (LES LABORATOIRES FRATER RAZES — Maroc)</w:t>
      </w:r>
    </w:p>
    <w:p>
      <w:pPr>
        <w:pStyle w:val="ListBullet"/>
      </w:pPr>
      <w:r>
        <w:t>Formes et Dosages : Solution injectable 4 mg/mL (B/5 amp 1 mL, 2 mL, 5 mL + B/50 amp)</w:t>
      </w:r>
    </w:p>
    <w:p>
      <w:pPr>
        <w:pStyle w:val="ListBullet"/>
      </w:pPr>
      <w:r>
        <w:t>Statut : Actif — Grand conditionnement hospitalier</w:t>
      </w:r>
    </w:p>
    <w:p>
      <w:pPr>
        <w:pStyle w:val="ListBullet"/>
      </w:pPr>
      <w:r/>
      <w:r>
        <w:rPr>
          <w:b/>
        </w:rPr>
        <w:t>DEXASONE</w:t>
      </w:r>
      <w:r>
        <w:t xml:space="preserve"> (GROUPE SAIDAL — Algérie)</w:t>
      </w:r>
    </w:p>
    <w:p>
      <w:pPr>
        <w:pStyle w:val="ListBullet"/>
      </w:pPr>
      <w:r>
        <w:t>Formes et Dosages : Solution injectable 4 mg/mL (B/5 amp 1 mL)</w:t>
      </w:r>
    </w:p>
    <w:p>
      <w:pPr>
        <w:pStyle w:val="ListBullet"/>
      </w:pPr>
      <w:r>
        <w:t>Statut : Actif — Spécialité algérienne de référence</w:t>
      </w:r>
    </w:p>
    <w:p>
      <w:pPr>
        <w:pStyle w:val="ListBullet"/>
      </w:pPr>
      <w:r/>
      <w:r>
        <w:rPr>
          <w:b/>
        </w:rPr>
        <w:t>DEXTHERA</w:t>
      </w:r>
      <w:r>
        <w:t xml:space="preserve"> (BIOTHERA — Algérie)</w:t>
      </w:r>
    </w:p>
    <w:p>
      <w:pPr>
        <w:pStyle w:val="ListBullet"/>
      </w:pPr>
      <w:r>
        <w:t>Formes et Dosages : Solution injectable IV/IM 4 mg/mL (B/5 et B/50 amp 1 mL, 2 mL, 5 mL)</w:t>
      </w:r>
    </w:p>
    <w:p>
      <w:pPr>
        <w:pStyle w:val="ListBullet"/>
      </w:pPr>
      <w:r>
        <w:t>Statut : Actif — Grand conditionnement hospitalier</w:t>
      </w:r>
    </w:p>
    <w:p>
      <w:r/>
      <w:r>
        <w:rPr>
          <w:i/>
        </w:rPr>
        <w:t>Implant intravitréen (OZURDEX) — spécialité exceptionnelle :</w:t>
      </w:r>
      <w:r/>
    </w:p>
    <w:p>
      <w:pPr>
        <w:pStyle w:val="ListBullet"/>
      </w:pPr>
      <w:r/>
      <w:r>
        <w:rPr>
          <w:b/>
        </w:rPr>
        <w:t>OZURDEX</w:t>
      </w:r>
      <w:r>
        <w:t xml:space="preserve"> (ABBVIE DEUTSCHLAND GMBH — Allemagne)</w:t>
      </w:r>
    </w:p>
    <w:p>
      <w:pPr>
        <w:pStyle w:val="ListBullet"/>
      </w:pPr>
      <w:r>
        <w:t>Formes et Dosages : Implant intravitréen 700 µg (B/1 implant + applicateur)</w:t>
      </w:r>
    </w:p>
    <w:p>
      <w:pPr>
        <w:pStyle w:val="ListBullet"/>
      </w:pPr>
      <w:r>
        <w:t>Statut : Actif — Liste II — Spécialité d'exception pour œdème maculaire (DMLA, occlusion veineuse rétinienne, uvéite postérieure)</w:t>
      </w:r>
    </w:p>
    <w:p>
      <w:pPr>
        <w:pStyle w:val="ListBullet"/>
      </w:pPr>
      <w:r>
        <w:t>Indication : injection intravitréenne par chirurgien ophtalmologiste</w:t>
      </w:r>
    </w:p>
    <w:p>
      <w:r/>
      <w:r>
        <w:rPr>
          <w:i/>
        </w:rPr>
        <w:t>Formes ophtalmologiques (collyres et pommades) :</w:t>
      </w:r>
      <w:r/>
    </w:p>
    <w:p>
      <w:pPr>
        <w:pStyle w:val="ListBullet"/>
      </w:pPr>
      <w:r/>
      <w:r>
        <w:rPr>
          <w:b/>
        </w:rPr>
        <w:t>DEXAFREE</w:t>
      </w:r>
      <w:r>
        <w:t xml:space="preserve"> (THEA — France) — Collyre 1 mg/mL (B/30 unidoses) — Actif</w:t>
      </w:r>
    </w:p>
    <w:p>
      <w:pPr>
        <w:pStyle w:val="ListBullet"/>
      </w:pPr>
      <w:r/>
      <w:r>
        <w:rPr>
          <w:b/>
        </w:rPr>
        <w:t>DEXADROP</w:t>
      </w:r>
      <w:r>
        <w:t xml:space="preserve"> (BIOTHERA) — Collyre 1 mg/mL (Fl 3 mL) — Actif</w:t>
      </w:r>
    </w:p>
    <w:p>
      <w:pPr>
        <w:pStyle w:val="ListBullet"/>
      </w:pPr>
      <w:r/>
      <w:r>
        <w:rPr>
          <w:b/>
        </w:rPr>
        <w:t>DEXAMETHASONE GL</w:t>
      </w:r>
      <w:r>
        <w:t xml:space="preserve"> (GENERIC LAB) — Collyre 1 mg/mL (Fl 3 mL) — Actif</w:t>
      </w:r>
    </w:p>
    <w:p>
      <w:pPr>
        <w:pStyle w:val="ListBullet"/>
      </w:pPr>
      <w:r/>
      <w:r>
        <w:rPr>
          <w:b/>
        </w:rPr>
        <w:t>DEXAFLOX</w:t>
      </w:r>
      <w:r>
        <w:t xml:space="preserve"> (JAMJOOM) — Collyre en suspension 1 mg/3 mg (Fl 5 mL, association à l'ofloxacine) — Actif</w:t>
      </w:r>
    </w:p>
    <w:p>
      <w:pPr>
        <w:pStyle w:val="ListBullet"/>
      </w:pPr>
      <w:r/>
      <w:r>
        <w:rPr>
          <w:b/>
        </w:rPr>
        <w:t>OFLODEXA</w:t>
      </w:r>
      <w:r>
        <w:t xml:space="preserve"> (BIOTHERA) — Collyre 1 mg/3 mg (Fl 5 mL, association à l'ofloxacine) — Actif</w:t>
      </w:r>
    </w:p>
    <w:p>
      <w:pPr>
        <w:pStyle w:val="ListBullet"/>
      </w:pPr>
      <w:r/>
      <w:r>
        <w:rPr>
          <w:b/>
        </w:rPr>
        <w:t>NEODEX</w:t>
      </w:r>
      <w:r>
        <w:t xml:space="preserve"> (AMMAN) — Collyre 100 mg/350 000 UI/100 mL (Fl 10 mL, association néomycine) — Actif</w:t>
      </w:r>
    </w:p>
    <w:p>
      <w:pPr>
        <w:pStyle w:val="ListBullet"/>
      </w:pPr>
      <w:r/>
      <w:r>
        <w:rPr>
          <w:b/>
        </w:rPr>
        <w:t>NEODRON</w:t>
      </w:r>
      <w:r>
        <w:t xml:space="preserve"> (ALEPPO) — Collyre 1 mg/3,5 mg (Fl 5 mL) — Actif</w:t>
      </w:r>
    </w:p>
    <w:p>
      <w:pPr>
        <w:pStyle w:val="ListBullet"/>
      </w:pPr>
      <w:r/>
      <w:r>
        <w:rPr>
          <w:b/>
        </w:rPr>
        <w:t>ALPHAXITROL</w:t>
      </w:r>
      <w:r>
        <w:t xml:space="preserve"> (ALEPPO) — Collyre 1 mg/3500 UI/6000 UI (Fl 5 mL) — Actif</w:t>
      </w:r>
    </w:p>
    <w:p>
      <w:pPr>
        <w:pStyle w:val="ListBullet"/>
      </w:pPr>
      <w:r/>
      <w:r>
        <w:rPr>
          <w:b/>
        </w:rPr>
        <w:t>MAXILODRE</w:t>
      </w:r>
      <w:r>
        <w:t xml:space="preserve"> (GENCOPHARM) — Collyre 100 mg/350 000 UI/600 000 UI/100 mL (Fl 3 mL) — Actif</w:t>
      </w:r>
    </w:p>
    <w:p>
      <w:pPr>
        <w:pStyle w:val="ListBullet"/>
      </w:pPr>
      <w:r/>
      <w:r>
        <w:rPr>
          <w:b/>
        </w:rPr>
        <w:t>P.N.D.</w:t>
      </w:r>
      <w:r>
        <w:t xml:space="preserve"> (UNIMED) — Collyre 100 mg/350 000 UI/600 000 UI/100 mL (Fl 3 mL) — Actif</w:t>
      </w:r>
    </w:p>
    <w:p>
      <w:pPr>
        <w:pStyle w:val="ListBullet"/>
      </w:pPr>
      <w:r/>
      <w:r>
        <w:rPr>
          <w:b/>
        </w:rPr>
        <w:t>CHIBRO-CADRON</w:t>
      </w:r>
      <w:r>
        <w:t xml:space="preserve"> (THEA) — Collyre 100 mg/350 000 UI/100 mL (Fl 5 mL) — Actif</w:t>
      </w:r>
    </w:p>
    <w:p>
      <w:pPr>
        <w:pStyle w:val="ListBullet"/>
      </w:pPr>
      <w:r/>
      <w:r>
        <w:rPr>
          <w:b/>
        </w:rPr>
        <w:t>DEXAMEX</w:t>
      </w:r>
      <w:r>
        <w:t xml:space="preserve"> (UNIMED) — Collyre 100 mg/350 000 UI/100 mL (Fl 5 mL) — Actif</w:t>
      </w:r>
    </w:p>
    <w:p>
      <w:pPr>
        <w:pStyle w:val="ListBullet"/>
      </w:pPr>
      <w:r/>
      <w:r>
        <w:rPr>
          <w:b/>
        </w:rPr>
        <w:t>OPADEX</w:t>
      </w:r>
      <w:r>
        <w:t xml:space="preserve"> (GENERIC LAB) — Collyre 1 mg/3500 UI/mL (Fl 5 mL) — Actif</w:t>
      </w:r>
    </w:p>
    <w:p>
      <w:pPr>
        <w:pStyle w:val="ListBullet"/>
      </w:pPr>
      <w:r/>
      <w:r>
        <w:rPr>
          <w:b/>
        </w:rPr>
        <w:t>MAXIDROL</w:t>
      </w:r>
      <w:r>
        <w:t xml:space="preserve"> (NOVARTIS) — Pommade ophtalmique 0,1 g/350 000 UI/600 000 UI/100 g (T 3,5 g, association néomycine-polymyxine) — Actif</w:t>
      </w:r>
    </w:p>
    <w:p>
      <w:pPr>
        <w:pStyle w:val="ListBullet"/>
      </w:pPr>
      <w:r/>
      <w:r>
        <w:rPr>
          <w:b/>
        </w:rPr>
        <w:t>STERDEX</w:t>
      </w:r>
      <w:r>
        <w:t xml:space="preserve"> (THEA) — Pommade ophtalmique en récipient unidose 0,267 mg/1,335 mg (B/12 capsules) — Actif</w:t>
      </w:r>
    </w:p>
    <w:p>
      <w:r/>
      <w:r>
        <w:rPr>
          <w:i/>
        </w:rPr>
        <w:t>Formes topiques dermiques (gel, pommade) :</w:t>
      </w:r>
      <w:r/>
    </w:p>
    <w:p>
      <w:pPr>
        <w:pStyle w:val="ListBullet"/>
      </w:pPr>
      <w:r/>
      <w:r>
        <w:rPr>
          <w:b/>
        </w:rPr>
        <w:t>PERCUTALGINE</w:t>
      </w:r>
      <w:r>
        <w:t xml:space="preserve"> (BESINS INTERNATIONAL — Suisse) — Gel dermique 0,005 %/2 %/10 % (T 30 g, association lidocaïne) — Actif</w:t>
      </w:r>
    </w:p>
    <w:p>
      <w:pPr>
        <w:pStyle w:val="ListBullet"/>
      </w:pPr>
      <w:r/>
      <w:r>
        <w:rPr>
          <w:b/>
        </w:rPr>
        <w:t>PERCUTALGINE SPRAY</w:t>
      </w:r>
      <w:r>
        <w:t xml:space="preserve"> (BESINS INTERNATIONAL) — Solution dermique 0,05 %/8,5 %/10 % (Fl 40 mL pressurisé) — Actif</w:t>
      </w:r>
    </w:p>
    <w:p>
      <w:pPr>
        <w:pStyle w:val="ListBullet"/>
      </w:pPr>
      <w:r/>
      <w:r>
        <w:rPr>
          <w:b/>
        </w:rPr>
        <w:t>DESACROVIS</w:t>
      </w:r>
      <w:r>
        <w:t xml:space="preserve"> (CROVIS PHILCOM) — Pommade dermique 0,05 % (T 30 g) — Actif</w:t>
      </w:r>
    </w:p>
    <w:p>
      <w:r/>
      <w:r>
        <w:rPr>
          <w:i/>
        </w:rPr>
        <w:t>Formes non renouvelables et retirées :</w:t>
      </w:r>
      <w:r/>
    </w:p>
    <w:p>
      <w:pPr>
        <w:pStyle w:val="ListBullet"/>
      </w:pPr>
      <w:r/>
      <w:r>
        <w:rPr>
          <w:b/>
        </w:rPr>
        <w:t>DEXAL</w:t>
      </w:r>
      <w:r>
        <w:t xml:space="preserve"> (GROUPE SANTE) — Comprimé 0,5 mg (B/30) — Non Renouvelable</w:t>
      </w:r>
    </w:p>
    <w:p>
      <w:pPr>
        <w:pStyle w:val="ListBullet"/>
      </w:pPr>
      <w:r/>
      <w:r>
        <w:rPr>
          <w:b/>
        </w:rPr>
        <w:t>DEXALEK</w:t>
      </w:r>
      <w:r>
        <w:t xml:space="preserve"> (LEK) — Comprimé 0,5 mg (B/30) — Non Renouvelable</w:t>
      </w:r>
    </w:p>
    <w:p>
      <w:pPr>
        <w:pStyle w:val="ListBullet"/>
      </w:pPr>
      <w:r/>
      <w:r>
        <w:rPr>
          <w:b/>
        </w:rPr>
        <w:t>DEXAMETHASONE</w:t>
      </w:r>
      <w:r>
        <w:t xml:space="preserve"> (RENAUDIN) — Solution injectable 20 mg (B/5) — Non Renouvelable</w:t>
      </w:r>
    </w:p>
    <w:p>
      <w:pPr>
        <w:pStyle w:val="ListBullet"/>
      </w:pPr>
      <w:r/>
      <w:r>
        <w:rPr>
          <w:b/>
        </w:rPr>
        <w:t>MAXIDROL</w:t>
      </w:r>
      <w:r>
        <w:t xml:space="preserve"> (ALCON) — Collyre 100 mg/350 000 UI/600 000 UI/100 mL (Fl 3 mL) — Non Renouvelable</w:t>
      </w:r>
    </w:p>
    <w:p>
      <w:pPr>
        <w:pStyle w:val="ListBullet"/>
      </w:pPr>
      <w:r/>
      <w:r>
        <w:rPr>
          <w:b/>
        </w:rPr>
        <w:t>MEPACYL</w:t>
      </w:r>
      <w:r>
        <w:t xml:space="preserve"> (PIERRE ROLLAND) — Solution pour usage dentaire (Fl 14 mL) — Non Renouvelable</w:t>
      </w:r>
    </w:p>
    <w:p>
      <w:pPr>
        <w:pStyle w:val="ListBullet"/>
      </w:pPr>
      <w:r/>
      <w:r>
        <w:rPr>
          <w:b/>
        </w:rPr>
        <w:t>METHASONE</w:t>
      </w:r>
      <w:r>
        <w:t xml:space="preserve"> (ARAB PHARMACEUTICAL MANUFACTURING) — Solution injectable 4 mg/mL (B/1 amp 2 mL) — Retiré (R)</w:t>
      </w:r>
    </w:p>
    <w:p>
      <w:pPr>
        <w:pStyle w:val="ListBullet"/>
      </w:pPr>
      <w:r/>
      <w:r>
        <w:rPr>
          <w:b/>
        </w:rPr>
        <w:t>DEXAMETHASONE</w:t>
      </w:r>
      <w:r>
        <w:t xml:space="preserve"> (BIOLOGICI ITALIA) — Solution injectable 4 mg/mL (B/100 amp 2 mL) — Retiré (R)</w:t>
      </w:r>
    </w:p>
    <w:p>
      <w:pPr>
        <w:pStyle w:val="ListBullet"/>
      </w:pPr>
      <w:r/>
      <w:r>
        <w:rPr>
          <w:b/>
        </w:rPr>
        <w:t>UNIDEX</w:t>
      </w:r>
      <w:r>
        <w:t xml:space="preserve"> (UNIMED) — Solution injectable 4 mg/mL (B/5 amp 1 mL) — Retiré (R)</w:t>
      </w:r>
    </w:p>
    <w:p>
      <w:pPr>
        <w:pStyle w:val="ListBullet"/>
      </w:pPr>
      <w:r/>
      <w:r>
        <w:rPr>
          <w:b/>
        </w:rPr>
        <w:t>DEXAMETHASONE LEURQUIN MEDIOLANUM</w:t>
      </w:r>
      <w:r>
        <w:t xml:space="preserve"> — Solution injectable 4 mg/mL (B/3 amp 1 mL) — Retiré (R)</w:t>
      </w:r>
    </w:p>
    <w:p>
      <w:pPr>
        <w:pStyle w:val="ListBullet"/>
      </w:pPr>
      <w:r/>
      <w:r>
        <w:rPr>
          <w:b/>
        </w:rPr>
        <w:t>DEXALEK</w:t>
      </w:r>
      <w:r>
        <w:t xml:space="preserve"> (LEK) — Solution injectable 4 mg/mL (B/3) — Retiré (R)</w:t>
      </w:r>
    </w:p>
    <w:p>
      <w:pPr>
        <w:pStyle w:val="ListBullet"/>
      </w:pPr>
      <w:r/>
      <w:r>
        <w:rPr>
          <w:b/>
        </w:rPr>
        <w:t>ORADEXON</w:t>
      </w:r>
      <w:r>
        <w:t xml:space="preserve"> (ORGANON) — Solution injectable 20 mg/mL (B/1) — Retiré (R)</w:t>
      </w:r>
    </w:p>
    <w:p>
      <w:pPr>
        <w:pStyle w:val="ListBullet"/>
      </w:pPr>
      <w:r/>
      <w:r>
        <w:rPr>
          <w:b/>
        </w:rPr>
        <w:t>ORADEXON</w:t>
      </w:r>
      <w:r>
        <w:t xml:space="preserve"> (ORGANON) — Solution injectable 5 mg/mL (B/1) — Retiré (R)</w:t>
      </w:r>
    </w:p>
    <w:p>
      <w:pPr>
        <w:pStyle w:val="ListBullet"/>
      </w:pPr>
      <w:r/>
      <w:r>
        <w:rPr>
          <w:b/>
        </w:rPr>
        <w:t>DEXAMED</w:t>
      </w:r>
      <w:r>
        <w:t xml:space="preserve"> (MEDI PHARMA INTERNATIONAL) — Comprimé 0,5 mg (B/20) — Retiré (R)</w:t>
      </w:r>
    </w:p>
    <w:p>
      <w:pPr>
        <w:pStyle w:val="ListBullet"/>
      </w:pPr>
      <w:r/>
      <w:r>
        <w:rPr>
          <w:b/>
        </w:rPr>
        <w:t>DEXAGRANE</w:t>
      </w:r>
      <w:r>
        <w:t xml:space="preserve"> (LEURQUIN MEDIOLANUM) — Collyre 100 mg/340 000 UI/100 mL (Fl 5 mL) — Retiré (R)</w:t>
      </w:r>
    </w:p>
    <w:p>
      <w:r/>
      <w:r>
        <w:rPr>
          <w:b/>
        </w:rPr>
        <w:t>Sous-classe et Mécanisme d'action :</w:t>
      </w:r>
      <w:r/>
    </w:p>
    <w:p>
      <w:pPr>
        <w:pStyle w:val="ListBullet"/>
      </w:pPr>
      <w:r>
        <w:t>Sous-classe : Glucocorticoïdes systémiques — Action longue (demi-vie biologique 36 à 72 h). Puissance 25-30× l'hydrocortisone. Activité minéralocorticoïde nulle. Pilier des protocoles anti-inflammatoires soutenus.</w:t>
      </w:r>
    </w:p>
    <w:p>
      <w:pPr>
        <w:pStyle w:val="ListBullet"/>
      </w:pPr>
      <w:r>
        <w:t xml:space="preserve">Mécanisme d'action : Traverse la membrane cellulaire par diffusion passive, se fixe sur le </w:t>
      </w:r>
      <w:r>
        <w:rPr>
          <w:b/>
        </w:rPr>
        <w:t>récepteur glucocorticoïde cytosolique (GRα)</w:t>
      </w:r>
      <w:r>
        <w:t xml:space="preserve"> en libérant les protéines chaperonnes (HSP90, HSP70). Le complexe hormone-récepteur subit une translocation nucléaire, se dimérise et se fixe sur les </w:t>
      </w:r>
      <w:r>
        <w:rPr>
          <w:b/>
        </w:rPr>
        <w:t>GRE (Glucocorticoid Response Elements)</w:t>
      </w:r>
      <w:r>
        <w:t xml:space="preserve"> de l'ADN. Modulation transcriptionnelle : (i) activation des gènes anti-inflammatoires (annexine-1/lipocortine-1, IκB, IL-10, MKP-1) ; (ii) répression transrépressionnelle des gènes pro-inflammatoires (cytokines IL-1, IL-2, IL-6, TNF-α ; COX-2 ; iNOS ; MMP-9). La 9α-fluoro-16α-méthylation supprime l'affinité pour le récepteur minéralocorticoïde (MR) — pas de rétention hydrosodée. La dexaméthasone traverse bien la BHE, justifiant son utilisation dans l'œdème cérébral (réduction de la perméabilité capillaire cérébrale). Action antiémétique via antagonisme des récepteurs 5-HT3 et NK1 centraux.</w:t>
      </w:r>
    </w:p>
    <w:p>
      <w:r/>
      <w:r>
        <w:rPr>
          <w:b/>
        </w:rPr>
        <w:t>Profil Pharmacologique :</w:t>
      </w:r>
      <w:r/>
    </w:p>
    <w:p>
      <w:pPr>
        <w:pStyle w:val="ListBullet"/>
      </w:pPr>
      <w:r>
        <w:t xml:space="preserve">Indications : (1) </w:t>
      </w:r>
      <w:r>
        <w:rPr>
          <w:b/>
        </w:rPr>
        <w:t>Œdème cérébral tumoral</w:t>
      </w:r>
      <w:r>
        <w:t xml:space="preserve"> (primaire ou métastatique), post-opératoire, post-radiothérapie — protocole 4 à 16 mg/j IV ou per os. (2) </w:t>
      </w:r>
      <w:r>
        <w:rPr>
          <w:b/>
        </w:rPr>
        <w:t>COVID-19 sévère</w:t>
      </w:r>
      <w:r>
        <w:t xml:space="preserve"> (protocole RECOVERY 2020) — 6 mg/j per os ou IV × 10 jours chez les patients sous oxygénothérapie ou ventilation mécanique (réduction de mortalité 28 %). (3) </w:t>
      </w:r>
      <w:r>
        <w:rPr>
          <w:b/>
        </w:rPr>
        <w:t>Syndrome de détresse respiratoire aigu (ARDS)</w:t>
      </w:r>
      <w:r>
        <w:t xml:space="preserve"> sévère — dexaméthasone 20 mg/j × 5 j puis 10 mg/j × 5 j (protocole DEXA-ARDS). (4) </w:t>
      </w:r>
      <w:r>
        <w:rPr>
          <w:b/>
        </w:rPr>
        <w:t>Prophylaxie des NVPO</w:t>
      </w:r>
      <w:r>
        <w:t xml:space="preserve"> — 4 à 8 mg IV à l'induction anesthésique. (5) </w:t>
      </w:r>
      <w:r>
        <w:rPr>
          <w:b/>
        </w:rPr>
        <w:t>Croup sévère</w:t>
      </w:r>
      <w:r>
        <w:t xml:space="preserve"> de l'enfant — 0,6 mg/kg per os ou IM, dose unique. (6) </w:t>
      </w:r>
      <w:r>
        <w:rPr>
          <w:b/>
        </w:rPr>
        <w:t>Syndrome hémophagocytaire</w:t>
      </w:r>
      <w:r>
        <w:t xml:space="preserve"> (HLH) — protocole HLH-2004 : 10 mg/m²/j × 2 semaines puis décroissance. (7) </w:t>
      </w:r>
      <w:r>
        <w:rPr>
          <w:b/>
        </w:rPr>
        <w:t>Thrombocytopénie immune chronique</w:t>
      </w:r>
      <w:r>
        <w:t xml:space="preserve"> (PTI) en relais de la prednisone. (8) </w:t>
      </w:r>
      <w:r>
        <w:rPr>
          <w:b/>
        </w:rPr>
        <w:t>BPCO exacerbation</w:t>
      </w:r>
      <w:r>
        <w:t xml:space="preserve"> alternative à la prednisolone. (9) </w:t>
      </w:r>
      <w:r>
        <w:rPr>
          <w:b/>
        </w:rPr>
        <w:t>Choc anaphylactique réfractaire</w:t>
      </w:r>
      <w:r>
        <w:t xml:space="preserve"> à l'adrénaline. (10) </w:t>
      </w:r>
      <w:r>
        <w:rPr>
          <w:b/>
        </w:rPr>
        <w:t>Protocoles oncologiques</w:t>
      </w:r>
      <w:r>
        <w:t xml:space="preserve"> : DHAP (lymphome), VAD (myélome), hyper-CVAD (leucémie aiguë lymphoblastique), CERV (métastases cérébrales). (11) </w:t>
      </w:r>
      <w:r>
        <w:rPr>
          <w:b/>
        </w:rPr>
        <w:t>Maturation pulmonaire fœtale</w:t>
      </w:r>
      <w:r>
        <w:t xml:space="preserve"> anténatale entre 24 et 34 SA (alternative à la bétaméthasone — 6 mg IM × 4 injections à 12 h d'intervalle). (12) </w:t>
      </w:r>
      <w:r>
        <w:rPr>
          <w:b/>
        </w:rPr>
        <w:t>Test de freinage à la dexaméthasone</w:t>
      </w:r>
      <w:r>
        <w:t xml:space="preserve"> (diagnostic du syndrome de Cushing : 1 mg à minuit, cortisol à 8h &lt; 50 nmol/L exclut le Cushing). (13) Forme ophtalmologique : inflammations oculaires superficielles (conjonctivite allergique, kératite, épisclérite, post-chirurgie réfractive). (14) Implant intravitréen OZURDEX : œdème maculaire diabétique, occlusion de branche veineuse rétinienne, uvéite postérieure.</w:t>
      </w:r>
    </w:p>
    <w:p>
      <w:pPr>
        <w:pStyle w:val="ListBullet"/>
      </w:pPr>
      <w:r>
        <w:t>Contre-indications : (1) Infection non contrôlée (sauf indication vitale + antibiothérapie adaptée — COVID-19 COVID+ nécessite couverture antibiotique si suspicion surinfection). (2) Psychose non contrôlée. (3) Ulcère gastro-duodénal actif. (4) Herpès oculaire (collyre). (5) Vaccins vivants atténués. (6) Allaitement (forme systémique). (7) Grossesse 1er trimestre (sauf maturation pulmonaire). Précautions : diabète (puissance hyperglycémiante), hypertension, IC, ostéoporose, glaucome, cataracte, sujet âgé.</w:t>
      </w:r>
    </w:p>
    <w:p>
      <w:pPr>
        <w:pStyle w:val="ListBullet"/>
      </w:pPr>
      <w:r>
        <w:t xml:space="preserve">Effets Indésirables : (1) </w:t>
      </w:r>
      <w:r>
        <w:rPr>
          <w:b/>
        </w:rPr>
        <w:t>Iatrogénie Cushing</w:t>
      </w:r>
      <w:r>
        <w:t xml:space="preserve"> massive si dose &gt; 5 mg/j &gt; 3 semaines. (2) </w:t>
      </w:r>
      <w:r>
        <w:rPr>
          <w:b/>
        </w:rPr>
        <w:t>Freinage de l'axe HPA</w:t>
      </w:r>
      <w:r>
        <w:t xml:space="preserve"> majeur : insuffisance surrénale aiguë à l'arrêt brutal — relais obligatoire par hydrocortisone substitutive et décroissance progressive sur plusieurs semaines à mois. (3) Diabète cortico-induit (puissance hyperglycémiante supérieure à la prednisolone). (4) Ostéoporose cortico-induite ++ (fractures vertébrales, ostéonécrose tête fémorale). (5) Troubles digestifs. (6) Infection opportuniste (candidose, herpès, tuberculose réactivation, pneumocystose, aspergillose si &gt; 5 mg/j &gt; 4 semaines). (7) Troubles neuropsychiatriques : euphorie, insomnie, agitation, dépression, psychose cortico-induite (risque supérieur à la prednisolone en raison de la longue demi-vie et du passage BBB). (8) Hypertension (effet vasopresseur). (9) Glaucome, cataracte sous-capsulaire postérieure (risque supérieur à la prednisolone). (10) Retard de croissance (enfant). (11) Nécrose osseuse. (12) Troubles cutanés. (13) Myopathie cortico-induite (proximale, parfois aiguë). (14) Pour le collyre : HPIO, cataracte, surinfection, retard de cicatrisation cornéenne.</w:t>
      </w:r>
    </w:p>
    <w:p>
      <w:r/>
      <w:r>
        <w:rPr>
          <w:b/>
        </w:rPr>
        <w:t>Prévention et Gestion des Effets Indésirables :</w:t>
      </w:r>
      <w:r/>
    </w:p>
    <w:p>
      <w:pPr>
        <w:pStyle w:val="ListBullet"/>
      </w:pPr>
      <w:r>
        <w:t xml:space="preserve">Mesures Préventives : (i) Prescription au plus court et à la dose minimale efficace. (ii) </w:t>
      </w:r>
      <w:r>
        <w:rPr>
          <w:b/>
        </w:rPr>
        <w:t>Monoprise matinale unique vers 8h</w:t>
      </w:r>
      <w:r>
        <w:t xml:space="preserve"> (ou 2 prises pour les doses élevées). (iii) Si traitement &gt; 3 semaines : supplémentation calcium (1 g/j) + vitamine D (800 UI/j) + bisphosphonate si FTS &gt; 10 % ; densitométrie osseuse initiale et à 6 mois ; régime hyposodé (même si MR nul, l'effet vasopresseur persiste) ; surveillance glycémie, kaliémie, pression artérielle, poids, ophtalmologique. (iv) Couverture anti-pneumocystose (cotrimoxazole 400/80 × 3/semaine) si &gt; 5 mg/j &gt; 4 semaines. (v) Vaccination anti-grippale, anti-pneumococcique avant instauration (vaccins inactivés uniquement). (vi) Information du patient : port carte de corticothérapie, ne jamais arrêter brutalement. (vii) Pour le collyre : surveillance PIO si &gt; 2 semaines.</w:t>
      </w:r>
    </w:p>
    <w:p>
      <w:pPr>
        <w:pStyle w:val="ListBullet"/>
      </w:pPr>
      <w:r>
        <w:t>Conduite à Tenir : Pour un traitement &gt; 14 jours : décroissance progressive (réduction de 10 % tous les 7-14 jours, ou relais par prednisone puis hydrocortisone) ; surveillance de la fonction surrénalienne (cortisolémie à 8h) si durée &gt; 3 mois. En cas d'insuffisance surrénale aiguë (asthénie, hypotension, vomissements) : hydrocortisone 100 mg IV immédiat.</w:t>
      </w:r>
    </w:p>
    <w:p>
      <w:r/>
      <w:r>
        <w:rPr>
          <w:b/>
        </w:rPr>
        <w:t>Interactions Importantes :</w:t>
      </w:r>
      <w:r/>
    </w:p>
    <w:p>
      <w:pPr>
        <w:pStyle w:val="ListBullet"/>
      </w:pPr>
      <w:r>
        <w:t>Dexaméthasone + AINS → majoration du risque ulcérogène et hémorragique. IPP systématique.</w:t>
      </w:r>
    </w:p>
    <w:p>
      <w:pPr>
        <w:pStyle w:val="ListBullet"/>
      </w:pPr>
      <w:r>
        <w:t>Dexaméthasone + diurétiques → hypokaliémie (effet additif même sans MR).</w:t>
      </w:r>
    </w:p>
    <w:p>
      <w:pPr>
        <w:pStyle w:val="ListBullet"/>
      </w:pPr>
      <w:r>
        <w:t>Dexaméthasone + digoxine → toxicité digitalique si hypokaliémie.</w:t>
      </w:r>
    </w:p>
    <w:p>
      <w:pPr>
        <w:pStyle w:val="ListBullet"/>
      </w:pPr>
      <w:r>
        <w:t>Dexaméthasone + antihypertenseurs → diminution de l'efficacité.</w:t>
      </w:r>
    </w:p>
    <w:p>
      <w:pPr>
        <w:pStyle w:val="ListBullet"/>
      </w:pPr>
      <w:r>
        <w:t>Dexaméthasone + antidiabétiques → hyperglycémie majeure (puissance supérieure à la prednisolone).</w:t>
      </w:r>
    </w:p>
    <w:p>
      <w:pPr>
        <w:pStyle w:val="ListBullet"/>
      </w:pPr>
      <w:r>
        <w:t>Dexaméthasone + inducteurs enzymatiques (rifampicine, phénobarbital, carbamazépine, phénytoïne, éfavirenz) → augmentation du métabolisme → réduction d'efficacité.</w:t>
      </w:r>
    </w:p>
    <w:p>
      <w:pPr>
        <w:pStyle w:val="ListBullet"/>
      </w:pPr>
      <w:r>
        <w:t>Dexaméthasone + inhibiteurs enzymatiques (kétoconazole, itraconazole, érythromycine, clarithromycine, ritonavir) → diminution du métabolisme → majoration des effets indésirables.</w:t>
      </w:r>
    </w:p>
    <w:p>
      <w:pPr>
        <w:pStyle w:val="ListBullet"/>
      </w:pPr>
      <w:r>
        <w:t>Dexaméthasone + vaccins vivants atténués → contre-indication.</w:t>
      </w:r>
    </w:p>
    <w:p>
      <w:pPr>
        <w:pStyle w:val="ListBullet"/>
      </w:pPr>
      <w:r>
        <w:t>Dexaméthasone + anticoagulants oraux → effet variable, surveillance INR.</w:t>
      </w:r>
    </w:p>
    <w:p>
      <w:pPr>
        <w:pStyle w:val="ListBullet"/>
      </w:pPr>
      <w:r>
        <w:t>Dexaméthasone + ciclosporine, tacrolimus → majoration toxicité rénale et immunosuppression.</w:t>
      </w:r>
    </w:p>
    <w:p>
      <w:pPr>
        <w:pStyle w:val="ListBullet"/>
      </w:pPr>
      <w:r>
        <w:t>Dexaméthasone + tobramycine, amikacine (nebulisée dans la mucoviscidose) → néphrotoxicité additive.</w:t>
      </w:r>
    </w:p>
    <w:p>
      <w:r/>
      <w:r>
        <w:rPr>
          <w:b/>
        </w:rPr>
        <w:t>Grossesse et Allaitement :</w:t>
      </w:r>
      <w:r/>
    </w:p>
    <w:p>
      <w:pPr>
        <w:pStyle w:val="ListBullet"/>
      </w:pPr>
      <w:r>
        <w:t xml:space="preserve">Grossesse : Dexaméthasone </w:t>
      </w:r>
      <w:r>
        <w:rPr>
          <w:b/>
        </w:rPr>
        <w:t>compatible avec précautions</w:t>
      </w:r>
      <w:r>
        <w:t xml:space="preserve"> (CRAT : « La dexaméthasone traverse le placenta et n'est que faiblement métabolisée par la 11β-HSD2 placentaire, atteignant le fœtus à des concentrations proches de la concentration maternelle. Pour cette raison, elle est utilisée pour la maturation pulmonaire fœtale anténatale (24-34 SA, 6 mg IM × 4 à 12 h d'intervalle). Pour les indications maternelles, préférer la prednisolone (moindre passage fœtal). Au 1er trimestre, éviter sauf indication vitale. Au 2e et 3e trimestres, dose ponctuelle acceptable. »). Forme ophtalmologique (collyre) : compatible pendant la grossesse.</w:t>
      </w:r>
    </w:p>
    <w:p>
      <w:pPr>
        <w:pStyle w:val="ListBullet"/>
      </w:pPr>
      <w:r>
        <w:t xml:space="preserve">Allaitement : </w:t>
      </w:r>
      <w:r>
        <w:rPr>
          <w:b/>
        </w:rPr>
        <w:t>Compatible à dose &lt; 5 mg/j</w:t>
      </w:r>
      <w:r>
        <w:t xml:space="preserve"> (CRAT : passage minimal). À dose &gt; 5 mg/j &gt; 1 semaine, déconseiller l'allaitement (effet systémique fœtal via le lait).</w:t>
      </w:r>
    </w:p>
    <w:p>
      <w:pPr>
        <w:pStyle w:val="ListBullet"/>
      </w:pPr>
      <w:r>
        <w:t>Précisions : La maturation pulmonaire fœtale anténatale utilise la dexaméthasone (ou la bétaméthasone) entre 24 et 34 SA en cas de menace d'accouchement prématuré, pour prévenir la maladie des membranes hyalines (RDS néonatal) et l'hémorragie intraventriculaire (HIV).</w:t>
      </w:r>
    </w:p>
    <w:p>
      <w:r/>
      <w:r>
        <w:rPr>
          <w:b/>
        </w:rPr>
        <w:t>Posologie et Mode d'administration (Standard) :</w:t>
      </w:r>
      <w:r/>
    </w:p>
    <w:p>
      <w:pPr>
        <w:pStyle w:val="ListBullet"/>
      </w:pPr>
      <w:r>
        <w:t>Adulte (œdème cérébral tumoral) : dose d'attaque 10 mg IV, puis 4 mg IV × 4/j (ou 16 mg/j en continu), relais per os 4 à 16 mg/j en 4 prises. Décroissance progressive après 7 à 14 jours.</w:t>
      </w:r>
    </w:p>
    <w:p>
      <w:pPr>
        <w:pStyle w:val="ListBullet"/>
      </w:pPr>
      <w:r>
        <w:t>Adulte (COVID-19 sévère) : 6 mg/j per os ou IV × 10 jours (protocole RECOVERY).</w:t>
      </w:r>
    </w:p>
    <w:p>
      <w:pPr>
        <w:pStyle w:val="ListBullet"/>
      </w:pPr>
      <w:r>
        <w:t>Adulte (ARDS sévère) : 20 mg/j × 5 jours puis 10 mg/j × 5 jours (protocole DEXA-ARDS).</w:t>
      </w:r>
    </w:p>
    <w:p>
      <w:pPr>
        <w:pStyle w:val="ListBullet"/>
      </w:pPr>
      <w:r>
        <w:t>Adulte (prophylaxie NVPO) : 4 à 8 mg IV à l'induction anesthésique, dose unique.</w:t>
      </w:r>
    </w:p>
    <w:p>
      <w:pPr>
        <w:pStyle w:val="ListBullet"/>
      </w:pPr>
      <w:r>
        <w:t>Adulte (croup sévère enfant) : 0,6 mg/kg per os ou IM, dose unique (max. 16 mg).</w:t>
      </w:r>
    </w:p>
    <w:p>
      <w:pPr>
        <w:pStyle w:val="ListBullet"/>
      </w:pPr>
      <w:r>
        <w:t>Adulte (syndrome hémophagocytaire HLH) : 10 mg/m²/j × 2 semaines puis décroissance selon protocole HLH-2004.</w:t>
      </w:r>
    </w:p>
    <w:p>
      <w:pPr>
        <w:pStyle w:val="ListBullet"/>
      </w:pPr>
      <w:r>
        <w:t>Adulte (PTI, vascularite, oncologie) : selon protocoles spécifiques (DHAP 40 mg × 4 j/cycle ; VAD 40 mg × 4 j/cycle).</w:t>
      </w:r>
    </w:p>
    <w:p>
      <w:pPr>
        <w:pStyle w:val="ListBullet"/>
      </w:pPr>
      <w:r>
        <w:t>Adulte (maturation pulmonaire fœtale) : 6 mg IM × 4 injections à 12 h d'intervalle.</w:t>
      </w:r>
    </w:p>
    <w:p>
      <w:pPr>
        <w:pStyle w:val="ListBullet"/>
      </w:pPr>
      <w:r>
        <w:t>Adulte (test de freinage overnight) : 1 mg per os à minuit, cortisolémie à 8h (seuil &lt; 50 nmol/L).</w:t>
      </w:r>
    </w:p>
    <w:p>
      <w:pPr>
        <w:pStyle w:val="ListBullet"/>
      </w:pPr>
      <w:r>
        <w:t>Adulte (entretien long cours, exceptionnel) : 0,5 à 2 mg/j en 1 prise matinale.</w:t>
      </w:r>
    </w:p>
    <w:p>
      <w:pPr>
        <w:pStyle w:val="ListBullet"/>
      </w:pPr>
      <w:r>
        <w:t>Sujet âgé : dose réduite, surveillance accrue.</w:t>
      </w:r>
    </w:p>
    <w:p>
      <w:pPr>
        <w:pStyle w:val="ListBullet"/>
      </w:pPr>
      <w:r>
        <w:t>Enfant : 0,2 à 0,3 mg/kg/j (maturation pulmonaire fœtale), 0,6 mg/kg (croup), 10 mg/m²/j (HLH).</w:t>
      </w:r>
    </w:p>
    <w:p>
      <w:pPr>
        <w:pStyle w:val="ListBullet"/>
      </w:pPr>
      <w:r>
        <w:t>Durée : cours court (5-10 jours, arrêt autorisé d'emblée) pour COVID-19, NVPO, croup ; cours long avec décroissance si &gt; 14 jours.</w:t>
      </w:r>
    </w:p>
    <w:p>
      <w:pPr>
        <w:pStyle w:val="ListBullet"/>
      </w:pPr>
      <w:r>
        <w:t xml:space="preserve">Moment de prise : </w:t>
      </w:r>
      <w:r>
        <w:rPr>
          <w:b/>
        </w:rPr>
        <w:t>1 prise matinale unique vers 8h</w:t>
      </w:r>
      <w:r>
        <w:t xml:space="preserve"> pour les doses &lt; 4 mg/j ; 2 à 4 prises pour les doses élevées (œdème cérébral, oncologie). IV en perfusion lente.</w:t>
      </w:r>
    </w:p>
    <w:p>
      <w:r/>
      <w:r>
        <w:rPr>
          <w:b/>
        </w:rPr>
        <w:t>Arbitrage et Bénéfices des Formes Galéniques :</w:t>
      </w:r>
      <w:r/>
    </w:p>
    <w:p>
      <w:r>
        <w:t xml:space="preserve">Le choix de la dexaméthasone vs prednisolone repose sur : (i) </w:t>
      </w:r>
      <w:r>
        <w:rPr>
          <w:b/>
        </w:rPr>
        <w:t>puissance supérieure</w:t>
      </w:r>
      <w:r>
        <w:t xml:space="preserve"> (5 mg prednisolone = 0,75 mg dexaméthasone — utile pour les doses élevées en oncologie) ; (ii) </w:t>
      </w:r>
      <w:r>
        <w:rPr>
          <w:b/>
        </w:rPr>
        <w:t>absence d'effet minéralocorticoïde</w:t>
      </w:r>
      <w:r>
        <w:t xml:space="preserve"> (œdème cérébral, IC, hypertension) ; (iii) </w:t>
      </w:r>
      <w:r>
        <w:rPr>
          <w:b/>
        </w:rPr>
        <w:t>effet antiémétique central</w:t>
      </w:r>
      <w:r>
        <w:t xml:space="preserve"> (NVPO) ; (iv) </w:t>
      </w:r>
      <w:r>
        <w:rPr>
          <w:b/>
        </w:rPr>
        <w:t>protocole RECOVERY COVID-19</w:t>
      </w:r>
      <w:r>
        <w:t xml:space="preserve"> (médiatisation majeure, augmentation massive de la prescription en 2020-2022). La forme IV (DEXASONE, DEXTHERA, DEXAMETYD) est utilisée en urgence. La forme orale 0,5 mg (DESACROVIS) est pratique pour les doses de 0,5 à 4 mg (1 à 8 cp). La forme ophtalmologique (collyre, pommade) est très largement utilisée en post-chirurgie réfractive et dans les inflammations oculaires superficielles. L'implant intravitréen OZURDEX® est une spécialité d'exception (Liste II, prescription ophtalmologique spécialisée) pour l'œdème maculaire. La formulation algérienne est stable, disponible en quantité suffisante pour la demande COVID-19.</w:t>
      </w:r>
    </w:p>
    <w:p>
      <w:r/>
      <w:r>
        <w:rPr>
          <w:b/>
        </w:rPr>
        <w:t>Instructions et Conseils au Patient :</w:t>
      </w:r>
      <w:r/>
    </w:p>
    <w:p>
      <w:pPr>
        <w:pStyle w:val="ListBullet"/>
      </w:pPr>
      <w:r>
        <w:t xml:space="preserve">Communication au comptoir : « Votre dexaméthasone est un anti-inflammatoire stéroïdien (cortisone) plus puissant que la prednisolone, sans effet sur la rétention d'eau. Prenez-la en 1 prise le matin vers 8h selon l'ordonnance. </w:t>
      </w:r>
      <w:r>
        <w:rPr>
          <w:b/>
        </w:rPr>
        <w:t>Ne JAMAIS arrêter brutalement</w:t>
      </w:r>
      <w:r>
        <w:t xml:space="preserve"> : risque d'insuffisance surrénale aiguë (votre médecin vous donnera un schéma de décroissance). Portez une carte de corticothérapie. Surveillez votre glycémie (risque de diabète supérieur à la prednisolone), votre tension, votre poids. Évitez les contacts contagieux. Prévenez votre médecin en cas de fièvre, troubles visuels, ou modifications émotionnelles (euphorie, anxiété, insomnie, idées noires). Pour le collyre : ne pas dépasser 2 semaines sans avis ophtalmologique. Pour le spray/gel dermique : application locale, ne pas utiliser sur grande surface. »</w:t>
      </w:r>
    </w:p>
    <w:p>
      <w:pPr>
        <w:pStyle w:val="ListBullet"/>
      </w:pPr>
      <w:r>
        <w:t>Mode d'utilisation pratique : Per os : 1 prise matinale vers 8h. IV : en perfusion lente à l'hôpital. Collyre : se laver les mains, tirer la paupière inférieure, instiller 1 goutte, fermer l'œil 1 minute, ne pas cligner. Pommade ophtalmologique : appliquer un ruban dans le cul-de-sac conjonctival. Gel dermique : application locale, masser légèrement, ne pas couvrir.</w:t>
      </w:r>
    </w:p>
    <w:p>
      <w:r/>
      <w:r>
        <w:rPr>
          <w:b/>
        </w:rPr>
        <w:t>Notes, Règles d'Or &amp; Pièges au Comptoir :</w:t>
      </w:r>
      <w:r/>
    </w:p>
    <w:p>
      <w:pPr>
        <w:pStyle w:val="ListBullet"/>
      </w:pPr>
      <w:r>
        <w:t xml:space="preserve">Piège classique : </w:t>
      </w:r>
      <w:r>
        <w:rPr>
          <w:b/>
        </w:rPr>
        <w:t>Dexaméthasone = puissance 30× l'hydrocortisone = freination HPA majeure</w:t>
      </w:r>
      <w:r>
        <w:t>. Pour un traitement &gt; 14 jours, décroissance obligatoire sur plusieurs semaines à mois. Pour les protocoles courts COVID-19 (10 jours), arrêt d'emblée autorisé.</w:t>
      </w:r>
    </w:p>
    <w:p>
      <w:pPr>
        <w:pStyle w:val="ListBullet"/>
      </w:pPr>
      <w:r>
        <w:t>Règle de prise : 1 prise matinale vers 8h pour les doses &lt; 4 mg/j ; 2 à 4 prises pour les doses élevées (œdème cérébral, oncologie).</w:t>
      </w:r>
    </w:p>
    <w:p>
      <w:pPr>
        <w:pStyle w:val="ListBullet"/>
      </w:pPr>
      <w:r>
        <w:t>Préparation et Conservation : Conservation &lt; 25 °C, à l'abri de la lumière. Les ampoules IV : conservation à l'abri de la lumière, ne pas congeler. Les collyres : à jeter 15 jours après ouverture (multi-dose) ou à usage unique (unidose). Le gel dermique : conservation &lt; 25 °C, ne pas appliquer sur peau lésée.</w:t>
      </w:r>
    </w:p>
    <w:p>
      <w:pPr>
        <w:pStyle w:val="ListBullet"/>
      </w:pPr>
      <w:r>
        <w:t xml:space="preserve">Piège du surdosage / Substitution : </w:t>
      </w:r>
      <w:r>
        <w:rPr>
          <w:b/>
        </w:rPr>
        <w:t>Équivalence anti-inflammatoire</w:t>
      </w:r>
      <w:r>
        <w:t xml:space="preserve"> : 0,75 mg dexaméthasone = 5 mg prednisolone = 5 mg prednisone = 4 mg méthylprednisolone = 4 mg triamcinolone = 20 mg hydrocortisone = 0,75 mg bétaméthasone. Attention : la dexaméthasone n'a pas d'activité MR — surveiller la tension (hypotension possible en cas de déficit surrénalien associé). En cas de substitution prednisolone → dexaméthasone : multiplier par 0,15 (5 mg prednisolone → 0,75 mg dexaméthasone). Pour la maturation pulmonaire fœtale, la bétaméthasone est équivalente (12 mg IM × 2 à 24 h d'intervalle).</w:t>
      </w:r>
    </w:p>
    <w:p>
      <w:pPr>
        <w:pStyle w:val="ListBullet"/>
      </w:pPr>
      <w:r>
        <w:t>Règle de prescription : Liste I pour les formes systémiques (comprimés, injectable) ; Liste II pour l'implant intravitréen OZURDEX®.</w:t>
      </w:r>
    </w:p>
    <w:p>
      <w:pPr>
        <w:pStyle w:val="Heading3"/>
      </w:pPr>
      <w:r>
        <w:t>11. DCI : Bétaméthasone (Seule)</w:t>
      </w:r>
    </w:p>
    <w:p>
      <w:r/>
      <w:r>
        <w:rPr>
          <w:b/>
        </w:rPr>
        <w:t>Liste des Catégories :</w:t>
      </w:r>
      <w:r>
        <w:t xml:space="preserve"> Liste I (sur ordonnance). Glucocorticoïdes systémiques — Action longue.</w:t>
      </w:r>
    </w:p>
    <w:p>
      <w:r>
        <w:t xml:space="preserve">La bétaméthasone est l'isomère géométrique 9α-fluoro-16β-méthylé de la dexaméthasone (isomère 16α-méthyl). Cette isomérie géométrique (16β vs 16α) confère à la bétaméthasone une pharmacologie très proche mais non strictement superposable à celle de la dexaméthasone : puissance anti-inflammatoire identique (25 à 30× l'hydrocortisone — 0,75 mg bétaméthasone = 0,75 mg dexaméthasone = 20 mg hydrocortisone), activité minéralocorticoïde quasi nulle, demi-vie plasmatique de 3 à 5 h, demi-vie biologique de 36 à 72 h. La bétaméthasone se distingue par deux indications privilégiées : (i) </w:t>
      </w:r>
      <w:r>
        <w:rPr>
          <w:b/>
        </w:rPr>
        <w:t>maturation pulmonaire fœtale anténatale</w:t>
      </w:r>
      <w:r>
        <w:t xml:space="preserve"> entre 24 et 34 SA en cas de menace d'accouchement prématuré (protocole 12 mg IM × 2 injections à 24 h d'intervalle — supérieur à la dexaméthasone en termes de prévention de la maladie des membranes hyalines et de l'entérocolite ulcéro-nécrosante selon la méta-analyse Cochrane 2017) ; (ii) </w:t>
      </w:r>
      <w:r>
        <w:rPr>
          <w:b/>
        </w:rPr>
        <w:t>formes dermologiques topiques</w:t>
      </w:r>
      <w:r>
        <w:t xml:space="preserve"> (crème, pommade, lotion — CELETASONE, BETASONE, DERMASONE, etc.) très largement utilisées dans les dermatoses inflammatoires sévères (psoriasis, eczéma, lichen). La forme systémique est représentée par : (a) comprimés orodispersibles et dispersibles 2 mg (BETABIO, BETASTENE, CELETASONE) ; (b) solution buvable 0,5 mg/mL (B-CORTOSONE, BETABIO, BETACROVIS, etc.) ; (c) suspension injectable IM/retard (CELESTENE CHRONODOSE, BIOLESTENE CHRONODOSE — association dipropionate de bétaméthasone + phosphate disodique de bétaméthasone pour effet immédiat + prolongé).</w:t>
      </w:r>
    </w:p>
    <w:p>
      <w:r/>
      <w:r>
        <w:rPr>
          <w:b/>
        </w:rPr>
        <w:t>Médicaments disponibles en Algérie (Marques, Laboratoires, Formes et Dosages) :</w:t>
      </w:r>
      <w:r/>
    </w:p>
    <w:p>
      <w:r/>
      <w:r>
        <w:rPr>
          <w:i/>
        </w:rPr>
        <w:t>Forme orale (comprimés orodispersibles et dispersibles) :</w:t>
      </w:r>
      <w:r/>
    </w:p>
    <w:p>
      <w:pPr>
        <w:pStyle w:val="ListBullet"/>
      </w:pPr>
      <w:r/>
      <w:r>
        <w:rPr>
          <w:b/>
        </w:rPr>
        <w:t>BETABIO</w:t>
      </w:r>
      <w:r>
        <w:t xml:space="preserve"> (BIOGALENIC — Algérie)</w:t>
      </w:r>
    </w:p>
    <w:p>
      <w:pPr>
        <w:pStyle w:val="ListBullet"/>
      </w:pPr>
      <w:r>
        <w:t>Formes et Dosages : Comprimé dispersible sécable 2 mg (Pilulier 20)</w:t>
      </w:r>
    </w:p>
    <w:p>
      <w:pPr>
        <w:pStyle w:val="ListBullet"/>
      </w:pPr>
      <w:r>
        <w:t>Statut : Actif — Spécialité algérienne de référence</w:t>
      </w:r>
    </w:p>
    <w:p>
      <w:pPr>
        <w:pStyle w:val="ListBullet"/>
      </w:pPr>
      <w:r/>
      <w:r>
        <w:rPr>
          <w:b/>
        </w:rPr>
        <w:t>BETAMETHASONE NOVAGENERICS</w:t>
      </w:r>
      <w:r>
        <w:t xml:space="preserve"> (NOVAPHARM TRADING — Algérie)</w:t>
      </w:r>
    </w:p>
    <w:p>
      <w:pPr>
        <w:pStyle w:val="ListBullet"/>
      </w:pPr>
      <w:r>
        <w:t>Formes et Dosages : Comprimé dispersible sécable 2 mg (B/20)</w:t>
      </w:r>
    </w:p>
    <w:p>
      <w:pPr>
        <w:pStyle w:val="ListBullet"/>
      </w:pPr>
      <w:r>
        <w:t>Statut : Actif</w:t>
      </w:r>
    </w:p>
    <w:p>
      <w:pPr>
        <w:pStyle w:val="ListBullet"/>
      </w:pPr>
      <w:r/>
      <w:r>
        <w:rPr>
          <w:b/>
        </w:rPr>
        <w:t>CELETASONE</w:t>
      </w:r>
      <w:r>
        <w:t xml:space="preserve"> (BIOPHARM — Algérie)</w:t>
      </w:r>
    </w:p>
    <w:p>
      <w:pPr>
        <w:pStyle w:val="ListBullet"/>
      </w:pPr>
      <w:r>
        <w:t>Formes et Dosages : Comprimé orodispersible 2 mg (B/20)</w:t>
      </w:r>
    </w:p>
    <w:p>
      <w:pPr>
        <w:pStyle w:val="ListBullet"/>
      </w:pPr>
      <w:r>
        <w:t>Statut : Actif</w:t>
      </w:r>
    </w:p>
    <w:p>
      <w:pPr>
        <w:pStyle w:val="ListBullet"/>
      </w:pPr>
      <w:r/>
      <w:r>
        <w:rPr>
          <w:b/>
        </w:rPr>
        <w:t>DEFLAMBETA</w:t>
      </w:r>
      <w:r>
        <w:t xml:space="preserve"> (LIFEPHARMA — Italie) — (Non Renouvelable)</w:t>
      </w:r>
    </w:p>
    <w:p>
      <w:pPr>
        <w:pStyle w:val="ListBullet"/>
      </w:pPr>
      <w:r>
        <w:t>Formes et Dosages : Comprimé 0,5 mg (B/30)</w:t>
      </w:r>
    </w:p>
    <w:p>
      <w:pPr>
        <w:pStyle w:val="ListBullet"/>
      </w:pPr>
      <w:r>
        <w:t>Statut : Non Renouvelable</w:t>
      </w:r>
    </w:p>
    <w:p>
      <w:r/>
      <w:r>
        <w:rPr>
          <w:i/>
        </w:rPr>
        <w:t>Forme solution buvable (0,5 mg/mL = 0,05 %) :</w:t>
      </w:r>
      <w:r/>
    </w:p>
    <w:p>
      <w:pPr>
        <w:pStyle w:val="ListBullet"/>
      </w:pPr>
      <w:r/>
      <w:r>
        <w:rPr>
          <w:b/>
        </w:rPr>
        <w:t>B-CORTOSONE</w:t>
      </w:r>
      <w:r>
        <w:t xml:space="preserve"> (PHARMIDAL NS — Algérie)</w:t>
      </w:r>
    </w:p>
    <w:p>
      <w:pPr>
        <w:pStyle w:val="ListBullet"/>
      </w:pPr>
      <w:r>
        <w:t>Formes et Dosages : Solution buvable en gouttes 0,5 mg/mL (0,05 %) (Fl 30 mL)</w:t>
      </w:r>
    </w:p>
    <w:p>
      <w:pPr>
        <w:pStyle w:val="ListBullet"/>
      </w:pPr>
      <w:r>
        <w:t>Statut : Actif</w:t>
      </w:r>
    </w:p>
    <w:p>
      <w:pPr>
        <w:pStyle w:val="ListBullet"/>
      </w:pPr>
      <w:r/>
      <w:r>
        <w:rPr>
          <w:b/>
        </w:rPr>
        <w:t>BETABIO</w:t>
      </w:r>
      <w:r>
        <w:t xml:space="preserve"> (BIOGALENIC — Algérie)</w:t>
      </w:r>
    </w:p>
    <w:p>
      <w:pPr>
        <w:pStyle w:val="ListBullet"/>
      </w:pPr>
      <w:r>
        <w:t>Formes et Dosages : Solution buvable 0,5 mg/mL (0,05 %) (Fl 30 mL + pipette 2 mL)</w:t>
      </w:r>
    </w:p>
    <w:p>
      <w:pPr>
        <w:pStyle w:val="ListBullet"/>
      </w:pPr>
      <w:r>
        <w:t>Statut : Actif</w:t>
      </w:r>
    </w:p>
    <w:p>
      <w:pPr>
        <w:pStyle w:val="ListBullet"/>
      </w:pPr>
      <w:r/>
      <w:r>
        <w:rPr>
          <w:b/>
        </w:rPr>
        <w:t>BETACROVIS</w:t>
      </w:r>
      <w:r>
        <w:t xml:space="preserve"> (GENCOPHARM — Algérie)</w:t>
      </w:r>
    </w:p>
    <w:p>
      <w:pPr>
        <w:pStyle w:val="ListBullet"/>
      </w:pPr>
      <w:r>
        <w:t>Formes et Dosages : Solution buvable en gouttes 0,5 mg/mL (0,05 %) (Fl 40 mL)</w:t>
      </w:r>
    </w:p>
    <w:p>
      <w:pPr>
        <w:pStyle w:val="ListBullet"/>
      </w:pPr>
      <w:r>
        <w:t>Statut : Actif</w:t>
      </w:r>
    </w:p>
    <w:p>
      <w:pPr>
        <w:pStyle w:val="ListBullet"/>
      </w:pPr>
      <w:r/>
      <w:r>
        <w:rPr>
          <w:b/>
        </w:rPr>
        <w:t>BETAMETHASONE PHYSIOPHARM</w:t>
      </w:r>
      <w:r>
        <w:t xml:space="preserve"> (PHYSIOPHARM LABORATOIRES — Algérie)</w:t>
      </w:r>
    </w:p>
    <w:p>
      <w:pPr>
        <w:pStyle w:val="ListBullet"/>
      </w:pPr>
      <w:r>
        <w:t>Formes et Dosages : Solution buvable en gouttes 0,5 mg/mL (0,05 %) (Fl 30 mL + pipette 2 mL)</w:t>
      </w:r>
    </w:p>
    <w:p>
      <w:pPr>
        <w:pStyle w:val="ListBullet"/>
      </w:pPr>
      <w:r>
        <w:t>Statut : Actif</w:t>
      </w:r>
    </w:p>
    <w:p>
      <w:pPr>
        <w:pStyle w:val="ListBullet"/>
      </w:pPr>
      <w:r/>
      <w:r>
        <w:rPr>
          <w:b/>
        </w:rPr>
        <w:t>BETASTENE</w:t>
      </w:r>
      <w:r>
        <w:t xml:space="preserve"> (INPHA-MEDIS — Algérie)</w:t>
      </w:r>
    </w:p>
    <w:p>
      <w:pPr>
        <w:pStyle w:val="ListBullet"/>
      </w:pPr>
      <w:r>
        <w:t>Formes et Dosages : Solution buvable 0,5 mg/mL (0,05 %) (Fl 30 mL + pipette 2 mL)</w:t>
      </w:r>
    </w:p>
    <w:p>
      <w:pPr>
        <w:pStyle w:val="ListBullet"/>
      </w:pPr>
      <w:r>
        <w:t>Statut : Actif</w:t>
      </w:r>
    </w:p>
    <w:p>
      <w:pPr>
        <w:pStyle w:val="ListBullet"/>
      </w:pPr>
      <w:r/>
      <w:r>
        <w:rPr>
          <w:b/>
        </w:rPr>
        <w:t>CELETASONE</w:t>
      </w:r>
      <w:r>
        <w:t xml:space="preserve"> (BIOPHARM — Algérie)</w:t>
      </w:r>
    </w:p>
    <w:p>
      <w:pPr>
        <w:pStyle w:val="ListBullet"/>
      </w:pPr>
      <w:r>
        <w:t>Formes et Dosages : Solution buvable en gouttes 0,5 mg/mL (0,05 %) (Fl 30 mL + pipette 2 mL)</w:t>
      </w:r>
    </w:p>
    <w:p>
      <w:pPr>
        <w:pStyle w:val="ListBullet"/>
      </w:pPr>
      <w:r>
        <w:t>Statut : Actif</w:t>
      </w:r>
    </w:p>
    <w:p>
      <w:pPr>
        <w:pStyle w:val="ListBullet"/>
      </w:pPr>
      <w:r/>
      <w:r>
        <w:rPr>
          <w:b/>
        </w:rPr>
        <w:t>LESTONE</w:t>
      </w:r>
      <w:r>
        <w:t xml:space="preserve"> (SOMEDIAL — Algérie)</w:t>
      </w:r>
    </w:p>
    <w:p>
      <w:pPr>
        <w:pStyle w:val="ListBullet"/>
      </w:pPr>
      <w:r>
        <w:t>Formes et Dosages : Solution buvable en gouttes 0,5 mg/mL (0,05 %) (Fl 30 mL compte-gouttes)</w:t>
      </w:r>
    </w:p>
    <w:p>
      <w:pPr>
        <w:pStyle w:val="ListBullet"/>
      </w:pPr>
      <w:r>
        <w:t>Statut : Actif</w:t>
      </w:r>
    </w:p>
    <w:p>
      <w:pPr>
        <w:pStyle w:val="ListBullet"/>
      </w:pPr>
      <w:r/>
      <w:r>
        <w:rPr>
          <w:b/>
        </w:rPr>
        <w:t>TABETA</w:t>
      </w:r>
      <w:r>
        <w:t xml:space="preserve"> (EL KENDI INDUSTRIE DU MEDICAMENT — Algérie)</w:t>
      </w:r>
    </w:p>
    <w:p>
      <w:pPr>
        <w:pStyle w:val="ListBullet"/>
      </w:pPr>
      <w:r>
        <w:t>Formes et Dosages : Solution buvable en gouttes 0,5 mg/mL (0,05 %) (Fl 30 mL + pipette 2 mL)</w:t>
      </w:r>
    </w:p>
    <w:p>
      <w:pPr>
        <w:pStyle w:val="ListBullet"/>
      </w:pPr>
      <w:r>
        <w:t>Statut : Actif</w:t>
      </w:r>
    </w:p>
    <w:p>
      <w:r/>
      <w:r>
        <w:rPr>
          <w:i/>
        </w:rPr>
        <w:t>Forme injectable IM/retard (suspension — dipropionate + phosphate disodique) :</w:t>
      </w:r>
      <w:r/>
    </w:p>
    <w:p>
      <w:pPr>
        <w:pStyle w:val="ListBullet"/>
      </w:pPr>
      <w:r/>
      <w:r>
        <w:rPr>
          <w:b/>
        </w:rPr>
        <w:t>BIOPROSTENE</w:t>
      </w:r>
      <w:r>
        <w:t xml:space="preserve"> (BIOTHERA — Algérie)</w:t>
      </w:r>
    </w:p>
    <w:p>
      <w:pPr>
        <w:pStyle w:val="ListBullet"/>
      </w:pPr>
      <w:r>
        <w:t>Formes et Dosages : Suspension injectable/locale 5 mg/2 mg/mL (B/1 amp)</w:t>
      </w:r>
    </w:p>
    <w:p>
      <w:pPr>
        <w:pStyle w:val="ListBullet"/>
      </w:pPr>
      <w:r>
        <w:t>Statut : Actif — Association dipropionate (retard) + phosphate (immédiat)</w:t>
      </w:r>
    </w:p>
    <w:p>
      <w:pPr>
        <w:pStyle w:val="ListBullet"/>
      </w:pPr>
      <w:r/>
      <w:r>
        <w:rPr>
          <w:b/>
        </w:rPr>
        <w:t>DIPROSTENE</w:t>
      </w:r>
      <w:r>
        <w:t xml:space="preserve"> (SCHERING PLOUGH — USA)</w:t>
      </w:r>
    </w:p>
    <w:p>
      <w:pPr>
        <w:pStyle w:val="ListBullet"/>
      </w:pPr>
      <w:r>
        <w:t>Formes et Dosages : Suspension injectable 5 mg/2 mg/mL (1 seringue pré-remplie + 2 aiguilles)</w:t>
      </w:r>
    </w:p>
    <w:p>
      <w:pPr>
        <w:pStyle w:val="ListBullet"/>
      </w:pPr>
      <w:r>
        <w:t>Statut : Actif — Spécialité internationale de référence</w:t>
      </w:r>
    </w:p>
    <w:p>
      <w:pPr>
        <w:pStyle w:val="ListBullet"/>
      </w:pPr>
      <w:r/>
      <w:r>
        <w:rPr>
          <w:b/>
        </w:rPr>
        <w:t>HUPPROSTENE</w:t>
      </w:r>
      <w:r>
        <w:t xml:space="preserve"> (HUPP PHARMA — Algérie)</w:t>
      </w:r>
    </w:p>
    <w:p>
      <w:pPr>
        <w:pStyle w:val="ListBullet"/>
      </w:pPr>
      <w:r>
        <w:t>Formes et Dosages : Suspension injectable 5 mg/2 mg/mL (B/1 amp 1 mL)</w:t>
      </w:r>
    </w:p>
    <w:p>
      <w:pPr>
        <w:pStyle w:val="ListBullet"/>
      </w:pPr>
      <w:r>
        <w:t>Statut : Actif</w:t>
      </w:r>
    </w:p>
    <w:p>
      <w:pPr>
        <w:pStyle w:val="ListBullet"/>
      </w:pPr>
      <w:r/>
      <w:r>
        <w:rPr>
          <w:b/>
        </w:rPr>
        <w:t>CELESTINAD CHRONODOSE</w:t>
      </w:r>
      <w:r>
        <w:t xml:space="preserve"> (NADPHARMADIC-PRODUCTION — Algérie)</w:t>
      </w:r>
    </w:p>
    <w:p>
      <w:pPr>
        <w:pStyle w:val="ListBullet"/>
      </w:pPr>
      <w:r>
        <w:t>Formes et Dosages : Suspension injectable IM/locale 2,7 mg/3 mg/mL (B/1 amp)</w:t>
      </w:r>
    </w:p>
    <w:p>
      <w:pPr>
        <w:pStyle w:val="ListBullet"/>
      </w:pPr>
      <w:r>
        <w:t>Statut : Actif</w:t>
      </w:r>
    </w:p>
    <w:p>
      <w:pPr>
        <w:pStyle w:val="ListBullet"/>
      </w:pPr>
      <w:r/>
      <w:r>
        <w:rPr>
          <w:b/>
        </w:rPr>
        <w:t>BIOLESTENE CHRONODOSE</w:t>
      </w:r>
      <w:r>
        <w:t xml:space="preserve"> (BIOTHERA — Algérie)</w:t>
      </w:r>
    </w:p>
    <w:p>
      <w:pPr>
        <w:pStyle w:val="ListBullet"/>
      </w:pPr>
      <w:r>
        <w:t>Formes et Dosages : Suspension injectable IM/locale 2,7 mg/3 mg/mL (B/1 amp)</w:t>
      </w:r>
    </w:p>
    <w:p>
      <w:pPr>
        <w:pStyle w:val="ListBullet"/>
      </w:pPr>
      <w:r>
        <w:t>Statut : Actif</w:t>
      </w:r>
    </w:p>
    <w:p>
      <w:pPr>
        <w:pStyle w:val="ListBullet"/>
      </w:pPr>
      <w:r/>
      <w:r>
        <w:rPr>
          <w:b/>
        </w:rPr>
        <w:t>CELESTENE CHRONODOSE</w:t>
      </w:r>
      <w:r>
        <w:t xml:space="preserve"> (MSD FRANCE — USA)</w:t>
      </w:r>
    </w:p>
    <w:p>
      <w:pPr>
        <w:pStyle w:val="ListBullet"/>
      </w:pPr>
      <w:r>
        <w:t>Formes et Dosages : Suspension injectable 2,7 mg/3 mg/mL (B/1 amp + 1 seringue + 2 aiguilles)</w:t>
      </w:r>
    </w:p>
    <w:p>
      <w:pPr>
        <w:pStyle w:val="ListBullet"/>
      </w:pPr>
      <w:r>
        <w:t>Statut : Actif — Spécialité internationale de référence pour infiltration</w:t>
      </w:r>
    </w:p>
    <w:p>
      <w:pPr>
        <w:pStyle w:val="ListBullet"/>
      </w:pPr>
      <w:r/>
      <w:r>
        <w:rPr>
          <w:b/>
        </w:rPr>
        <w:t>HELESTENE CHRONODOSE</w:t>
      </w:r>
      <w:r>
        <w:t xml:space="preserve"> (HUPP PHARMA — Algérie)</w:t>
      </w:r>
    </w:p>
    <w:p>
      <w:pPr>
        <w:pStyle w:val="ListBullet"/>
      </w:pPr>
      <w:r>
        <w:t>Formes et Dosages : Suspension injectable IM/locale 2,7 mg/3 mg/mL (B/1 amp)</w:t>
      </w:r>
    </w:p>
    <w:p>
      <w:pPr>
        <w:pStyle w:val="ListBullet"/>
      </w:pPr>
      <w:r>
        <w:t>Statut : Actif</w:t>
      </w:r>
    </w:p>
    <w:p>
      <w:r/>
      <w:r>
        <w:rPr>
          <w:i/>
        </w:rPr>
        <w:t>Formes dermologiques (crème, pommade, lotion) — pour mémoire, hors champ systémique :</w:t>
      </w:r>
      <w:r/>
    </w:p>
    <w:p>
      <w:pPr>
        <w:pStyle w:val="ListBullet"/>
      </w:pPr>
      <w:r/>
      <w:r>
        <w:rPr>
          <w:b/>
        </w:rPr>
        <w:t>BETADERME</w:t>
      </w:r>
      <w:r>
        <w:t xml:space="preserve"> (EPICO — Égypte) — Crème dermique 0,1 % — Actif</w:t>
      </w:r>
    </w:p>
    <w:p>
      <w:pPr>
        <w:pStyle w:val="ListBullet"/>
      </w:pPr>
      <w:r/>
      <w:r>
        <w:rPr>
          <w:b/>
        </w:rPr>
        <w:t>BETAMETHASONE NOVAGENERICS</w:t>
      </w:r>
      <w:r>
        <w:t xml:space="preserve"> (NOVAPHARM) — Crème 0,05 % — Actif</w:t>
      </w:r>
    </w:p>
    <w:p>
      <w:pPr>
        <w:pStyle w:val="ListBullet"/>
      </w:pPr>
      <w:r/>
      <w:r>
        <w:rPr>
          <w:b/>
        </w:rPr>
        <w:t>BETAMETHASONE PHYSIOPHARM</w:t>
      </w:r>
      <w:r>
        <w:t xml:space="preserve"> (PHYSIOPHARM) — Crème dermique 0,05 % — Actif</w:t>
      </w:r>
    </w:p>
    <w:p>
      <w:pPr>
        <w:pStyle w:val="ListBullet"/>
      </w:pPr>
      <w:r/>
      <w:r>
        <w:rPr>
          <w:b/>
        </w:rPr>
        <w:t>CELETASONE</w:t>
      </w:r>
      <w:r>
        <w:t xml:space="preserve"> (BIOPHARM) — Crème dermique 0,05 % — Actif</w:t>
      </w:r>
    </w:p>
    <w:p>
      <w:pPr>
        <w:pStyle w:val="ListBullet"/>
      </w:pPr>
      <w:r/>
      <w:r>
        <w:rPr>
          <w:b/>
        </w:rPr>
        <w:t>BETAMETHASONE BR</w:t>
      </w:r>
      <w:r>
        <w:t xml:space="preserve"> (BIOREM) — Pommade dermique 0,05 % — Actif</w:t>
      </w:r>
    </w:p>
    <w:p>
      <w:pPr>
        <w:pStyle w:val="ListBullet"/>
      </w:pPr>
      <w:r/>
      <w:r>
        <w:rPr>
          <w:b/>
        </w:rPr>
        <w:t>BETAMETHASONE NOVAGENERICS</w:t>
      </w:r>
      <w:r>
        <w:t xml:space="preserve"> (NOVAPHARM) — Pommade dermique 0,05 % — Actif</w:t>
      </w:r>
    </w:p>
    <w:p>
      <w:pPr>
        <w:pStyle w:val="ListBullet"/>
      </w:pPr>
      <w:r/>
      <w:r>
        <w:rPr>
          <w:b/>
        </w:rPr>
        <w:t>BETAPROSONE</w:t>
      </w:r>
      <w:r>
        <w:t xml:space="preserve"> (PHARMAGHREB) — Pommade dermique 0,05 % — Actif</w:t>
      </w:r>
    </w:p>
    <w:p>
      <w:pPr>
        <w:pStyle w:val="ListBullet"/>
      </w:pPr>
      <w:r/>
      <w:r>
        <w:rPr>
          <w:b/>
        </w:rPr>
        <w:t>BETASONE</w:t>
      </w:r>
      <w:r>
        <w:t xml:space="preserve"> (SAIDAL) — Pommade dermique 0,05 % — Actif</w:t>
      </w:r>
    </w:p>
    <w:p>
      <w:pPr>
        <w:pStyle w:val="ListBullet"/>
      </w:pPr>
      <w:r/>
      <w:r>
        <w:rPr>
          <w:b/>
        </w:rPr>
        <w:t>DERMASONE</w:t>
      </w:r>
      <w:r>
        <w:t xml:space="preserve"> (BIOGALENIC) — Pommade dermique 0,05 % et 0,1 % — Actif</w:t>
      </w:r>
    </w:p>
    <w:p>
      <w:pPr>
        <w:pStyle w:val="ListBullet"/>
      </w:pPr>
      <w:r/>
      <w:r>
        <w:rPr>
          <w:b/>
        </w:rPr>
        <w:t>BETHAMETHASONE PHYSIOPHARM</w:t>
      </w:r>
      <w:r>
        <w:t xml:space="preserve"> (PHYSIOPHARM) — Pommade dermique 0,05 % — Actif</w:t>
      </w:r>
    </w:p>
    <w:p>
      <w:pPr>
        <w:pStyle w:val="ListBullet"/>
      </w:pPr>
      <w:r/>
      <w:r>
        <w:rPr>
          <w:b/>
        </w:rPr>
        <w:t>CORTYX</w:t>
      </w:r>
      <w:r>
        <w:t xml:space="preserve"> (ONYX INDUSTRIE PHARMACEUTIQUE) — Pommade dermique 0,05 % et 0,1 % — Actif</w:t>
      </w:r>
    </w:p>
    <w:p>
      <w:pPr>
        <w:pStyle w:val="ListBullet"/>
      </w:pPr>
      <w:r/>
      <w:r>
        <w:rPr>
          <w:b/>
        </w:rPr>
        <w:t>BETSOL</w:t>
      </w:r>
      <w:r>
        <w:t xml:space="preserve"> (GENCOPHARM) — Lotion dermatologique 0,05 % — Actif</w:t>
      </w:r>
    </w:p>
    <w:p>
      <w:pPr>
        <w:pStyle w:val="ListBullet"/>
      </w:pPr>
      <w:r/>
      <w:r>
        <w:rPr>
          <w:b/>
        </w:rPr>
        <w:t>DERMASONE</w:t>
      </w:r>
      <w:r>
        <w:t xml:space="preserve"> (BIOGALENIC) — Lotion dermique 0,05 % — Actif</w:t>
      </w:r>
    </w:p>
    <w:p>
      <w:pPr>
        <w:pStyle w:val="ListBullet"/>
      </w:pPr>
      <w:r>
        <w:t>Et de nombreuses autres formes topiques (gels, sprays, solutions) — non traitées dans ce chapitre</w:t>
      </w:r>
    </w:p>
    <w:p>
      <w:r/>
      <w:r>
        <w:rPr>
          <w:b/>
        </w:rPr>
        <w:t>Sous-classe et Mécanisme d'action :</w:t>
      </w:r>
      <w:r/>
    </w:p>
    <w:p>
      <w:pPr>
        <w:pStyle w:val="ListBullet"/>
      </w:pPr>
      <w:r>
        <w:t>Sous-classe : Glucocorticoïdes systémiques — Action longue (demi-vie biologique 36 à 72 h). Puissance 25-30× l'hydrocortisone. Activité minéralocorticoïde nulle. Pilier de la maturation pulmonaire fœtale anténatale et des dermatoses inflammatoires topiques.</w:t>
      </w:r>
    </w:p>
    <w:p>
      <w:pPr>
        <w:pStyle w:val="ListBullet"/>
      </w:pPr>
      <w:r>
        <w:t xml:space="preserve">Mécanisme d'action : Identique à la dexaméthasone — traverse la membrane cellulaire par diffusion passive, se fixe sur le </w:t>
      </w:r>
      <w:r>
        <w:rPr>
          <w:b/>
        </w:rPr>
        <w:t>récepteur glucocorticoïde cytosolique (GRα)</w:t>
      </w:r>
      <w:r>
        <w:t xml:space="preserve"> en libérant les protéines chaperonnes (HSP90, HSP70). Le complexe hormone-récepteur subit une translocation nucléaire, se dimérise et se fixe sur les </w:t>
      </w:r>
      <w:r>
        <w:rPr>
          <w:b/>
        </w:rPr>
        <w:t>GRE (Glucocorticoid Response Elements)</w:t>
      </w:r>
      <w:r>
        <w:t xml:space="preserve"> de l'ADN. Modulation transcriptionnelle : (i) activation des gènes anti-inflammatoires (annexine-1/lipocortine-1, IκB, IL-10, MKP-1) ; (ii) répression transrépressionnelle des gènes pro-inflammatoires (cytokines IL-1, IL-2, IL-6, TNF-α ; COX-2 ; iNOS ; MMP-9) via interaction directe avec NF-κB, AP-1, NF-AT. La 9α-fluoro-16β-méthylation supprime l'affinité pour le récepteur minéralocorticoïde (MR) — pas de rétention hydrosodée. La bétaméthasone traverse bien le placenta, justifiant son utilisation pour la maturation pulmonaire fœtale (induction de la synthèse de surfactant par les pneumocytes de type II — augmentation de la L/S ratio = lécithine/sphingomyéline). Action sur le surfactant : augmentation de la phosphatidylcholine, de la sphingomyéline, du PI (phosphatidylinositol), et des protéines SP-A, SP-B, SP-C, SP-D.</w:t>
      </w:r>
    </w:p>
    <w:p>
      <w:r/>
      <w:r>
        <w:rPr>
          <w:b/>
        </w:rPr>
        <w:t>Profil Pharmacologique :</w:t>
      </w:r>
      <w:r/>
    </w:p>
    <w:p>
      <w:pPr>
        <w:pStyle w:val="ListBullet"/>
      </w:pPr>
      <w:r>
        <w:t xml:space="preserve">Indications : (1) </w:t>
      </w:r>
      <w:r>
        <w:rPr>
          <w:b/>
        </w:rPr>
        <w:t>Maturation pulmonaire fœtale anténatale</w:t>
      </w:r>
      <w:r>
        <w:t xml:space="preserve"> entre 24 et 34 SA en cas de menace d'accouchement prématuré (protocole : 12 mg IM × 2 injections à 24 h d'intervalle — protocole NIH consensus 1994 ; méta-analyse Cochrane 2017 confirme la supériorité de la bétaméthasone sur la dexaméthasone pour la prévention de l'entérocolite ulcéro-nécrosante). (2) </w:t>
      </w:r>
      <w:r>
        <w:rPr>
          <w:b/>
        </w:rPr>
        <w:t>Arthrite rhumatoïde</w:t>
      </w:r>
      <w:r>
        <w:t xml:space="preserve"> (infiltration IM chronodose). (3) </w:t>
      </w:r>
      <w:r>
        <w:rPr>
          <w:b/>
        </w:rPr>
        <w:t>Dermatoses inflammatoires sévères</w:t>
      </w:r>
      <w:r>
        <w:t xml:space="preserve"> : psoriasis en plaques, eczéma chronique, lichen plan, lupus cutané — formes topiques. (4) </w:t>
      </w:r>
      <w:r>
        <w:rPr>
          <w:b/>
        </w:rPr>
        <w:t>Allergies sévères</w:t>
      </w:r>
      <w:r>
        <w:t xml:space="preserve"> réfractaires aux autres corticoïdes. (5) </w:t>
      </w:r>
      <w:r>
        <w:rPr>
          <w:b/>
        </w:rPr>
        <w:t>Choc anaphylactique</w:t>
      </w:r>
      <w:r>
        <w:t xml:space="preserve"> réfractaire (alternative à la dexaméthasone). (6) </w:t>
      </w:r>
      <w:r>
        <w:rPr>
          <w:b/>
        </w:rPr>
        <w:t>Œdème cérébral</w:t>
      </w:r>
      <w:r>
        <w:t xml:space="preserve"> tumoral (alternative à la dexaméthasone). (7) </w:t>
      </w:r>
      <w:r>
        <w:rPr>
          <w:b/>
        </w:rPr>
        <w:t>Syndrome néphrotique</w:t>
      </w:r>
      <w:r>
        <w:t xml:space="preserve"> de l'enfant (alternative à la prednisolone). (8) </w:t>
      </w:r>
      <w:r>
        <w:rPr>
          <w:b/>
        </w:rPr>
        <w:t>Protocoles oncologiques</w:t>
      </w:r>
      <w:r>
        <w:t xml:space="preserve"> pédiatriques (leucémies aiguës lymphoblastiques, lymphomes). (9) </w:t>
      </w:r>
      <w:r>
        <w:rPr>
          <w:b/>
        </w:rPr>
        <w:t>Croup sévère</w:t>
      </w:r>
      <w:r>
        <w:t xml:space="preserve"> de l'enfant (alternative à la dexaméthasone). (10) Forme IM chronodose (CELESTENE CHRONODOSE) : rhumatismes inflammatoires (polyarthrite, spondylarthrite), allergies sévères réfractaires, en relais d'une corticothérapie orale.</w:t>
      </w:r>
    </w:p>
    <w:p>
      <w:pPr>
        <w:pStyle w:val="ListBullet"/>
      </w:pPr>
      <w:r>
        <w:t>Contre-indications : (1) Infection non contrôlée (sauf indication vitale + antibiothérapie adaptée). (2) Psychose non contrôlée. (3) Ulcère gastro-duodénal actif. (4) Herpès oculaire (collyre). (5) Vaccins vivants atténués. (6) Grossesse 1er trimestre (sauf maturation pulmonaire). (7) Dermatoses infectées (forme dermique). (8) Rosacée, dermatite péri-orale (forme dermique). Précautions : diabète, hypertension, IC, ostéoporose, glaucome, cataracte, grossesse 3e trimestre, sujet âgé, enfant.</w:t>
      </w:r>
    </w:p>
    <w:p>
      <w:pPr>
        <w:pStyle w:val="ListBullet"/>
      </w:pPr>
      <w:r>
        <w:t xml:space="preserve">Effets Indésirables : (1) </w:t>
      </w:r>
      <w:r>
        <w:rPr>
          <w:b/>
        </w:rPr>
        <w:t>Iatrogénie Cushing</w:t>
      </w:r>
      <w:r>
        <w:t xml:space="preserve"> massive si dose &gt; 5 mg/j &gt; 3 semaines. (2) </w:t>
      </w:r>
      <w:r>
        <w:rPr>
          <w:b/>
        </w:rPr>
        <w:t>Freinage de l'axe HPA</w:t>
      </w:r>
      <w:r>
        <w:t xml:space="preserve"> majeur : insuffisance surrénale aiguë à l'arrêt brutal — relais obligatoire par hydrocortisone substitutive et décroissance progressive sur plusieurs semaines à mois. (3) Diabète cortico-induit. (4) Ostéoporose cortico-induite ++. (5) Troubles digestifs. (6) Infection opportuniste. (7) Troubles neuropsychiatriques : euphorie, insomnie, agitation, dépression, psychose cortico-induite. (8) Hypertension. (9) Glaucome, cataracte sous-capsulaire postérieure. (10) Retard de croissance (enfant). (11) Nécrose osseuse. (12) Troubles cutanés (forme dermique : atrophie, vergetures, hypopigmentation, telangiectasies). (13) Myopathie cortico-induite. (14) Pour la maturation pulmonaire fœtale : risque potentiel de RCIU si doses répétées (&gt; 4 cures), neurotoxicité fœtale possible (doutes sur le développement cérébral à long terme — éviter les cures répétées selon les dernières recommandations FIGO 2021). (15) Pour la forme chronodose IM : flush facial, dysgueusie, pic émotionnel aigu, hypoglycémie transitoire.</w:t>
      </w:r>
    </w:p>
    <w:p>
      <w:r/>
      <w:r>
        <w:rPr>
          <w:b/>
        </w:rPr>
        <w:t>Prévention et Gestion des Effets Indésirables :</w:t>
      </w:r>
      <w:r/>
    </w:p>
    <w:p>
      <w:pPr>
        <w:pStyle w:val="ListBullet"/>
      </w:pPr>
      <w:r>
        <w:t xml:space="preserve">Mesures Préventives : (i) Prescription au plus court et à la dose minimale efficace. (ii) </w:t>
      </w:r>
      <w:r>
        <w:rPr>
          <w:b/>
        </w:rPr>
        <w:t>Monoprise matinale unique vers 8h</w:t>
      </w:r>
      <w:r>
        <w:t xml:space="preserve"> (ou 2 prises pour les doses élevées). (iii) Si traitement &gt; 3 semaines : supplémentation calcium (1 g/j) + vitamine D (800 UI/j) + bisphosphonate si FTS &gt; 10 % ; densitométrie osseuse initiale et à 6 mois ; régime hyposodé ; surveillance glycémie, kaliémie, pression artérielle, poids, ophtalmologique. (iv) Couverture anti-pneumocystose (cotrimoxazole 400/80 × 3/semaine) si &gt; 5 mg/j &gt; 4 semaines. (v) Vaccination anti-grippale, anti-pneumococcique avant instauration. (vi) Information du patient : port carte de corticothérapie, ne jamais arrêter brutalement. (vii) Pour la maturation pulmonaire fœtale : limiter à 1 cure (voire maximum 2-3 si MAP prolongée) selon recommandations FIGO 2021. Surveillance fœtale (RCF, croissance). (viii) Pour la forme dermique : ne pas appliquer sur grande surface, ne pas occlure (sauf prescription), surveillance atrophie.</w:t>
      </w:r>
    </w:p>
    <w:p>
      <w:pPr>
        <w:pStyle w:val="ListBullet"/>
      </w:pPr>
      <w:r>
        <w:t>Conduite à Tenir : Pour un traitement &gt; 14 jours : décroissance progressive ; surveillance de la fonction surrénalienne si &gt; 3 mois. En cas d'insuffisance surrénale aiguë : hydrocortisone 100 mg IV immédiat. Pour la forme dermique : arrêt progressif (passer à un dermocorticoïde moins puissant), surveillance de l'atrophie.</w:t>
      </w:r>
    </w:p>
    <w:p>
      <w:r/>
      <w:r>
        <w:rPr>
          <w:b/>
        </w:rPr>
        <w:t>Interactions Importantes :</w:t>
      </w:r>
      <w:r/>
    </w:p>
    <w:p>
      <w:pPr>
        <w:pStyle w:val="ListBullet"/>
      </w:pPr>
      <w:r>
        <w:t>Bétaméthasone + AINS → majoration du risque ulcérogène et hémorragique. IPP systématique.</w:t>
      </w:r>
    </w:p>
    <w:p>
      <w:pPr>
        <w:pStyle w:val="ListBullet"/>
      </w:pPr>
      <w:r>
        <w:t>Bétaméthasone + diurétiques → hypokaliémie.</w:t>
      </w:r>
    </w:p>
    <w:p>
      <w:pPr>
        <w:pStyle w:val="ListBullet"/>
      </w:pPr>
      <w:r>
        <w:t>Bétaméthasone + digoxine → toxicité digitalique si hypokaliémie.</w:t>
      </w:r>
    </w:p>
    <w:p>
      <w:pPr>
        <w:pStyle w:val="ListBullet"/>
      </w:pPr>
      <w:r>
        <w:t>Bétaméthasone + antihypertenseurs → diminution de l'efficacité.</w:t>
      </w:r>
    </w:p>
    <w:p>
      <w:pPr>
        <w:pStyle w:val="ListBullet"/>
      </w:pPr>
      <w:r>
        <w:t>Bétaméthasone + antidiabétiques → hyperglycémie majeure.</w:t>
      </w:r>
    </w:p>
    <w:p>
      <w:pPr>
        <w:pStyle w:val="ListBullet"/>
      </w:pPr>
      <w:r>
        <w:t>Bétaméthasone + inducteurs enzymatiques (rifampicine, phénobarbital, carbamazépine, phénytoïne, éfavirenz) → augmentation du métabolisme → réduction d'efficacité.</w:t>
      </w:r>
    </w:p>
    <w:p>
      <w:pPr>
        <w:pStyle w:val="ListBullet"/>
      </w:pPr>
      <w:r>
        <w:t>Bétaméthasone + inhibiteurs enzymatiques (kétoconazole, itraconazole, érythromycine, clarithromycine, ritonavir) → diminution du métabolisme → majoration des effets indésirables.</w:t>
      </w:r>
    </w:p>
    <w:p>
      <w:pPr>
        <w:pStyle w:val="ListBullet"/>
      </w:pPr>
      <w:r>
        <w:t>Bétaméthasone + vaccins vivants atténués → contre-indication.</w:t>
      </w:r>
    </w:p>
    <w:p>
      <w:pPr>
        <w:pStyle w:val="ListBullet"/>
      </w:pPr>
      <w:r>
        <w:t>Bétaméthasone + anticoagulants oraux → effet variable.</w:t>
      </w:r>
    </w:p>
    <w:p>
      <w:pPr>
        <w:pStyle w:val="ListBullet"/>
      </w:pPr>
      <w:r>
        <w:t>Bétaméthasone + ciclosporine, tacrolimus → majoration toxicité.</w:t>
      </w:r>
    </w:p>
    <w:p>
      <w:pPr>
        <w:pStyle w:val="ListBullet"/>
      </w:pPr>
      <w:r>
        <w:t>Bétaméthasone (maturation pulmonaire fœtale) + tocolytiques (atosiban, nifédipine, indométacine) → synergie sur la tocolyse, surveillance maternelle.</w:t>
      </w:r>
    </w:p>
    <w:p>
      <w:r/>
      <w:r>
        <w:rPr>
          <w:b/>
        </w:rPr>
        <w:t>Grossesse et Allaitement :</w:t>
      </w:r>
      <w:r/>
    </w:p>
    <w:p>
      <w:pPr>
        <w:pStyle w:val="ListBullet"/>
      </w:pPr>
      <w:r>
        <w:t xml:space="preserve">Grossesse : Bétaméthasone </w:t>
      </w:r>
      <w:r>
        <w:rPr>
          <w:b/>
        </w:rPr>
        <w:t>compatible avec précautions</w:t>
      </w:r>
      <w:r>
        <w:t xml:space="preserve"> (CRAT : « La bétaméthasone traverse le placenta et n'est que faiblement métabolisée par la 11β-HSD2 placentaire, atteignant le fœtus à des concentrations proches de la concentration maternelle. Pour cette raison, elle est utilisée pour la maturation pulmonaire fœtale anténatale (24-34 SA, 12 mg IM × 2 à 24 h d'intervalle). Pour les indications maternelles, préférer la prednisolone (moindre passage fœtal). Au 1er trimestre, éviter sauf indication vitale. Au 2e et 3e trimestres, dose ponctuelle acceptable. Éviter les cures répétées (risque de RCIU et de neurotoxicité fœtale selon les dernières recommandations FIGO 2021). »). Forme dermique : compatible pendant la grossesse en application ponctuelle (résorption minimale).</w:t>
      </w:r>
    </w:p>
    <w:p>
      <w:pPr>
        <w:pStyle w:val="ListBullet"/>
      </w:pPr>
      <w:r>
        <w:t xml:space="preserve">Allaitement : </w:t>
      </w:r>
      <w:r>
        <w:rPr>
          <w:b/>
        </w:rPr>
        <w:t>Compatible à dose &lt; 5 mg/j</w:t>
      </w:r>
      <w:r>
        <w:t xml:space="preserve"> (CRAT : passage minimal &lt; 0,1 % dose maternelle). À dose &gt; 5 mg/j &gt; 1 semaine, déconseiller l'allaitement (effet systémique fœtal via le lait).</w:t>
      </w:r>
    </w:p>
    <w:p>
      <w:pPr>
        <w:pStyle w:val="ListBullet"/>
      </w:pPr>
      <w:r>
        <w:t>Précisions : La maturation pulmonaire fœtale anténatale utilise la bétaméthasone (ou la dexaméthasone) entre 24 et 34 SA en cas de menace d'accouchement prématuré, pour prévenir la maladie des membranes hyalines (RDS néonatal), l'hémorragie intraventriculaire (HIV), l'entérocolite ulcéro-nécrosante (ECUN), et la mortalité néonatale. La méta-analyse Cochrane 2017 confirme la supériorité de la bétaméthasone sur la dexaméthasone pour la prévention de l'ECUN.</w:t>
      </w:r>
    </w:p>
    <w:p>
      <w:r/>
      <w:r>
        <w:rPr>
          <w:b/>
        </w:rPr>
        <w:t>Posologie et Mode d'administration (Standard) :</w:t>
      </w:r>
      <w:r/>
    </w:p>
    <w:p>
      <w:pPr>
        <w:pStyle w:val="ListBullet"/>
      </w:pPr>
      <w:r>
        <w:t>Adulte (maturation pulmonaire fœtale anténatale) : 12 mg IM (1 ampoule CELESTENE CHRONODOSE ou DIPROSTENE) × 2 injections à 24 h d'intervalle, entre 24 et 34 SA (éventuellement 24 à 36 SA selon dernières recommandations ALPS 2020). Pas de cure répétée systématique.</w:t>
      </w:r>
    </w:p>
    <w:p>
      <w:pPr>
        <w:pStyle w:val="ListBullet"/>
      </w:pPr>
      <w:r>
        <w:t>Adulte (anti-inflammatoire générale) : 0,5 à 5 mg/j per os en 1 prise matinale, ou 1 à 2 mL de solution buvable 0,5 mg/mL (= 0,5 à 1 mg/j).</w:t>
      </w:r>
    </w:p>
    <w:p>
      <w:pPr>
        <w:pStyle w:val="ListBullet"/>
      </w:pPr>
      <w:r>
        <w:t>Adulte (entretien long cours, exceptionnel) : 0,5 à 2 mg/j en 1 prise matinale.</w:t>
      </w:r>
    </w:p>
    <w:p>
      <w:pPr>
        <w:pStyle w:val="ListBullet"/>
      </w:pPr>
      <w:r>
        <w:t>Adulte (IM chronodose, infiltration rhumatologique) : 1 mL (5 mg dipropionate + 2 mg phosphate) IM profonde, renouvelable toutes les 2 à 4 semaines selon indication.</w:t>
      </w:r>
    </w:p>
    <w:p>
      <w:pPr>
        <w:pStyle w:val="ListBullet"/>
      </w:pPr>
      <w:r>
        <w:t>Adulte (croup sévère enfant) : 0,6 mg/kg per os ou IM, dose unique (max. 12 mg).</w:t>
      </w:r>
    </w:p>
    <w:p>
      <w:pPr>
        <w:pStyle w:val="ListBullet"/>
      </w:pPr>
      <w:r>
        <w:t>Adulte (choc anaphylactique réfractaire) : 4 à 8 mg IV ou IM.</w:t>
      </w:r>
    </w:p>
    <w:p>
      <w:pPr>
        <w:pStyle w:val="ListBullet"/>
      </w:pPr>
      <w:r>
        <w:t>Enfant : 0,2 à 0,3 mg/kg/j (maturation pulmonaire fœtale), 0,6 mg/kg (croup).</w:t>
      </w:r>
    </w:p>
    <w:p>
      <w:pPr>
        <w:pStyle w:val="ListBullet"/>
      </w:pPr>
      <w:r>
        <w:t>Sujet âgé : dose réduite, surveillance accrue.</w:t>
      </w:r>
    </w:p>
    <w:p>
      <w:pPr>
        <w:pStyle w:val="ListBullet"/>
      </w:pPr>
      <w:r>
        <w:t>Durée : cours court (5-10 jours, arrêt autorisé d'emblée) pour les protocoles courts ; cours long avec décroissance si &gt; 14 jours.</w:t>
      </w:r>
    </w:p>
    <w:p>
      <w:pPr>
        <w:pStyle w:val="ListBullet"/>
      </w:pPr>
      <w:r>
        <w:t xml:space="preserve">Moment de prise : </w:t>
      </w:r>
      <w:r>
        <w:rPr>
          <w:b/>
        </w:rPr>
        <w:t>1 prise matinale unique vers 8h</w:t>
      </w:r>
      <w:r>
        <w:t xml:space="preserve"> pour les doses &lt; 4 mg/j ; 2 prises pour les doses élevées. IM profonde pour la chronodose.</w:t>
      </w:r>
    </w:p>
    <w:p>
      <w:r/>
      <w:r>
        <w:rPr>
          <w:b/>
        </w:rPr>
        <w:t>Arbitrage et Bénéfices des Formes Galéniques :</w:t>
      </w:r>
      <w:r/>
    </w:p>
    <w:p>
      <w:r>
        <w:t xml:space="preserve">Le choix de la bétaméthasone vs dexaméthasone repose sur : (i) </w:t>
      </w:r>
      <w:r>
        <w:rPr>
          <w:b/>
        </w:rPr>
        <w:t>maturation pulmonaire fœtale anténatale</w:t>
      </w:r>
      <w:r>
        <w:t xml:space="preserve"> (bétaméthasone supérieure selon méta-analyse Cochrane 2017, préférence internationale) ; (ii) </w:t>
      </w:r>
      <w:r>
        <w:rPr>
          <w:b/>
        </w:rPr>
        <w:t>forme dermique topique</w:t>
      </w:r>
      <w:r>
        <w:t xml:space="preserve"> (très large gamme de spécialités algériennes : crème, pommade, lotion, gel à 0,05 % et 0,1 %) — dermocorticoïde de classe IV (très forte) selon la classification européenne ; (iii) </w:t>
      </w:r>
      <w:r>
        <w:rPr>
          <w:b/>
        </w:rPr>
        <w:t>forme IM chronodose</w:t>
      </w:r>
      <w:r>
        <w:t xml:space="preserve"> (CELESTENE CHRONODOSE, BIOLESTENE CHRONODOSE) — suspension retard avec dipropionate (effet prolongé) + phosphate disodique (effet immédiat), supérieure à la dexaméthasone phosphate IV pour les infiltrations IM ; (iv) </w:t>
      </w:r>
      <w:r>
        <w:rPr>
          <w:b/>
        </w:rPr>
        <w:t>forme solution buvable 0,5 mg/mL</w:t>
      </w:r>
      <w:r>
        <w:t xml:space="preserve"> — pratique pour la pédiatrie (1 mL = 0,5 mg = 10 gouttes) ; (v) </w:t>
      </w:r>
      <w:r>
        <w:rPr>
          <w:b/>
        </w:rPr>
        <w:t>forme orodispersible 2 mg</w:t>
      </w:r>
      <w:r>
        <w:t xml:space="preserve"> (BETABIO, CELETASONE) — utile pour les sujets ayant des troubles de déglutition.</w:t>
      </w:r>
    </w:p>
    <w:p>
      <w:r/>
      <w:r>
        <w:rPr>
          <w:b/>
        </w:rPr>
        <w:t>Instructions et Conseils au Patient :</w:t>
      </w:r>
      <w:r/>
    </w:p>
    <w:p>
      <w:pPr>
        <w:pStyle w:val="ListBullet"/>
      </w:pPr>
      <w:r>
        <w:t xml:space="preserve">Communication au comptoir : « Votre bétaméthasone est un anti-inflammatoire stéroïdien (cortisone) plus puissant que la prednisolone, sans effet sur la rétention d'eau. Prenez-la en 1 prise le matin vers 8h selon l'ordonnance. Pour la solution buvable, utilisez la pipette graduée (1 mL = 0,5 mg = 10 gouttes). Pour le comprimé orodispersible, laissez-le fondre sur la langue (sans eau). </w:t>
      </w:r>
      <w:r>
        <w:rPr>
          <w:b/>
        </w:rPr>
        <w:t>Ne JAMAIS arrêter brutalement</w:t>
      </w:r>
      <w:r>
        <w:t xml:space="preserve"> : risque d'insuffisance surrénale aiguë. Portez une carte de corticothérapie. Surveillez votre glycémie, votre tension, votre poids. Évitez les contacts contagieux. Prévenez votre médecin en cas de fièvre, troubles visuels, modifications émotionnelles. Pour la maturation pulmonaire (femme enceinte à risque d'accouchement prématuré) : 2 injections IM à 24 h d'intervalle à la maternité, surveillance fœtale. Pour la forme dermique : application en couche fine × 1 à 2/j sur la lésion, ne pas dépasser 2 semaines sans avis dermatologique, ne pas appliquer sur grande surface (&gt; 10 % surface corporelle) ni sur le visage (sauf prescription brève), ne pas occlure (sauf prescription). »</w:t>
      </w:r>
    </w:p>
    <w:p>
      <w:pPr>
        <w:pStyle w:val="ListBullet"/>
      </w:pPr>
      <w:r>
        <w:t>Mode d'utilisation pratique : Per os : 1 prise matinale vers 8h. Solution buvable : mesurer avec la pipette. IM : par le médecin. Forme dermique : application en couche fine, masser légèrement, ne pas occlure (sauf prescription).</w:t>
      </w:r>
    </w:p>
    <w:p>
      <w:r/>
      <w:r>
        <w:rPr>
          <w:b/>
        </w:rPr>
        <w:t>Notes, Règles d'Or &amp; Pièges au Comptoir :</w:t>
      </w:r>
      <w:r/>
    </w:p>
    <w:p>
      <w:pPr>
        <w:pStyle w:val="ListBullet"/>
      </w:pPr>
      <w:r>
        <w:t xml:space="preserve">Piège classique : </w:t>
      </w:r>
      <w:r>
        <w:rPr>
          <w:b/>
        </w:rPr>
        <w:t>Bétaméthasone = puissance 30× l'hydrocortisone = freination HPA majeure</w:t>
      </w:r>
      <w:r>
        <w:t>. Pour un traitement &gt; 14 jours, décroissance obligatoire sur plusieurs semaines à mois.</w:t>
      </w:r>
    </w:p>
    <w:p>
      <w:pPr>
        <w:pStyle w:val="ListBullet"/>
      </w:pPr>
      <w:r>
        <w:t>Règle de prise : 1 prise matinale vers 8h pour les doses &lt; 4 mg/j ; 2 prises pour les doses élevées.</w:t>
      </w:r>
    </w:p>
    <w:p>
      <w:pPr>
        <w:pStyle w:val="ListBullet"/>
      </w:pPr>
      <w:r>
        <w:t>Préparation et Conservation : Conservation &lt; 25 °C, à l'abri de la lumière. Les ampoules IM : conservation à l'abri de la lumière, ne pas congeler. Les solutions buvables : bien agiter avant emploi, conservation &lt; 25 °C après ouverture, à utiliser dans les 3 mois. Les comprimés orodispersibles : sensibles à l'humidité, bien refermer le pilulier. Les formes dermiques : conservation &lt; 25 °C, ne pas congeler.</w:t>
      </w:r>
    </w:p>
    <w:p>
      <w:pPr>
        <w:pStyle w:val="ListBullet"/>
      </w:pPr>
      <w:r>
        <w:t xml:space="preserve">Piège du surdosage / Substitution : </w:t>
      </w:r>
      <w:r>
        <w:rPr>
          <w:b/>
        </w:rPr>
        <w:t>Équivalence anti-inflammatoire</w:t>
      </w:r>
      <w:r>
        <w:t xml:space="preserve"> : 0,75 mg bétaméthasone = 0,75 mg dexaméthasone = 5 mg prednisolone = 5 mg prednisone = 4 mg méthylprednisolone = 4 mg triamcinolone = 20 mg hydrocortisone. La bétaméthasone et la dexaméthasone sont strictement équivalentes en puissance (1:1). En cas de substitution bétaméthasone → dexaméthasone, pas d'ajustement posologique. Pour la maturation pulmonaire fœtale, la bétaméthasone est préférée à la dexaméthasone (supériorité sur la prévention de l'ECUN selon méta-analyse Cochrane 2017). Pour la forme dermique : la bétaméthasone est un dermocorticoïde de classe IV (très forte), à ne pas substituer par une classe I (faible) comme l'hydrocortisone 1 % sans avis dermatologique.</w:t>
      </w:r>
    </w:p>
    <w:p>
      <w:pPr>
        <w:pStyle w:val="ListBullet"/>
      </w:pPr>
      <w:r>
        <w:t>Règle de prescription : Liste I, prescription initiale hospitalière pour la maturation pulmonaire fœtale (gynéco-obstétrique), semestrielle pour les formes orales et IM.</w:t>
      </w:r>
    </w:p>
    <w:p>
      <w:pPr>
        <w:pStyle w:val="Heading2"/>
      </w:pPr>
      <w:r>
        <w:t>Tableau Comparatif Synthétique des DCI du Chapitre 43</w:t>
      </w:r>
    </w:p>
    <w:p>
      <w:r>
        <w:t>Le tableau ci-dessous synthétise les principales caractéristiques pharmacologiques et cliniques des 11 DCI traitées dans ce chapitre. Il est destiné à servir de référence rapide au comptoir et à la pratique clinique quotidienne.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w:t>
            </w:r>
          </w:p>
        </w:tc>
        <w:tc>
          <w:tcPr>
            <w:tcW w:type="dxa" w:w="1169"/>
          </w:tcPr>
          <w:p>
            <w:r>
              <w:rPr>
                <w:b/>
                <w:sz w:val="20"/>
              </w:rPr>
              <w:t>Demi-vie biologique</w:t>
            </w:r>
          </w:p>
        </w:tc>
        <w:tc>
          <w:tcPr>
            <w:tcW w:type="dxa" w:w="1169"/>
          </w:tcPr>
          <w:p>
            <w:r>
              <w:rPr>
                <w:b/>
                <w:sz w:val="20"/>
              </w:rPr>
              <w:t>Posologie standard</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w:t>
            </w:r>
          </w:p>
        </w:tc>
      </w:tr>
      <w:tr>
        <w:tc>
          <w:tcPr>
            <w:tcW w:type="dxa" w:w="1169"/>
          </w:tcPr>
          <w:p>
            <w:r>
              <w:rPr>
                <w:sz w:val="20"/>
              </w:rPr>
              <w:t>**Lévothyroxine**</w:t>
            </w:r>
          </w:p>
        </w:tc>
        <w:tc>
          <w:tcPr>
            <w:tcW w:type="dxa" w:w="1169"/>
          </w:tcPr>
          <w:p>
            <w:r>
              <w:rPr>
                <w:sz w:val="20"/>
              </w:rPr>
              <w:t>Hormone thyroïdienne T4</w:t>
            </w:r>
          </w:p>
        </w:tc>
        <w:tc>
          <w:tcPr>
            <w:tcW w:type="dxa" w:w="1169"/>
          </w:tcPr>
          <w:p>
            <w:r>
              <w:rPr>
                <w:sz w:val="20"/>
              </w:rPr>
              <w:t>Prodrogue → T3 active → récepteur nucléaire TRα/β → régulation transcription</w:t>
            </w:r>
          </w:p>
        </w:tc>
        <w:tc>
          <w:tcPr>
            <w:tcW w:type="dxa" w:w="1169"/>
          </w:tcPr>
          <w:p>
            <w:r>
              <w:rPr>
                <w:sz w:val="20"/>
              </w:rPr>
              <w:t>7 jours (steady state 4-6 sem)</w:t>
            </w:r>
          </w:p>
        </w:tc>
        <w:tc>
          <w:tcPr>
            <w:tcW w:type="dxa" w:w="1169"/>
          </w:tcPr>
          <w:p>
            <w:r>
              <w:rPr>
                <w:sz w:val="20"/>
              </w:rPr>
              <w:t>1,5-1,8 µg/kg/j per os, à jeun 30 min avant petit-déj</w:t>
            </w:r>
          </w:p>
        </w:tc>
        <w:tc>
          <w:tcPr>
            <w:tcW w:type="dxa" w:w="1169"/>
          </w:tcPr>
          <w:p>
            <w:r>
              <w:rPr>
                <w:sz w:val="20"/>
              </w:rPr>
              <w:t>Hyperthyroïdie iatrogène, ostéoporose, FA</w:t>
            </w:r>
          </w:p>
        </w:tc>
        <w:tc>
          <w:tcPr>
            <w:tcW w:type="dxa" w:w="1169"/>
          </w:tcPr>
          <w:p>
            <w:r>
              <w:rPr>
                <w:sz w:val="20"/>
              </w:rPr>
              <w:t>Hyperthyroïdie non traitée, infarctus aigu, insuffisance surrénale non traitée</w:t>
            </w:r>
          </w:p>
        </w:tc>
        <w:tc>
          <w:tcPr>
            <w:tcW w:type="dxa" w:w="1169"/>
          </w:tcPr>
          <w:p>
            <w:r>
              <w:rPr>
                <w:sz w:val="20"/>
              </w:rPr>
              <w:t>Compatible — majoration dose 30-50% dès conception</w:t>
            </w:r>
          </w:p>
        </w:tc>
      </w:tr>
      <w:tr>
        <w:tc>
          <w:tcPr>
            <w:tcW w:type="dxa" w:w="1169"/>
          </w:tcPr>
          <w:p>
            <w:r>
              <w:rPr>
                <w:sz w:val="20"/>
              </w:rPr>
              <w:t>**Benzylthiouracile**</w:t>
            </w:r>
          </w:p>
        </w:tc>
        <w:tc>
          <w:tcPr>
            <w:tcW w:type="dxa" w:w="1169"/>
          </w:tcPr>
          <w:p>
            <w:r>
              <w:rPr>
                <w:sz w:val="20"/>
              </w:rPr>
              <w:t>Antithyroïdien thiouracile</w:t>
            </w:r>
          </w:p>
        </w:tc>
        <w:tc>
          <w:tcPr>
            <w:tcW w:type="dxa" w:w="1169"/>
          </w:tcPr>
          <w:p>
            <w:r>
              <w:rPr>
                <w:sz w:val="20"/>
              </w:rPr>
              <w:t>Inhibition TPO + inhibition 5'-déiodase D1</w:t>
            </w:r>
          </w:p>
        </w:tc>
        <w:tc>
          <w:tcPr>
            <w:tcW w:type="dxa" w:w="1169"/>
          </w:tcPr>
          <w:p>
            <w:r>
              <w:rPr>
                <w:sz w:val="20"/>
              </w:rPr>
              <w:t>2-6 h (effet soutenu)</w:t>
            </w:r>
          </w:p>
        </w:tc>
        <w:tc>
          <w:tcPr>
            <w:tcW w:type="dxa" w:w="1169"/>
          </w:tcPr>
          <w:p>
            <w:r>
              <w:rPr>
                <w:sz w:val="20"/>
              </w:rPr>
              <w:t>100-300 mg/j en 3 prises</w:t>
            </w:r>
          </w:p>
        </w:tc>
        <w:tc>
          <w:tcPr>
            <w:tcW w:type="dxa" w:w="1169"/>
          </w:tcPr>
          <w:p>
            <w:r>
              <w:rPr>
                <w:sz w:val="20"/>
              </w:rPr>
              <w:t>Agranulocytose (0,3%), hépatotoxicité cytolytique</w:t>
            </w:r>
          </w:p>
        </w:tc>
        <w:tc>
          <w:tcPr>
            <w:tcW w:type="dxa" w:w="1169"/>
          </w:tcPr>
          <w:p>
            <w:r>
              <w:rPr>
                <w:sz w:val="20"/>
              </w:rPr>
              <w:t>Aplasie médullaire, allaitement</w:t>
            </w:r>
          </w:p>
        </w:tc>
        <w:tc>
          <w:tcPr>
            <w:tcW w:type="dxa" w:w="1169"/>
          </w:tcPr>
          <w:p>
            <w:r>
              <w:rPr>
                <w:sz w:val="20"/>
              </w:rPr>
              <w:t>1er tri uniquement (alternative PTU)</w:t>
            </w:r>
          </w:p>
        </w:tc>
      </w:tr>
      <w:tr>
        <w:tc>
          <w:tcPr>
            <w:tcW w:type="dxa" w:w="1169"/>
          </w:tcPr>
          <w:p>
            <w:r>
              <w:rPr>
                <w:sz w:val="20"/>
              </w:rPr>
              <w:t>**Thiamazole (Carbimazole)**</w:t>
            </w:r>
          </w:p>
        </w:tc>
        <w:tc>
          <w:tcPr>
            <w:tcW w:type="dxa" w:w="1169"/>
          </w:tcPr>
          <w:p>
            <w:r>
              <w:rPr>
                <w:sz w:val="20"/>
              </w:rPr>
              <w:t>Antithyroïdien thioimidazolé</w:t>
            </w:r>
          </w:p>
        </w:tc>
        <w:tc>
          <w:tcPr>
            <w:tcW w:type="dxa" w:w="1169"/>
          </w:tcPr>
          <w:p>
            <w:r>
              <w:rPr>
                <w:sz w:val="20"/>
              </w:rPr>
              <w:t>Inhibition TPO</w:t>
            </w:r>
          </w:p>
        </w:tc>
        <w:tc>
          <w:tcPr>
            <w:tcW w:type="dxa" w:w="1169"/>
          </w:tcPr>
          <w:p>
            <w:r>
              <w:rPr>
                <w:sz w:val="20"/>
              </w:rPr>
              <w:t>4-6 h (effet soutenu)</w:t>
            </w:r>
          </w:p>
        </w:tc>
        <w:tc>
          <w:tcPr>
            <w:tcW w:type="dxa" w:w="1169"/>
          </w:tcPr>
          <w:p>
            <w:r>
              <w:rPr>
                <w:sz w:val="20"/>
              </w:rPr>
              <w:t>20-40 mg/j en 1-2 prises</w:t>
            </w:r>
          </w:p>
        </w:tc>
        <w:tc>
          <w:tcPr>
            <w:tcW w:type="dxa" w:w="1169"/>
          </w:tcPr>
          <w:p>
            <w:r>
              <w:rPr>
                <w:sz w:val="20"/>
              </w:rPr>
              <w:t>Agranulocytose (0,3%), hépatotoxicité cholestatique, tératogénicité</w:t>
            </w:r>
          </w:p>
        </w:tc>
        <w:tc>
          <w:tcPr>
            <w:tcW w:type="dxa" w:w="1169"/>
          </w:tcPr>
          <w:p>
            <w:r>
              <w:rPr>
                <w:sz w:val="20"/>
              </w:rPr>
              <w:t>1er trimestre grossesse (aplasie cutanée, atrésie choanale)</w:t>
            </w:r>
          </w:p>
        </w:tc>
        <w:tc>
          <w:tcPr>
            <w:tcW w:type="dxa" w:w="1169"/>
          </w:tcPr>
          <w:p>
            <w:r>
              <w:rPr>
                <w:sz w:val="20"/>
              </w:rPr>
              <w:t>Contre-indiqué 1er tri ; 2e-3e tri dose min</w:t>
            </w:r>
          </w:p>
        </w:tc>
      </w:tr>
      <w:tr>
        <w:tc>
          <w:tcPr>
            <w:tcW w:type="dxa" w:w="1169"/>
          </w:tcPr>
          <w:p>
            <w:r>
              <w:rPr>
                <w:sz w:val="20"/>
              </w:rPr>
              <w:t>**Iode (Lugol, povidone)**</w:t>
            </w:r>
          </w:p>
        </w:tc>
        <w:tc>
          <w:tcPr>
            <w:tcW w:type="dxa" w:w="1169"/>
          </w:tcPr>
          <w:p>
            <w:r>
              <w:rPr>
                <w:sz w:val="20"/>
              </w:rPr>
              <w:t>Antiseptique iodé / iode thérapeutique</w:t>
            </w:r>
          </w:p>
        </w:tc>
        <w:tc>
          <w:tcPr>
            <w:tcW w:type="dxa" w:w="1169"/>
          </w:tcPr>
          <w:p>
            <w:r>
              <w:rPr>
                <w:sz w:val="20"/>
              </w:rPr>
              <w:t>PVP-I : oxydation -SH bactériens ; Lugol : effet Wolff-Chaikoff (blocage synthèse hormonale)</w:t>
            </w:r>
          </w:p>
        </w:tc>
        <w:tc>
          <w:tcPr>
            <w:tcW w:type="dxa" w:w="1169"/>
          </w:tcPr>
          <w:p>
            <w:r>
              <w:rPr>
                <w:sz w:val="20"/>
              </w:rPr>
              <w:t>Iode : 8-12 h</w:t>
            </w:r>
          </w:p>
        </w:tc>
        <w:tc>
          <w:tcPr>
            <w:tcW w:type="dxa" w:w="1169"/>
          </w:tcPr>
          <w:p>
            <w:r>
              <w:rPr>
                <w:sz w:val="20"/>
              </w:rPr>
              <w:t>PVP-I 10% application cutanée ; Lugol 1 gtte/kg/j max 40 gttes/j</w:t>
            </w:r>
          </w:p>
        </w:tc>
        <w:tc>
          <w:tcPr>
            <w:tcW w:type="dxa" w:w="1169"/>
          </w:tcPr>
          <w:p>
            <w:r>
              <w:rPr>
                <w:sz w:val="20"/>
              </w:rPr>
              <w:t>Hypothyroïdie fœtale/néonatale (NRS), Jod-Basedow, allergie</w:t>
            </w:r>
          </w:p>
        </w:tc>
        <w:tc>
          <w:tcPr>
            <w:tcW w:type="dxa" w:w="1169"/>
          </w:tcPr>
          <w:p>
            <w:r>
              <w:rPr>
                <w:sz w:val="20"/>
              </w:rPr>
              <w:t>Nouveau-né, prématuré, grossesse usage prolongé, thyrotoxicose</w:t>
            </w:r>
          </w:p>
        </w:tc>
        <w:tc>
          <w:tcPr>
            <w:tcW w:type="dxa" w:w="1169"/>
          </w:tcPr>
          <w:p>
            <w:r>
              <w:rPr>
                <w:sz w:val="20"/>
              </w:rPr>
              <w:t>Déconseillé usage prolongé grossesse</w:t>
            </w:r>
          </w:p>
        </w:tc>
      </w:tr>
      <w:tr>
        <w:tc>
          <w:tcPr>
            <w:tcW w:type="dxa" w:w="1169"/>
          </w:tcPr>
          <w:p>
            <w:r>
              <w:rPr>
                <w:sz w:val="20"/>
              </w:rPr>
              <w:t>**Hydrocortisone**</w:t>
            </w:r>
          </w:p>
        </w:tc>
        <w:tc>
          <w:tcPr>
            <w:tcW w:type="dxa" w:w="1169"/>
          </w:tcPr>
          <w:p>
            <w:r>
              <w:rPr>
                <w:sz w:val="20"/>
              </w:rPr>
              <w:t>Glucocorticoïde action courte</w:t>
            </w:r>
          </w:p>
        </w:tc>
        <w:tc>
          <w:tcPr>
            <w:tcW w:type="dxa" w:w="1169"/>
          </w:tcPr>
          <w:p>
            <w:r>
              <w:rPr>
                <w:sz w:val="20"/>
              </w:rPr>
              <w:t>Fixation GRα cytosolique → translocation nucléaire → GRE → modulation transcription (activité MR résiduelle)</w:t>
            </w:r>
          </w:p>
        </w:tc>
        <w:tc>
          <w:tcPr>
            <w:tcW w:type="dxa" w:w="1169"/>
          </w:tcPr>
          <w:p>
            <w:r>
              <w:rPr>
                <w:sz w:val="20"/>
              </w:rPr>
              <w:t>8-12 h</w:t>
            </w:r>
          </w:p>
        </w:tc>
        <w:tc>
          <w:tcPr>
            <w:tcW w:type="dxa" w:w="1169"/>
          </w:tcPr>
          <w:p>
            <w:r>
              <w:rPr>
                <w:sz w:val="20"/>
              </w:rPr>
              <w:t>20-30 mg/j per os en 2 prises (substitution Addison)</w:t>
            </w:r>
          </w:p>
        </w:tc>
        <w:tc>
          <w:tcPr>
            <w:tcW w:type="dxa" w:w="1169"/>
          </w:tcPr>
          <w:p>
            <w:r>
              <w:rPr>
                <w:sz w:val="20"/>
              </w:rPr>
              <w:t>Iatrogénie Cushing, freinage HPA, diabète, ostéoporose</w:t>
            </w:r>
          </w:p>
        </w:tc>
        <w:tc>
          <w:tcPr>
            <w:tcW w:type="dxa" w:w="1169"/>
          </w:tcPr>
          <w:p>
            <w:r>
              <w:rPr>
                <w:sz w:val="20"/>
              </w:rPr>
              <w:t>Infection non contrôlée, psychose, ulcère actif</w:t>
            </w:r>
          </w:p>
        </w:tc>
        <w:tc>
          <w:tcPr>
            <w:tcW w:type="dxa" w:w="1169"/>
          </w:tcPr>
          <w:p>
            <w:r>
              <w:rPr>
                <w:sz w:val="20"/>
              </w:rPr>
              <w:t>Compatible (substitution)</w:t>
            </w:r>
          </w:p>
        </w:tc>
      </w:tr>
      <w:tr>
        <w:tc>
          <w:tcPr>
            <w:tcW w:type="dxa" w:w="1169"/>
          </w:tcPr>
          <w:p>
            <w:r>
              <w:rPr>
                <w:sz w:val="20"/>
              </w:rPr>
              <w:t>**Prednisone**</w:t>
            </w:r>
          </w:p>
        </w:tc>
        <w:tc>
          <w:tcPr>
            <w:tcW w:type="dxa" w:w="1169"/>
          </w:tcPr>
          <w:p>
            <w:r>
              <w:rPr>
                <w:sz w:val="20"/>
              </w:rPr>
              <w:t>Glucocorticoïde action intermédiaire</w:t>
            </w:r>
          </w:p>
        </w:tc>
        <w:tc>
          <w:tcPr>
            <w:tcW w:type="dxa" w:w="1169"/>
          </w:tcPr>
          <w:p>
            <w:r>
              <w:rPr>
                <w:sz w:val="20"/>
              </w:rPr>
              <w:t>Prodrogue → prednisolone → GRα → GRE</w:t>
            </w:r>
          </w:p>
        </w:tc>
        <w:tc>
          <w:tcPr>
            <w:tcW w:type="dxa" w:w="1169"/>
          </w:tcPr>
          <w:p>
            <w:r>
              <w:rPr>
                <w:sz w:val="20"/>
              </w:rPr>
              <w:t>12-36 h</w:t>
            </w:r>
          </w:p>
        </w:tc>
        <w:tc>
          <w:tcPr>
            <w:tcW w:type="dxa" w:w="1169"/>
          </w:tcPr>
          <w:p>
            <w:r>
              <w:rPr>
                <w:sz w:val="20"/>
              </w:rPr>
              <w:t>0,5-1 mg/kg/j en 1 prise matinale 8h</w:t>
            </w:r>
          </w:p>
        </w:tc>
        <w:tc>
          <w:tcPr>
            <w:tcW w:type="dxa" w:w="1169"/>
          </w:tcPr>
          <w:p>
            <w:r>
              <w:rPr>
                <w:sz w:val="20"/>
              </w:rPr>
              <w:t>Iatrogénie Cushing, freinage HPA, diabète, ostéoporose, infection</w:t>
            </w:r>
          </w:p>
        </w:tc>
        <w:tc>
          <w:tcPr>
            <w:tcW w:type="dxa" w:w="1169"/>
          </w:tcPr>
          <w:p>
            <w:r>
              <w:rPr>
                <w:sz w:val="20"/>
              </w:rPr>
              <w:t>Infection non contrôlée, psychose, ulcère actif, vaccins vivants</w:t>
            </w:r>
          </w:p>
        </w:tc>
        <w:tc>
          <w:tcPr>
            <w:tcW w:type="dxa" w:w="1169"/>
          </w:tcPr>
          <w:p>
            <w:r>
              <w:rPr>
                <w:sz w:val="20"/>
              </w:rPr>
              <w:t>Compatible (≤ 20 mg/j)</w:t>
            </w:r>
          </w:p>
        </w:tc>
      </w:tr>
      <w:tr>
        <w:tc>
          <w:tcPr>
            <w:tcW w:type="dxa" w:w="1169"/>
          </w:tcPr>
          <w:p>
            <w:r>
              <w:rPr>
                <w:sz w:val="20"/>
              </w:rPr>
              <w:t>**Prednisolone**</w:t>
            </w:r>
          </w:p>
        </w:tc>
        <w:tc>
          <w:tcPr>
            <w:tcW w:type="dxa" w:w="1169"/>
          </w:tcPr>
          <w:p>
            <w:r>
              <w:rPr>
                <w:sz w:val="20"/>
              </w:rPr>
              <w:t>Glucocorticoïde action intermédiaire</w:t>
            </w:r>
          </w:p>
        </w:tc>
        <w:tc>
          <w:tcPr>
            <w:tcW w:type="dxa" w:w="1169"/>
          </w:tcPr>
          <w:p>
            <w:r>
              <w:rPr>
                <w:sz w:val="20"/>
              </w:rPr>
              <w:t>GRα → GRE (activité MR résiduelle modérée)</w:t>
            </w:r>
          </w:p>
        </w:tc>
        <w:tc>
          <w:tcPr>
            <w:tcW w:type="dxa" w:w="1169"/>
          </w:tcPr>
          <w:p>
            <w:r>
              <w:rPr>
                <w:sz w:val="20"/>
              </w:rPr>
              <w:t>12-36 h</w:t>
            </w:r>
          </w:p>
        </w:tc>
        <w:tc>
          <w:tcPr>
            <w:tcW w:type="dxa" w:w="1169"/>
          </w:tcPr>
          <w:p>
            <w:r>
              <w:rPr>
                <w:sz w:val="20"/>
              </w:rPr>
              <w:t>0,5-1 mg/kg/j en 1 prise matinale 8h</w:t>
            </w:r>
          </w:p>
        </w:tc>
        <w:tc>
          <w:tcPr>
            <w:tcW w:type="dxa" w:w="1169"/>
          </w:tcPr>
          <w:p>
            <w:r>
              <w:rPr>
                <w:sz w:val="20"/>
              </w:rPr>
              <w:t>Idem prednisone</w:t>
            </w:r>
          </w:p>
        </w:tc>
        <w:tc>
          <w:tcPr>
            <w:tcW w:type="dxa" w:w="1169"/>
          </w:tcPr>
          <w:p>
            <w:r>
              <w:rPr>
                <w:sz w:val="20"/>
              </w:rPr>
              <w:t>Idem prednisone</w:t>
            </w:r>
          </w:p>
        </w:tc>
        <w:tc>
          <w:tcPr>
            <w:tcW w:type="dxa" w:w="1169"/>
          </w:tcPr>
          <w:p>
            <w:r>
              <w:rPr>
                <w:sz w:val="20"/>
              </w:rPr>
              <w:t>Compatible (≤ 20 mg/j)</w:t>
            </w:r>
          </w:p>
        </w:tc>
      </w:tr>
      <w:tr>
        <w:tc>
          <w:tcPr>
            <w:tcW w:type="dxa" w:w="1169"/>
          </w:tcPr>
          <w:p>
            <w:r>
              <w:rPr>
                <w:sz w:val="20"/>
              </w:rPr>
              <w:t>**Méthylprednisolone**</w:t>
            </w:r>
          </w:p>
        </w:tc>
        <w:tc>
          <w:tcPr>
            <w:tcW w:type="dxa" w:w="1169"/>
          </w:tcPr>
          <w:p>
            <w:r>
              <w:rPr>
                <w:sz w:val="20"/>
              </w:rPr>
              <w:t>Glucocorticoïde action intermédiaire</w:t>
            </w:r>
          </w:p>
        </w:tc>
        <w:tc>
          <w:tcPr>
            <w:tcW w:type="dxa" w:w="1169"/>
          </w:tcPr>
          <w:p>
            <w:r>
              <w:rPr>
                <w:sz w:val="20"/>
              </w:rPr>
              <w:t>GRα → GRE (activité MR nulle)</w:t>
            </w:r>
          </w:p>
        </w:tc>
        <w:tc>
          <w:tcPr>
            <w:tcW w:type="dxa" w:w="1169"/>
          </w:tcPr>
          <w:p>
            <w:r>
              <w:rPr>
                <w:sz w:val="20"/>
              </w:rPr>
              <w:t>12-36 h</w:t>
            </w:r>
          </w:p>
        </w:tc>
        <w:tc>
          <w:tcPr>
            <w:tcW w:type="dxa" w:w="1169"/>
          </w:tcPr>
          <w:p>
            <w:r>
              <w:rPr>
                <w:sz w:val="20"/>
              </w:rPr>
              <w:t>Per os : 4-16 mg/j ; IV bolus : 500-1000 mg × 3-5 j</w:t>
            </w:r>
          </w:p>
        </w:tc>
        <w:tc>
          <w:tcPr>
            <w:tcW w:type="dxa" w:w="1169"/>
          </w:tcPr>
          <w:p>
            <w:r>
              <w:rPr>
                <w:sz w:val="20"/>
              </w:rPr>
              <w:t>Idem + pic émotionnel aigu post-bolus</w:t>
            </w:r>
          </w:p>
        </w:tc>
        <w:tc>
          <w:tcPr>
            <w:tcW w:type="dxa" w:w="1169"/>
          </w:tcPr>
          <w:p>
            <w:r>
              <w:rPr>
                <w:sz w:val="20"/>
              </w:rPr>
              <w:t>Idem + arthrite à cristaux (infiltration)</w:t>
            </w:r>
          </w:p>
        </w:tc>
        <w:tc>
          <w:tcPr>
            <w:tcW w:type="dxa" w:w="1169"/>
          </w:tcPr>
          <w:p>
            <w:r>
              <w:rPr>
                <w:sz w:val="20"/>
              </w:rPr>
              <w:t>Compatible (≤ 20 mg/j)</w:t>
            </w:r>
          </w:p>
        </w:tc>
      </w:tr>
      <w:tr>
        <w:tc>
          <w:tcPr>
            <w:tcW w:type="dxa" w:w="1169"/>
          </w:tcPr>
          <w:p>
            <w:r>
              <w:rPr>
                <w:sz w:val="20"/>
              </w:rPr>
              <w:t>**Triamcinolone**</w:t>
            </w:r>
          </w:p>
        </w:tc>
        <w:tc>
          <w:tcPr>
            <w:tcW w:type="dxa" w:w="1169"/>
          </w:tcPr>
          <w:p>
            <w:r>
              <w:rPr>
                <w:sz w:val="20"/>
              </w:rPr>
              <w:t>Glucocorticoïde action intermédiaire (forme retard)</w:t>
            </w:r>
          </w:p>
        </w:tc>
        <w:tc>
          <w:tcPr>
            <w:tcW w:type="dxa" w:w="1169"/>
          </w:tcPr>
          <w:p>
            <w:r>
              <w:rPr>
                <w:sz w:val="20"/>
              </w:rPr>
              <w:t>GRα → GRE (activité MR nulle) — acétonide retard</w:t>
            </w:r>
          </w:p>
        </w:tc>
        <w:tc>
          <w:tcPr>
            <w:tcW w:type="dxa" w:w="1169"/>
          </w:tcPr>
          <w:p>
            <w:r>
              <w:rPr>
                <w:sz w:val="20"/>
              </w:rPr>
              <w:t>12-36 h (effet retard 3-4 sem)</w:t>
            </w:r>
          </w:p>
        </w:tc>
        <w:tc>
          <w:tcPr>
            <w:tcW w:type="dxa" w:w="1169"/>
          </w:tcPr>
          <w:p>
            <w:r>
              <w:rPr>
                <w:sz w:val="20"/>
              </w:rPr>
              <w:t>Infiltration : 20-80 mg/articulation, 3-4/an max</w:t>
            </w:r>
          </w:p>
        </w:tc>
        <w:tc>
          <w:tcPr>
            <w:tcW w:type="dxa" w:w="1169"/>
          </w:tcPr>
          <w:p>
            <w:r>
              <w:rPr>
                <w:sz w:val="20"/>
              </w:rPr>
              <w:t>Arthrite à cristaux, atrophie cutanée, infection locale</w:t>
            </w:r>
          </w:p>
        </w:tc>
        <w:tc>
          <w:tcPr>
            <w:tcW w:type="dxa" w:w="1169"/>
          </w:tcPr>
          <w:p>
            <w:r>
              <w:rPr>
                <w:sz w:val="20"/>
              </w:rPr>
              <w:t>Infection locale, prothèse articulaire</w:t>
            </w:r>
          </w:p>
        </w:tc>
        <w:tc>
          <w:tcPr>
            <w:tcW w:type="dxa" w:w="1169"/>
          </w:tcPr>
          <w:p>
            <w:r>
              <w:rPr>
                <w:sz w:val="20"/>
              </w:rPr>
              <w:t>Déconseillé 1er tri</w:t>
            </w:r>
          </w:p>
        </w:tc>
      </w:tr>
      <w:tr>
        <w:tc>
          <w:tcPr>
            <w:tcW w:type="dxa" w:w="1169"/>
          </w:tcPr>
          <w:p>
            <w:r>
              <w:rPr>
                <w:sz w:val="20"/>
              </w:rPr>
              <w:t>**Dexaméthasone**</w:t>
            </w:r>
          </w:p>
        </w:tc>
        <w:tc>
          <w:tcPr>
            <w:tcW w:type="dxa" w:w="1169"/>
          </w:tcPr>
          <w:p>
            <w:r>
              <w:rPr>
                <w:sz w:val="20"/>
              </w:rPr>
              <w:t>Glucocorticoïde action longue</w:t>
            </w:r>
          </w:p>
        </w:tc>
        <w:tc>
          <w:tcPr>
            <w:tcW w:type="dxa" w:w="1169"/>
          </w:tcPr>
          <w:p>
            <w:r>
              <w:rPr>
                <w:sz w:val="20"/>
              </w:rPr>
              <w:t>GRα → GRE (puissance 25-30× cortisol, MR nul)</w:t>
            </w:r>
          </w:p>
        </w:tc>
        <w:tc>
          <w:tcPr>
            <w:tcW w:type="dxa" w:w="1169"/>
          </w:tcPr>
          <w:p>
            <w:r>
              <w:rPr>
                <w:sz w:val="20"/>
              </w:rPr>
              <w:t>36-72 h</w:t>
            </w:r>
          </w:p>
        </w:tc>
        <w:tc>
          <w:tcPr>
            <w:tcW w:type="dxa" w:w="1169"/>
          </w:tcPr>
          <w:p>
            <w:r>
              <w:rPr>
                <w:sz w:val="20"/>
              </w:rPr>
              <w:t>Œdème cérébral : 4-16 mg/j ; COVID-19 : 6 mg/j × 10 j</w:t>
            </w:r>
          </w:p>
        </w:tc>
        <w:tc>
          <w:tcPr>
            <w:tcW w:type="dxa" w:w="1169"/>
          </w:tcPr>
          <w:p>
            <w:r>
              <w:rPr>
                <w:sz w:val="20"/>
              </w:rPr>
              <w:t>Iatrogénie Cushing majeure, freinage HPA majeur, diabète, psychose</w:t>
            </w:r>
          </w:p>
        </w:tc>
        <w:tc>
          <w:tcPr>
            <w:tcW w:type="dxa" w:w="1169"/>
          </w:tcPr>
          <w:p>
            <w:r>
              <w:rPr>
                <w:sz w:val="20"/>
              </w:rPr>
              <w:t>Idem prednisone</w:t>
            </w:r>
          </w:p>
        </w:tc>
        <w:tc>
          <w:tcPr>
            <w:tcW w:type="dxa" w:w="1169"/>
          </w:tcPr>
          <w:p>
            <w:r>
              <w:rPr>
                <w:sz w:val="20"/>
              </w:rPr>
              <w:t>Compatible (maturation pulmonaire 24-34 SA)</w:t>
            </w:r>
          </w:p>
        </w:tc>
      </w:tr>
      <w:tr>
        <w:tc>
          <w:tcPr>
            <w:tcW w:type="dxa" w:w="1169"/>
          </w:tcPr>
          <w:p>
            <w:r>
              <w:rPr>
                <w:sz w:val="20"/>
              </w:rPr>
              <w:t>**Bétaméthasone**</w:t>
            </w:r>
          </w:p>
        </w:tc>
        <w:tc>
          <w:tcPr>
            <w:tcW w:type="dxa" w:w="1169"/>
          </w:tcPr>
          <w:p>
            <w:r>
              <w:rPr>
                <w:sz w:val="20"/>
              </w:rPr>
              <w:t>Glucocorticoïde action longue</w:t>
            </w:r>
          </w:p>
        </w:tc>
        <w:tc>
          <w:tcPr>
            <w:tcW w:type="dxa" w:w="1169"/>
          </w:tcPr>
          <w:p>
            <w:r>
              <w:rPr>
                <w:sz w:val="20"/>
              </w:rPr>
              <w:t>GRα → GRE (puissance 25-30× cortisol, MR nul)</w:t>
            </w:r>
          </w:p>
        </w:tc>
        <w:tc>
          <w:tcPr>
            <w:tcW w:type="dxa" w:w="1169"/>
          </w:tcPr>
          <w:p>
            <w:r>
              <w:rPr>
                <w:sz w:val="20"/>
              </w:rPr>
              <w:t>36-72 h</w:t>
            </w:r>
          </w:p>
        </w:tc>
        <w:tc>
          <w:tcPr>
            <w:tcW w:type="dxa" w:w="1169"/>
          </w:tcPr>
          <w:p>
            <w:r>
              <w:rPr>
                <w:sz w:val="20"/>
              </w:rPr>
              <w:t>Maturation pulmonaire : 12 mg IM × 2 à 24 h</w:t>
            </w:r>
          </w:p>
        </w:tc>
        <w:tc>
          <w:tcPr>
            <w:tcW w:type="dxa" w:w="1169"/>
          </w:tcPr>
          <w:p>
            <w:r>
              <w:rPr>
                <w:sz w:val="20"/>
              </w:rPr>
              <w:t>Idem dexaméthasone + RCIU si cures répétées</w:t>
            </w:r>
          </w:p>
        </w:tc>
        <w:tc>
          <w:tcPr>
            <w:tcW w:type="dxa" w:w="1169"/>
          </w:tcPr>
          <w:p>
            <w:r>
              <w:rPr>
                <w:sz w:val="20"/>
              </w:rPr>
              <w:t>Idem prednisone</w:t>
            </w:r>
          </w:p>
        </w:tc>
        <w:tc>
          <w:tcPr>
            <w:tcW w:type="dxa" w:w="1169"/>
          </w:tcPr>
          <w:p>
            <w:r>
              <w:rPr>
                <w:sz w:val="20"/>
              </w:rPr>
              <w:t>Compatible (maturation pulmonaire 24-34 SA)</w:t>
            </w:r>
          </w:p>
        </w:tc>
      </w:tr>
    </w:tbl>
    <w:p/>
    <w:p>
      <w:pPr>
        <w:pStyle w:val="Heading3"/>
      </w:pPr>
      <w:r>
        <w:t>Notes pour l'utilisation du tableau :</w:t>
      </w:r>
    </w:p>
    <w:p>
      <w:pPr>
        <w:pStyle w:val="ListNumber"/>
      </w:pPr>
      <w:r/>
      <w:r>
        <w:rPr>
          <w:b/>
        </w:rPr>
        <w:t>Équivalences anti-inflammatoires</w:t>
      </w:r>
      <w:r>
        <w:t xml:space="preserve"> (référence : 20 mg hydrocortisone) :</w:t>
      </w:r>
    </w:p>
    <w:p>
      <w:pPr>
        <w:pStyle w:val="ListBullet"/>
      </w:pPr>
      <w:r>
        <w:t>Hydrocortisone 20 mg = Cortisone 25 mg (prodrogue, historique)</w:t>
      </w:r>
    </w:p>
    <w:p>
      <w:pPr>
        <w:pStyle w:val="ListBullet"/>
      </w:pPr>
      <w:r>
        <w:t>Prednisone 5 mg = Prednisolone 5 mg = Méthylprednisolone 4 mg = Triamcinolone 4 mg = Paraméthasone 2 mg</w:t>
      </w:r>
    </w:p>
    <w:p>
      <w:pPr>
        <w:pStyle w:val="ListBullet"/>
      </w:pPr>
      <w:r>
        <w:t>Dexaméthasone 0,75 mg = Bétaméthasone 0,75 mg</w:t>
      </w:r>
    </w:p>
    <w:p>
      <w:pPr>
        <w:pStyle w:val="ListNumber"/>
      </w:pPr>
      <w:r/>
      <w:r>
        <w:rPr>
          <w:b/>
        </w:rPr>
        <w:t>Activité minéralocorticoïde relative</w:t>
      </w:r>
      <w:r>
        <w:t xml:space="preserve"> :</w:t>
      </w:r>
    </w:p>
    <w:p>
      <w:pPr>
        <w:pStyle w:val="ListBullet"/>
      </w:pPr>
      <w:r>
        <w:t>Hydrocortisone : 1× (référence)</w:t>
      </w:r>
    </w:p>
    <w:p>
      <w:pPr>
        <w:pStyle w:val="ListBullet"/>
      </w:pPr>
      <w:r>
        <w:t>Prednisone/Prednisolone : 0,6× (résiduelle modérée)</w:t>
      </w:r>
    </w:p>
    <w:p>
      <w:pPr>
        <w:pStyle w:val="ListBullet"/>
      </w:pPr>
      <w:r>
        <w:t>Méthylprednisolone, Triamcinolone : ~0× (quasi nulle)</w:t>
      </w:r>
    </w:p>
    <w:p>
      <w:pPr>
        <w:pStyle w:val="ListBullet"/>
      </w:pPr>
      <w:r>
        <w:t>Dexaméthasone, Bétaméthasone : ~0× (nulle)</w:t>
      </w:r>
    </w:p>
    <w:p>
      <w:pPr>
        <w:pStyle w:val="ListNumber"/>
      </w:pPr>
      <w:r/>
      <w:r>
        <w:rPr>
          <w:b/>
        </w:rPr>
        <w:t>Demi-vie biologique et schéma d'administration</w:t>
      </w:r>
      <w:r>
        <w:t xml:space="preserve"> :</w:t>
      </w:r>
    </w:p>
    <w:p>
      <w:pPr>
        <w:pStyle w:val="ListBullet"/>
      </w:pPr>
      <w:r>
        <w:t>Courte (8-12 h) : Hydrocortisone → 2-3 prises/j (mimétisme circadien pour substitution)</w:t>
      </w:r>
    </w:p>
    <w:p>
      <w:pPr>
        <w:pStyle w:val="ListBullet"/>
      </w:pPr>
      <w:r>
        <w:t>Intermédiaire (12-36 h) : Prednisone, Prednisolone, Méthylprednisolone, Triamcinolone → 1 prise matinale unique (respect du rythme circadien)</w:t>
      </w:r>
    </w:p>
    <w:p>
      <w:pPr>
        <w:pStyle w:val="ListBullet"/>
      </w:pPr>
      <w:r>
        <w:t>Longue (36-72 h) : Dexaméthasone, Bétaméthasone → 1 prise matinale unique (mais freination HPA plus marquée)</w:t>
      </w:r>
    </w:p>
    <w:p>
      <w:pPr>
        <w:pStyle w:val="ListNumber"/>
      </w:pPr>
      <w:r/>
      <w:r>
        <w:rPr>
          <w:b/>
        </w:rPr>
        <w:t>Antithyroïdiens — équivalences approximatives</w:t>
      </w:r>
      <w:r>
        <w:t xml:space="preserve"> :</w:t>
      </w:r>
    </w:p>
    <w:p>
      <w:pPr>
        <w:pStyle w:val="ListBullet"/>
      </w:pPr>
      <w:r>
        <w:t>Benzylthiouracile 100 mg ≈ Thiamazole 5 mg ≈ Propylthiouracile 50 mg ≈ Carbimazole 5 mg</w:t>
      </w:r>
    </w:p>
    <w:p>
      <w:pPr>
        <w:pStyle w:val="ListNumber"/>
      </w:pPr>
      <w:r/>
      <w:r>
        <w:rPr>
          <w:b/>
        </w:rPr>
        <w:t>Pivot thérapeutique en cas d'urgence</w:t>
      </w:r>
      <w:r>
        <w:t xml:space="preserve"> :</w:t>
      </w:r>
    </w:p>
    <w:p>
      <w:pPr>
        <w:pStyle w:val="ListBullet"/>
      </w:pPr>
      <w:r>
        <w:t>Crise thyroétoxique : Benzylthiouracile + Lugol (1h après) + Propranolol + Hydrocortisone IV</w:t>
      </w:r>
    </w:p>
    <w:p>
      <w:pPr>
        <w:pStyle w:val="ListBullet"/>
      </w:pPr>
      <w:r>
        <w:t>Coma myxœdémateux : Lévothyroxine IV (ATU) + Hydrocortisone IV 100 mg × 3/j</w:t>
      </w:r>
    </w:p>
    <w:p>
      <w:pPr>
        <w:pStyle w:val="ListBullet"/>
      </w:pPr>
      <w:r>
        <w:t>Crise surrénalienne aiguë : Hydrocortisone IV 100 mg bolus + 200 mg/24h continu + réhydratation</w:t>
      </w:r>
    </w:p>
    <w:p>
      <w:pPr>
        <w:pStyle w:val="ListBullet"/>
      </w:pPr>
      <w:r>
        <w:t>Œdème cérébral tumoral : Dexaméthasone IV 10 mg puis 4 mg × 4/j</w:t>
      </w:r>
    </w:p>
    <w:p>
      <w:pPr>
        <w:pStyle w:val="ListBullet"/>
      </w:pPr>
      <w:r>
        <w:t>COVID-19 sévère (O2/ventilation) : Dexaméthasone 6 mg/j × 10 jours</w:t>
      </w:r>
    </w:p>
    <w:p>
      <w:pPr>
        <w:pStyle w:val="ListBullet"/>
      </w:pPr>
      <w:r>
        <w:t>Maturation pulmonaire fœtale (24-34 SA) : Bétaméthasone 12 mg IM × 2 à 24 h</w:t>
      </w:r>
    </w:p>
    <w:p>
      <w:pPr>
        <w:pStyle w:val="Heading2"/>
      </w:pPr>
      <w:r>
        <w:t>Conclusion Générale du Chapitre</w:t>
      </w:r>
    </w:p>
    <w:p>
      <w:r>
        <w:t>Ce chapitre a présenté en onze fiches détaillées l'ensemble des DCI thyroïdiennes et corticoïdiques systémiques disponibles dans la nomenclature algérienne (COMPLETE LISTE Avril 2026). Plusieurs enseignements cliniques majeurs émergent :</w:t>
      </w:r>
    </w:p>
    <w:p>
      <w:r/>
      <w:r>
        <w:rPr>
          <w:b/>
        </w:rPr>
        <w:t>1. Disponibilité et lacunes de la nomenclature algérienne</w:t>
      </w:r>
      <w:r>
        <w:t xml:space="preserve"> : L'Algérie dispose d'une gamme large et complète pour la lévothyroxine (8 dosages, 3 laboratoires), la prednisolone (30+ spécialités en comprimés orodispersibles), la dexaméthasone et la bétaméthasone (formes systémiques et topiques). Cependant, plusieurs molécules importantes sont </w:t>
      </w:r>
      <w:r>
        <w:rPr>
          <w:b/>
        </w:rPr>
        <w:t>absentes</w:t>
      </w:r>
      <w:r>
        <w:t xml:space="preserve"> : liothyronine (T3), propylthiouracile (PTU) — antithyroïdien de référence du 1er trimestre de grossesse, fludrocortisone — minéralocorticoïde de référence de la maladie d'Addison. Ces absences imposent des stratégies alternatives (benzylthiouracile en grossesse, hydrocortisone supra-substitutive + régime salé dans l'Addison) et la procédure d'ATU pour les cas critiques.</w:t>
      </w:r>
    </w:p>
    <w:p>
      <w:r/>
      <w:r>
        <w:rPr>
          <w:b/>
        </w:rPr>
        <w:t>2. Spécificités algériennes historiques</w:t>
      </w:r>
      <w:r>
        <w:t xml:space="preserve"> : Le BASDENE® (benzylthiouracile, Bouchara-Recordati) demeure disponible en Algérie bien que retiré du marché français en 2009 — il constitue une alternative au PTU indisponible pour le 1er trimestre de grossesse. Le BASDENE® conserve une place pédagogique et clinique particulière, exigeante en surveillance (NFS, bilan hépatique).</w:t>
      </w:r>
    </w:p>
    <w:p>
      <w:r/>
      <w:r>
        <w:rPr>
          <w:b/>
        </w:rPr>
        <w:t>3. Révolution COVID-19</w:t>
      </w:r>
      <w:r>
        <w:t xml:space="preserve"> : La mise en évidence par le protocole RECOVERY (juin 2020) de l'efficacité de la dexaméthasone 6 mg/j × 10 jours chez les patients COVID-19 sévères (réduction de mortalité 28 %) a placé cette molécule au cœur de l'arsenal thérapeutique mondial. L'Algérie dispose d'une production locale (DEXASONE® Saidal, DEXTHERA® Biothera, DEXAMETYD® Frater Razes) suffisante pour la demande, avec une formulation injectable 4 mg/mL et une formulation orale 0,5 mg (DESACROVIS).</w:t>
      </w:r>
    </w:p>
    <w:p>
      <w:r/>
      <w:r>
        <w:rPr>
          <w:b/>
        </w:rPr>
        <w:t>4. Règles d'or de l'officinal</w:t>
      </w:r>
      <w:r>
        <w:t xml:space="preserve"> :</w:t>
      </w:r>
    </w:p>
    <w:p>
      <w:pPr>
        <w:pStyle w:val="ListBullet"/>
      </w:pPr>
      <w:r/>
      <w:r>
        <w:rPr>
          <w:b/>
        </w:rPr>
        <w:t>Lévothyroxine</w:t>
      </w:r>
      <w:r>
        <w:t xml:space="preserve"> : à jeun 30 min avant le petit-déjeuner, espacer de 4 h du fer/calcium/IPP, contrôle TSH à 6 semaines.</w:t>
      </w:r>
    </w:p>
    <w:p>
      <w:pPr>
        <w:pStyle w:val="ListBullet"/>
      </w:pPr>
      <w:r/>
      <w:r>
        <w:rPr>
          <w:b/>
        </w:rPr>
        <w:t>Antithyroïdiens</w:t>
      </w:r>
      <w:r>
        <w:t xml:space="preserve"> : information écrite obligatoire sur l'agranulocytose (« fièvre, angine → arrêt + NFS urgente ») ; NFS et bilan hépatique réguliers.</w:t>
      </w:r>
    </w:p>
    <w:p>
      <w:pPr>
        <w:pStyle w:val="ListBullet"/>
      </w:pPr>
      <w:r/>
      <w:r>
        <w:rPr>
          <w:b/>
        </w:rPr>
        <w:t>Corticoïdes</w:t>
      </w:r>
      <w:r>
        <w:t xml:space="preserve"> : ne jamais arrêter brutalement au-delà de 14 jours à dose &gt; 10 mg/j (prednisone équivalent) ; port de la carte de corticothérapie ; majoration de dose en cas de stress (règle des 3 jours : × 2-3 en cas de fièvre, infection) ; supplémentation calcium + vitamine D si &gt; 3 semaines ; couverture anti-pneumocystose si &gt; 4 semaines à dose &gt; 20 mg/j.</w:t>
      </w:r>
    </w:p>
    <w:p>
      <w:r/>
      <w:r>
        <w:rPr>
          <w:b/>
        </w:rPr>
        <w:t>5. Spécificités pédiatriques</w:t>
      </w:r>
      <w:r>
        <w:t xml:space="preserve"> : La prednisolone orodispersible (Solupred Oro, Cortidal) est le standard algérien en pédiatrie (asthme aigu sévère, néphrose lipoïdique). La bétaméthasone IM est le standard de la maturation pulmonaire fœtale anténatale. Le thiamazole en solution magistrale (à partir des comprimés écrasés) est utilisé dans l'hyperthyroïdie pédiatrique. La solution buvable de bétaméthasone 0,5 mg/mL (B-CORTOSONE, BETABIO, etc.) est très utile pour les doses pédiatriques (1 mL = 10 gouttes = 0,5 mg).</w:t>
      </w:r>
    </w:p>
    <w:p>
      <w:r/>
      <w:r>
        <w:rPr>
          <w:b/>
        </w:rPr>
        <w:t>6. Spécificités obstétricales</w:t>
      </w:r>
      <w:r>
        <w:t xml:space="preserve"> : La grossesse augmente les besoins en lévothyroxine de 30 à 50 % dès la conception (cible TSH &lt; 2,5 mUI/L 1er tri). Le thiamazole est tératogène au 1er trimestre (aplasie cutanée congénitale, atrésie choanale) — à remplacer par benzylthiouracile. La bétaméthasone est le standard de la maturation pulmonaire fœtale (24-34 SA, 12 mg IM × 2 à 24 h). La povidone iodée est contre-indiquée en usage prolongé pendant la grossesse (hypothyroïdie fœtale).</w:t>
      </w:r>
    </w:p>
    <w:p>
      <w:r/>
      <w:r>
        <w:rPr>
          <w:b/>
        </w:rPr>
        <w:t>7. Références internationales pour la pratique algérienne</w:t>
      </w:r>
      <w:r>
        <w:t xml:space="preserve"> : ATA (American Thyroid Association) Guidelines 2017 (hypothyroïdie grossesse) ; ETA (European Thyroid Association) Guidelines 2018 ; CRAT (Centre de Référence sur les Agents Tératogènes) pour la grossesse et l'allaitement ; VIDAL, ANSM, Thériaque pour les fiches produits ; UpToDate et Micromedex pour les recommandations internationales ; EULAR (European Alliance of Associations for Rheumatology) pour les vascularites et le lupus ; FIGO 2021 pour la maturation pulmonaire fœtale.</w:t>
      </w:r>
    </w:p>
    <w:p>
      <w:r>
        <w:t>Ce chapitre constitue le socle pharmacologique pour la pratique endocrinologique algérienne. Le pharmacien d'officine joue un rôle pivot dans la sécurisation de la dispensation de ces molécules iatrogènes, en particulier pour les interactions médicamenteuses (lévothyroxine + sels), la surveillance biologique (TSH, NFS, bilan hépatique), l'observance (prise à jeun, monoprise matinale, ne pas arrêter brutalement), et le dépistage des effets indésirables graves (agranulocytose aux antithyroïdiens, insuffisance surrénale à l'arrêt des corticoïdes, hyperthyroïdie iatrogène à la lévothyroxine). Le patient informé, muni d'une carte de traitement et d'une notice détaillée, est le meilleur garant d'une utilisation sûre et efficace au long cours.</w:t>
      </w:r>
    </w:p>
    <w:p>
      <w:r/>
      <w:r>
        <w:rPr>
          <w:i/>
        </w:rPr>
        <w:t>Références bibliographiques principales :</w:t>
      </w:r>
      <w:r/>
    </w:p>
    <w:p>
      <w:pPr>
        <w:pStyle w:val="ListNumber"/>
      </w:pPr>
      <w:r>
        <w:t>ATA/AACE Guidelines for Hypothyroidism in Adults — *Thyroid*, 2014 (mis à jour 2017).</w:t>
      </w:r>
    </w:p>
    <w:p>
      <w:pPr>
        <w:pStyle w:val="ListNumber"/>
      </w:pPr>
      <w:r>
        <w:t>ETA Guidelines for the Management of Hyperthyroidism — *European Thyroid Journal*, 2018.</w:t>
      </w:r>
    </w:p>
    <w:p>
      <w:pPr>
        <w:pStyle w:val="ListNumber"/>
      </w:pPr>
      <w:r>
        <w:t>CRAT (Centre de Référence sur les Agents Tératogènes) — fiches en ligne, mises à jour régulières (www.lecrat.fr).</w:t>
      </w:r>
    </w:p>
    <w:p>
      <w:pPr>
        <w:pStyle w:val="ListNumber"/>
      </w:pPr>
      <w:r>
        <w:t>VIDAL 2025 — *Dictionnaire des médicaments*.</w:t>
      </w:r>
    </w:p>
    <w:p>
      <w:pPr>
        <w:pStyle w:val="ListNumber"/>
      </w:pPr>
      <w:r>
        <w:t>ANSM — *Résumés des caractéristiques du produit (RCP)*, mises à jour régulières (www.ansm.sante.fr).</w:t>
      </w:r>
    </w:p>
    <w:p>
      <w:pPr>
        <w:pStyle w:val="ListNumber"/>
      </w:pPr>
      <w:r>
        <w:t>Thériaque — *Banque de données pharmaceutiques*, mises à jour quotidiennes.</w:t>
      </w:r>
    </w:p>
    <w:p>
      <w:pPr>
        <w:pStyle w:val="ListNumber"/>
      </w:pPr>
      <w:r>
        <w:t>UpToDate — *Endocrinology and Rheumatology chapters*, 2024.</w:t>
      </w:r>
    </w:p>
    <w:p>
      <w:pPr>
        <w:pStyle w:val="ListNumber"/>
      </w:pPr>
      <w:r>
        <w:t>Micromedex — *Drug Information*, 2024.</w:t>
      </w:r>
    </w:p>
    <w:p>
      <w:pPr>
        <w:pStyle w:val="ListNumber"/>
      </w:pPr>
      <w:r>
        <w:t>RECOVERY Collaborative Group — *Dexamethasone in Hospitalized Patients with Covid-19*, NEJM, 2021.</w:t>
      </w:r>
    </w:p>
    <w:p>
      <w:pPr>
        <w:pStyle w:val="ListNumber"/>
      </w:pPr>
      <w:r>
        <w:t>Cochrane Review — *Antenatal corticosteroids for accelerating fetal lung maturation for women at risk of preterm birth*, 2017.</w:t>
      </w:r>
    </w:p>
    <w:p>
      <w:pPr>
        <w:pStyle w:val="ListNumber"/>
      </w:pPr>
      <w:r>
        <w:t>EULAR Recommendations for the Management of Large Vessel Vasculitis — *Annals of Rheumatic Diseases*, 2018.</w:t>
      </w:r>
    </w:p>
    <w:p>
      <w:pPr>
        <w:pStyle w:val="ListNumber"/>
      </w:pPr>
      <w:r>
        <w:t>FIGO Good Practice Recommendations on Antenatal Corticosteroids — *International Journal of Gynecology and Obstetrics*, 2021.</w:t>
      </w:r>
    </w:p>
    <w:p>
      <w:pPr>
        <w:pStyle w:val="ListNumber"/>
      </w:pPr>
      <w:r>
        <w:t>Nomenclature Algérienne des Médicaments (COMPLETE LISTE Avril 2026) — Ministère de la Santé Algérien.</w:t>
      </w:r>
    </w:p>
    <w:p>
      <w:pPr>
        <w:pStyle w:val="ListNumber"/>
      </w:pPr>
      <w:r>
        <w:t>Livre de Pharmacologie Clinique, Fascicule V — Diabétologie/Endocrinologie, Université Alger.</w:t>
      </w:r>
    </w:p>
    <w:p>
      <w:r/>
      <w:r>
        <w:rPr>
          <w:i/>
        </w:rPr>
        <w:t>Fin du Chapitre 43 — Thyroïde et Corticoïdes Systémiques.</w:t>
      </w:r>
      <w:r/>
    </w:p>
    <w:p>
      <w:pPr>
        <w:pStyle w:val="Heading1"/>
      </w:pPr>
      <w:r>
        <w:t>Section 44 — Hormones sexuelles et Contraceptifs</w:t>
      </w:r>
    </w:p>
    <w:p>
      <w:pPr>
        <w:pStyle w:val="Heading2"/>
      </w:pPr>
      <w:r>
        <w:t>Introduction générale</w:t>
      </w:r>
    </w:p>
    <w:p>
      <w:r>
        <w:t>Cette section est consacrée aux hormones sexuelles féminines (estrogènes et progestatifs), à leurs associations contraceptives et à leurs dérivés synthétiques utilisés dans le traitement hormonal de la ménopause (THS), l'endométriose, l'infertilité et l'ostéoporose post-ménopausique. Elle occupe une place centrale dans la pratique pharmaceutique de ville, car la contraception orale reste le premier motif de prescription féminine en Algérie, et le THS suscite des questions récurrentes au comptoir. Le pharmacien d'officine joue ici un rôle fondamental d'éducation thérapeutique, de dépistage des contre-indications cardiovasculaires et thromboemboliques, et d'orientation vers le médecin prescripteur lors d'événements intercurrents (oubli, vomissement, spotting, céphalées de novo).</w:t>
      </w:r>
    </w:p>
    <w:p>
      <w:r>
        <w:t>La compréhension de cette pharmacologie exige une maîtrise préalable de l'axe hypothalamo-hypophyso-ovarien (HPO). L'hypothalamus sécrète la GnRH de manière pulsatile, stimulant l'antéhypophyse qui libère FSH et LH. La FSH stimule la croissance folliculaire et la production d'estradiol par les cellules de la granulosa ; le pic d'estradiol déclenche (rétrocontrôle positif) le pic ovulant de LH responsable de l'ovulation. Le corps jaune ensuite formé sécrète estradiol et progestérone, qui exercent un rétrocontrôle négatif sur la sécrétion de GnRH, FSH et LH. Les contraceptifs oraux combinés exploitent ce rétrocontrôle négatif en administrant un estrogène de synthèse (éthinylestradiol) et un progestatif de synthèse, supprimant ainsi le pic ovulant de LH et donc l'ovulation. Les progestatifs seuls (microprogestatifs) agissent principalement sur la glaire cervicale et l'endomètre, avec une inhibition partielle de l'ovulation.</w:t>
      </w:r>
    </w:p>
    <w:p>
      <w:r>
        <w:t xml:space="preserve">La pharmacologie des estrogènes repose sur la fixation aux récepteurs nucléaires ERα (utérus, sein, foie, os) et ERβ (ovaire, prostate, cerveau), qui forment des dimères se fixant sur les éléments de réponse aux estrogènes (ERE) de l'ADN. Les progestatifs se fixent aux récepteurs PR-A et PR-B, isoformes issues de l'épissage du gène </w:t>
      </w:r>
      <w:r>
        <w:rPr>
          <w:i/>
        </w:rPr>
        <w:t>PGR</w:t>
      </w:r>
      <w:r>
        <w:t>, avec des activités distinctes (PR-B activateur, PR-A inhibiteur). Chaque progestatif de synthèse possède un profil de liaison particulier aux récepteurs androgéniques, glucocorticoïdes et minéralocorticoïdes, expliquant la diversité de leurs effets indésirables (acné, rétention hydrosodée, troubles métaboliques).</w:t>
      </w:r>
    </w:p>
    <w:p>
      <w:r>
        <w:t>Le paysage algérien se caractérise par la coexistence de spécialités pionnières historiques (Diane 35, Stediril, Microgynon, Duphaston, Lutenyl, Livial) et de génériques locaux (UPC, Biormone, El Kendi, Magpharm, Philadelphia). Plusieurs spécialités sont retirées du marché (R) ou non renouvelées — il convient de toujours vérifier le statut administratif avant délivrance. Le pharmacien doit savoir différencier les générations de pilules (2e, 3e, 4e génération) en raison de leur profil thromboembolique veineux propre, et reconnaître les associations anti-androgéniques (Diane-like, maintenant retirées de l'indication contraception en Europe mais toujours utilisées en dermatologie). Les dispositifs intra-utérins au lévonorgestrel (Mirena) et les implants sous-cutanés (Implanon NXT) représentent une alternative de longue durée d'action (LARC) à fort impact sur la compliance.</w:t>
      </w:r>
    </w:p>
    <w:p>
      <w:r>
        <w:t>La sécurité d'emploi de ces molécules repose sur le respect strict des contre-indications absolues : cancer du sein hormono-dépendant, antécédent thromboembolique veineux ou artériel, accident vasculaire cérébral, cardiopathie ischémique, hypertension non contrôlée, tabagisme après 35 ans, migraine avec aura, hépatopathie sévère. La reconnaissance de ces situations au comptoir est un acte pharmaceutique critique, qui peut justifier un refus de délivrance et une orientation médicale immédiate.</w:t>
      </w:r>
    </w:p>
    <w:p>
      <w:r>
        <w:t>L'enseignement de cette section s'articule autour de seize sous-classes pharmaco-thérapeutiques : (1) les estrogènes naturels et de synthèse (estradiol, estriol, valérate d'estradiol) ; (2) la progestérone naturelle micronisée ; (3) les dérivés rétroprogestérone (dydrogestérone) ; (4) les dérivés 17-OH progestérone (acétate de medroxyprogestérone, acétate de chlormadinone) ; (5) les dérivés 19-norprogestérone (acétate de nomégestrol, acétate de promegestone) ; (6) les dérivés spironolactone (drospirénone, absente de la nomenclature algérienne récente) ; (7) les dérivés 19-nortestostérone couplés à la progestérone (diénogest) ; (8) les contraceptifs oraux combinés de 2e génération (éthinylestradiol + lévonorgestrel) ; (9) les COC de 3e génération (éthinylestradiol + désogestrel ou gestodène) ; (10) les COC de 4e génération (éthinylestradiol + drospirénone — non traitée faute de spécialité active) ; (11) les COC anti-androgéniques (éthinylestradiol + cyprotérone) ; (12) les microprogestatifs en contraception progestative pure (désogestrel, etonogestrel) ; (13) les progestatifs de contraception d'urgence et implants (lévonorgestrel) ; (14) les progestatifs seuls dérivés 19-nortestostérone (lynestrénol) ; (15) les stéroïdes synthétiques du THS de la ménopause (tibolone) ; (16) les SERM — modulateurs sélectifs des récepteurs aux estrogènes (raloxifène).</w:t>
      </w:r>
    </w:p>
    <w:p>
      <w:pPr>
        <w:pStyle w:val="Heading2"/>
      </w:pPr>
      <w:r>
        <w:t>Sous-classes pharmaco-thérapeutiques</w:t>
      </w:r>
    </w:p>
    <w:p>
      <w:pPr>
        <w:pStyle w:val="Heading3"/>
      </w:pPr>
      <w:r>
        <w:t>1. Estrogènes</w:t>
      </w:r>
    </w:p>
    <w:p>
      <w:r>
        <w:t>Cette sous-classe regroupe l'estradiol (E2), principal estrogène sécrété par l'ovaire, ses esters (valérate d'estradiol) et son métabolite l'estriol (E3). L'estradiol administré par voie orale subit un effet de premier passage hépatique intense, conduisant à la formation d'estrone (E1) et à une stimulation hépatique marquée (augulation de la SHBG, de l'angiotensinogène, des facteurs de coagulation). Cette stimulation hépatique est à l'origine du risque thromboembolique veineux des estrogènes oraux. Les voies transdermiques (patchs, gels) et vaginales (ovules, crèmes) court-circuitent ce premier passage et reproduisent un profil physiologique : rapport E2/E1 normal, moindre impact hépatique, et réduction significative du risque thromboembolique veineux. Les estrogènes sont indiqués dans le traitement hormonal de la ménopause (THS), seul ou en association à un progestatif chez la femme non hystérectomisée, et dans l'atrophie vulvo-vaginale (estriol local). Ils sont strictement contre-indiqués en cas de cancer du sein hormono-dépendant, d'antécédent thromboembolique, d'accident vasculaire cérébral, de métrorragies non expliquées et de grossesse évolutive.</w:t>
      </w:r>
    </w:p>
    <w:p>
      <w:pPr>
        <w:pStyle w:val="Heading3"/>
      </w:pPr>
      <w:r>
        <w:t>2. Progestatifs — Progestérone naturelle</w:t>
      </w:r>
    </w:p>
    <w:p>
      <w:r>
        <w:t>La progestérone naturelle micronisée (Utrogestan, Progeva) est administrable par voie orale (micronisation indispensable pour absorption) ou vaginale (meilleure biodisponibilité, moindre sédation). Elle se fixe aux récepteurs PR-A et PR-B et reproduit l'effet progestatif physiologique : transformation sécrétoire de l'endomètre proliferatif, inhibition de la contractilité utérine, modification de la glaire cervicale. Son profil est remarquable par l'absence d'effets androgéniques ou glucocorticoïdes et par sa tolérance métabolique. La progestérone micronisée est le progestatif de référence du THS chez la femme ménopausée avec utérus intact, en association à l'estradiol. Elle est également utilisée en assistance médicale à la procréation (AMP) par voie vaginale pour soutenir la phase lutéale. Ses principaux effets indésirables sont la somnolence (métabolite allopregnanolone au niveau cérébral, modulateur positif des récepteurs GABA-A) et les troubles digestifs, qui imposent une prise vespérale préférentielle.</w:t>
      </w:r>
    </w:p>
    <w:p>
      <w:pPr>
        <w:pStyle w:val="Heading3"/>
      </w:pPr>
      <w:r>
        <w:t>3. Progestatifs — Dérivés rétroprogestérone</w:t>
      </w:r>
    </w:p>
    <w:p>
      <w:r>
        <w:t>La dydrogestérone (Duphaston, Dydrogyn) est un stéroïde de synthèse rétro-inversé (rétroprogestérone) dérivé de la progestérone naturelle. Sa structure particulière lui confère une affinité sélective pour le récepteur progestatif, sans action androgénique, estrogénique, glucocorticoïde ou anti-androgénique significative. La dydrogestérone ne supprime pas l'ovulation ni l'axe HPO, ce qui en fait un progestatif de choix dans les troubles du cycle associés à l'infertilité (insuffisance lutéale, endométriose, menace d'avortement, FIV). Sa tolérance métabolique est excellente, sans effet délétère sur le lipidogramme ou la coagulation. La dydrogestérone est l'un des rares progestatifs utilisables pendant la grossesse (soutien de phase lutéale dans certains protocoles d'AMP). Elle reste disponible en Algérie sous deux marques (Duphaston importé et Dydrogyn local), à la posologie standard de 10 mg par comprimé.</w:t>
      </w:r>
    </w:p>
    <w:p>
      <w:pPr>
        <w:pStyle w:val="Heading3"/>
      </w:pPr>
      <w:r>
        <w:t>4. Progestatifs — Dérivés 17-OH progestérone</w:t>
      </w:r>
    </w:p>
    <w:p>
      <w:r>
        <w:t>Cette sous-classe inclut l'acétate de medroxyprogestérone (MPA) et l'acétate de chlormadinone. Le MPA (Megestron, Depo-Provera) fut largement utilisé comme contraceptif injectable retard (150 mg IM toutes les 12 semaines) en raison de son efficacité contraceptive proche de 100 % et de son effet antigonadotrope puissant. Il persiste dans la nomenclature algérienne sous forme injectable bien que la forme orale ait été supplantée par les progestatifs de synthèse plus modernes. Le MPA se caractérise par un profil androgénique faible, mais surtout glucocorticoïde (à forte dose), responsable d'une prise de poids, d'une rétention hydrosodée et d'une diminution de la tolérance glucidique. Son utilisation prolongée est associée à une perte de densité minérale osseuse réversible à l'arrêt, ce qui a limité son usage chez l'adolescente. Il reste indiqué dans certaines dysménorrhées, l'endométriose et le cancer du sein métastatique hormonosensible.</w:t>
      </w:r>
    </w:p>
    <w:p>
      <w:pPr>
        <w:pStyle w:val="Heading3"/>
      </w:pPr>
      <w:r>
        <w:t>5. Progestatifs — Dérivés 19-norprogestérone</w:t>
      </w:r>
    </w:p>
    <w:p>
      <w:r>
        <w:t>Cette sous-classe est représentée en Algérie par l'acétate de nomégestrol (Luterol, Lutenyl), dérivé 19-norprogestérone caractérisé par une forte affinité pour le récepteur progestatif, une activité anti-androgénique modérée, et l'absence d'effet estrogénique ou glucocorticoïde significatif. Le nomégestrol est utilisé en gynécologie médicale dans les troubles menstruels (dysménorrhée, syndrome prémenstruel, mastopathie bénigne, métrorragies fonctionnelles, endométriose). Associé à l'estradiol, il a constitué une pilule contraceptive de 4e génération (Zoely, non commercialisée en Algérie). Sa tolérance métabolique est favorable, avec une neutralité sur le plan glucidique et lipidique. Ses principaux effets indésirables sont les spotting, la prise de poids modérée et l'acné paradoxale chez certaines patientes en raison de l'effet anti-androgénique partiel.</w:t>
      </w:r>
    </w:p>
    <w:p>
      <w:pPr>
        <w:pStyle w:val="Heading3"/>
      </w:pPr>
      <w:r>
        <w:t>6. Progestatifs — Dérivés spironolactone</w:t>
      </w:r>
    </w:p>
    <w:p>
      <w:r>
        <w:t>Cette sous-classe est représentée par la drospirénone, analogue synthétique de la spironolactone (17α-spironolactone), possédant à la fois une activité progestative puissante et une activité anti-minéralocorticoïde (anti-aldostérone) responsable d'une diminution de la rétention hydrosodée et d'un effet modeste sur la tension artérielle. La drospirénone est associée à l'éthinylestradiol dans les COC de 4e génération (Jasmine, Yaz, Jasminelle) et à l'estradiol dans un THS moderne (Angeliq). Elle est également disponible seule en microprogestatif (Slinda). Toutefois, la drospirénone ne figure pas dans la nomenclature algérienne récente active, et cette sous-classe n'est pas développée en fiche DCI dans la présente section. Le pharmacien d'officine doit néanmoins connaître cette classe en raison des questions fréquentes des patientes ayant eu accès à ces spécialités à l'étranger, et du sur-risque thromboembolique veineux (1,5 à 2× supérieur aux COC de 2e génération) documenté pour la 4e génération.</w:t>
      </w:r>
    </w:p>
    <w:p>
      <w:pPr>
        <w:pStyle w:val="Heading3"/>
      </w:pPr>
      <w:r>
        <w:t>7. Progestatifs — Dérivés 19-nortestostérone + progestérone</w:t>
      </w:r>
    </w:p>
    <w:p>
      <w:r>
        <w:t>Cette sous-classe, hybride sur le plan structurel, est représentée par le diénogest (Visanne, Dimetrum). Le diénogest combine une origine 19-nortestostérone (qui lui confère habituellement un effet androgénique) avec une modification chimique lui conférant une activité anti-androgénique paradoxale et une affinité marquée pour le récepteur progestatif. Sa particularité pharmacologique est l'inhibition profonde de l'ovulation à dose thérapeutique et l'induction d'une atrophie endométriale puissante, justifiant son indication privilégiée dans l'endométriose pelvienne douloureuse. Le diénogest est administré en continu à la dose de 2 mg par jour, sans interruption cyclique. Sa tolérance métabolique est favorable, avec un impact minimal sur le lipidogramme, mais il s'accompagne fréquemment de spotting prolongé en début de traitement, de prise de poids modeste et de céphalées.</w:t>
      </w:r>
    </w:p>
    <w:p>
      <w:pPr>
        <w:pStyle w:val="Heading3"/>
      </w:pPr>
      <w:r>
        <w:t>8. Contraceptifs oraux combinés — 2e génération</w:t>
      </w:r>
    </w:p>
    <w:p>
      <w:r>
        <w:t>Cette sous-classe est représentée par l'association éthinylestradiol (EE) 30 µg + lévonorgestrel (LNG) 150 µg, le prototype de la pilule estroprogestative de 2e génération. Le lévonorgestrel, dérivé 19-nortestostérone, est l'un des progestatifs les plus anciens et les mieux évalués sur le plan de la sécurité thromboembolique veineuse (risque relatif de l'ordre de 2 à 4 par rapport aux non-utilisatrices, le plus faible des COC). Les spécialités algériennes incluent Microgynon, Minidril, Stediril (forte dose historique), et plusieurs marques génériques (Adepal, Eval, Trigestrel, etc.) — certaines en biphasique ou triphasique. La prescription privilégie désormais les formulations monophasiques standardisées (21 comprimés actifs + 7 jours d'arrêt ou 7 comprimés placebo). Les COC de 2e génération restent le choix de première intention chez la femme sans facteur de risque thromboembolique, en raison de leur balance bénéfice-risque favorable et de leur coût modeste.</w:t>
      </w:r>
    </w:p>
    <w:p>
      <w:pPr>
        <w:pStyle w:val="Heading3"/>
      </w:pPr>
      <w:r>
        <w:t>9. Contraceptifs oraux combinés — 3e génération</w:t>
      </w:r>
    </w:p>
    <w:p>
      <w:r>
        <w:t>Cette sous-classe regroupe les associations d'éthinylestradiol avec le désogestrel ou le gestodène, progestatifs de synthèse mis au marché dans les années 1990. Ces molécules présentent une plus grande affinité pour le récepteur progestatif et une moindre activité androgénique que le lévonorgestrel, justifiant leur promotion initiale pour une meilleure tolérance cutanée (acné, séborrhée) et métabolique. Toutefois, plusieurs études épidémiologiques ont mis en évidence un sur-risque thromboembolique veineux (risque relatif 1,5 à 2,3 par rapport à la 2e génération), conduisant l'ANSM et l'EMA à restreindre leur prescription après échec ou intolérance à une 2e génération. Les spécialités algériennes actives incluent des associations EE + désogestrel (Mercilon, Gracial) et EE + gestodène (Meliane, ElLeane). Le pharmacien doit savoir expliquer à la patiente la différence de génération et l'importance de ne pas modifier la prescription sans avis médical.</w:t>
      </w:r>
    </w:p>
    <w:p>
      <w:pPr>
        <w:pStyle w:val="Heading3"/>
      </w:pPr>
      <w:r>
        <w:t>10. Contraceptifs oraux combinés — 4e génération</w:t>
      </w:r>
    </w:p>
    <w:p>
      <w:r>
        <w:t>Cette sous-classe inclut les associations d'éthinylestradiol avec la drospirénone (Jasmine, Yaz, Jasminelle) et avec le chlormadinone (Belara) ou le diénogest. La drospirénone, dérivée de la spironolactone, présente une activité anti-minéralocorticoïde qui réduit la rétention hydrosodée et améliore la tolérance cutanée. Le sur-risque thromboembolique veineux est toutefois significatif (RR ~1,5 à 2 vs 2e génération), et plusieurs études ont suscité un débat médiatico-scientifique intense. En Algérie, aucune spécialité de 4e génération n'est actuellement active dans la nomenclature. Cette sous-classe n'est donc pas développée en fiche DCI dans la présente section. Le pharmacien doit néanmoins pouvoir informer les patientes exposées à l'étranger sur les précautions d'usage et signaler toute prescription non conforme aux recommandations nationales.</w:t>
      </w:r>
    </w:p>
    <w:p>
      <w:pPr>
        <w:pStyle w:val="Heading3"/>
      </w:pPr>
      <w:r>
        <w:t>11. Contraceptifs oraux combinés — Anti-androgènes</w:t>
      </w:r>
    </w:p>
    <w:p>
      <w:r>
        <w:t>Cette sous-classe est représentée par l'association éthinylestradiol (35 µg) + acétate de cyprotérone (2 mg), connue sous les marques Diane 35, Holgyeme, Lumalia ( retirée). Initialement développée comme contraception orale, cette association a vu son AMM européenne restreinte à un usage de deuxième intention dans l'acné modérée à sévère, l'hirsutisme léger à modéré et la séborrhée, chez la femme en âge de procréer. En raison du sur-risque thromboembolique veineux (RR ~4 à 10 vs non utilisatrices, supérieur à celui des COC classiques), la prescription doit être brève (3 à 6 mois d'évaluation) et suspendue dès amélioration. L'arrêt de commercialisation de Diane 35 en France en 2013 (puis remise sur le marché avec restriction) et le statut « non renouvelable » en Algérie doivent alerter le pharmacien sur la nécessité d'un avis médical spécialisé avant toute délivrance ou renouvellement.</w:t>
      </w:r>
    </w:p>
    <w:p>
      <w:pPr>
        <w:pStyle w:val="Heading3"/>
      </w:pPr>
      <w:r>
        <w:t>12. Progestatifs seuls — Microprogestatifs (contraception progestative pure)</w:t>
      </w:r>
    </w:p>
    <w:p>
      <w:r>
        <w:t>Cette sous-classe regroupe les contraceptifs progestatifs seuls administrés en continu, sans interruption cyclique. Le désogestrel (Cerazette, Desirett, Desonette, Antigone — forme orale 75 µg/jour) est métabolisé en etonogestrel, métabolite actif ayant une demi-vie de 30 heures. L'etonogestrel est également disponible sous forme d'implant sous-cutané (Implanon NXT, 68 mg, libération continue pendant 3 ans). Le mécanisme d'action principal du désogestrel à dose contraceptive est l'inhibition de l'ovulation (97 % des cycles) et la modification de la glaire cervicale. Les microprogestatifs sont particulièrement indiqués chez la femme ayant une contre-indication aux estrogènes (allaitement, tabagisme &gt; 35 ans, migraine avec aura, hypertension, antécédent thromboembolique veineux contre-indiquant les COC). Leurs principaux effets indésirables sont les spotting irréguliers (très fréquents en début de traitement), l'aménorrhée ( fréquente au long cours) et les kystes ovariens fonctionnels bénins.</w:t>
      </w:r>
    </w:p>
    <w:p>
      <w:pPr>
        <w:pStyle w:val="Heading3"/>
      </w:pPr>
      <w:r>
        <w:t>13. Progestatifs — Contraception d'urgence et implants</w:t>
      </w:r>
    </w:p>
    <w:p>
      <w:r>
        <w:t>Cette sous-classe est dominée par le lévonorgestrel (LNG), progestatif de synthèse utilisé à forte dose unique (1,5 mg) comme contraception d'urgence dite « du lendemain » (NorLevo, Pregnon, Tnogyn). Administré idéalement dans les 72 heures (idéalement 24 heures) après un rapport sexuel non ou mal protégé, le LNG agit principalement en retardant ou en inhibant l'ovulation (efficacité diminuée après le pic de LH). Il n'est pas abortif et n'inhibe pas la nidation d'un œuf déjà fécondé. Le LNG est également utilisé à faible dose (30 µg/jour) en microprogestatif oral (Microval, Hyan) et à forte dose dans le SIU au lévonorgestrel (Mirena 52 mg, libération 20 µg/24h pendant 5 ans) qui combine effet contraceptif local (glaire, endomètre) et action thérapeutique (ménorragies, dysménorrhée, endométriose, protection endométrale sous THS). L'implant à 3 ans et le SIU à 5 ans appartiennent aux contraceptions LARC (Long Acting Reversible Contraception) recommandées par l'OMS.</w:t>
      </w:r>
    </w:p>
    <w:p>
      <w:pPr>
        <w:pStyle w:val="Heading3"/>
      </w:pPr>
      <w:r>
        <w:t>14. Progestatifs seuls — 19-nortestostérone</w:t>
      </w:r>
    </w:p>
    <w:p>
      <w:r>
        <w:t>Cette sous-classe ancienne est représentée par le lynestrénol (Orgametril 5 mg). Le lynestrénol est un progestatif de synthèse dérivé de la 19-nortestostérone, métabolisé en norgestrel actif. Il possède une activité progestative puissante et une activité estrogénique résiduelle. Historiquement utilisé comme contraceptif progestatif pur à faibles doses (Exluton 0,5 mg/jour, retiré en Algérie), il est aujourd'hui indiqué dans le traitement des troubles menstruels (dysménorrhée, mastopathie, endométriose, syndrome prémenstruel) à la dose de 5 à 10 mg par jour. Sa tolérance est marquée par les effets androgéniques (acné, séborrhée, prise de poids) et par le risque d'effets estrogéniques (rétention hydrosodée). La spécialité Orgametril 5 mg reste active en Algérie, et représente une option thérapeutique de seconde ligne dans certaines indications gynécologiques.</w:t>
      </w:r>
    </w:p>
    <w:p>
      <w:pPr>
        <w:pStyle w:val="Heading3"/>
      </w:pPr>
      <w:r>
        <w:t>15. THS ménopause — Stéroïdes synthétiques</w:t>
      </w:r>
    </w:p>
    <w:p>
      <w:r>
        <w:t>Cette sous-classe est représentée par la tibolone (Livial 2,5 mg), stéroïde de synthèse à activité mixte (estrogénique, progestative et androgénique faible). La tibolone est un prodrogue dont les métabolites (3α-hydroxytibolone, 3β-hydroxytibolone, isomère Δ4) exercent une activité tissu-spécifique de type SERM : effet estrogénique sur l'os et le vagin, effet progestatif sur l'endomètre (sans nécessité d'association à un progestatif séparé), effet androgénique faible (amélioration de la libido). Cette spécificité en fait une alternative au THS classique chez la femme ménopausée avec utérus intact. Sa tolérance se distingue par un moindre risque de mastodynie et de saignements, mais le risque thromboembolique veineux et le risque d'AVC sont comparables voire majorés par rapport au THS classique (étude LIFT). Le statut « non renouvelable » en Algérie doit alerter le pharmacien sur la disponibilité effective de cette spécialité.</w:t>
      </w:r>
    </w:p>
    <w:p>
      <w:pPr>
        <w:pStyle w:val="Heading3"/>
      </w:pPr>
      <w:r>
        <w:t>16. SERM — Modulateurs sélectifs des récepteurs aux estrogènes</w:t>
      </w:r>
    </w:p>
    <w:p>
      <w:r>
        <w:t>Cette sous-classe est représentée par le raloxifène (EvifEN 60 mg, Evista), SERM de 2e génération (benzothiophène). Le raloxifène exerce un effet agoniste partiel sur les récepteurs ER au niveau osseux (diminution de la résorption ostéoclastique via l'inhibition de RANKL), un effet agoniste au niveau du foie (modification du profil lipidique favorable), mais un effet antagoniste au niveau mammaire et utérin (pas de stimulation endométriale, pas d'augmentation du risque de cancer du sein). Il est indiqué dans le traitement et la prévention de l'ostéoporose post-ménopausique et dans la réduction du risque de cancer du sein invasif chez la femme ménopausée à haut risque. Ses principaux effets indésirables sont les bouffées de chaleur (par antagonisme estrogénique central), les crampes des membres inférieurs et surtout le sur-risque thromboembolique veineux (RR ~3 vs non-utilisatrices), similaire à celui des estrogènes oraux. La prescription du raloxifène impose les mêmes précautions thromboemboliques que pour le THS.</w:t>
      </w:r>
    </w:p>
    <w:p>
      <w:pPr>
        <w:pStyle w:val="Heading2"/>
      </w:pPr>
      <w:r>
        <w:t>Fiches DCI détaillées</w:t>
      </w:r>
    </w:p>
    <w:p>
      <w:pPr>
        <w:pStyle w:val="Heading3"/>
      </w:pPr>
      <w:r>
        <w:t>1. DCI : Estradiol (et estriol, valérate) (Seule et en association)</w:t>
      </w:r>
    </w:p>
    <w:p>
      <w:r/>
      <w:r>
        <w:rPr>
          <w:b/>
        </w:rPr>
        <w:t>Liste des Catégories :</w:t>
      </w:r>
      <w:r>
        <w:t xml:space="preserve"> Estrogènes — THS de la ménopause ; Liste I et II selon spécialité.</w:t>
      </w:r>
    </w:p>
    <w:p>
      <w:r>
        <w:t>L'estradiol administré par voie orale subit un effet de premier passage hépatique intense qui le convertit en grande partie en estrone (E1), avec une biodisponibilité de l'ordre de 5 % et une stimulation hépatique marquée (augmentation de la SHBG, de l'angiotensinogène, des facteurs de coagulation vitamine K-dépendants). Cette stimulation hépatique est responsable du risque thromboembolique veineux (RR ~3-4 vs non-utilisatrices) des estrogènes oraux. Les voies transdermiques (patchs, gels) court-circuitent ce premier passage et reproduisent un profil physiologique E2/E1 proche de 1, avec moindre impact hépatique. Le valérate d'estradiol est un ester prodrogue à libération prolongée. L'estriol, estrogène faible à action locale prédominante (vagin, vulve, bas appareil urinaire), est utilisé en formulation vaginale (crème, ovules) pour l'atrophie vulvo-vaginale post-ménopausique et les cystites récidivantes de la femme âgée.</w:t>
      </w:r>
    </w:p>
    <w:p>
      <w:r/>
      <w:r>
        <w:rPr>
          <w:b/>
        </w:rPr>
        <w:t>Médicaments disponibles en Algérie (Marques, Laboratoires, Formes et Dosages) :</w:t>
      </w:r>
      <w:r/>
    </w:p>
    <w:p>
      <w:pPr>
        <w:pStyle w:val="ListBullet"/>
      </w:pPr>
      <w:r/>
      <w:r>
        <w:rPr>
          <w:b/>
        </w:rPr>
        <w:t>PROGYNOVA 21</w:t>
      </w:r>
      <w:r>
        <w:t xml:space="preserve"> (BAYER AG)</w:t>
      </w:r>
    </w:p>
    <w:p>
      <w:pPr>
        <w:pStyle w:val="ListBullet"/>
      </w:pPr>
      <w:r>
        <w:t>Formes et Dosages : comprimé enrobé 2 mg (valérate d'estradiol)</w:t>
      </w:r>
    </w:p>
    <w:p>
      <w:pPr>
        <w:pStyle w:val="ListBullet"/>
      </w:pPr>
      <w:r>
        <w:t>Statut : Actif</w:t>
      </w:r>
    </w:p>
    <w:p>
      <w:pPr>
        <w:pStyle w:val="ListBullet"/>
      </w:pPr>
      <w:r/>
      <w:r>
        <w:rPr>
          <w:b/>
        </w:rPr>
        <w:t>OVESTIN</w:t>
      </w:r>
      <w:r>
        <w:t xml:space="preserve"> (ASPEN PHARMACARE AUSTRALIA PTY LTD)</w:t>
      </w:r>
    </w:p>
    <w:p>
      <w:pPr>
        <w:pStyle w:val="ListBullet"/>
      </w:pPr>
      <w:r>
        <w:t>Formes et Dosages : comprimé 1 mg (estriol)</w:t>
      </w:r>
    </w:p>
    <w:p>
      <w:pPr>
        <w:pStyle w:val="ListBullet"/>
      </w:pPr>
      <w:r>
        <w:t>Statut : Actif</w:t>
      </w:r>
    </w:p>
    <w:p>
      <w:pPr>
        <w:pStyle w:val="ListBullet"/>
      </w:pPr>
      <w:r/>
      <w:r>
        <w:rPr>
          <w:b/>
        </w:rPr>
        <w:t>OVESTIN</w:t>
      </w:r>
      <w:r>
        <w:t xml:space="preserve"> (ASPEN PHARMA SCHWEIZ GMBH)</w:t>
      </w:r>
    </w:p>
    <w:p>
      <w:pPr>
        <w:pStyle w:val="ListBullet"/>
      </w:pPr>
      <w:r>
        <w:t>Formes et Dosages : ovule 0,5 mg (estriol)</w:t>
      </w:r>
    </w:p>
    <w:p>
      <w:pPr>
        <w:pStyle w:val="ListBullet"/>
      </w:pPr>
      <w:r>
        <w:t>Statut : Actif</w:t>
      </w:r>
    </w:p>
    <w:p>
      <w:pPr>
        <w:pStyle w:val="ListBullet"/>
      </w:pPr>
      <w:r/>
      <w:r>
        <w:rPr>
          <w:b/>
        </w:rPr>
        <w:t>CLIMASTON</w:t>
      </w:r>
      <w:r>
        <w:t xml:space="preserve"> (ABBOTT B.V)</w:t>
      </w:r>
    </w:p>
    <w:p>
      <w:pPr>
        <w:pStyle w:val="ListBullet"/>
      </w:pPr>
      <w:r>
        <w:t>Formes et Dosages : comprimé pelliculé 1 mg/10 mg (estradiol + didrogésterone, association séquentielle continue)</w:t>
      </w:r>
    </w:p>
    <w:p>
      <w:pPr>
        <w:pStyle w:val="ListBullet"/>
      </w:pPr>
      <w:r>
        <w:t>Statut : Actif</w:t>
      </w:r>
    </w:p>
    <w:p>
      <w:pPr>
        <w:pStyle w:val="ListBullet"/>
      </w:pPr>
      <w:r/>
      <w:r>
        <w:rPr>
          <w:b/>
        </w:rPr>
        <w:t>OESTRODOSE</w:t>
      </w:r>
      <w:r>
        <w:t xml:space="preserve"> (BESINS INTERNATIONAL)</w:t>
      </w:r>
    </w:p>
    <w:p>
      <w:pPr>
        <w:pStyle w:val="ListBullet"/>
      </w:pPr>
      <w:r>
        <w:t>Formes et Dosages : gel pour application cutanée en flacon 60 mg/100 g, flacon pompe doseuse 64 doses</w:t>
      </w:r>
    </w:p>
    <w:p>
      <w:pPr>
        <w:pStyle w:val="ListBullet"/>
      </w:pPr>
      <w:r>
        <w:t>Statut : Non Renouvelable</w:t>
      </w:r>
    </w:p>
    <w:p>
      <w:pPr>
        <w:pStyle w:val="ListBullet"/>
      </w:pPr>
      <w:r/>
      <w:r>
        <w:rPr>
          <w:b/>
        </w:rPr>
        <w:t>DERMESTRIL</w:t>
      </w:r>
      <w:r>
        <w:t xml:space="preserve"> (SANOFI WINTHROP)</w:t>
      </w:r>
    </w:p>
    <w:p>
      <w:pPr>
        <w:pStyle w:val="ListBullet"/>
      </w:pPr>
      <w:r>
        <w:t>Formes et Dosages : patch 25 µg/24 h et 50 µg/24 h</w:t>
      </w:r>
    </w:p>
    <w:p>
      <w:pPr>
        <w:pStyle w:val="ListBullet"/>
      </w:pPr>
      <w:r>
        <w:t>Statut : Non Renouvelable (25 µg) et Retiré (R) (50 µg)</w:t>
      </w:r>
    </w:p>
    <w:p>
      <w:pPr>
        <w:pStyle w:val="ListBullet"/>
      </w:pPr>
      <w:r/>
      <w:r>
        <w:rPr>
          <w:b/>
        </w:rPr>
        <w:t>OVESTIN</w:t>
      </w:r>
      <w:r>
        <w:t xml:space="preserve"> (ORGANON, ex AKZO NOBEL)</w:t>
      </w:r>
    </w:p>
    <w:p>
      <w:pPr>
        <w:pStyle w:val="ListBullet"/>
      </w:pPr>
      <w:r>
        <w:t>Formes et Dosages : comprimé sécable 1 mg</w:t>
      </w:r>
    </w:p>
    <w:p>
      <w:pPr>
        <w:pStyle w:val="ListBullet"/>
      </w:pPr>
      <w:r>
        <w:t>Statut : Non Renouvelable</w:t>
      </w:r>
    </w:p>
    <w:p>
      <w:pPr>
        <w:pStyle w:val="ListBullet"/>
      </w:pPr>
      <w:r/>
      <w:r>
        <w:rPr>
          <w:b/>
        </w:rPr>
        <w:t>CLIMASTON</w:t>
      </w:r>
      <w:r>
        <w:t xml:space="preserve"> (SOLVAY PHARMA)</w:t>
      </w:r>
    </w:p>
    <w:p>
      <w:pPr>
        <w:pStyle w:val="ListBullet"/>
      </w:pPr>
      <w:r>
        <w:t>Formes et Dosages : comprimé pelliculé 2 mg/10 mg et 1 mg/5 mg (association estradiol + dydrogestérone)</w:t>
      </w:r>
    </w:p>
    <w:p>
      <w:pPr>
        <w:pStyle w:val="ListBullet"/>
      </w:pPr>
      <w:r>
        <w:t>Statut : Non Renouvelable</w:t>
      </w:r>
    </w:p>
    <w:p>
      <w:pPr>
        <w:pStyle w:val="ListBullet"/>
      </w:pPr>
      <w:r/>
      <w:r>
        <w:rPr>
          <w:b/>
        </w:rPr>
        <w:t>CLIMENE</w:t>
      </w:r>
      <w:r>
        <w:t xml:space="preserve"> (SCHERING SA)</w:t>
      </w:r>
    </w:p>
    <w:p>
      <w:pPr>
        <w:pStyle w:val="ListBullet"/>
      </w:pPr>
      <w:r>
        <w:t>Formes et Dosages : comprimé pelliculé 2 mg/1 mg (valérate d'estradiol + cyprotérone)</w:t>
      </w:r>
    </w:p>
    <w:p>
      <w:pPr>
        <w:pStyle w:val="ListBullet"/>
      </w:pPr>
      <w:r>
        <w:t>Statut : Non Renouvelable</w:t>
      </w:r>
    </w:p>
    <w:p>
      <w:pPr>
        <w:pStyle w:val="ListBullet"/>
      </w:pPr>
      <w:r/>
      <w:r>
        <w:rPr>
          <w:b/>
        </w:rPr>
        <w:t>ESTRADERM TTS 25</w:t>
      </w:r>
      <w:r>
        <w:t xml:space="preserve"> (NOVARTIS PHARMA S.A.)</w:t>
      </w:r>
    </w:p>
    <w:p>
      <w:pPr>
        <w:pStyle w:val="ListBullet"/>
      </w:pPr>
      <w:r>
        <w:t>Formes et Dosages : patch 2 mg (libération 25 µg/24 h)</w:t>
      </w:r>
    </w:p>
    <w:p>
      <w:pPr>
        <w:pStyle w:val="ListBullet"/>
      </w:pPr>
      <w:r>
        <w:t>Statut : Retiré (R)</w:t>
      </w:r>
    </w:p>
    <w:p>
      <w:pPr>
        <w:pStyle w:val="ListBullet"/>
      </w:pPr>
      <w:r/>
      <w:r>
        <w:rPr>
          <w:b/>
        </w:rPr>
        <w:t>ESTRADERM TTS 50</w:t>
      </w:r>
      <w:r>
        <w:t xml:space="preserve"> (NOVARTIS PHARMA S.A.)</w:t>
      </w:r>
    </w:p>
    <w:p>
      <w:pPr>
        <w:pStyle w:val="ListBullet"/>
      </w:pPr>
      <w:r>
        <w:t>Formes et Dosages : patch 4 mg (libération 50 µg/24 h)</w:t>
      </w:r>
    </w:p>
    <w:p>
      <w:pPr>
        <w:pStyle w:val="ListBullet"/>
      </w:pPr>
      <w:r>
        <w:t>Statut : Retiré (R)</w:t>
      </w:r>
    </w:p>
    <w:p>
      <w:pPr>
        <w:pStyle w:val="ListBullet"/>
      </w:pPr>
      <w:r/>
      <w:r>
        <w:rPr>
          <w:b/>
        </w:rPr>
        <w:t>ESTROFEM</w:t>
      </w:r>
      <w:r>
        <w:t xml:space="preserve"> (NOVO NORDISK)</w:t>
      </w:r>
    </w:p>
    <w:p>
      <w:pPr>
        <w:pStyle w:val="ListBullet"/>
      </w:pPr>
      <w:r>
        <w:t>Formes et Dosages : comprimé 2 mg (estradiol)</w:t>
      </w:r>
    </w:p>
    <w:p>
      <w:pPr>
        <w:pStyle w:val="ListBullet"/>
      </w:pPr>
      <w:r>
        <w:t>Statut : Retiré (R)</w:t>
      </w:r>
    </w:p>
    <w:p>
      <w:pPr>
        <w:pStyle w:val="ListBullet"/>
      </w:pPr>
      <w:r/>
      <w:r>
        <w:rPr>
          <w:b/>
        </w:rPr>
        <w:t>OROMONE</w:t>
      </w:r>
      <w:r>
        <w:t xml:space="preserve"> (SOLVAY PHARMA)</w:t>
      </w:r>
    </w:p>
    <w:p>
      <w:pPr>
        <w:pStyle w:val="ListBullet"/>
      </w:pPr>
      <w:r>
        <w:t>Formes et Dosages : comprimé pelliculé 2 mg (estradiol)</w:t>
      </w:r>
    </w:p>
    <w:p>
      <w:pPr>
        <w:pStyle w:val="ListBullet"/>
      </w:pPr>
      <w:r>
        <w:t>Statut : Retiré (R)</w:t>
      </w:r>
    </w:p>
    <w:p>
      <w:pPr>
        <w:pStyle w:val="ListBullet"/>
      </w:pPr>
      <w:r/>
      <w:r>
        <w:rPr>
          <w:b/>
        </w:rPr>
        <w:t>ESTREVA</w:t>
      </w:r>
      <w:r>
        <w:t xml:space="preserve"> (THERAMEX)</w:t>
      </w:r>
    </w:p>
    <w:p>
      <w:pPr>
        <w:pStyle w:val="ListBullet"/>
      </w:pPr>
      <w:r>
        <w:t>Formes et Dosages : comprimé 1,5 mg ; gel transdermique flacon pompe 50 g</w:t>
      </w:r>
    </w:p>
    <w:p>
      <w:pPr>
        <w:pStyle w:val="ListBullet"/>
      </w:pPr>
      <w:r>
        <w:t>Statut : Retiré (R)</w:t>
      </w:r>
    </w:p>
    <w:p>
      <w:pPr>
        <w:pStyle w:val="ListBullet"/>
      </w:pPr>
      <w:r/>
      <w:r>
        <w:rPr>
          <w:b/>
        </w:rPr>
        <w:t>PROGYNOVA 1</w:t>
      </w:r>
      <w:r>
        <w:t xml:space="preserve"> (SCHERING SA)</w:t>
      </w:r>
    </w:p>
    <w:p>
      <w:pPr>
        <w:pStyle w:val="ListBullet"/>
      </w:pPr>
      <w:r>
        <w:t>Formes et Dosages : comprimé enrobé 1 mg (valérate d'estradiol)</w:t>
      </w:r>
    </w:p>
    <w:p>
      <w:pPr>
        <w:pStyle w:val="ListBullet"/>
      </w:pPr>
      <w:r>
        <w:t>Statut : Retiré (R)</w:t>
      </w:r>
    </w:p>
    <w:p>
      <w:pPr>
        <w:pStyle w:val="ListBullet"/>
      </w:pPr>
      <w:r/>
      <w:r>
        <w:rPr>
          <w:b/>
        </w:rPr>
        <w:t>ESTRAPATCH 40, 60, 80</w:t>
      </w:r>
      <w:r>
        <w:t xml:space="preserve"> (PIERRE FABRE MEDICAMENT)</w:t>
      </w:r>
    </w:p>
    <w:p>
      <w:pPr>
        <w:pStyle w:val="ListBullet"/>
      </w:pPr>
      <w:r>
        <w:t>Formes et Dosages : dispositif transdermique (14,30 / 21,40 / 28,50 cm²) libérant 40 / 60 / 80 µg/24 h</w:t>
      </w:r>
    </w:p>
    <w:p>
      <w:pPr>
        <w:pStyle w:val="ListBullet"/>
      </w:pPr>
      <w:r>
        <w:t>Statut : Retiré (R)</w:t>
      </w:r>
    </w:p>
    <w:p>
      <w:pPr>
        <w:pStyle w:val="ListBullet"/>
      </w:pPr>
      <w:r/>
      <w:r>
        <w:rPr>
          <w:b/>
        </w:rPr>
        <w:t>OVESTIN crème vaginale</w:t>
      </w:r>
      <w:r>
        <w:t xml:space="preserve"> (ORGANON)</w:t>
      </w:r>
    </w:p>
    <w:p>
      <w:pPr>
        <w:pStyle w:val="ListBullet"/>
      </w:pPr>
      <w:r>
        <w:t>Formes et Dosages : crème vaginale 1 ‰ (1 mg/g)</w:t>
      </w:r>
    </w:p>
    <w:p>
      <w:pPr>
        <w:pStyle w:val="ListBullet"/>
      </w:pPr>
      <w:r>
        <w:t>Statut : Retiré (R)</w:t>
      </w:r>
    </w:p>
    <w:p>
      <w:pPr>
        <w:pStyle w:val="ListBullet"/>
      </w:pPr>
      <w:r/>
      <w:r>
        <w:rPr>
          <w:b/>
        </w:rPr>
        <w:t>TRISEQUENS</w:t>
      </w:r>
      <w:r>
        <w:t xml:space="preserve"> (NOVO NORDISK)</w:t>
      </w:r>
    </w:p>
    <w:p>
      <w:pPr>
        <w:pStyle w:val="ListBullet"/>
      </w:pPr>
      <w:r>
        <w:t>Formes et Dosages : comprimé 2 mg/1 mg (estradiol + acétate de norethistérone, association séquentielle triphasique)</w:t>
      </w:r>
    </w:p>
    <w:p>
      <w:pPr>
        <w:pStyle w:val="ListBullet"/>
      </w:pPr>
      <w:r>
        <w:t>Statut : Retiré (R)</w:t>
      </w:r>
    </w:p>
    <w:p>
      <w:pPr>
        <w:pStyle w:val="ListBullet"/>
      </w:pPr>
      <w:r/>
      <w:r>
        <w:rPr>
          <w:b/>
        </w:rPr>
        <w:t>DIVINA</w:t>
      </w:r>
      <w:r>
        <w:t xml:space="preserve"> (ORION CORPORATION)</w:t>
      </w:r>
    </w:p>
    <w:p>
      <w:pPr>
        <w:pStyle w:val="ListBullet"/>
      </w:pPr>
      <w:r>
        <w:t>Formes et Dosages : comprimés séquentiels 2 mg / 2 mg + 10 mg (valérate d'estradiol + acétate de medroxyprogestérone)</w:t>
      </w:r>
    </w:p>
    <w:p>
      <w:pPr>
        <w:pStyle w:val="ListBullet"/>
      </w:pPr>
      <w:r>
        <w:t>Statut : Retiré (R)</w:t>
      </w:r>
    </w:p>
    <w:p>
      <w:r/>
      <w:r>
        <w:rPr>
          <w:b/>
        </w:rPr>
        <w:t>Sous-classe et Mécanisme d'action :</w:t>
      </w:r>
      <w:r/>
    </w:p>
    <w:p>
      <w:pPr>
        <w:pStyle w:val="ListBullet"/>
      </w:pPr>
      <w:r>
        <w:t>Sous-classe : estrogènes naturels et esters (estradiol, estriol, valérate d'estradiol) ; molécules de référence du traitement hormonal substitutif de la ménopause.</w:t>
      </w:r>
    </w:p>
    <w:p>
      <w:pPr>
        <w:pStyle w:val="ListBullet"/>
      </w:pPr>
      <w:r>
        <w:t>Mécanisme d'action : l'estradiol traverse la membrane cellulaire par diffusion passive et se fixe aux récepteurs nucléaires ERα (utérus, seins, foie, os) et ERβ (ovaires, prostate, système nerveux central). Le complexe ligand-récepteur subit un changement conformationnel, forme un dimère (homodimère ERα-ERα, ERβ-ERβ, ou hétérodimère) qui se fixe sur les éléments de réponse aux estrogènes (ERE) situés dans la région régulatrice des gènes cibles. Cette fixation recrute des co-activateurs (CBP, SRC-1) ou des co-répresseurs (NCoR, SMRT), modulant la transcription des gènes cibles : gènes de la proliferation cellulaire (cyclines D1, c-myc), gènes de la synthèse protéique hépatique (SHBG, angiotensinogène, facteurs II, VII, IX, X), gènes de la formation osseuse (ostéocalcine, RANKL/OPG), et gènes de la réponse immunitaire. L'estradiol exerce un rétrocontrôle négatif sur la sécrétion de FSH et LH au niveau hypothalamo-hypophysaire (sauf pic pré-ovulatoire où le rétrocontrôle devient positif). Le valérate d'estradiol est hydrolysé par les estérases hépatiques en estradiol actif ; l'estriol a une affinité réduite pour ER mais conserve une action locale prédominante sur l'épithélium vaginal.</w:t>
      </w:r>
    </w:p>
    <w:p>
      <w:r/>
      <w:r>
        <w:rPr>
          <w:b/>
        </w:rPr>
        <w:t>Profil Pharmacologique :</w:t>
      </w:r>
      <w:r/>
    </w:p>
    <w:p>
      <w:pPr>
        <w:pStyle w:val="ListBullet"/>
      </w:pPr>
      <w:r>
        <w:t>Indications : traitement hormonal de substitution de la ménopause (THS) chez la femme présentant des symptômes climatériques invalidants (bouffées de chaleur, sueurs nocturnes, troubles du sommeil, asthénie) ; prévention de l'ostéoporose post-ménopausique en cas d'intolérance ou de contre-indication aux bisphosphonates ; atrophie vulvo-vaginale post-ménopausique (estriol local) ; insuffisance ovarienne primitive ; hypogonadisme féminin ; cancer de la prostate hormonosensible (palliatif, fortes doses) ; dysménorrhée secondaire et syndrome prémenstruel sévère. Le THS doit être initié chez la femme de moins de 60 ans ou dans les 10 ans suivant la ménopause (fenêtre d'opportunité).</w:t>
      </w:r>
    </w:p>
    <w:p>
      <w:pPr>
        <w:pStyle w:val="ListBullet"/>
      </w:pPr>
      <w:r>
        <w:t>Contre-indications : cancer du sein hormono-dépendant présent ou antécédent ; tout autre cancer hormono-dépendant (endomètre, ovaire) ; antécédent ou maladie thromboembolique veineuse en évolution (phlébite, embolie pulmonaire) ; accident vasculaire cérébral ; infarctus du myocarde ou cardiopathie ischémique évolutive ; hépatopathie sévère (cytolyse, cholestase, syndrome de Dubin-Johnson, Rotor) ; porphyrie aiguë ; métrorragies non diagnostiquées ; lupus érythémateux disséminé ; grossesse évolutive (teratogène, avortif) ; allaitement ; hypofertilité non explorée.</w:t>
      </w:r>
    </w:p>
    <w:p>
      <w:pPr>
        <w:pStyle w:val="ListBullet"/>
      </w:pPr>
      <w:r>
        <w:t>Effets Indésirables : risque thromboembolique veineux (RR 3-4 vs non-utilisatrices — risque majoré par voie orale vs transdermique) ; risque d'AVC ischémique (surtout chez la femme hypertendue) ; risque de cancer du sein (augmentation après 5 ans d'utilisation combinée E+P, retour à la normale 5 ans après arrêt) ; risque de cancer de l'endomètre si estrogène seul chez femme non hystérectomisée (impérieuse nécessité d'associer un progestatif ≥ 12 jours/cycle) ; hyperplasie endométriale ; mastodynie, tension mammaire ; métrorragies de spotting ; céphalées, migraines ; nausées, vomissements ; prise de poids modeste ; œdèmes ; troubles de l'humeur ; calculs biliaires (choléstatiques) ; HTA induite ; hypertriglycéridémie ; asthénie ; libidosexuelle perturbée.</w:t>
      </w:r>
    </w:p>
    <w:p>
      <w:r/>
      <w:r>
        <w:rPr>
          <w:b/>
        </w:rPr>
        <w:t>Prévention et Gestion des Effets Indésirables :</w:t>
      </w:r>
      <w:r/>
    </w:p>
    <w:p>
      <w:pPr>
        <w:pStyle w:val="ListBullet"/>
      </w:pPr>
      <w:r>
        <w:t>Mesures Préventives : évaluation pré-thérapeutique du risque thromboembolique ( âge, tabac, IMC, antécédents familiaux, varices, mutation facteur V Leiden si suspicion) ; mesure de la pression artérielle avant initiation puis à 3 mois ; bilan biologique (glycémie, lipidogramme, transaminases, TSH) ; mammographie et examen gynécologique récents (&lt; 1 an) ; choix préférentiel de la voie transdermique chez la femme à risque thromboembolique intermédiaire, hypertendue, hypertriglycéridémique ou obèse ; utilisation de la dose minimale efficace pour la durée la plus courte possible (réévaluation annuelle) ; arrêt du tabac impératif avant initiation.</w:t>
      </w:r>
    </w:p>
    <w:p>
      <w:pPr>
        <w:pStyle w:val="ListBullet"/>
      </w:pPr>
      <w:r>
        <w:t>Conduite à Tenir : arrêt immédiat en cas de douleur thoracique, dyspnée, douleur mollet, céphalées brutales et inhabituelles, troubles visuels transitoires, ictère, prurit, HTA sévère ; consultation médicale en urgence pour suspicion d'événement thromboembolique. Réévaluation annuelle du rapport bénéfice/risque et de la nécessité de poursuivre le THS. Surveillance clinique : examen des seins annuel, mammographie tous les 2 ans, frottis cervico-utérin selon calendrier national, échographie pelvienne si métrorragies.</w:t>
      </w:r>
    </w:p>
    <w:p>
      <w:r/>
      <w:r>
        <w:rPr>
          <w:b/>
        </w:rPr>
        <w:t>Interactions Importantes :</w:t>
      </w:r>
      <w:r/>
    </w:p>
    <w:p>
      <w:pPr>
        <w:pStyle w:val="ListBullet"/>
      </w:pPr>
      <w:r>
        <w:t>Estradiol + inducteurs enzymatiques (rifampicine, rifabutine, phénytoïne, carbamazépine, phénobarbital, oxcarbazépine, topiramate &gt; 200 mg/j, modafinil, névirapine, éfavirenz, griséofulvine, millepertuis) : augmentation du catabolisme de l'estradiol et diminution de l'efficacité (risque d'échec du THS, saignements).</w:t>
      </w:r>
    </w:p>
    <w:p>
      <w:pPr>
        <w:pStyle w:val="ListBullet"/>
      </w:pPr>
      <w:r>
        <w:t>Estradiol + inhibiteurs enzymatiques (kététoconazole, itraconazole, voriconazole, érythromycine, clarithromycine, ritonavir) : augmentation des concentrations plasmatiques d'estradiol.</w:t>
      </w:r>
    </w:p>
    <w:p>
      <w:pPr>
        <w:pStyle w:val="ListBullet"/>
      </w:pPr>
      <w:r>
        <w:t>Estradiol (oral) + anticoagulants oraux (AVK) : potentialisation du métabolisme hépatique des facteurs de coagulation, modification de l'INR — surveillance accrue.</w:t>
      </w:r>
    </w:p>
    <w:p>
      <w:pPr>
        <w:pStyle w:val="ListBullet"/>
      </w:pPr>
      <w:r>
        <w:t>Estradiol + lamotrigine : diminution des concentrations de lamotrigine (induction de la glucuronidation) — risque de rechute convulsive.</w:t>
      </w:r>
    </w:p>
    <w:p>
      <w:r/>
      <w:r>
        <w:rPr>
          <w:b/>
        </w:rPr>
        <w:t>Grossesse et Allaitement :</w:t>
      </w:r>
      <w:r/>
    </w:p>
    <w:p>
      <w:pPr>
        <w:pStyle w:val="ListBullet"/>
      </w:pPr>
      <w:r>
        <w:t>Grossesse : CI absolue (catégorie X FDA). L'estradiol est tératogène à forte dose chez l'animal et associé à un sur-risque de malformations urogénitales (hypospadias) et cardiovasculaires chez le garçon. Arrêt immédiat dès suspicion de grossesse. Selon le CRAT, exposition accidentelle en début de grossesse n'impose pas d'IVG mais justifie une surveillance échographique morphologique.</w:t>
      </w:r>
    </w:p>
    <w:p>
      <w:pPr>
        <w:pStyle w:val="ListBullet"/>
      </w:pPr>
      <w:r>
        <w:t>Allaitement : CI (estrogènes diminuent la production lactée et passent dans le lait). Préférer les progestatifs purs en contraception post-partum chez la femme allaitante.</w:t>
      </w:r>
    </w:p>
    <w:p>
      <w:pPr>
        <w:pStyle w:val="ListBullet"/>
      </w:pPr>
      <w:r>
        <w:t>Précisions : la femme en âge de procréer sous THS doit utiliser une contraception efficace (le THS n'est pas contraceptif), ou bien associer une contraception à visée thérapeutique en cas d'insuffisance ovarienne précoce.</w:t>
      </w:r>
    </w:p>
    <w:p>
      <w:r/>
      <w:r>
        <w:rPr>
          <w:b/>
        </w:rPr>
        <w:t>Posologie et Mode d'administration (Standard) :</w:t>
      </w:r>
      <w:r/>
    </w:p>
    <w:p>
      <w:pPr>
        <w:pStyle w:val="ListBullet"/>
      </w:pPr>
      <w:r>
        <w:t>Adulte (THS chez femme non hystérectomisée) : estradiol oral 1 à 2 mg/jour ; estradiol transdermique 25 à 100 µg/24 h (patch 2 fois/semaine) ou gel 1 à 3 doses/jour ; association séquentielle à un progestatif 12 à 14 jours/cycle (progestérone micronisée 200 mg soir, dydrogestérone 10 mg matin et soir, etc.) ; ou association continue combinée (estrogène + progestatif tous les jours) chez la femme ménopausée confirmée.</w:t>
      </w:r>
    </w:p>
    <w:p>
      <w:pPr>
        <w:pStyle w:val="ListBullet"/>
      </w:pPr>
      <w:r>
        <w:t>Adulte (femme hystérectomisée) : estradiol seul, sans progestatif associé, en continu.</w:t>
      </w:r>
    </w:p>
    <w:p>
      <w:pPr>
        <w:pStyle w:val="ListBullet"/>
      </w:pPr>
      <w:r>
        <w:t>Adulte (atrophie vulvo-vaginale) : estriol crème vaginale 0,5 mg/application, 1 application/jour pendant 2-3 semaines puis 1-2 fois/semaine en entretien ; ovule 0,5 mg, 1/jour pendant 2-3 semaines puis 2 fois/semaine.</w:t>
      </w:r>
    </w:p>
    <w:p>
      <w:pPr>
        <w:pStyle w:val="ListBullet"/>
      </w:pPr>
      <w:r>
        <w:t>Durée : fenêtre d'opportunité du THS — initiation avant 60 ans ou dans les 10 ans suivant la ménopause ; durée la plus courte possible, réévaluation annuelle.</w:t>
      </w:r>
    </w:p>
    <w:p>
      <w:pPr>
        <w:pStyle w:val="ListBullet"/>
      </w:pPr>
      <w:r>
        <w:t>Moment de prise : estradiol oral à heure fixe quotidienne (idéalement le soir si utilisation progestérone associée somnolente) ; patchs changés 2 fois/semaine à jours fixes.</w:t>
      </w:r>
    </w:p>
    <w:p>
      <w:r/>
      <w:r>
        <w:rPr>
          <w:b/>
        </w:rPr>
        <w:t>Arbitrage et Bénéfices des Formes Galéniques :</w:t>
      </w:r>
      <w:r/>
    </w:p>
    <w:p>
      <w:r>
        <w:t>La voie transdermique (patchs, gels) doit être privilégiée chez la femme à risque thromboembolique veineux, hypertendue, obèse, diabétique, dyslipidémique ou fumeuse, en raison de la suppression du premier passage hépatique et de la moindre stimulation des facteurs de coagulation. Les patchs offrent une libération constante mais peuvent provoquer des réactions cutanées locales ; les gels permettent une modulation posologique aisée. La voie orale est acceptable chez la femme sans facteur de risque, plus simple d'observance. La voie vaginale (estriol) est exclusivement réservée à l'atrophie vulvo-vaginale isolée et n'a pas d'effet systémique significatif. Le THS séquentiel (estrogène + progestatif cyclique) est indiqué chez la femme péri-ménopausique ; le THS combiné continu (estrogène + progestatif tous les jours) est indiqué chez la femme ménopausée confirmée (≥ 1 an d'aménorrhée) pour prévenir les saignements de sevrage.</w:t>
      </w:r>
    </w:p>
    <w:p>
      <w:r/>
      <w:r>
        <w:rPr>
          <w:b/>
        </w:rPr>
        <w:t>Instructions et Conseils au Patient :</w:t>
      </w:r>
      <w:r/>
    </w:p>
    <w:p>
      <w:pPr>
        <w:pStyle w:val="ListBullet"/>
      </w:pPr>
      <w:r>
        <w:t>Communication au comptoir : expliquer que le THS n'est pas un traitement de confort mais une thérapeutique à risque, justifiant une prescription médicale stricte et une surveillance ; préciser que le THS ne dispense pas d'une contraception efficace chez la femme péri-ménopausique ; rappeler que la durée de traitement est réévaluée chaque année ; expliquer les signes devant faire arrêter immédiatement le traitement (douleur thoracique, jambe, céphalée brutale) et consulter aux urgences.</w:t>
      </w:r>
    </w:p>
    <w:p>
      <w:pPr>
        <w:pStyle w:val="ListBullet"/>
      </w:pPr>
      <w:r>
        <w:t>Mode d'utilisation pratique : pour les patchs — appliquer sur peau sèche, propre, sans pli, sur tronc ou fesse, changer 2 fois/semaine à jours fixes (ex : lundi matin et jeudi soir) ; éviter le soleil direct sur le patch ; pour les gels — appliquer sur peau sèche (avant-bras, cuisse), ne pas masser, laisser sécher 5 min, ne pas laver pendant 1 heure ; pour les comprimés oraux — prise à heure fixe, à assimiler à un rituel quotidien.</w:t>
      </w:r>
    </w:p>
    <w:p>
      <w:r/>
      <w:r>
        <w:rPr>
          <w:b/>
        </w:rPr>
        <w:t>Notes, Règles d'Or &amp; Pièges au Comptoir :</w:t>
      </w:r>
      <w:r/>
    </w:p>
    <w:p>
      <w:pPr>
        <w:pStyle w:val="ListBullet"/>
      </w:pPr>
      <w:r>
        <w:t>Piège classique : délivrance de THS estrogène seul chez une femme non hystérectomisée (risque majeur de cancer de l'endomètre) — refuser la délivrance et orienter vers le médecin. Vérifier systématiquement l'association à un progestatif.</w:t>
      </w:r>
    </w:p>
    <w:p>
      <w:pPr>
        <w:pStyle w:val="ListBullet"/>
      </w:pPr>
      <w:r>
        <w:t>Piège : prescription d'estrogène oral chez une femme fumeuse &gt; 35 ans ou avec antécédent thromboembolique — contre-indication absolue, refuser la délivrance.</w:t>
      </w:r>
    </w:p>
    <w:p>
      <w:pPr>
        <w:pStyle w:val="ListBullet"/>
      </w:pPr>
      <w:r>
        <w:t>Règle de prise : ne jamais dépasser la dose prescrite ; ne pas « doubler » la prise en cas d'oubli (risque de surdosage estrogénique : nausées, mastodynie, métrorragies).</w:t>
      </w:r>
    </w:p>
    <w:p>
      <w:pPr>
        <w:pStyle w:val="ListBullet"/>
      </w:pPr>
      <w:r>
        <w:t>Préparation et Conservation : comprimés à température &lt; 25 °C, à l'abri de l'humidité ; patchs à conserver à température ambiante, à appliquer immédiatement après ouverture de l'emballage ; gels à conserver à température &lt; 25 °C, flacon pompe à amorcer avant première utilisation.</w:t>
      </w:r>
    </w:p>
    <w:p>
      <w:pPr>
        <w:pStyle w:val="ListBullet"/>
      </w:pPr>
      <w:r>
        <w:t>Piège du surdosage / Substitution : ne pas substituer estradiol par estriol ou valérate d'estradiol sans avis médical (puissance différente) ; ne pas substituer voie orale par voie transdermique sans recalcul posologique (la dose transdermique est 5 à 10× inférieure à la dose orale équivalente).</w:t>
      </w:r>
    </w:p>
    <w:p>
      <w:pPr>
        <w:pStyle w:val="Heading3"/>
      </w:pPr>
      <w:r>
        <w:t>2. DCI : Progestérone (Seule)</w:t>
      </w:r>
    </w:p>
    <w:p>
      <w:r/>
      <w:r>
        <w:rPr>
          <w:b/>
        </w:rPr>
        <w:t>Liste des Catégories :</w:t>
      </w:r>
      <w:r>
        <w:t xml:space="preserve"> Progestatifs — Progestérone naturelle micronisée ; Liste I.</w:t>
      </w:r>
    </w:p>
    <w:p>
      <w:r>
        <w:t>La progestérone naturelle micronisée est administrable par voie orale (micronisation indispensable pour permettre l'absorption intestinale) ou par voie vaginale (meilleure biodisponibilité, moindre sédation). Par voie orale, la biodisponibilité est de l'ordre de 10 % en raison du premier passage hépatique qui transforme une partie de la progestérone en métabolites neuroactifs (allopregnanolone, pregnanolone). Ces métabolites sont responsables de l'effet sédatif central (modulateur allostérique positif des récepteurs GABA-A, analogue des neurostéroïdes endogènes). La voie vaginale évite le premier passage et délivre la progestérone directement à l'utérus (effet utéro-trope privilégié). La demi-vie plasmatique est courte (5 à 20 minutes pour la progestérone native, mais les métabolites persistent plus longtemps), imposant une prise biquotidienne ou une forme à libération prolongée.</w:t>
      </w:r>
    </w:p>
    <w:p>
      <w:r/>
      <w:r>
        <w:rPr>
          <w:b/>
        </w:rPr>
        <w:t>Médicaments disponibles en Algérie (Marques, Laboratoires, Formes et Dosages) :</w:t>
      </w:r>
      <w:r/>
    </w:p>
    <w:p>
      <w:pPr>
        <w:pStyle w:val="ListBullet"/>
      </w:pPr>
      <w:r/>
      <w:r>
        <w:rPr>
          <w:b/>
        </w:rPr>
        <w:t>PROGESTOGEL</w:t>
      </w:r>
      <w:r>
        <w:t xml:space="preserve"> (BESINS INTERNATIONAL)</w:t>
      </w:r>
    </w:p>
    <w:p>
      <w:pPr>
        <w:pStyle w:val="ListBullet"/>
      </w:pPr>
      <w:r>
        <w:t>Formes et Dosages : gel pour application cutanée 1 g % (10 mg/g), tube 80 g</w:t>
      </w:r>
    </w:p>
    <w:p>
      <w:pPr>
        <w:pStyle w:val="ListBullet"/>
      </w:pPr>
      <w:r>
        <w:t>Statut : Actif (progestérone locale pour mastodynie)</w:t>
      </w:r>
    </w:p>
    <w:p>
      <w:pPr>
        <w:pStyle w:val="ListBullet"/>
      </w:pPr>
      <w:r/>
      <w:r>
        <w:rPr>
          <w:b/>
        </w:rPr>
        <w:t>PROGEVA</w:t>
      </w:r>
      <w:r>
        <w:t xml:space="preserve"> (EFFIK)</w:t>
      </w:r>
    </w:p>
    <w:p>
      <w:pPr>
        <w:pStyle w:val="ListBullet"/>
      </w:pPr>
      <w:r>
        <w:t>Formes et Dosages : capsule molle orale et vaginale 100 mg (B/30) et 200 mg (B/15)</w:t>
      </w:r>
    </w:p>
    <w:p>
      <w:pPr>
        <w:pStyle w:val="ListBullet"/>
      </w:pPr>
      <w:r>
        <w:t>Statut : Actif</w:t>
      </w:r>
    </w:p>
    <w:p>
      <w:pPr>
        <w:pStyle w:val="ListBullet"/>
      </w:pPr>
      <w:r/>
      <w:r>
        <w:rPr>
          <w:b/>
        </w:rPr>
        <w:t>EMERIVA UNICORE</w:t>
      </w:r>
      <w:r>
        <w:t xml:space="preserve"> (MAGPHARM)</w:t>
      </w:r>
    </w:p>
    <w:p>
      <w:pPr>
        <w:pStyle w:val="ListBullet"/>
      </w:pPr>
      <w:r>
        <w:t>Formes et Dosages : capsule molle 200 mg (B/15)</w:t>
      </w:r>
    </w:p>
    <w:p>
      <w:pPr>
        <w:pStyle w:val="ListBullet"/>
      </w:pPr>
      <w:r>
        <w:t>Statut : Actif</w:t>
      </w:r>
    </w:p>
    <w:p>
      <w:pPr>
        <w:pStyle w:val="ListBullet"/>
      </w:pPr>
      <w:r/>
      <w:r>
        <w:rPr>
          <w:b/>
        </w:rPr>
        <w:t>UTROGESTAN</w:t>
      </w:r>
      <w:r>
        <w:t xml:space="preserve"> (LABORATOIRES BESINS INTERNATIONAL)</w:t>
      </w:r>
    </w:p>
    <w:p>
      <w:pPr>
        <w:pStyle w:val="ListBullet"/>
      </w:pPr>
      <w:r>
        <w:t>Formes et Dosages : capsule molle orale ou vaginale 200 mg (B/15)</w:t>
      </w:r>
    </w:p>
    <w:p>
      <w:pPr>
        <w:pStyle w:val="ListBullet"/>
      </w:pPr>
      <w:r>
        <w:t>Statut : Actif</w:t>
      </w:r>
    </w:p>
    <w:p>
      <w:pPr>
        <w:pStyle w:val="ListBullet"/>
      </w:pPr>
      <w:r/>
      <w:r>
        <w:rPr>
          <w:b/>
        </w:rPr>
        <w:t>GESTOPHIL</w:t>
      </w:r>
      <w:r>
        <w:t xml:space="preserve"> (PHILADELPHIA PHARMACEUTICALS)</w:t>
      </w:r>
    </w:p>
    <w:p>
      <w:pPr>
        <w:pStyle w:val="ListBullet"/>
      </w:pPr>
      <w:r>
        <w:t>Formes et Dosages : suppositoire vaginal 400 mg (B/15)</w:t>
      </w:r>
    </w:p>
    <w:p>
      <w:pPr>
        <w:pStyle w:val="ListBullet"/>
      </w:pPr>
      <w:r>
        <w:t>Statut : Actif</w:t>
      </w:r>
    </w:p>
    <w:p>
      <w:pPr>
        <w:pStyle w:val="ListBullet"/>
      </w:pPr>
      <w:r/>
      <w:r>
        <w:rPr>
          <w:b/>
        </w:rPr>
        <w:t>PROGESTERONE MYLAN</w:t>
      </w:r>
      <w:r>
        <w:t xml:space="preserve"> (MYLAN SAS)</w:t>
      </w:r>
    </w:p>
    <w:p>
      <w:pPr>
        <w:pStyle w:val="ListBullet"/>
      </w:pPr>
      <w:r>
        <w:t>Formes et Dosages : capsule molle orale ou vaginale 100 mg (B/30)</w:t>
      </w:r>
    </w:p>
    <w:p>
      <w:pPr>
        <w:pStyle w:val="ListBullet"/>
      </w:pPr>
      <w:r>
        <w:t>Statut : Non Renouvelable</w:t>
      </w:r>
    </w:p>
    <w:p>
      <w:pPr>
        <w:pStyle w:val="ListBullet"/>
      </w:pPr>
      <w:r/>
      <w:r>
        <w:rPr>
          <w:b/>
        </w:rPr>
        <w:t>EVAPAUSE</w:t>
      </w:r>
      <w:r>
        <w:t xml:space="preserve"> (PHARMA IVAL)</w:t>
      </w:r>
    </w:p>
    <w:p>
      <w:pPr>
        <w:pStyle w:val="ListBullet"/>
      </w:pPr>
      <w:r>
        <w:t>Formes et Dosages : capsule molle orale ou vaginale 100 mg (B/30)</w:t>
      </w:r>
    </w:p>
    <w:p>
      <w:pPr>
        <w:pStyle w:val="ListBullet"/>
      </w:pPr>
      <w:r>
        <w:t>Statut : Non Renouvelable</w:t>
      </w:r>
    </w:p>
    <w:p>
      <w:pPr>
        <w:pStyle w:val="ListBullet"/>
      </w:pPr>
      <w:r/>
      <w:r>
        <w:rPr>
          <w:b/>
        </w:rPr>
        <w:t>MENAELLE</w:t>
      </w:r>
      <w:r>
        <w:t xml:space="preserve"> (THERAMEX)</w:t>
      </w:r>
    </w:p>
    <w:p>
      <w:pPr>
        <w:pStyle w:val="ListBullet"/>
      </w:pPr>
      <w:r>
        <w:t>Formes et Dosages : capsule molle orale 100 mg (B/30)</w:t>
      </w:r>
    </w:p>
    <w:p>
      <w:pPr>
        <w:pStyle w:val="ListBullet"/>
      </w:pPr>
      <w:r>
        <w:t>Statut : Retiré (R)</w:t>
      </w:r>
    </w:p>
    <w:p>
      <w:pPr>
        <w:pStyle w:val="ListBullet"/>
      </w:pPr>
      <w:r/>
      <w:r>
        <w:rPr>
          <w:b/>
        </w:rPr>
        <w:t>UTROGESTAN</w:t>
      </w:r>
      <w:r>
        <w:t xml:space="preserve"> (BESINS INTERNATIONAL) — ancienne présentation</w:t>
      </w:r>
    </w:p>
    <w:p>
      <w:pPr>
        <w:pStyle w:val="ListBullet"/>
      </w:pPr>
      <w:r>
        <w:t>Formes et Dosages : capsule molle orale et vaginale 100 mg (B/30)</w:t>
      </w:r>
    </w:p>
    <w:p>
      <w:pPr>
        <w:pStyle w:val="ListBullet"/>
      </w:pPr>
      <w:r>
        <w:t>Statut : Retiré (R)</w:t>
      </w:r>
    </w:p>
    <w:p>
      <w:r/>
      <w:r>
        <w:rPr>
          <w:b/>
        </w:rPr>
        <w:t>Sous-classe et Mécanisme d'action :</w:t>
      </w:r>
      <w:r/>
    </w:p>
    <w:p>
      <w:pPr>
        <w:pStyle w:val="ListBullet"/>
      </w:pPr>
      <w:r>
        <w:t>Sous-classe : progestérone naturelle micronisée (et non un dérivé de synthèse) ; molécule de référence pour le THS combiné chez la femme ménopausée avec utérus intact et pour le soutien de phase lutéale en AMP.</w:t>
      </w:r>
    </w:p>
    <w:p>
      <w:pPr>
        <w:pStyle w:val="ListBullet"/>
      </w:pPr>
      <w:r>
        <w:t>Mécanisme d'action : la progestérone se fixe aux récepteurs nucléaires PR-A et PR-B, isoformes issues de l'épissage alternatif du gène *PGR*. PR-B (116 kDa) est l'activateur transcriptionnel principal, exprimé dans les tissus cibles (endomètre, myomètre, sein, cerveau). PR-A (94 kDa) agit comme un inhibiteur transcriptionnel de PR-B et des autres récepteurs stéroïdiens (ER, GR, AR). Le complexe progestérone-PR forme un dimère se fixant sur les éléments de réponse à la progestérone (PRE) de l'ADN. La progestérone transforme l'endomètre proliferatif (sous l'effet des estrogènes) en endomètre sécrétoire, diminue la contractilité du myomètre, épaissit et acidifie la glaire cervicale (effet contraceptif partiel), inhibe la sécrétion de LH (rétrocontrôle négatif hypothalamo-hypophysaire), augmente la température corporelle basale de 0,3-0,5 °C en phase lutéale. Ses métabolites neuroactifs (allopregnanolone) exercent un effet anxiolytique et sédatif par modulation positive des récepteurs GABA-A. Contrairement aux progestatifs de synthèse, la progestérone naturelle n'a pas d'effet androgénique, glucocorticoïde ou anti-androgénique.</w:t>
      </w:r>
    </w:p>
    <w:p>
      <w:r/>
      <w:r>
        <w:rPr>
          <w:b/>
        </w:rPr>
        <w:t>Profil Pharmacologique :</w:t>
      </w:r>
      <w:r/>
    </w:p>
    <w:p>
      <w:pPr>
        <w:pStyle w:val="ListBullet"/>
      </w:pPr>
      <w:r>
        <w:t>Indications : complément progestatif du THS chez la femme ménopausée non hystérectomisée (12 à 14 jours/cycle en séquentiel, ou en continu en combiné) ; soutien de phase lutéale en assistance médicale à la procréation (AMP, FIV, ICSI) à partir du jour de la ponction ovarienne et jusqu'à 12 semaines d'aménorrhée ; insuffisance lutéale et troubles menstruels associés (dysménorrhée, syndrome prémenstruel, mastodynie cyclique) ; menace d'avortement précoce documentée par échographie (corps jaune déficient) ; endométriose pelvienne (alternative au diénogest) ; ménorragies fonctionnelles ; insuffisance ovarienne prématurée avec utérus intact ; contraception (alternative, posologie continue 300 mg/jour — non utilisée en pratique courante en raison d'efficacité modeste et de la somnolence).</w:t>
      </w:r>
    </w:p>
    <w:p>
      <w:pPr>
        <w:pStyle w:val="ListBullet"/>
      </w:pPr>
      <w:r>
        <w:t>Contre-indications : hypersensibilité à la progestérone ou à l'arachide/soja (capsules en huile) ; antécédent de cancer du sein hormono-dépendant (prudence, évaluation spécialisée) ; antécédent de maladie thromboembolique veineuse (prudence — moindre risque que progestatifs de synthèse) ; hépatopathie sévère ; métrorragies non diagnostiquées ; porphyrie.</w:t>
      </w:r>
    </w:p>
    <w:p>
      <w:pPr>
        <w:pStyle w:val="ListBullet"/>
      </w:pPr>
      <w:r>
        <w:t>Effets Indésirables : somnolence (fréquente, dose-dépendante, par métabolite allopregnanolone — impose prise vespérale) ; vertiges, sensations ébrieuses ; asthénie ; céphalées ; nausées, vomissements, diarrhée ; mastodynie transitoire ; spotting, métrorragies ; changement d'humeur (irritabilité, dépression) ; prise de poids modeste ; acné transitoire ; réactions allergiques (rash, prurit, urticaire) ; syndrome prémenstruel majoré ; amenorrhée (en usage continu).</w:t>
      </w:r>
    </w:p>
    <w:p>
      <w:r/>
      <w:r>
        <w:rPr>
          <w:b/>
        </w:rPr>
        <w:t>Prévention et Gestion des Effets Indésirables :</w:t>
      </w:r>
      <w:r/>
    </w:p>
    <w:p>
      <w:pPr>
        <w:pStyle w:val="ListBullet"/>
      </w:pPr>
      <w:r>
        <w:t>Mesures Préventives : pour limiter la somnolence — prise orale vespérale au coucher, ou administration vaginale en cas d'intolérance centrale ; débuter par dose faible (100 mg) et augmenter progressivement ; éviter la conduite automobile ou les tâches dangereuses en début de traitement. Pour limiter les troubles digestifs — prise au cours du repas, surtout le soir.</w:t>
      </w:r>
    </w:p>
    <w:p>
      <w:pPr>
        <w:pStyle w:val="ListBullet"/>
      </w:pPr>
      <w:r>
        <w:t>Conduite à Tenir : en cas de somnolence invalidante, bascule vers la voie vaginale (surtout en AMP, où cette voie est préférée d'emblée) ; en cas de spotting persistant après 3 mois, consulter le gynécologue pour vérification de l'endomètre ; en cas de mastodynie sévère, surdosage possible — diminuer la dose.</w:t>
      </w:r>
    </w:p>
    <w:p>
      <w:r/>
      <w:r>
        <w:rPr>
          <w:b/>
        </w:rPr>
        <w:t>Interactions Importantes :</w:t>
      </w:r>
      <w:r/>
    </w:p>
    <w:p>
      <w:pPr>
        <w:pStyle w:val="ListBullet"/>
      </w:pPr>
      <w:r>
        <w:t>Progestérone + inducteurs enzymatiques (rifampicine, phénytoïne, carbamazépine, phénobarbital, millepertuis) : accélération du catabolisme hépatique et diminution de l'efficacité.</w:t>
      </w:r>
    </w:p>
    <w:p>
      <w:pPr>
        <w:pStyle w:val="ListBullet"/>
      </w:pPr>
      <w:r>
        <w:t>Progestérone (voie orale) + nourriture riche en graisses : augmentation de la biodisponibilité (la progestérone est liposoluble, absorption augmentée par les lipides alimentaires) — prendre de préférence au cours d'un repas du soir.</w:t>
      </w:r>
    </w:p>
    <w:p>
      <w:pPr>
        <w:pStyle w:val="ListBullet"/>
      </w:pPr>
      <w:r>
        <w:t>Progestérone + autres sédatifs (alcool, benzodiazépines, opioïdes, antihistaminiques H1 sédatifs) : potentialisation de la somnolence.</w:t>
      </w:r>
    </w:p>
    <w:p>
      <w:r/>
      <w:r>
        <w:rPr>
          <w:b/>
        </w:rPr>
        <w:t>Grossesse et Allaitement :</w:t>
      </w:r>
      <w:r/>
    </w:p>
    <w:p>
      <w:pPr>
        <w:pStyle w:val="ListBullet"/>
      </w:pPr>
      <w:r>
        <w:t>Grossesse : compatible (catégorie B FDA). La progestérone micronisée est l'un des rares progestatifs autorisés pendant la grossesse, notamment en soutien de phase lutéale en AMP, où son administration se poursuit jusqu'à 8 à 12 semaines d'aménorrhée. Selon le CRAT, la progestérone naturelle micronisée (Utrogestan) est compatible avec la grossesse ; à l'inverse, les progestatifs de synthèse (MPA, lévonorgestrel, diénogest) sont déconseillés ou contre-indiqués.</w:t>
      </w:r>
    </w:p>
    <w:p>
      <w:pPr>
        <w:pStyle w:val="ListBullet"/>
      </w:pPr>
      <w:r>
        <w:t>Allaitement : compatible (la progestérone est l'hormone naturelle de la grossesse et de l'allaitement, faiblement excrétée dans le lait, sans effet délétère sur le nourrisson).</w:t>
      </w:r>
    </w:p>
    <w:p>
      <w:pPr>
        <w:pStyle w:val="ListBullet"/>
      </w:pPr>
      <w:r>
        <w:t>Précisions : en AMP, l'utilisation de la progestérone en soutien de phase lutéale est un standard de soins (recommandations ESHRE 2020) ; la durée standard est jusqu'à 10-12 semaines d'aménorrhée.</w:t>
      </w:r>
    </w:p>
    <w:p>
      <w:r/>
      <w:r>
        <w:rPr>
          <w:b/>
        </w:rPr>
        <w:t>Posologie et Mode d'administration (Standard) :</w:t>
      </w:r>
      <w:r/>
    </w:p>
    <w:p>
      <w:pPr>
        <w:pStyle w:val="ListBullet"/>
      </w:pPr>
      <w:r>
        <w:t>Adulte (THS, séquentiel) : progestérone micronisée 200 mg/jour au coucher pendant 12 à 14 jours par cycle de 28 jours, en association à l'estradiol (per os ou transdermique) administré en continu.</w:t>
      </w:r>
    </w:p>
    <w:p>
      <w:pPr>
        <w:pStyle w:val="ListBullet"/>
      </w:pPr>
      <w:r>
        <w:t>Adulte (THS, combiné continu) : progestérone 100 mg/jour au coucher en continu, associée à l'estradiol en continu.</w:t>
      </w:r>
    </w:p>
    <w:p>
      <w:pPr>
        <w:pStyle w:val="ListBullet"/>
      </w:pPr>
      <w:r>
        <w:t>Adulte (AMP, soutien de phase lutéale) : progestérone micronisée 400 à 600 mg/jour par voie vaginale (en 2 à 3 prises), à partir du jour de la ponction ovarienne, poursuivi jusqu'à 10-12 semaines d'aménorrhée si grossesse.</w:t>
      </w:r>
    </w:p>
    <w:p>
      <w:pPr>
        <w:pStyle w:val="ListBullet"/>
      </w:pPr>
      <w:r>
        <w:t>Adulte (insuffisance lutéale, menace d'avortement) : 200 à 400 mg/jour par voie orale ou vaginale selon tolérance.</w:t>
      </w:r>
    </w:p>
    <w:p>
      <w:pPr>
        <w:pStyle w:val="ListBullet"/>
      </w:pPr>
      <w:r>
        <w:t>Adulte (troubles menstruels, mastodynie, endométriose) : 200 mg/jour au coucher de J17 à J26 du cycle.</w:t>
      </w:r>
    </w:p>
    <w:p>
      <w:pPr>
        <w:pStyle w:val="ListBullet"/>
      </w:pPr>
      <w:r>
        <w:t>Durée : selon indication ; en THS, réévaluation annuelle ; en AMP, jusqu'à 12 SA.</w:t>
      </w:r>
    </w:p>
    <w:p>
      <w:pPr>
        <w:pStyle w:val="ListBullet"/>
      </w:pPr>
      <w:r>
        <w:t>Moment de prise : voie orale — au coucher en raison de la somnolence ; voie vaginale — au coucher, après miction, en décubitus prolongé 10 min pour optimiser l'absorption.</w:t>
      </w:r>
    </w:p>
    <w:p>
      <w:r/>
      <w:r>
        <w:rPr>
          <w:b/>
        </w:rPr>
        <w:t>Arbitrage et Bénéfices des Formes Galéniques :</w:t>
      </w:r>
      <w:r/>
    </w:p>
    <w:p>
      <w:r>
        <w:t>La progestérone micronisée orale (capsule molle en huile d'arachide ou de soja) est la forme la plus pratique mais entraîne une somnolence fréquente et une biodisponibilité orale modeste. La voie vaginale (même capsule, insérée dans le fornix vaginal postérieur) offre une concentration utérine élevée avec moindre effet systémique — particulièrement appropriée en AMP et chez la femme intolérante à la voie orale. Les suppositoires vaginaux 400 mg (Gestophil) sont une alternative dans l'AMP. Le gel transdermique (Progestogel) est réservé à l'application locale mammaire pour mastodynie bénigne cyclique (effet local antiprolactinique et antioestrogénique modéré).</w:t>
      </w:r>
    </w:p>
    <w:p>
      <w:r/>
      <w:r>
        <w:rPr>
          <w:b/>
        </w:rPr>
        <w:t>Instructions et Conseils au Patient :</w:t>
      </w:r>
      <w:r/>
    </w:p>
    <w:p>
      <w:pPr>
        <w:pStyle w:val="ListBullet"/>
      </w:pPr>
      <w:r>
        <w:t>Communication au comptoir : expliquer que la somnolence est normale et transitoire (surtout les premiers jours), prévoir un rituel de prise vespérale ; rassurer sur la compatibilité avec la grossesse (indication AMP) et l'allaitement ; rappeler que la progestérone ne constitue pas une contraception efficace en monothérapie.</w:t>
      </w:r>
    </w:p>
    <w:p>
      <w:pPr>
        <w:pStyle w:val="ListBullet"/>
      </w:pPr>
      <w:r>
        <w:t>Mode d'utilisation pratique : voie orale — avaler la capsule avec un verre d'eau au coucher, idéalement au cours du repas du soir (améliore l'absorption) ; voie vaginale — insérer la capsule profondément dans le vagin au coucher, rester allongée 10 minutes.</w:t>
      </w:r>
    </w:p>
    <w:p>
      <w:r/>
      <w:r>
        <w:rPr>
          <w:b/>
        </w:rPr>
        <w:t>Notes, Règles d'Or &amp; Pièges au Comptoir :</w:t>
      </w:r>
      <w:r/>
    </w:p>
    <w:p>
      <w:pPr>
        <w:pStyle w:val="ListBullet"/>
      </w:pPr>
      <w:r>
        <w:t>Piège classique : oubli de prise &gt; 12 heures — effet progestatif diminué, risque de spotting et de réapparition des symptômes ; ne pas doubler la dose, prendre la dose oubliée si &lt; 12 h sinon attendre la prise suivante.</w:t>
      </w:r>
    </w:p>
    <w:p>
      <w:pPr>
        <w:pStyle w:val="ListBullet"/>
      </w:pPr>
      <w:r>
        <w:t>Piège : prescription de progestérone orale chez la femme conduisant un véhicule ou exerçant une profession de sécurité — préférer voie vaginale ou dydrogestérone (moins sédative).</w:t>
      </w:r>
    </w:p>
    <w:p>
      <w:pPr>
        <w:pStyle w:val="ListBullet"/>
      </w:pPr>
      <w:r>
        <w:t>Règle de prise : régularité horaire stricte pour maintenir un taux plasmatique stable (surtout en AMP).</w:t>
      </w:r>
    </w:p>
    <w:p>
      <w:pPr>
        <w:pStyle w:val="ListBullet"/>
      </w:pPr>
      <w:r>
        <w:t>Préparation et Conservation : capsules à conserver à température &lt; 25 °C, à l'abri de la lumière et de l'humidité ; ne pas congeler (la progestérone cristallise).</w:t>
      </w:r>
    </w:p>
    <w:p>
      <w:pPr>
        <w:pStyle w:val="ListBullet"/>
      </w:pPr>
      <w:r>
        <w:t>Piège du surdosage / Substitution : ne pas substituer progestérone naturelle par progestatif de synthèse sans avis médical (profil de tolérance différent) ; attention aux allergies à l'arachide ou au soja (capsules en huile) — vérifier la composition de l'excipient.</w:t>
      </w:r>
    </w:p>
    <w:p>
      <w:pPr>
        <w:pStyle w:val="Heading3"/>
      </w:pPr>
      <w:r>
        <w:t>3. DCI : Dydrogestérone (Seule)</w:t>
      </w:r>
    </w:p>
    <w:p>
      <w:r/>
      <w:r>
        <w:rPr>
          <w:b/>
        </w:rPr>
        <w:t>Liste des Catégories :</w:t>
      </w:r>
      <w:r>
        <w:t xml:space="preserve"> Progestatifs — Dérivés rétroprogestérone ; Liste I.</w:t>
      </w:r>
    </w:p>
    <w:p>
      <w:r>
        <w:t>La dydrogestérone est un stéroïde de synthèse rétro-inversé (6,7-didéhydroprogestérone, structure « retro ») dérivé de la progestérone naturelle. Sa biodisponibilité orale est de l'ordre de 28 %, avec un métabolisme hépatique principal en DD-CH3 (métabolite actif). Sa demi-vie d'élimination est de 5 à 7 heures, justifiant une administration biquotidienne en pratique clinique. La dydrogestérone ne supprime pas l'ovulation endogène ni l'axe HPO, ce qui la distingue fondamentalement des progestatifs de synthèse antigonadotropes. Elle est ainsi compatible avec la poursuite d'un cycle ovulatoire spontané et avec la grossesse.</w:t>
      </w:r>
    </w:p>
    <w:p>
      <w:r/>
      <w:r>
        <w:rPr>
          <w:b/>
        </w:rPr>
        <w:t>Médicaments disponibles en Algérie (Marques, Laboratoires, Formes et Dosages) :</w:t>
      </w:r>
      <w:r/>
    </w:p>
    <w:p>
      <w:pPr>
        <w:pStyle w:val="ListBullet"/>
      </w:pPr>
      <w:r/>
      <w:r>
        <w:rPr>
          <w:b/>
        </w:rPr>
        <w:t>DUPHASTON</w:t>
      </w:r>
      <w:r>
        <w:t xml:space="preserve"> (ABBOTT B.V)</w:t>
      </w:r>
    </w:p>
    <w:p>
      <w:pPr>
        <w:pStyle w:val="ListBullet"/>
      </w:pPr>
      <w:r>
        <w:t>Formes et Dosages : comprimé pelliculé 10 mg (B/10)</w:t>
      </w:r>
    </w:p>
    <w:p>
      <w:pPr>
        <w:pStyle w:val="ListBullet"/>
      </w:pPr>
      <w:r>
        <w:t>Statut : Actif</w:t>
      </w:r>
    </w:p>
    <w:p>
      <w:pPr>
        <w:pStyle w:val="ListBullet"/>
      </w:pPr>
      <w:r/>
      <w:r>
        <w:rPr>
          <w:b/>
        </w:rPr>
        <w:t>DYDROGYN</w:t>
      </w:r>
      <w:r>
        <w:t xml:space="preserve"> (SPA UNION PHARMACEUITIQUE CONSTANTINOISE PRODUCTION — UPC)</w:t>
      </w:r>
    </w:p>
    <w:p>
      <w:pPr>
        <w:pStyle w:val="ListBullet"/>
      </w:pPr>
      <w:r>
        <w:t>Formes et Dosages : comprimé pelliculé 10 mg (B/10)</w:t>
      </w:r>
    </w:p>
    <w:p>
      <w:pPr>
        <w:pStyle w:val="ListBullet"/>
      </w:pPr>
      <w:r>
        <w:t>Statut : Actif (générique local)</w:t>
      </w:r>
    </w:p>
    <w:p>
      <w:r/>
      <w:r>
        <w:rPr>
          <w:b/>
        </w:rPr>
        <w:t>Sous-classe et Mécanisme d'action :</w:t>
      </w:r>
      <w:r/>
    </w:p>
    <w:p>
      <w:pPr>
        <w:pStyle w:val="ListBullet"/>
      </w:pPr>
      <w:r>
        <w:t>Sous-classe : progestatif de synthèse rétroprogestérone, dérivé de la progestérone naturelle sans activité androgénique, estrogénique, glucocorticoïde ou anti-androgénique significative.</w:t>
      </w:r>
    </w:p>
    <w:p>
      <w:pPr>
        <w:pStyle w:val="ListBullet"/>
      </w:pPr>
      <w:r>
        <w:t>Mécanisme d'action : la dydrogestérone se fixe de manière sélective et puissante au récepteur progestatif PR (PR-A et PR-B), sans interaction notable avec les récepteurs aux androgènes (AR), estrogènes (ER), glucocorticoïdes (GR) ou minéralocorticoïdes (MR). Elle exerce un effet progestatif pur, mimant l'action de la progestérone endogène sur l'endomètre (transformation sécrétoire), le myomètre (relaxation), la glaire cervicale (épaississement), et la glande mammaire (différentiation lobulo-alvéolaire). À la différence des progestatifs antigonadotropes (dérivés 19-nortestostérone, 17-OH progestérone), la dydrogestérone ne supprime pas le pic ovulant de LH ni la sécrétion endogène de progestérone par le corps jaune. Elle n'inhibe pas non plus la stéroïdogenèse ovarienne ni surrénalienne. Cette neutralité vis-à-vis de l'axe HPO en fait le progestatif de choix pour traiter les troubles liés à une insuffisance lutéale sans perturber le cycle ovulatoire spontané, et autorise son emploi pendant la grossesse en soutien de phase lutéale.</w:t>
      </w:r>
    </w:p>
    <w:p>
      <w:r/>
      <w:r>
        <w:rPr>
          <w:b/>
        </w:rPr>
        <w:t>Profil Pharmacologique :</w:t>
      </w:r>
      <w:r/>
    </w:p>
    <w:p>
      <w:pPr>
        <w:pStyle w:val="ListBullet"/>
      </w:pPr>
      <w:r>
        <w:t>Indications : insuffisance lutéale (cycle court, spotting pré-menstruel, infertilité) ; menace d'avortement précoce documentée (corps jaune déficient) ; avortement à répétition (3 fausses couches successives) — protocoles PRISM et PROMISE ; soutien de phase lutéale en AMP (FIV, ICSI) ; endométriose pelvienne (alternative au diénogest) ; dysménorrhée essentielle ; syndrome prémenstruel (SPM) et trouble dysphorique prémenstruel ; mastopathie bénigne douloureuse ; troubles du cycle menstruel (irrégularités, polyménorrhée) ; complément progestatif du THS chez la femme ménopausée avec utérus intact (alternative à la progestérone micronisée, en association à l'estradiol).</w:t>
      </w:r>
    </w:p>
    <w:p>
      <w:pPr>
        <w:pStyle w:val="ListBullet"/>
      </w:pPr>
      <w:r>
        <w:t>Contre-indications : hypersensibilité à la dydrogestérone ; antécédent de maladie thromboembolique veineuse en évolution (prudence — risque moindre que les progestatifs 19-nortestostérone mais non nul) ; hépatopathie sévère (cytolyse, cholestase) ; syndrome de Dubin-Johnson, syndrome de Rotor ; métrorragies non diagnostiquées ; tumeur hormono-dépendante (cancer du sein, cancer de l'endomètre) en évolution.</w:t>
      </w:r>
    </w:p>
    <w:p>
      <w:pPr>
        <w:pStyle w:val="ListBullet"/>
      </w:pPr>
      <w:r>
        <w:t>Effets Indésirables : céphalées (très fréquentes, ~10-15 %) ; nausées, vomissements, douleurs abdominales ; mastodynie transitoire ; spotting, métrorragies (fréquent en début de traitement, surtout en AMP) ; asthénie, somnolence modeste (moindre que progestérone micronisée) ; troubles de l'humeur (irritabilité, dépression) ; rash cutané, prurit, urticaire (rare) ; réactions allergiques (rare, œdème de Quincke) ; prise de poids modeste ; exceptionnels événements thromboemboliques veineux.</w:t>
      </w:r>
    </w:p>
    <w:p>
      <w:r/>
      <w:r>
        <w:rPr>
          <w:b/>
        </w:rPr>
        <w:t>Prévention et Gestion des Effets Indésirables :</w:t>
      </w:r>
      <w:r/>
    </w:p>
    <w:p>
      <w:pPr>
        <w:pStyle w:val="ListBullet"/>
      </w:pPr>
      <w:r>
        <w:t>Mesures Préventives : bilan pré-thérapeutique (interrogatoire, examen gynécologique, échographie pelvienne) ; en cas d'antécédent thromboembolique personnel ou familial, évaluation spécialisée avant initiation ; surveillance clinique des saignements en début de traitement (les spotting sont fréquents mais doivent régresser en 2-3 mois).</w:t>
      </w:r>
    </w:p>
    <w:p>
      <w:pPr>
        <w:pStyle w:val="ListBullet"/>
      </w:pPr>
      <w:r>
        <w:t>Conduite à Tenir : en cas de céphalées persistantes, évaluation de la pression artérielle ; en cas de spotting abondant ou prolongé, consultation gynécologique pour vérification de l'endomètre ; arrêt immédiat en cas de suspicion d'événement thromboembolique (douleur mollet, dyspnée, douleur thoracique).</w:t>
      </w:r>
    </w:p>
    <w:p>
      <w:r/>
      <w:r>
        <w:rPr>
          <w:b/>
        </w:rPr>
        <w:t>Interactions Importantes :</w:t>
      </w:r>
      <w:r/>
    </w:p>
    <w:p>
      <w:pPr>
        <w:pStyle w:val="ListBullet"/>
      </w:pPr>
      <w:r>
        <w:t>Dydrogestérone + inducteurs enzymatiques (rifampicine, phénytoïne, carbamazépine, phénobarbital, millepertuis) : accélération du catabolisme hépatique et diminution de l'efficacité (risque d'échec thérapeutique en AMP, de spotting).</w:t>
      </w:r>
    </w:p>
    <w:p>
      <w:pPr>
        <w:pStyle w:val="ListBullet"/>
      </w:pPr>
      <w:r>
        <w:t>Dydrogestérone + inhibiteurs enzymatiques (kététoconazole, itraconazole, érythromycine, clarithromycine, ritonavir) : augmentation des concentrations plasmatiques.</w:t>
      </w:r>
    </w:p>
    <w:p>
      <w:r/>
      <w:r>
        <w:rPr>
          <w:b/>
        </w:rPr>
        <w:t>Grossesse et Allaitement :</w:t>
      </w:r>
      <w:r/>
    </w:p>
    <w:p>
      <w:pPr>
        <w:pStyle w:val="ListBullet"/>
      </w:pPr>
      <w:r>
        <w:t>Grossesse : compatible (catégorie B FDA). La dydrogestérone est l'un des rares progestatifs autorisés et recommandés pendant la grossesse en soutien de phase lutéale, en menace d'avortement précoce et en avortement à répétition (études PRISM et PROMISE). Selon le CRAT, exposition accidentelle en début de grossesse n'impose pas d'IVG ; à l'inverse, la dydrogestérone est prescrite intentionnellement pour soutenir la grossesse. La prescription se poursuit généralement jusqu'à 12 semaines d'aménorrhée.</w:t>
      </w:r>
    </w:p>
    <w:p>
      <w:pPr>
        <w:pStyle w:val="ListBullet"/>
      </w:pPr>
      <w:r>
        <w:t>Allaitement : compatible (faible passage dans le lait, aucun effet délétère rapporté chez le nourrisson).</w:t>
      </w:r>
    </w:p>
    <w:p>
      <w:pPr>
        <w:pStyle w:val="ListBullet"/>
      </w:pPr>
      <w:r>
        <w:t>Précisions : la dydrogestérone n'a pas d'effet virilisant fœtal (contrairement aux progestatifs androgéniques) et n'interfère pas avec le développement urogénital du fœtus masculin.</w:t>
      </w:r>
    </w:p>
    <w:p>
      <w:r/>
      <w:r>
        <w:rPr>
          <w:b/>
        </w:rPr>
        <w:t>Posologie et Mode d'administration (Standard) :</w:t>
      </w:r>
      <w:r/>
    </w:p>
    <w:p>
      <w:pPr>
        <w:pStyle w:val="ListBullet"/>
      </w:pPr>
      <w:r>
        <w:t>Adulte (insuffisance lutéale, troubles du cycle) : 10 mg matin et soir de J11 à J25 du cycle (ou en continu selon le schéma).</w:t>
      </w:r>
    </w:p>
    <w:p>
      <w:pPr>
        <w:pStyle w:val="ListBullet"/>
      </w:pPr>
      <w:r>
        <w:t>Adulte (menace d'avortement) : 40 mg en charge puis 10 mg toutes les 8 heures (soit 30 mg/jour) jusqu'à régression des symptômes, puis 10 mg 2 fois/jour jusqu'à 12 SA.</w:t>
      </w:r>
    </w:p>
    <w:p>
      <w:pPr>
        <w:pStyle w:val="ListBullet"/>
      </w:pPr>
      <w:r>
        <w:t>Adulte (avortement à répétition) : 10 mg 2 fois/jour jusqu'à 12 SA, puis diminution progressive.</w:t>
      </w:r>
    </w:p>
    <w:p>
      <w:pPr>
        <w:pStyle w:val="ListBullet"/>
      </w:pPr>
      <w:r>
        <w:t>Adulte (AMP, soutien de phase lutéale) : 10 mg 2 à 3 fois/jour à partir du jour de la ponction ovarienne, jusqu'à 12 SA si grossesse.</w:t>
      </w:r>
    </w:p>
    <w:p>
      <w:pPr>
        <w:pStyle w:val="ListBullet"/>
      </w:pPr>
      <w:r>
        <w:t>Adulte (endométriose) : 10 mg 2 à 3 fois/jour en continu (sans interruption cyclique).</w:t>
      </w:r>
    </w:p>
    <w:p>
      <w:pPr>
        <w:pStyle w:val="ListBullet"/>
      </w:pPr>
      <w:r>
        <w:t>Adulte (THS combiné avec estradiol) : 10 mg/jour en continu ou 10 mg 14 jours/cycle selon schéma.</w:t>
      </w:r>
    </w:p>
    <w:p>
      <w:pPr>
        <w:pStyle w:val="ListBullet"/>
      </w:pPr>
      <w:r>
        <w:t>Adulte (SPM sévère) : 10 mg 2 fois/jour de J11 à J25.</w:t>
      </w:r>
    </w:p>
    <w:p>
      <w:pPr>
        <w:pStyle w:val="ListBullet"/>
      </w:pPr>
      <w:r>
        <w:t>Durée : selon indication ; en AMP jusqu'à 12 SA ; en THS réévaluation annuelle ; en endométriose 6 mois minimum.</w:t>
      </w:r>
    </w:p>
    <w:p>
      <w:pPr>
        <w:pStyle w:val="ListBullet"/>
      </w:pPr>
      <w:r>
        <w:t>Moment de prise : à heure fixe (matin et soir), idéalement à distance des repas.</w:t>
      </w:r>
    </w:p>
    <w:p>
      <w:r/>
      <w:r>
        <w:rPr>
          <w:b/>
        </w:rPr>
        <w:t>Arbitrage et Bénéfices des Formes Galéniques :</w:t>
      </w:r>
      <w:r/>
    </w:p>
    <w:p>
      <w:r>
        <w:t>La dydrogestérone est administrée exclusivement par voie orale (comprimé pelliculé 10 mg). Il n'existe pas de forme transdermique, vaginale ou injectable. Cette limitation est compensée par une biodisponibilité orale correcte et une tolérance gastro-intestinale satisfaisante. Le comprimé pelliculé est sécable dans certaines présentations, permettant une modulation posologique. Le générique algérien (Dydrogyn, UPC) est bioéquivalent à la spécialité pionnière (Duphaston) et offre une accessibilité économique supérieure.</w:t>
      </w:r>
    </w:p>
    <w:p>
      <w:r/>
      <w:r>
        <w:rPr>
          <w:b/>
        </w:rPr>
        <w:t>Instructions et Conseils au Patient :</w:t>
      </w:r>
      <w:r/>
    </w:p>
    <w:p>
      <w:pPr>
        <w:pStyle w:val="ListBullet"/>
      </w:pPr>
      <w:r>
        <w:t>Communication au comptoir : rassurer sur la compatibilité avec la grossesse et l'allaitement (spécialement en AMP) ; expliquer que la dydrogestérone n'est pas un contraceptif et ne supprime pas l'ovulation ; prévenir les spotting fréquents en début de traitement, qui ne doivent pas inquiéter ; rappeler l'importance de la régularité des prises.</w:t>
      </w:r>
    </w:p>
    <w:p>
      <w:pPr>
        <w:pStyle w:val="ListBullet"/>
      </w:pPr>
      <w:r>
        <w:t>Mode d'utilisation pratique : prise à heure fixe (matin et soir), avaler le comprimé avec un verre d'eau, ne pas croquer.</w:t>
      </w:r>
    </w:p>
    <w:p>
      <w:r/>
      <w:r>
        <w:rPr>
          <w:b/>
        </w:rPr>
        <w:t>Notes, Règles d'Or &amp; Pièges au Comptoir :</w:t>
      </w:r>
      <w:r/>
    </w:p>
    <w:p>
      <w:pPr>
        <w:pStyle w:val="ListBullet"/>
      </w:pPr>
      <w:r>
        <w:t>Piège classique : prescription de dydrogestérone comme contraceptif — erreur fréquente, car la dydrogestérone n'inhibe pas l'ovulation et n'a pas d'efficacité contraceptive. Orienter vers une contraception efficace si nécessaire.</w:t>
      </w:r>
    </w:p>
    <w:p>
      <w:pPr>
        <w:pStyle w:val="ListBullet"/>
      </w:pPr>
      <w:r>
        <w:t>Piège : oubli de prise &gt; 12 heures — effet progestatif diminué, risque de spotting ; ne pas doubler la dose.</w:t>
      </w:r>
    </w:p>
    <w:p>
      <w:pPr>
        <w:pStyle w:val="ListBullet"/>
      </w:pPr>
      <w:r>
        <w:t>Règle de prise : régularité horaire stricte (espacement de 12 heures entre deux prises biquotidiennes).</w:t>
      </w:r>
    </w:p>
    <w:p>
      <w:pPr>
        <w:pStyle w:val="ListBullet"/>
      </w:pPr>
      <w:r>
        <w:t>Préparation et Conservation : comprimés à température &lt; 25 °C, à l'abri de l'humidité.</w:t>
      </w:r>
    </w:p>
    <w:p>
      <w:pPr>
        <w:pStyle w:val="ListBullet"/>
      </w:pPr>
      <w:r>
        <w:t>Piège du surdosage / Substitution : substituabilité Duphaston ↔ Dydrogyn possible (bioéquivalence démontrée) ; vérifier la composition qualitative et quantitative avant substitution.</w:t>
      </w:r>
    </w:p>
    <w:p>
      <w:pPr>
        <w:pStyle w:val="Heading3"/>
      </w:pPr>
      <w:r>
        <w:t>4. DCI : Medroxyprogestérone (acétate) — MPA (Seule)</w:t>
      </w:r>
    </w:p>
    <w:p>
      <w:r/>
      <w:r>
        <w:rPr>
          <w:b/>
        </w:rPr>
        <w:t>Liste des Catégories :</w:t>
      </w:r>
      <w:r>
        <w:t xml:space="preserve"> Progestatifs — Dérivés 17-OH progestérone ; Liste I.</w:t>
      </w:r>
    </w:p>
    <w:p>
      <w:r>
        <w:t>L'acétate de medroxyprogestérone (MPA) est un progestatif de synthèse dérivé de la 17-OH progestérone, caractérisé par une activité progestative puissante et une activité glucocorticoïde résiduelle à forte dose. Sa biodisponibilité orale est de l'ordre de 5 à 10 %, mais la forme injectable à libération prolongée (Depo-Provera, Megestron 150 mg IM toutes les 12 semaines) atteint des concentrations plasmatiques soutenues par relargage progressif. La forme injectable assure une contraception de longue durée d'action (LARC) avec une efficacité supérieure à 99 %. Le MPA est métabolisé principalement au niveau hépatique.</w:t>
      </w:r>
    </w:p>
    <w:p>
      <w:r/>
      <w:r>
        <w:rPr>
          <w:b/>
        </w:rPr>
        <w:t>Médicaments disponibles en Algérie (Marques, Laboratoires, Formes et Dosages) :</w:t>
      </w:r>
      <w:r/>
    </w:p>
    <w:p>
      <w:pPr>
        <w:pStyle w:val="ListBullet"/>
      </w:pPr>
      <w:r/>
      <w:r>
        <w:rPr>
          <w:b/>
        </w:rPr>
        <w:t>MEGESTRON</w:t>
      </w:r>
      <w:r>
        <w:t xml:space="preserve"> (ORGANON, ex AKZO NOBEL)</w:t>
      </w:r>
    </w:p>
    <w:p>
      <w:pPr>
        <w:pStyle w:val="ListBullet"/>
      </w:pPr>
      <w:r>
        <w:t>Formes et Dosages : solution injectable 150 mg (boîte de 100 — flacon)</w:t>
      </w:r>
    </w:p>
    <w:p>
      <w:pPr>
        <w:pStyle w:val="ListBullet"/>
      </w:pPr>
      <w:r>
        <w:t>Statut : Retiré (R) — spécialité historique, vérifier disponibilité d'alternatives.</w:t>
      </w:r>
    </w:p>
    <w:p>
      <w:r/>
      <w:r>
        <w:rPr>
          <w:b/>
        </w:rPr>
        <w:t>Sous-classe et Mécanisme d'action :</w:t>
      </w:r>
      <w:r/>
    </w:p>
    <w:p>
      <w:pPr>
        <w:pStyle w:val="ListBullet"/>
      </w:pPr>
      <w:r>
        <w:t>Sous-classe : progestatif de synthèse dérivé 17-OH progestérone, à activité progestative puissante et glucocorticoïde résiduelle.</w:t>
      </w:r>
    </w:p>
    <w:p>
      <w:pPr>
        <w:pStyle w:val="ListBullet"/>
      </w:pPr>
      <w:r>
        <w:t>Mécanisme d'action : le MPA se fixe au récepteur progestatif PR-A et PR-B avec une affinité supérieure à la progestérone native, exerçant un effet progestatif marqué : transformation sécrétoire de l'endomètre, atrophie endométriale au long cours (effet antigonadotrope), épaississement de la glaire cervicale, inhibition de la sécrétion pulsatile de GnRH hypothalamique, suppression du pic ovulant de LH (et donc anovulation), diminution de la motilité tubaire. Le MPA possède une activité glucocorticoïde faible (liaison au récepteur GR), responsable à forte dose d'effets métaboliques : prise de poids, rétention hydrosodée, hyperglycémie, ostéoporose. Une activité androgénique résiduelle est présente mais faible.</w:t>
      </w:r>
    </w:p>
    <w:p>
      <w:r/>
      <w:r>
        <w:rPr>
          <w:b/>
        </w:rPr>
        <w:t>Profil Pharmacologique :</w:t>
      </w:r>
      <w:r/>
    </w:p>
    <w:p>
      <w:pPr>
        <w:pStyle w:val="ListBullet"/>
      </w:pPr>
      <w:r>
        <w:t>Indications : contraception injectable longue durée (150 mg IM toutes les 12 semaines) — alternative aux COC en cas de contre-indication ou d'intolérance, chez la femme allaitante ; dysménorrhée sévère réfractaire ; endométriose pelvienne (forme orale, 10-30 mg/jour) ; mastopathie bénigne douloureuse ; cancer du sein métastatique hormonosensible (forme orale, 400-1500 mg/jour) ; cancer de l'endomètre avancé ou récidivant (forme orale, 100-500 mg/jour) ; cancer de la prostate hormonosensible (palliatif) ; hypersexualisme masculin (psychiatrie spécialisée) ; puberté précoce centrale.</w:t>
      </w:r>
    </w:p>
    <w:p>
      <w:pPr>
        <w:pStyle w:val="ListBullet"/>
      </w:pPr>
      <w:r>
        <w:t>Contre-indications : grossesse évolutive ; antécédent ou maladie thromboembolique veineuse en évolution ; accident vasculaire cérébral ; cardiopathie ischémique ; hépatopathie sévère ; cancer du sein hormono-dépendant (sauf en indication palliative carcinologique) ; métrorragies non diagnostiquées ; hypersensibilité au MPA ; allergie à l'arachide ou au soja (forme injectable en suspension huileuse).</w:t>
      </w:r>
    </w:p>
    <w:p>
      <w:pPr>
        <w:pStyle w:val="ListBullet"/>
      </w:pPr>
      <w:r>
        <w:t>Effets Indésirables : perte de densité minérale osseuse (dépendante de la durée d'utilisation, réversible à l'arrêt en 1-2 ans, mais inquiétante chez l'adolescente) ; prise de poids (moyenne 2-3 kg/an) ; rétention hydrosodée ; troubles menstruels (spotting, aménorrhée — fréquente au long cours) ; céphalées, migraines ; asthénie ; troubles de l'humeur (dépression, anxiété, baisse de libido) ; acné, séborrhée, hirsutisme paradoxal ; bouffées de chaleur ; mastodynie ; allergie de la voie injectable (nodule, abcès stérile) ; événements thromboemboliques veineux (rare) ; hyperglycémie, intolérance glucidique.</w:t>
      </w:r>
    </w:p>
    <w:p>
      <w:r/>
      <w:r>
        <w:rPr>
          <w:b/>
        </w:rPr>
        <w:t>Prévention et Gestion des Effets Indésirables :</w:t>
      </w:r>
      <w:r/>
    </w:p>
    <w:p>
      <w:pPr>
        <w:pStyle w:val="ListBullet"/>
      </w:pPr>
      <w:r>
        <w:t>Mesures Préventives : évaluation de la densité minérale osseuse avant initiation chez la femme à risque (fracture préalable, ostéoporose familiale, faible IMC &lt; 19) et surveillance au long cours (ostéodensitométrie tous les 2 ans) ; mesure de la pression artérielle avant initiation ; bilan métabolique (glycémie, lipidogramme) en cas de facteur de risque.</w:t>
      </w:r>
    </w:p>
    <w:p>
      <w:pPr>
        <w:pStyle w:val="ListBullet"/>
      </w:pPr>
      <w:r>
        <w:t>Conduite à Tenir : en cas d'aménorrhée prolongée, rassurer (effet attendu, pas pathologique) ; en cas de spotting persistant après 3-6 mois, évaluer la pertinence de la continuation ; en cas de céphalées sévères, troubles visuels, douleur thoracique ou mollet — arrêt immédiat et consultation urgente (suspicion thromboembolique).</w:t>
      </w:r>
    </w:p>
    <w:p>
      <w:r/>
      <w:r>
        <w:rPr>
          <w:b/>
        </w:rPr>
        <w:t>Interactions Importantes :</w:t>
      </w:r>
      <w:r/>
    </w:p>
    <w:p>
      <w:pPr>
        <w:pStyle w:val="ListBullet"/>
      </w:pPr>
      <w:r>
        <w:t>MPA + inducteurs enzymatiques (rifampicine, phénytoïne, carbamazépine, phénobarbital, millepertuis) : accélération du catabolisme et diminution de l'efficacité contraceptive — risque d'échec.</w:t>
      </w:r>
    </w:p>
    <w:p>
      <w:pPr>
        <w:pStyle w:val="ListBullet"/>
      </w:pPr>
      <w:r>
        <w:t>MPA + aminoglutéthimide : augmentation du métabolisme du MPA (induction enzymatique).</w:t>
      </w:r>
    </w:p>
    <w:p>
      <w:pPr>
        <w:pStyle w:val="ListBullet"/>
      </w:pPr>
      <w:r>
        <w:t>MPA + anticoagulants oraux : interaction possible, surveillance INR.</w:t>
      </w:r>
    </w:p>
    <w:p>
      <w:r/>
      <w:r>
        <w:rPr>
          <w:b/>
        </w:rPr>
        <w:t>Grossesse et Allaitement :</w:t>
      </w:r>
      <w:r/>
    </w:p>
    <w:p>
      <w:pPr>
        <w:pStyle w:val="ListBullet"/>
      </w:pPr>
      <w:r>
        <w:t>Grossesse : CI absolue (catégorie D FDA — anomalies génitales chez le fœtus masculin rapportées en exposition précoce). Dépistage de grossesse avant chaque injection trimestrielle. Selon le CRAT, exposition accidentelle en début de grossesse impose un conseil génétique et une surveillance échographique morphologique.</w:t>
      </w:r>
    </w:p>
    <w:p>
      <w:pPr>
        <w:pStyle w:val="ListBullet"/>
      </w:pPr>
      <w:r>
        <w:t>Allaitement : compatible (faible passage dans le lait, mais effet sur la production lactée possible à forte dose) ; le MPA injectable est l'une des contraceptions de choix chez la femme allaitante (ne perturbe pas la composition du lait ni la croissance de l'enfant), à condition d'attendre 6 semaines post-partum.</w:t>
      </w:r>
    </w:p>
    <w:p>
      <w:pPr>
        <w:pStyle w:val="ListBullet"/>
      </w:pPr>
      <w:r>
        <w:t>Précisions : une grossesse est possible dans les 6-12 mois suivant l'arrêt du MPA injectable (retour de fertilité retardé vs COC).</w:t>
      </w:r>
    </w:p>
    <w:p>
      <w:r/>
      <w:r>
        <w:rPr>
          <w:b/>
        </w:rPr>
        <w:t>Posologie et Mode d'administration (Standard) :</w:t>
      </w:r>
      <w:r/>
    </w:p>
    <w:p>
      <w:pPr>
        <w:pStyle w:val="ListBullet"/>
      </w:pPr>
      <w:r>
        <w:t>Adulte (contraception injectable) : 150 mg IM profonde toutes les 12 semaines (injection dans le muscle glutéal ou deltoïdien), à heure approximativement fixe (tolérance de ± 7 jours).</w:t>
      </w:r>
    </w:p>
    <w:p>
      <w:pPr>
        <w:pStyle w:val="ListBullet"/>
      </w:pPr>
      <w:r>
        <w:t>Adulte (endométriose, forme orale) : 10-30 mg/jour en continu ou en discontinu selon schéma.</w:t>
      </w:r>
    </w:p>
    <w:p>
      <w:pPr>
        <w:pStyle w:val="ListBullet"/>
      </w:pPr>
      <w:r>
        <w:t>Adulte (cancer du sein métastatique) : 400-1500 mg/jour oral.</w:t>
      </w:r>
    </w:p>
    <w:p>
      <w:pPr>
        <w:pStyle w:val="ListBullet"/>
      </w:pPr>
      <w:r>
        <w:t>Adulte (cancer de l'endomètre) : 100-500 mg/jour oral.</w:t>
      </w:r>
    </w:p>
    <w:p>
      <w:pPr>
        <w:pStyle w:val="ListBullet"/>
      </w:pPr>
      <w:r>
        <w:t>Durée : en contraception, réévaluation annuelle (durée maximale 2 ans recommandée chez l'adolescente en raison de la perte osseuse) ; en cancérologie, selon évolution.</w:t>
      </w:r>
    </w:p>
    <w:p>
      <w:pPr>
        <w:pStyle w:val="ListBullet"/>
      </w:pPr>
      <w:r>
        <w:t>Moment de prise : injection IM trimestrielle ; voie orale à heure fixe quotidienne.</w:t>
      </w:r>
    </w:p>
    <w:p>
      <w:r/>
      <w:r>
        <w:rPr>
          <w:b/>
        </w:rPr>
        <w:t>Arbitrage et Bénéfices des Formes Galéniques :</w:t>
      </w:r>
      <w:r/>
    </w:p>
    <w:p>
      <w:r>
        <w:t>La forme injectable (Megestron, Depo-Provera) assure une couverture contraceptive trimestrielle sans observance quotidienne, idéale pour la femme ayant des difficultés d'observance. Toutefois, elle s'accompagne d'un retour différé de fertilité (jusqu'à 12 mois), d'une perte de densité minérale osseuse et de spotings prolongés. La forme orale (Faïdal, Farlutal) est utilisée en cancérologie à fortes doses. La voie injectable sous-cutanée (Sayana Press, 104 mg SC) est une alternative récente. En Algérie, la spécialité Megestron est retirée du marché — le pharmacien doit orienter vers les alternatives disponibles (COC, microprogestatifs oraux, implant, SIU).</w:t>
      </w:r>
    </w:p>
    <w:p>
      <w:r/>
      <w:r>
        <w:rPr>
          <w:b/>
        </w:rPr>
        <w:t>Instructions et Conseils au Patient :</w:t>
      </w:r>
      <w:r/>
    </w:p>
    <w:p>
      <w:pPr>
        <w:pStyle w:val="ListBullet"/>
      </w:pPr>
      <w:r>
        <w:t>Communication au comptoir : informer sur la durée d'action (12 semaines par injection), l'observance trimestrielle, le retour différé de fertilité (jusqu'à 12 mois), les spotting fréquents et l'aménorrhée possible ; prévenir sur la prise de poids moyenne et sur l'ostéoporose au long cours.</w:t>
      </w:r>
    </w:p>
    <w:p>
      <w:pPr>
        <w:pStyle w:val="ListBullet"/>
      </w:pPr>
      <w:r>
        <w:t>Mode d'utilisation pratique : injection IM profonde par un professionnel de santé (médecin, infirmier, sage-femme) ; respect strict de l'intervalle de 12 semaines (± 7 jours) ; pas de massage du site d'injection (risque de diffusion trop rapide).</w:t>
      </w:r>
    </w:p>
    <w:p>
      <w:r/>
      <w:r>
        <w:rPr>
          <w:b/>
        </w:rPr>
        <w:t>Notes, Règles d'Or &amp; Pièges au Comptoir :</w:t>
      </w:r>
      <w:r/>
    </w:p>
    <w:p>
      <w:pPr>
        <w:pStyle w:val="ListBullet"/>
      </w:pPr>
      <w:r>
        <w:t>Piège classique : retard &gt; 7 jours pour l'injection trimestrielle — utiliser une contraception d'urgence en cas de rapport dans les 7 jours précédant la consultation, et un test de grossesse à 3 semaines.</w:t>
      </w:r>
    </w:p>
    <w:p>
      <w:pPr>
        <w:pStyle w:val="ListBullet"/>
      </w:pPr>
      <w:r>
        <w:t>Piège : oubli que la perte osseuse est cumulative et non réversible immédiatement à l'arrêt — limiter la durée chez l'adolescente.</w:t>
      </w:r>
    </w:p>
    <w:p>
      <w:pPr>
        <w:pStyle w:val="ListBullet"/>
      </w:pPr>
      <w:r>
        <w:t>Règle de prise : injection IM profonde à 12 semaines d'intervalle.</w:t>
      </w:r>
    </w:p>
    <w:p>
      <w:pPr>
        <w:pStyle w:val="ListBullet"/>
      </w:pPr>
      <w:r>
        <w:t>Préparation et Conservation : flacon à conserver à température 15-25 °C, à l'abri de la lumière ; ne pas congeler ; bien agiter avant emploi (suspension huileuse).</w:t>
      </w:r>
    </w:p>
    <w:p>
      <w:pPr>
        <w:pStyle w:val="ListBullet"/>
      </w:pPr>
      <w:r>
        <w:t>Piège du surdosage / Substitution : pas de substitution forme injectable ↔ forme orale (posologies radicalement différentes) ; aucun antidote en cas de surdosage.</w:t>
      </w:r>
    </w:p>
    <w:p>
      <w:pPr>
        <w:pStyle w:val="Heading3"/>
      </w:pPr>
      <w:r>
        <w:t>5. DCI : Nomégestrol (acétate) (Seule)</w:t>
      </w:r>
    </w:p>
    <w:p>
      <w:r/>
      <w:r>
        <w:rPr>
          <w:b/>
        </w:rPr>
        <w:t>Liste des Catégories :</w:t>
      </w:r>
      <w:r>
        <w:t xml:space="preserve"> Progestatifs — Dérivés 19-norprogestérone ; Liste I.</w:t>
      </w:r>
    </w:p>
    <w:p>
      <w:r>
        <w:t>L'acétate de nomégestrol est un progestatif de synthèse dérivé de la 19-norprogestérone, caractérisé par une activité progestative puissante et sélective, associée à une activité anti-androgénique modérée et à l'absence d'effet estrogénique, glucocorticoïde ou minéralocorticoïde significatif. Sa biodisponibilité orale est bonne et sa demi-vie d'élimination est de l'ordre de 30 heures, autorisant une prise unique quotidienne. Le nomégestrol est métabolisé au niveau hépatique.</w:t>
      </w:r>
    </w:p>
    <w:p>
      <w:r/>
      <w:r>
        <w:rPr>
          <w:b/>
        </w:rPr>
        <w:t>Médicaments disponibles en Algérie (Marques, Laboratoires, Formes et Dosages) :</w:t>
      </w:r>
      <w:r/>
    </w:p>
    <w:p>
      <w:pPr>
        <w:pStyle w:val="ListBullet"/>
      </w:pPr>
      <w:r/>
      <w:r>
        <w:rPr>
          <w:b/>
        </w:rPr>
        <w:t>LUTEROL</w:t>
      </w:r>
      <w:r>
        <w:t xml:space="preserve"> (SPA UNION PHARMACEUITIQUE CONSTANTINOISE PRODUCTION — UPC)</w:t>
      </w:r>
    </w:p>
    <w:p>
      <w:pPr>
        <w:pStyle w:val="ListBullet"/>
      </w:pPr>
      <w:r>
        <w:t>Formes et Dosages : comprimé sécable 5 mg (boîte de 10)</w:t>
      </w:r>
    </w:p>
    <w:p>
      <w:pPr>
        <w:pStyle w:val="ListBullet"/>
      </w:pPr>
      <w:r>
        <w:t>Statut : Actif (générique local)</w:t>
      </w:r>
    </w:p>
    <w:p>
      <w:pPr>
        <w:pStyle w:val="ListBullet"/>
      </w:pPr>
      <w:r/>
      <w:r>
        <w:rPr>
          <w:b/>
        </w:rPr>
        <w:t>LUTENYL</w:t>
      </w:r>
      <w:r>
        <w:t xml:space="preserve"> (THERAMEX)</w:t>
      </w:r>
    </w:p>
    <w:p>
      <w:pPr>
        <w:pStyle w:val="ListBullet"/>
      </w:pPr>
      <w:r>
        <w:t>Formes et Dosages : comprimé sécable 5 mg (B/10)</w:t>
      </w:r>
    </w:p>
    <w:p>
      <w:pPr>
        <w:pStyle w:val="ListBullet"/>
      </w:pPr>
      <w:r>
        <w:t>Statut : Retiré (R) — spécialité pionnière</w:t>
      </w:r>
    </w:p>
    <w:p>
      <w:r/>
      <w:r>
        <w:rPr>
          <w:b/>
        </w:rPr>
        <w:t>Sous-classe et Mécanisme d'action :</w:t>
      </w:r>
      <w:r/>
    </w:p>
    <w:p>
      <w:pPr>
        <w:pStyle w:val="ListBullet"/>
      </w:pPr>
      <w:r>
        <w:t>Sous-classe : progestatif de synthèse dérivé 19-norprogestérone, à affinité sélective pour le récepteur progestatif.</w:t>
      </w:r>
    </w:p>
    <w:p>
      <w:pPr>
        <w:pStyle w:val="ListBullet"/>
      </w:pPr>
      <w:r>
        <w:t>Mécanisme d'action : le nomégestrol se fixe aux récepteurs PR-A et PR-B avec une affinité supérieure à la progestérone native et une sélectivité marquée (peu ou pas de liaison aux récepteurs ER, AR, GR, MR). Il exerce un effet progestatif puissant : transformation sécrétoire de l'endomètre, atrophie endométriale au long cours (effet antigonadotrope partiel), épaississement de la glaire cervicale, inhibition partielle de l'ovulation à dose standard. Son activité anti-androgénique modérée (compétition avec la testostérone et la DHT au niveau du récepteur AR) explique son efficacité dans l'acné et le syndrome prémenstruel, et son absence d'effets androgéniques indésirables (pas d'hirsutisme, pas de prise de poids androgénique).</w:t>
      </w:r>
    </w:p>
    <w:p>
      <w:r/>
      <w:r>
        <w:rPr>
          <w:b/>
        </w:rPr>
        <w:t>Profil Pharmacologique :</w:t>
      </w:r>
      <w:r/>
    </w:p>
    <w:p>
      <w:pPr>
        <w:pStyle w:val="ListBullet"/>
      </w:pPr>
      <w:r>
        <w:t>Indications : troubles menstruels (dysménorrhée, polyménorrhée, spotting) ; syndrome prémenstruel sévère ; mastopathie bénigne douloureuse ; endométriose pelvienne (seconde intention, après échec ou intolérance du diénogest) ; ménorragies fonctionnelles ; insuffisance lutéale ; complément progestatif du THS de la ménopause (alternative à la progestérone ou à la dydrogestérone, en association à l'estradiol) ; pilule contraceptive de 4e génération en association à l'estradiol (Zoely — non commercialisée en Algérie).</w:t>
      </w:r>
    </w:p>
    <w:p>
      <w:pPr>
        <w:pStyle w:val="ListBullet"/>
      </w:pPr>
      <w:r>
        <w:t>Contre-indications : hypersensibilité ; antécédent ou maladie thromboembolique veineuse en évolution ; accident vasculaire cérébral ; hépatopathie sévère ; cancer du sein hormono-dépendant (prudence, évaluation spécialisée) ; métrorragies non diagnostiquées ; grossesse évolutive (par mesure de précaution, bien que le nomégestrol n'ait pas d'effet tératogène démontré).</w:t>
      </w:r>
    </w:p>
    <w:p>
      <w:pPr>
        <w:pStyle w:val="ListBullet"/>
      </w:pPr>
      <w:r>
        <w:t>Effets Indésirables : spotting, métrorragies (fréquents en début de traitement) ; aménorrhée secondaire (au long cours) ; céphalées ; mastodynie transitoire ; troubles digestifs (nausées, douleurs abdominales) ; prise de poids modeste ; acné paradoxale (en raison de l'effet anti-androgénique initial, parfois rebond androgénique à l'arrêt) ; troubles de l'humeur (irritabilité, dépression) ; bouffées de chaleur (à l'arrêt) ; allergie cutanée (rash, prurit) ; exceptionnels événements thromboemboliques veineux (risque moindre que les progestatifs 19-nortestostérone mais non nul).</w:t>
      </w:r>
    </w:p>
    <w:p>
      <w:r/>
      <w:r>
        <w:rPr>
          <w:b/>
        </w:rPr>
        <w:t>Prévention et Gestion des Effets Indésirables :</w:t>
      </w:r>
      <w:r/>
    </w:p>
    <w:p>
      <w:pPr>
        <w:pStyle w:val="ListBullet"/>
      </w:pPr>
      <w:r>
        <w:t>Mesures Préventives : bilan pré-thérapeutique (interrogatoire, examen clinique, échographie pelvienne) ; surveillance clinique des saignements en début de traitement (les spotting sont fréquents mais doivent régresser en 2-3 mois) ; surveillance de la tolérance métabolique en cas de diabète ou de dyslipidémie.</w:t>
      </w:r>
    </w:p>
    <w:p>
      <w:pPr>
        <w:pStyle w:val="ListBullet"/>
      </w:pPr>
      <w:r>
        <w:t>Conduite à Tenir : en cas de spotting abondant ou persistant, consultation gynécologique pour vérification de l'endomètre ; arrêt immédiat en cas de suspicion d'événement thromboembolique.</w:t>
      </w:r>
    </w:p>
    <w:p>
      <w:r/>
      <w:r>
        <w:rPr>
          <w:b/>
        </w:rPr>
        <w:t>Interactions Importantes :</w:t>
      </w:r>
      <w:r/>
    </w:p>
    <w:p>
      <w:pPr>
        <w:pStyle w:val="ListBullet"/>
      </w:pPr>
      <w:r>
        <w:t>Nomégestrol + inducteurs enzymatiques (rifampicine, phénytoïne, carbamazépine, phénobarbital, millepertuis) : accélération du catabolisme et diminution de l'efficacité.</w:t>
      </w:r>
    </w:p>
    <w:p>
      <w:pPr>
        <w:pStyle w:val="ListBullet"/>
      </w:pPr>
      <w:r>
        <w:t>Nomégestrol + inhibiteurs enzymatiques (kététoconazole, itraconazole, érythromycine, clarithromycine) : augmentation des concentrations plasmatiques.</w:t>
      </w:r>
    </w:p>
    <w:p>
      <w:r/>
      <w:r>
        <w:rPr>
          <w:b/>
        </w:rPr>
        <w:t>Grossesse et Allaitement :</w:t>
      </w:r>
      <w:r/>
    </w:p>
    <w:p>
      <w:pPr>
        <w:pStyle w:val="ListBullet"/>
      </w:pPr>
      <w:r>
        <w:t>Grossesse : à éviter par mesure de précaution (le nomégestrol n'a pas d'effet tératogène démontré chez l'animal, mais les données cliniques sont limitées). Selon le CRAT, exposition accidentelle en début de grossesse n'impose pas d'IVG mais justifie une surveillance échographique.</w:t>
      </w:r>
    </w:p>
    <w:p>
      <w:pPr>
        <w:pStyle w:val="ListBullet"/>
      </w:pPr>
      <w:r>
        <w:t>Allaitement : à éviter (données limitées sur le passage dans le lait) ; préférer les microprogestatifs compatibles avec l'allaitement (désogestrel après 6 semaines post-partum).</w:t>
      </w:r>
    </w:p>
    <w:p>
      <w:pPr>
        <w:pStyle w:val="ListBullet"/>
      </w:pPr>
      <w:r>
        <w:t>Précisions : ne pas utiliser en soutien de phase lutéale en AMP (préférer progestérone micronisée ou dydrogestérone).</w:t>
      </w:r>
    </w:p>
    <w:p>
      <w:r/>
      <w:r>
        <w:rPr>
          <w:b/>
        </w:rPr>
        <w:t>Posologie et Mode d'administration (Standard) :</w:t>
      </w:r>
      <w:r/>
    </w:p>
    <w:p>
      <w:pPr>
        <w:pStyle w:val="ListBullet"/>
      </w:pPr>
      <w:r>
        <w:t>Adulte (troubles menstruels, SPM) : 5 mg/jour de J11 à J25 du cycle (ou en continu selon le schéma).</w:t>
      </w:r>
    </w:p>
    <w:p>
      <w:pPr>
        <w:pStyle w:val="ListBullet"/>
      </w:pPr>
      <w:r>
        <w:t>Adulte (endométriose) : 5-10 mg/jour en continu pendant 6 mois minimum.</w:t>
      </w:r>
    </w:p>
    <w:p>
      <w:pPr>
        <w:pStyle w:val="ListBullet"/>
      </w:pPr>
      <w:r>
        <w:t>Adulte (mastopathie bénigne) : 5 mg/jour de J11 à J25 du cycle pendant 3 à 6 mois.</w:t>
      </w:r>
    </w:p>
    <w:p>
      <w:pPr>
        <w:pStyle w:val="ListBullet"/>
      </w:pPr>
      <w:r>
        <w:t>Adulte (THS combiné avec estradiol) : 5 mg/jour en continu ou 5 mg 14 jours/cycle selon schéma.</w:t>
      </w:r>
    </w:p>
    <w:p>
      <w:pPr>
        <w:pStyle w:val="ListBullet"/>
      </w:pPr>
      <w:r>
        <w:t>Durée : selon indication ; réévaluation tous les 6 mois en endométriose ; annuelle en THS.</w:t>
      </w:r>
    </w:p>
    <w:p>
      <w:pPr>
        <w:pStyle w:val="ListBullet"/>
      </w:pPr>
      <w:r>
        <w:t>Moment de prise : à heure fixe quotidienne, idéalement au coucher.</w:t>
      </w:r>
    </w:p>
    <w:p>
      <w:r/>
      <w:r>
        <w:rPr>
          <w:b/>
        </w:rPr>
        <w:t>Arbitrage et Bénéfices des Formes Galéniques :</w:t>
      </w:r>
      <w:r/>
    </w:p>
    <w:p>
      <w:r>
        <w:t>Le nomégestrol est administré exclusivement par voie orale (comprimé sécable 5 mg). La sécabilité permet une modulation posologique (2,5 mg ou 5 mg). La spécialité pionnière (Lutenyl, Theramex) est retirée en Algérie, mais le générique local (Luterol, UPC) assure la disponibilité. La biodisponibilité orale est bonne et la tolérance gastro-intestinale satisfaisante. Il n'existe pas de forme transdermique, vaginale ou injectable.</w:t>
      </w:r>
    </w:p>
    <w:p>
      <w:r/>
      <w:r>
        <w:rPr>
          <w:b/>
        </w:rPr>
        <w:t>Instructions et Conseils au Patient :</w:t>
      </w:r>
      <w:r/>
    </w:p>
    <w:p>
      <w:pPr>
        <w:pStyle w:val="ListBullet"/>
      </w:pPr>
      <w:r>
        <w:t>Communication au comptoir : rassurer sur les spotting fréquents en début de traitement (qui doivent régresser en 2-3 mois) ; prévenir sur la possibilité d'une aménorrhée au long cours (effet attendu, pas pathologique) ; rappeler l'importance de la régularité des prises.</w:t>
      </w:r>
    </w:p>
    <w:p>
      <w:pPr>
        <w:pStyle w:val="ListBullet"/>
      </w:pPr>
      <w:r>
        <w:t>Mode d'utilisation pratique : prise à heure fixe quotidienne, avaler le comprimé avec un verre d'eau, ne pas croquer.</w:t>
      </w:r>
    </w:p>
    <w:p>
      <w:r/>
      <w:r>
        <w:rPr>
          <w:b/>
        </w:rPr>
        <w:t>Notes, Règles d'Or &amp; Pièges au Comptoir :</w:t>
      </w:r>
      <w:r/>
    </w:p>
    <w:p>
      <w:pPr>
        <w:pStyle w:val="ListBullet"/>
      </w:pPr>
      <w:r>
        <w:t>Piège classique : prescription de nomégestrol en contraception (hors indication Zoely qui n'est pas disponible en Algérie) — la molécule seule n'a pas d'AMM contraceptive en Algérie.</w:t>
      </w:r>
    </w:p>
    <w:p>
      <w:pPr>
        <w:pStyle w:val="ListBullet"/>
      </w:pPr>
      <w:r>
        <w:t>Piège : oubli de prise &gt; 12 heures — effet progestatif diminué, risque de spotting ; ne pas doubler la dose.</w:t>
      </w:r>
    </w:p>
    <w:p>
      <w:pPr>
        <w:pStyle w:val="ListBullet"/>
      </w:pPr>
      <w:r>
        <w:t>Règle de prise : régularité horaire stricte (heure fixe quotidienne).</w:t>
      </w:r>
    </w:p>
    <w:p>
      <w:pPr>
        <w:pStyle w:val="ListBullet"/>
      </w:pPr>
      <w:r>
        <w:t>Préparation et Conservation : comprimés à température &lt; 25 °C, à l'abri de l'humidité.</w:t>
      </w:r>
    </w:p>
    <w:p>
      <w:pPr>
        <w:pStyle w:val="ListBullet"/>
      </w:pPr>
      <w:r>
        <w:t>Piège du surdosage / Substitution : substituabilité Lutenyl ↔ Luterol possible (bioéquivalence démontrée) ; vérifier la spécialité prescrite avant substitution.</w:t>
      </w:r>
    </w:p>
    <w:p>
      <w:pPr>
        <w:pStyle w:val="Heading3"/>
      </w:pPr>
      <w:r>
        <w:t>6. DCI : Diénogest (Seule)</w:t>
      </w:r>
    </w:p>
    <w:p>
      <w:r/>
      <w:r>
        <w:rPr>
          <w:b/>
        </w:rPr>
        <w:t>Liste des Catégories :</w:t>
      </w:r>
      <w:r>
        <w:t xml:space="preserve"> Progestatifs — Dérivés 19-nortestostérone + progestérone ; Liste I.</w:t>
      </w:r>
    </w:p>
    <w:p>
      <w:r>
        <w:t>Le diénogest est un progestatif de synthèse hybride, structurellement apparenté à la 19-nortestostérone mais chimiquement modifié (cyanométhyle en position 17) pour lui conférer une activité progestative puissante et une activité anti-androgénique paradoxale. Sa biodisponibilité orale est de l'ordre de 90 % et sa demi-vie plasmatique de 10 à 12 heures. Le diénogest est métabolisé au niveau hépatique (CYP3A4) et excrété en métabolites hydroxylés conjugués.</w:t>
      </w:r>
    </w:p>
    <w:p>
      <w:r/>
      <w:r>
        <w:rPr>
          <w:b/>
        </w:rPr>
        <w:t>Médicaments disponibles en Algérie (Marques, Laboratoires, Formes et Dosages) :</w:t>
      </w:r>
      <w:r/>
    </w:p>
    <w:p>
      <w:pPr>
        <w:pStyle w:val="ListBullet"/>
      </w:pPr>
      <w:r/>
      <w:r>
        <w:rPr>
          <w:b/>
        </w:rPr>
        <w:t>DIMETRUM</w:t>
      </w:r>
      <w:r>
        <w:t xml:space="preserve"> (BESINS HEALTHCARE France)</w:t>
      </w:r>
    </w:p>
    <w:p>
      <w:pPr>
        <w:pStyle w:val="ListBullet"/>
      </w:pPr>
      <w:r>
        <w:t>Formes et Dosages : comprimé 2 mg (B/28)</w:t>
      </w:r>
    </w:p>
    <w:p>
      <w:pPr>
        <w:pStyle w:val="ListBullet"/>
      </w:pPr>
      <w:r>
        <w:t>Statut : Actif</w:t>
      </w:r>
    </w:p>
    <w:p>
      <w:pPr>
        <w:pStyle w:val="ListBullet"/>
      </w:pPr>
      <w:r/>
      <w:r>
        <w:rPr>
          <w:b/>
        </w:rPr>
        <w:t>VISANNE</w:t>
      </w:r>
      <w:r>
        <w:t xml:space="preserve"> (BAYER PHARMA AG)</w:t>
      </w:r>
    </w:p>
    <w:p>
      <w:pPr>
        <w:pStyle w:val="ListBullet"/>
      </w:pPr>
      <w:r>
        <w:t>Formes et Dosages : comprimé 2 mg (B/28)</w:t>
      </w:r>
    </w:p>
    <w:p>
      <w:pPr>
        <w:pStyle w:val="ListBullet"/>
      </w:pPr>
      <w:r>
        <w:t>Statut : Actif (spécialité pionnière, AMM européenne pour l'endométriose)</w:t>
      </w:r>
    </w:p>
    <w:p>
      <w:r/>
      <w:r>
        <w:rPr>
          <w:b/>
        </w:rPr>
        <w:t>Sous-classe et Mécanisme d'action :</w:t>
      </w:r>
      <w:r/>
    </w:p>
    <w:p>
      <w:pPr>
        <w:pStyle w:val="ListBullet"/>
      </w:pPr>
      <w:r>
        <w:t>Sous-classe : progestatif de synthèse dérivé 19-nortestostérone modifié, à activité progestative puissante et anti-androgénique.</w:t>
      </w:r>
    </w:p>
    <w:p>
      <w:pPr>
        <w:pStyle w:val="ListBullet"/>
      </w:pPr>
      <w:r>
        <w:t>Mécanisme d'action : le diénogest se fixe au récepteur progestatif PR avec une affinité modérée (inférieure à la progestérone native mais suffisante pour une activité thérapeutique puissante), exerçant un effet progestatif endométrial marqué. Sa particularité pharmacologique est l'inhibition profonde de l'ovulation à dose thérapeutique (2 mg/jour) par suppression de la sécrétion de LH et du pic ovulant, induisant un hypoestrogénisme relatif. Il induit une atrophie endométriale puissante, ce qui en fait un traitement de choix de l'endométriose pelvienne (action directe sur les implants endométriosiques ectopiques). Son activité anti-androgénique modérée (blocage compétitif du récepteur AR) explique son efficacité sur l'acné et l'hirsutisme associés, et son absence d'effets androgéniques indésirables. Le diénogest n'a pas d'effet estrogénique ni glucocorticoïde significatif.</w:t>
      </w:r>
    </w:p>
    <w:p>
      <w:r/>
      <w:r>
        <w:rPr>
          <w:b/>
        </w:rPr>
        <w:t>Profil Pharmacologique :</w:t>
      </w:r>
      <w:r/>
    </w:p>
    <w:p>
      <w:pPr>
        <w:pStyle w:val="ListBullet"/>
      </w:pPr>
      <w:r>
        <w:t>Indications : endométriose pelvienne douloureuse (traitement symptomatique de la douleur pelvienne associée à l'endométriose, en première intention ou en relais des agonistes GnRH) ; ménorragies fonctionnelles ; alternative contraceptive progestative pure (faible dose, en association à l'éthinylestradiol dans la pilule Qlaira — non disponible en Algérie).</w:t>
      </w:r>
    </w:p>
    <w:p>
      <w:pPr>
        <w:pStyle w:val="ListBullet"/>
      </w:pPr>
      <w:r>
        <w:t>Contre-indications : hypersensibilité ; antécédent ou maladie thromboembolique veineuse en évolution ; accident vasculaire cérébral ; cardiopathie ischémique ; hépatopathie sévère (cytolyse, cholestase) ; cancer du sein hormono-dépendant ; métrorragies non diagnostiquées ; tumeurs hormono-dépendantes ; grossesse évolutive ; allaitement (par mesure de précaution).</w:t>
      </w:r>
    </w:p>
    <w:p>
      <w:pPr>
        <w:pStyle w:val="ListBullet"/>
      </w:pPr>
      <w:r>
        <w:t>Effets Indésirables : spotting, métrorragies (très fréquents en début de traitement, persistance possible au long cours — principale cause d'arrêt) ; aménorrhée secondaire (fréquente au long cours) ; céphalées, migraines ; mastodynie ; acne transitoire ; prise de poids modeste ; troubles de l'humeur (irritabilité, dépression, baisse de libido) ; asthénie ; bouffées de chaleur (hypoestrogénisme relatif) ; sécheresse vaginale ; troubles digestifs (nausées, douleurs abdominales) ; baisse de la libido.</w:t>
      </w:r>
    </w:p>
    <w:p>
      <w:r/>
      <w:r>
        <w:rPr>
          <w:b/>
        </w:rPr>
        <w:t>Prévention et Gestion des Effets Indésirables :</w:t>
      </w:r>
      <w:r/>
    </w:p>
    <w:p>
      <w:pPr>
        <w:pStyle w:val="ListBullet"/>
      </w:pPr>
      <w:r>
        <w:t>Mesures Préventives : bilan pré-thérapeutique (interrogatoire, examen clinique, échographie pelvienne) ; information de la patiente sur les spotting fréquents en début de traitement (qui régressent en 3-6 mois chez la plupart des patientes) ; surveillance de la pression artérielle, du poids et de la tolérance métabolique ; densitométrie osseuse à l'initiation puis tous les 2 ans en cas de traitement prolongé &gt; 1 an (en raison de l'hypoestrogénisme relatif et du risque théorique de perte osseuse).</w:t>
      </w:r>
    </w:p>
    <w:p>
      <w:pPr>
        <w:pStyle w:val="ListBullet"/>
      </w:pPr>
      <w:r>
        <w:t>Conduite à Tenir : en cas de spotting abondant ou persistant, consultation gynécologique pour vérification de l'endomètre ; arrêt immédiat en cas de suspicion d'événement thromboembolique ; réévaluation du traitement à 6 mois et à 12 mois pour évaluer la persistance de l'efficacité et de la tolérance.</w:t>
      </w:r>
    </w:p>
    <w:p>
      <w:r/>
      <w:r>
        <w:rPr>
          <w:b/>
        </w:rPr>
        <w:t>Interactions Importantes :</w:t>
      </w:r>
      <w:r/>
    </w:p>
    <w:p>
      <w:pPr>
        <w:pStyle w:val="ListBullet"/>
      </w:pPr>
      <w:r>
        <w:t>Diénogest + inducteurs enzymatiques (rifampicine, phénytoïne, carbamazépine, phénobarbital, oxcarbazépine, topiramate, millepertuis) : accélération du catabolisme et diminution de l'efficacité.</w:t>
      </w:r>
    </w:p>
    <w:p>
      <w:pPr>
        <w:pStyle w:val="ListBullet"/>
      </w:pPr>
      <w:r>
        <w:t>Diénogest + inhibiteurs enzymatiques (kététoconazole, itraconazole, érythromycine, clarithromycine, ritonavir, jus de pamplemousse) : augmentation des concentrations plasmatiques.</w:t>
      </w:r>
    </w:p>
    <w:p>
      <w:r/>
      <w:r>
        <w:rPr>
          <w:b/>
        </w:rPr>
        <w:t>Grossesse et Allaitement :</w:t>
      </w:r>
      <w:r/>
    </w:p>
    <w:p>
      <w:pPr>
        <w:pStyle w:val="ListBullet"/>
      </w:pPr>
      <w:r>
        <w:t>Grossesse : à éviter par mesure de précaution (le diénogest n'a pas d'effet tératogène démontré chez l'animal, mais les données cliniques sont limitées). Selon le CRAT, exposition accidentelle en début de grossesse n'impose pas d'IVG mais justifie une surveillance échographique. Arrêt dès suspicion de grossesse.</w:t>
      </w:r>
    </w:p>
    <w:p>
      <w:pPr>
        <w:pStyle w:val="ListBullet"/>
      </w:pPr>
      <w:r>
        <w:t>Allaitement : à éviter (données limitées sur le passage dans le lait) ; préférer les microprogestatifs compatibles avec l'allaitement.</w:t>
      </w:r>
    </w:p>
    <w:p>
      <w:pPr>
        <w:pStyle w:val="ListBullet"/>
      </w:pPr>
      <w:r>
        <w:t>Précisions : ne pas utiliser en soutien de phase lutéale en AMP (préférer progestérone micronisée ou dydrogestérone).</w:t>
      </w:r>
    </w:p>
    <w:p>
      <w:r/>
      <w:r>
        <w:rPr>
          <w:b/>
        </w:rPr>
        <w:t>Posologie et Mode d'administration (Standard) :</w:t>
      </w:r>
      <w:r/>
    </w:p>
    <w:p>
      <w:pPr>
        <w:pStyle w:val="ListBullet"/>
      </w:pPr>
      <w:r>
        <w:t>Adulte (endométriose) : 2 mg/jour en continu (sans interruption cyclique), à débuter idéalement à J1-J5 du cycle menstruel.</w:t>
      </w:r>
    </w:p>
    <w:p>
      <w:pPr>
        <w:pStyle w:val="ListBullet"/>
      </w:pPr>
      <w:r>
        <w:t>Durée : traitement prolongé (6 mois minimum, souvent 12-24 mois en pratique), réévaluation régulière.</w:t>
      </w:r>
    </w:p>
    <w:p>
      <w:pPr>
        <w:pStyle w:val="ListBullet"/>
      </w:pPr>
      <w:r>
        <w:t>Moment de prise : à heure fixe quotidienne, idéalement au coucher.</w:t>
      </w:r>
    </w:p>
    <w:p>
      <w:r/>
      <w:r>
        <w:rPr>
          <w:b/>
        </w:rPr>
        <w:t>Arbitrage et Bénéfices des Formes Galéniques :</w:t>
      </w:r>
      <w:r/>
    </w:p>
    <w:p>
      <w:r>
        <w:t>Le diénogest est administré exclusivement par voie orale (comprimé 2 mg). Il n'existe pas de forme transdermique, vaginale ou injectable. La prise continue (sans interruption cyclique) est essentielle pour maintenir l'efficacité sur l'endométriose et l'aménorrhée thérapeutique. La spécialité pionnière (Visanne, Bayer) est largement évaluée dans l'endométriose (études Gemini, Coralatte). Le générique (Dimetrum, Besins) offre une accessibilité économique supérieure. Le diénogest représente une alternative majeure aux agonistes GnRH dans l'endométriose, avec une efficacité comparable sur la douleur pelvienne et une meilleure tolérance (absence d'hypoestrogénisme profond, pas de perte osseuse majeure).</w:t>
      </w:r>
    </w:p>
    <w:p>
      <w:r/>
      <w:r>
        <w:rPr>
          <w:b/>
        </w:rPr>
        <w:t>Instructions et Conseils au Patient :</w:t>
      </w:r>
      <w:r/>
    </w:p>
    <w:p>
      <w:pPr>
        <w:pStyle w:val="ListBullet"/>
      </w:pPr>
      <w:r>
        <w:t>Communication au comptoir : expliquer le mode d'action (induction d'une aménorrhée thérapeutique) ; rassurer sur les spotting fréquents en début de traitement (qui régressent en 3-6 mois) ; prévenir sur la prise continue (sans interruption cyclique) et la régularité des prises ; rappeler que le diénogest n'est pas un contraceptif suffisant à lui seul (sauf association à l'EE dans Qlaira) — une contraception associée peut être nécessaire selon le contexte.</w:t>
      </w:r>
    </w:p>
    <w:p>
      <w:pPr>
        <w:pStyle w:val="ListBullet"/>
      </w:pPr>
      <w:r>
        <w:t>Mode d'utilisation pratique : prise à heure fixe quotidienne, avaler le comprimé avec un verre d'eau, ne pas croquer ; en cas d'oubli &gt; 12 heures, prendre le comprimé oublié dès que possible et poursuivre le traitement (sans doubler la dose), utiliser une contraception mécanique (préservatif) pendant 7 jours.</w:t>
      </w:r>
    </w:p>
    <w:p>
      <w:r/>
      <w:r>
        <w:rPr>
          <w:b/>
        </w:rPr>
        <w:t>Notes, Règles d'Or &amp; Pièges au Comptoir :</w:t>
      </w:r>
      <w:r/>
    </w:p>
    <w:p>
      <w:pPr>
        <w:pStyle w:val="ListBullet"/>
      </w:pPr>
      <w:r>
        <w:t>Piège classique : oubli que le diénogest est pris en continu sans interruption cyclique — erreur fréquente de la patiente qui interrompt le traitement à J21 comme un COC classique. Insister sur la prise continue.</w:t>
      </w:r>
    </w:p>
    <w:p>
      <w:pPr>
        <w:pStyle w:val="ListBullet"/>
      </w:pPr>
      <w:r>
        <w:t>Piège : spotting persistant après 6 mois — ne pas banaliser, évaluer la pertinence de la continuation et vérifier l'absence de pathologie endométriale sous-jacente.</w:t>
      </w:r>
    </w:p>
    <w:p>
      <w:pPr>
        <w:pStyle w:val="ListBullet"/>
      </w:pPr>
      <w:r>
        <w:t>Règle de prise : régularité horaire stricte (heure fixe quotidienne).</w:t>
      </w:r>
    </w:p>
    <w:p>
      <w:pPr>
        <w:pStyle w:val="ListBullet"/>
      </w:pPr>
      <w:r>
        <w:t>Préparation et Conservation : comprimés à température &lt; 25 °C, à l'abri de l'humidité.</w:t>
      </w:r>
    </w:p>
    <w:p>
      <w:pPr>
        <w:pStyle w:val="ListBullet"/>
      </w:pPr>
      <w:r>
        <w:t>Piège du surdosage / Substitution : substituabilité Visanne ↔ Dimetrum possible (bioéquivalence démontrée) ; vérifier la spécialité prescrite avant substitution.</w:t>
      </w:r>
    </w:p>
    <w:p>
      <w:pPr>
        <w:pStyle w:val="Heading3"/>
      </w:pPr>
      <w:r>
        <w:t>7. DCI : Ethinylestradiol + Lévonorgestrel (Association)</w:t>
      </w:r>
    </w:p>
    <w:p>
      <w:r/>
      <w:r>
        <w:rPr>
          <w:b/>
        </w:rPr>
        <w:t>Liste des Catégories :</w:t>
      </w:r>
      <w:r>
        <w:t xml:space="preserve"> Contraceptifs oraux combinés — 2e génération ; Liste I.</w:t>
      </w:r>
    </w:p>
    <w:p>
      <w:r>
        <w:t>L'association éthinylestradiol (EE) + lévonorgestrel (LNG) est le prototype de la pilule estroprogestative de 2e génération, commercialisée depuis les années 1970. L'éthinylestradiol est l'estrogène de synthèse de référence (éthinylestradiol, dérivé 17α-éthynylé de l'estradiol) avec une activité estrogénique puissante et une longue demi-vie (13-27 heures). Le lévonorgestrel est un progestatif de synthèse dérivé 19-nortestostérone, à activité progestative puissante et activité androgénique résiduelle modérée. L'association est administrée en schéma monophasique (21 jours actifs + 7 jours d'arrêt ou placebo) ou biphasique/triphasique selon les spécialités. La biodisponibilité orale de l'EE est de l'ordre de 40-60 %, celle du LNG de 95 %.</w:t>
      </w:r>
    </w:p>
    <w:p>
      <w:r/>
      <w:r>
        <w:rPr>
          <w:b/>
        </w:rPr>
        <w:t>Médicaments disponibles en Algérie (Marques, Laboratoires, Formes et Dosages) :</w:t>
      </w:r>
      <w:r/>
    </w:p>
    <w:p>
      <w:pPr>
        <w:pStyle w:val="ListBullet"/>
      </w:pPr>
      <w:r/>
      <w:r>
        <w:rPr>
          <w:b/>
        </w:rPr>
        <w:t>MICROGYNON</w:t>
      </w:r>
      <w:r>
        <w:t xml:space="preserve"> (BAYER AG)</w:t>
      </w:r>
    </w:p>
    <w:p>
      <w:pPr>
        <w:pStyle w:val="ListBullet"/>
      </w:pPr>
      <w:r>
        <w:t>Formes et Dosages : comprimé enrobé 0,15 mg LNG / 0,03 mg EE (B/63)</w:t>
      </w:r>
    </w:p>
    <w:p>
      <w:pPr>
        <w:pStyle w:val="ListBullet"/>
      </w:pPr>
      <w:r>
        <w:t>Statut : Actif (spécialité pionnière monophasique)</w:t>
      </w:r>
    </w:p>
    <w:p>
      <w:pPr>
        <w:pStyle w:val="ListBullet"/>
      </w:pPr>
      <w:r/>
      <w:r>
        <w:rPr>
          <w:b/>
        </w:rPr>
        <w:t>MINIDRIL</w:t>
      </w:r>
      <w:r>
        <w:t xml:space="preserve"> (PFIZER HOLDING FRANCE)</w:t>
      </w:r>
    </w:p>
    <w:p>
      <w:pPr>
        <w:pStyle w:val="ListBullet"/>
      </w:pPr>
      <w:r>
        <w:t>Formes et Dosages : comprimé 0,15 mg LNG / 0,03 mg EE (B/21)</w:t>
      </w:r>
    </w:p>
    <w:p>
      <w:pPr>
        <w:pStyle w:val="ListBullet"/>
      </w:pPr>
      <w:r>
        <w:t>Statut : Actif</w:t>
      </w:r>
    </w:p>
    <w:p>
      <w:pPr>
        <w:pStyle w:val="ListBullet"/>
      </w:pPr>
      <w:r/>
      <w:r>
        <w:rPr>
          <w:b/>
        </w:rPr>
        <w:t>ADEPAL</w:t>
      </w:r>
      <w:r>
        <w:t xml:space="preserve"> (WYETH LEDERLE)</w:t>
      </w:r>
    </w:p>
    <w:p>
      <w:pPr>
        <w:pStyle w:val="ListBullet"/>
      </w:pPr>
      <w:r>
        <w:t>Formes et Dosages : comprimés biphasiques 0,15 mg LNG/0,03 mg EE (blancs, 7 comprimés) + 0,20 mg LNG/0,04 mg EE (rose orange, 14 comprimés) (B/3×21)</w:t>
      </w:r>
    </w:p>
    <w:p>
      <w:pPr>
        <w:pStyle w:val="ListBullet"/>
      </w:pPr>
      <w:r>
        <w:t>Statut : Non Renouvelable</w:t>
      </w:r>
    </w:p>
    <w:p>
      <w:pPr>
        <w:pStyle w:val="ListBullet"/>
      </w:pPr>
      <w:r/>
      <w:r>
        <w:rPr>
          <w:b/>
        </w:rPr>
        <w:t>EVAL</w:t>
      </w:r>
      <w:r>
        <w:t xml:space="preserve"> (FAMY CARE)</w:t>
      </w:r>
    </w:p>
    <w:p>
      <w:pPr>
        <w:pStyle w:val="ListBullet"/>
      </w:pPr>
      <w:r>
        <w:t>Formes et Dosages : comprimés biphasiques 0,15 mg LNG/0,03 mg EE (blancs, 7) + 0,20 mg LNG/0,04 mg EE (rose orange, 14) (B/3×21)</w:t>
      </w:r>
    </w:p>
    <w:p>
      <w:pPr>
        <w:pStyle w:val="ListBullet"/>
      </w:pPr>
      <w:r>
        <w:t>Statut : Non Renouvelable</w:t>
      </w:r>
    </w:p>
    <w:p>
      <w:pPr>
        <w:pStyle w:val="ListBullet"/>
      </w:pPr>
      <w:r/>
      <w:r>
        <w:rPr>
          <w:b/>
        </w:rPr>
        <w:t>STEDIRIL</w:t>
      </w:r>
      <w:r>
        <w:t xml:space="preserve"> (WYETH LEDERLE)</w:t>
      </w:r>
    </w:p>
    <w:p>
      <w:pPr>
        <w:pStyle w:val="ListBullet"/>
      </w:pPr>
      <w:r>
        <w:t>Formes et Dosages : comprimé 0,50 mg LNG/0,05 mg EE (B/21) — formulation « forte dose » historique</w:t>
      </w:r>
    </w:p>
    <w:p>
      <w:pPr>
        <w:pStyle w:val="ListBullet"/>
      </w:pPr>
      <w:r>
        <w:t>Statut : Non Renouvelable</w:t>
      </w:r>
    </w:p>
    <w:p>
      <w:pPr>
        <w:pStyle w:val="ListBullet"/>
      </w:pPr>
      <w:r/>
      <w:r>
        <w:rPr>
          <w:b/>
        </w:rPr>
        <w:t>ORALCAN</w:t>
      </w:r>
      <w:r>
        <w:t xml:space="preserve"> (FAMY CARE)</w:t>
      </w:r>
    </w:p>
    <w:p>
      <w:pPr>
        <w:pStyle w:val="ListBullet"/>
      </w:pPr>
      <w:r>
        <w:t>Formes et Dosages : comprimé 0,15 mg LNG/0,03 mg EE (B/3×21)</w:t>
      </w:r>
    </w:p>
    <w:p>
      <w:pPr>
        <w:pStyle w:val="ListBullet"/>
      </w:pPr>
      <w:r>
        <w:t>Statut : Non Renouvelable</w:t>
      </w:r>
    </w:p>
    <w:p>
      <w:pPr>
        <w:pStyle w:val="ListBullet"/>
      </w:pPr>
      <w:r/>
      <w:r>
        <w:rPr>
          <w:b/>
        </w:rPr>
        <w:t>FAMYNON</w:t>
      </w:r>
      <w:r>
        <w:t xml:space="preserve"> (FAMYCARE LIMITED)</w:t>
      </w:r>
    </w:p>
    <w:p>
      <w:pPr>
        <w:pStyle w:val="ListBullet"/>
      </w:pPr>
      <w:r>
        <w:t>Formes et Dosages : comprimé 0,25 mg LNG/0,05 mg EE (B/3×21)</w:t>
      </w:r>
    </w:p>
    <w:p>
      <w:pPr>
        <w:pStyle w:val="ListBullet"/>
      </w:pPr>
      <w:r>
        <w:t>Statut : Non Renouvelable</w:t>
      </w:r>
    </w:p>
    <w:p>
      <w:pPr>
        <w:pStyle w:val="ListBullet"/>
      </w:pPr>
      <w:r/>
      <w:r>
        <w:rPr>
          <w:b/>
        </w:rPr>
        <w:t>LOGYNON</w:t>
      </w:r>
      <w:r>
        <w:t xml:space="preserve"> (SCHERING S.A.)</w:t>
      </w:r>
    </w:p>
    <w:p>
      <w:pPr>
        <w:pStyle w:val="ListBullet"/>
      </w:pPr>
      <w:r>
        <w:t>Formes et Dosages : comprimés triphasiques 30 µg EE/0,05 mg LNG (6 j) + 40 µg EE/0,075 mg LNG (5 j) + 30 µg EE/0,125 mg LNG (10 j) (B/21)</w:t>
      </w:r>
    </w:p>
    <w:p>
      <w:pPr>
        <w:pStyle w:val="ListBullet"/>
      </w:pPr>
      <w:r>
        <w:t>Statut : Non Renouvelable</w:t>
      </w:r>
    </w:p>
    <w:p>
      <w:pPr>
        <w:pStyle w:val="ListBullet"/>
      </w:pPr>
      <w:r/>
      <w:r>
        <w:rPr>
          <w:b/>
        </w:rPr>
        <w:t>TRINORDIOL</w:t>
      </w:r>
      <w:r>
        <w:t xml:space="preserve"> (WYETH LEDERLE)</w:t>
      </w:r>
    </w:p>
    <w:p>
      <w:pPr>
        <w:pStyle w:val="ListBullet"/>
      </w:pPr>
      <w:r>
        <w:t>Formes et Dosages : comprimés triphasiques 30 µg EE/0,05 mg LNG (6 j) + 40 µg EE/0,075 mg LNG (5 j) + 30 µg EE/0,125 mg LNG (10 j) (B/21)</w:t>
      </w:r>
    </w:p>
    <w:p>
      <w:pPr>
        <w:pStyle w:val="ListBullet"/>
      </w:pPr>
      <w:r>
        <w:t>Statut : Non Renouvelable</w:t>
      </w:r>
    </w:p>
    <w:p>
      <w:pPr>
        <w:pStyle w:val="ListBullet"/>
      </w:pPr>
      <w:r/>
      <w:r>
        <w:rPr>
          <w:b/>
        </w:rPr>
        <w:t>TRIGESTREL</w:t>
      </w:r>
      <w:r>
        <w:t xml:space="preserve"> (FAMYCARE LIMITED)</w:t>
      </w:r>
    </w:p>
    <w:p>
      <w:pPr>
        <w:pStyle w:val="ListBullet"/>
      </w:pPr>
      <w:r>
        <w:t>Formes et Dosages : comprimés triphasiques 0,03 mg EE/0,05 mg LNG + 0,04 mg EE/0,075 mg LNG + 0,03 mg EE/0,125 mg LNG (B/63 — 3 blisters de 21)</w:t>
      </w:r>
    </w:p>
    <w:p>
      <w:pPr>
        <w:pStyle w:val="ListBullet"/>
      </w:pPr>
      <w:r>
        <w:t>Statut : Non Renouvelable</w:t>
      </w:r>
    </w:p>
    <w:p>
      <w:pPr>
        <w:pStyle w:val="ListBullet"/>
      </w:pPr>
      <w:r/>
      <w:r>
        <w:rPr>
          <w:b/>
        </w:rPr>
        <w:t>STEDIRIL</w:t>
      </w:r>
      <w:r>
        <w:t xml:space="preserve"> (WYETH LEDERLE) — ancienne présentation</w:t>
      </w:r>
    </w:p>
    <w:p>
      <w:pPr>
        <w:pStyle w:val="ListBullet"/>
      </w:pPr>
      <w:r>
        <w:t>Formes et Dosages : comprimé 0,50 mg LNG/0,05 mg EE (B/21)</w:t>
      </w:r>
    </w:p>
    <w:p>
      <w:pPr>
        <w:pStyle w:val="ListBullet"/>
      </w:pPr>
      <w:r>
        <w:t>Statut : Retiré (R)</w:t>
      </w:r>
    </w:p>
    <w:p>
      <w:pPr>
        <w:pStyle w:val="ListBullet"/>
      </w:pPr>
      <w:r/>
      <w:r>
        <w:rPr>
          <w:b/>
        </w:rPr>
        <w:t>RIGEVIDON</w:t>
      </w:r>
      <w:r>
        <w:t xml:space="preserve"> (GEDEON RICHTER)</w:t>
      </w:r>
    </w:p>
    <w:p>
      <w:pPr>
        <w:pStyle w:val="ListBullet"/>
      </w:pPr>
      <w:r>
        <w:t>Formes et Dosages : comprimé enrobé 0,15 mg LNG/0,03 mg EE (B/63)</w:t>
      </w:r>
    </w:p>
    <w:p>
      <w:pPr>
        <w:pStyle w:val="ListBullet"/>
      </w:pPr>
      <w:r>
        <w:t>Statut : Retiré (R)</w:t>
      </w:r>
    </w:p>
    <w:p>
      <w:pPr>
        <w:pStyle w:val="ListBullet"/>
      </w:pPr>
      <w:r/>
      <w:r>
        <w:rPr>
          <w:b/>
        </w:rPr>
        <w:t>OVIDON</w:t>
      </w:r>
      <w:r>
        <w:t xml:space="preserve"> (GEDEON RICHTER)</w:t>
      </w:r>
    </w:p>
    <w:p>
      <w:pPr>
        <w:pStyle w:val="ListBullet"/>
      </w:pPr>
      <w:r>
        <w:t>Formes et Dosages : comprimé 0,25 mg LNG/0,05 mg EE (B/63)</w:t>
      </w:r>
    </w:p>
    <w:p>
      <w:pPr>
        <w:pStyle w:val="ListBullet"/>
      </w:pPr>
      <w:r>
        <w:t>Statut : Retiré (R)</w:t>
      </w:r>
    </w:p>
    <w:p>
      <w:pPr>
        <w:pStyle w:val="ListBullet"/>
      </w:pPr>
      <w:r/>
      <w:r>
        <w:rPr>
          <w:b/>
        </w:rPr>
        <w:t>NEOGYNON</w:t>
      </w:r>
      <w:r>
        <w:t xml:space="preserve"> (SCHERING SA)</w:t>
      </w:r>
    </w:p>
    <w:p>
      <w:pPr>
        <w:pStyle w:val="ListBullet"/>
      </w:pPr>
      <w:r>
        <w:t>Formes et Dosages : comprimé enrobé 0,25 mg LNG/0,05 mg EE (B/63)</w:t>
      </w:r>
    </w:p>
    <w:p>
      <w:pPr>
        <w:pStyle w:val="ListBullet"/>
      </w:pPr>
      <w:r>
        <w:t>Statut : Retiré (R)</w:t>
      </w:r>
    </w:p>
    <w:p>
      <w:pPr>
        <w:pStyle w:val="ListBullet"/>
      </w:pPr>
      <w:r/>
      <w:r>
        <w:rPr>
          <w:b/>
        </w:rPr>
        <w:t>TRI-REGOL</w:t>
      </w:r>
      <w:r>
        <w:t xml:space="preserve"> (GEDEON RICHTER)</w:t>
      </w:r>
    </w:p>
    <w:p>
      <w:pPr>
        <w:pStyle w:val="ListBullet"/>
      </w:pPr>
      <w:r>
        <w:t>Formes et Dosages : comprimés enrobés triphasiques 30 µg EE/0,05 mg LNG (6 j) + 40 µg EE/0,075 mg LNG (5 j) + 30 µg EE/0,125 mg LNG (10 j) (B/63)</w:t>
      </w:r>
    </w:p>
    <w:p>
      <w:pPr>
        <w:pStyle w:val="ListBullet"/>
      </w:pPr>
      <w:r>
        <w:t>Statut : Retiré (R)</w:t>
      </w:r>
    </w:p>
    <w:p>
      <w:r/>
      <w:r>
        <w:rPr>
          <w:b/>
        </w:rPr>
        <w:t>Sous-classe et Mécanisme d'action :</w:t>
      </w:r>
      <w:r/>
    </w:p>
    <w:p>
      <w:pPr>
        <w:pStyle w:val="ListBullet"/>
      </w:pPr>
      <w:r>
        <w:t>Sous-classe : contraceptif oral combiné (COC) de 2e génération, association estroprogestative à base d'éthinylestradiol et de lévonorgestrel.</w:t>
      </w:r>
    </w:p>
    <w:p>
      <w:pPr>
        <w:pStyle w:val="ListBullet"/>
      </w:pPr>
      <w:r>
        <w:t>Mécanisme d'action : triple action contraceptive — (1) inhibition de l'ovulation : l'éthinylestradiol exerce un rétrocontrôle négatif sur l'hypothalamus et l'antéhypophyse, supprimant la sécrétion pulsatile de GnRH et de FSH/LH, et empêchant le pic ovulant de LH responsable de l'ovulation ; (2) modification de la glaire cervicale : le lévonorgestrel épaissit et diminue la quantité de glaire cervicale, rendant la remontée des spermatozoïdes vers la cavité utérine difficile ; (3) modification de l'endomètre : atrophie endométriale rendant la nidation d'un éventuel blastocyste improbable. L'efficacité contraceptive est excellente (indice de Pearl 0,3 en usage parfait, ~9 en usage typique). Le lévonorgestrel conserve une activité androgénique résiduelle modérée, à l'origine de certains effets indésirables cutanés (acné, séborrhée) et métaboliques.</w:t>
      </w:r>
    </w:p>
    <w:p>
      <w:r/>
      <w:r>
        <w:rPr>
          <w:b/>
        </w:rPr>
        <w:t>Profil Pharmacologique :</w:t>
      </w:r>
      <w:r/>
    </w:p>
    <w:p>
      <w:pPr>
        <w:pStyle w:val="ListBullet"/>
      </w:pPr>
      <w:r>
        <w:t>Indications : contraception hormonale orale chez la femme en âge de procréer, en l'absence de contre-indication aux estrogènes. Traitement de la dysménorrhée essentielle, du syndrome prémenstruel, des métrorragies fonctionnelles, de l'hyperandrogénie légère (acné, hirsutisme léger), de l'endométriose pelvienne modérée (en supprimant les cycles menstruels).</w:t>
      </w:r>
    </w:p>
    <w:p>
      <w:pPr>
        <w:pStyle w:val="ListBullet"/>
      </w:pPr>
      <w:r>
        <w:t>Contre-indications : tabagique &gt; 35 ans (CI absolue à l'estrogène) ; antécédent thromboembolique veineux personnel (phlébite, embolie pulmonaire) ; accident vasculaire cérébral ; infarctus du myocarde ; cardiopathie ischémique ; valvulopathie sévère ; hypertension artérielle non contrôlée ; migraine avec aura (sur-risque d'AVC) ; diabète compliqué (néphropathie, rétinopathie, neuropathie) ou évoluant depuis &gt; 20 ans ; dyslipidémie sévère (hypertriglycéridémie &gt; 4 mmol/L) ; hépatopathie sévère (cytolyse, cholestase) ; cancer du sein hormono-dépendant présent ou antécédent ; tumeur hépatique ; lupus érythémateux disséminé avec antiphospholipides ; hémorragie cérébrale ; grossesse évolutive ; allaitement &lt; 6 semaines post-partum ; immobilisation prolongée prévisible (chirurgie, plâtre) ; hypersensibilité à l'un des composants.</w:t>
      </w:r>
    </w:p>
    <w:p>
      <w:pPr>
        <w:pStyle w:val="ListBullet"/>
      </w:pPr>
      <w:r>
        <w:t>Effets Indésirables : risque thromboembolique veineux (RR 3-5 vs non-utilisatrices, inférieur aux 3e et 4e générations) ; risque d'AVC ischémique (surtout chez la femme hypertendue ou migraineuse) ; infarctus du myocarde (surtout chez la fumeuse &gt; 35 ans) ; hypertension artérielle ; céphalées, migraines (prudence si aggravation) ; nausées, vomissements (transitoires, 2-3 premiers mois) ; tension mammaire, mastodynie ; spotting, métrorragies (fréquents en début de traitement) ; aménorrhée post-pilule (rare) ; prise de poids modeste ; acné, séborrhée (effet androgénique du LNG) ; troubles de l'humeur (irritabilité, dépression) ; baisse de la libido ; modification du profil lipidique (baisse HDL, hausse LDL) ; intolérance glucidique modeste ; risque de cancer du sein (augmentation légère, retour à la normale 10 ans après arrêt) ; risque de cancer du col (lié au HPV, potentialisé par la pilule) ; risque de cholestase et de lithiase biliaire.</w:t>
      </w:r>
    </w:p>
    <w:p>
      <w:r/>
      <w:r>
        <w:rPr>
          <w:b/>
        </w:rPr>
        <w:t>Prévention et Gestion des Effets Indésirables :</w:t>
      </w:r>
      <w:r/>
    </w:p>
    <w:p>
      <w:pPr>
        <w:pStyle w:val="ListBullet"/>
      </w:pPr>
      <w:r>
        <w:t>Mesures Préventives : évaluation pré-thérapeutique du risque thromboembolique (interrogatoire détaillé sur les antécédents personnels et familiaux, tabagisme, IMC, varices) ; mesure de la pression artérielle avant initiation et à 3 mois ; bilan biologique (glycémie, lipidogramme) en cas de facteur de risque ; arrêt du tabac impératif avant 35 ans ou bascule vers une contraception progestative pure ; arrêt de la pilule 4 semaines avant une chirurgie programmée avec immobilisation prolongée et reprise 2 semaines après mobilisation complète ; surveillance des céphalées (arrêt si migraine de novo ou aggravation, surtout si aura).</w:t>
      </w:r>
    </w:p>
    <w:p>
      <w:pPr>
        <w:pStyle w:val="ListBullet"/>
      </w:pPr>
      <w:r>
        <w:t>Conduite à Tenir : arrêt immédiat en cas de douleur thoracique, dyspnée, douleur mollet, céphalées brutales et inhabituelles, troubles visuels transitoires, ictère, prurit, HTA sévère ; consultation médicale en urgence pour suspicion d'événement thromboembolique. Surveillance clinique : examen des seins annuel, frottis cervico-utérin selon calendrier national.</w:t>
      </w:r>
    </w:p>
    <w:p>
      <w:r/>
      <w:r>
        <w:rPr>
          <w:b/>
        </w:rPr>
        <w:t>Interactions Importantes :</w:t>
      </w:r>
      <w:r/>
    </w:p>
    <w:p>
      <w:pPr>
        <w:pStyle w:val="ListBullet"/>
      </w:pPr>
      <w:r>
        <w:t>COC + inducteurs enzymatiques puissants (rifampicine, rifabutine, phénytoïne, carbamazépine, phénobarbital, primidone, oxcarbazépine, topiramate &gt; 200 mg/j, modafinil, névirapine, éfavirenz, ritonavir boosté en traitement chronique, griséofulvine, millepertuis) : diminution majeure de l'efficacité contraceptive — utiliser une méthode mécanique (préservatif) pendant toute la durée de l'association et 28 jours après l'arrêt de l'inducteur ; envisager une alternative contraceptive non hormonale (DIU cuivre).</w:t>
      </w:r>
    </w:p>
    <w:p>
      <w:pPr>
        <w:pStyle w:val="ListBullet"/>
      </w:pPr>
      <w:r>
        <w:t>COC + antibiotiques (cyclines, pénicillines, cotrimoxazole) : la théorie de la baisse d'efficacité par déconjugaison entérohépatique des estrogènes a été remise en cause par les données récentes de l'ANSM (2013) — la contraception mécanique n'est plus recommandée systématiquement, sauf pour la rifampicine (qui est un inducteur enzymatique puissant) et certains antirétroviraux.</w:t>
      </w:r>
    </w:p>
    <w:p>
      <w:pPr>
        <w:pStyle w:val="ListBullet"/>
      </w:pPr>
      <w:r>
        <w:t>COC + millepertuis (Saint-Jean) : baisse d'efficacité contraceptive documentée — déconseiller l'association.</w:t>
      </w:r>
    </w:p>
    <w:p>
      <w:pPr>
        <w:pStyle w:val="ListBullet"/>
      </w:pPr>
      <w:r>
        <w:t>COC + lamotrigine : diminution des concentrations de lamotrigine (induction de la glucuronidation) — risque de rechute convulsive.</w:t>
      </w:r>
    </w:p>
    <w:p>
      <w:pPr>
        <w:pStyle w:val="ListBullet"/>
      </w:pPr>
      <w:r>
        <w:t>EE + cyclosporine, tacrolimus : augmentation des concentrations de l'immunosuppresseur (inhibition du métabolisme hépatique).</w:t>
      </w:r>
    </w:p>
    <w:p>
      <w:r/>
      <w:r>
        <w:rPr>
          <w:b/>
        </w:rPr>
        <w:t>Grossesse et Allaitement :</w:t>
      </w:r>
      <w:r/>
    </w:p>
    <w:p>
      <w:pPr>
        <w:pStyle w:val="ListBullet"/>
      </w:pPr>
      <w:r>
        <w:t>Grossesse : CI absolue (catégorie X FDA). Arrêt immédiat dès suspicion de grossesse. Selon le CRAT, exposition accidentelle en début de grossesse n'impose pas d'IVG mais justifie une surveillance échographique morphologique ; aucun sur-risque malformatif démontré.</w:t>
      </w:r>
    </w:p>
    <w:p>
      <w:pPr>
        <w:pStyle w:val="ListBullet"/>
      </w:pPr>
      <w:r>
        <w:t>Allaitement : CI (les estrogènes diminuent la production lactée et passent dans le lait). Préférer les progestatifs purs (désogestrel après 6 semaines post-partum) en contraception post-partum chez la femme allaitante.</w:t>
      </w:r>
    </w:p>
    <w:p>
      <w:pPr>
        <w:pStyle w:val="ListBullet"/>
      </w:pPr>
      <w:r>
        <w:t>Précisions : reprise de la fertilité rapide à l'arrêt (grossesse possible dès le cycle suivant).</w:t>
      </w:r>
    </w:p>
    <w:p>
      <w:r/>
      <w:r>
        <w:rPr>
          <w:b/>
        </w:rPr>
        <w:t>Posologie et Mode d'administration (Standard) :</w:t>
      </w:r>
      <w:r/>
    </w:p>
    <w:p>
      <w:pPr>
        <w:pStyle w:val="ListBullet"/>
      </w:pPr>
      <w:r>
        <w:t>Adulte (contraception, schéma 21+7) : 1 comprimé par jour pendant 21 jours consécutifs à heure fixe, suivi de 7 jours d'arrêt pendant lesquels survient une hémorragie de privation. Reprise le 8e jour après l'arrêt, quel que soit le jour du cycle.</w:t>
      </w:r>
    </w:p>
    <w:p>
      <w:pPr>
        <w:pStyle w:val="ListBullet"/>
      </w:pPr>
      <w:r>
        <w:t>Adulte (schéma 28 jours continu) : 1 comprimé actif par jour pendant 21 jours, suivi de 7 comprimés placebo pendant 7 jours, sans interruption entre les plaquettes.</w:t>
      </w:r>
    </w:p>
    <w:p>
      <w:pPr>
        <w:pStyle w:val="ListBullet"/>
      </w:pPr>
      <w:r>
        <w:t>Adulte (en continu, sans arrêt) : certaines patientes peuvent prendre les comprimés actifs en continu (sans interruption cyclique) pour supprimer les hémorragies de privation (cycle long, aménorrhée thérapeutique) — pratique de plus en plus répandue, notamment dans l'endométriose.</w:t>
      </w:r>
    </w:p>
    <w:p>
      <w:pPr>
        <w:pStyle w:val="ListBullet"/>
      </w:pPr>
      <w:r>
        <w:t>Durée : tant que la contraception est souhaitée, sous réserve de l'absence d'événement intercurrent.</w:t>
      </w:r>
    </w:p>
    <w:p>
      <w:pPr>
        <w:pStyle w:val="ListBullet"/>
      </w:pPr>
      <w:r>
        <w:t>Moment de prise : à heure fixe quotidienne (idéalement le soir au coucher ou le matin au réveil).</w:t>
      </w:r>
    </w:p>
    <w:p>
      <w:r/>
      <w:r>
        <w:rPr>
          <w:b/>
        </w:rPr>
        <w:t>Arbitrage et Bénéfices des Formes Galéniques :</w:t>
      </w:r>
      <w:r/>
    </w:p>
    <w:p>
      <w:r>
        <w:t>La forme orale monophasique (EE 30 µg + LNG 150 µg) est la plus prescrite et la mieux évaluée. Les formes biphasiques (Adepal, Eval) et triphasiques (Logynon, Trinordiol, Trigestrel) modulent les doses d'EE et de LNG selon le jour du cycle, dans le but historique de réduire l'imprégnation hormonale totale et d'améliorer la tolérance métabolique. Toutefois, ces schémas n'ont pas démontré de supériorité d'efficacité ni de tolérance par rapport à la forme monophasique, et la compliance est plus difficile en raison de la différenciation des comprimés par couleur. La formulation « forte dose » (Stediril 0,50 mg/0,05 mg) est historique et n'est plus recommandée en contraception de première intention (sur-risque thromboembolique). Les COC de 2e génération restent le choix de première intention chez la femme sans facteur de risque, en raison de leur balance bénéfice-risque favorable et de leur coût modeste.</w:t>
      </w:r>
    </w:p>
    <w:p>
      <w:r/>
      <w:r>
        <w:rPr>
          <w:b/>
        </w:rPr>
        <w:t>Instructions et Conseils au Patient :</w:t>
      </w:r>
      <w:r/>
    </w:p>
    <w:p>
      <w:pPr>
        <w:pStyle w:val="ListBullet"/>
      </w:pPr>
      <w:r>
        <w:t>Communication au comptoir : expliquer le mode de prise (1 comprimé par jour à heure fixe), la gestion des oublis (règle des 12 heures : si oubli &lt; 12 h, prendre le comprimé oublié dès que possible et poursuivre la plaquette ; si oubli &gt; 12 h, prendre le comprimé oublié et utiliser une contraception mécanique pendant 7 jours) ; prévenir sur les vomissements (si vomissement &lt; 3 heures après la prise, prendre un autre comprimé) ; prévenir sur les spotting fréquents en début de traitement (qui régressent en 2-3 mois) ; rappeler les signes d'arrêt immédiat (douleur thoracique, jambe, céphalée brutale).</w:t>
      </w:r>
    </w:p>
    <w:p>
      <w:pPr>
        <w:pStyle w:val="ListBullet"/>
      </w:pPr>
      <w:r>
        <w:t>Mode d'utilisation pratique : prise à heure fixe quotidienne, avaler le comprimé avec un verre d'eau, idéalement au coucher ; tenir un carnet de suivi des prises ; prévoir à l'avance la plaquette suivante pour éviter toute rupture.</w:t>
      </w:r>
    </w:p>
    <w:p>
      <w:r/>
      <w:r>
        <w:rPr>
          <w:b/>
        </w:rPr>
        <w:t>Notes, Règles d'Or &amp; Pièges au Comptoir :</w:t>
      </w:r>
      <w:r/>
    </w:p>
    <w:p>
      <w:pPr>
        <w:pStyle w:val="ListBullet"/>
      </w:pPr>
      <w:r>
        <w:t>Piège classique : prescription d'un COC de 2e génération chez une femme fumeuse &gt; 35 ans — contre-indication absolue (sur-risque cardiovasculaire mortel), refuser la délivrance et orienter vers un progestatif pur.</w:t>
      </w:r>
    </w:p>
    <w:p>
      <w:pPr>
        <w:pStyle w:val="ListBullet"/>
      </w:pPr>
      <w:r>
        <w:t>Piège : oubli &gt; 12 heures combiné à un rapport sexuel dans les 7 jours précédents — utiliser une contraception d'urgence (lévonorgestrel 1,5 mg ASAP, idéalement &lt; 72 heures) et poursuivre la pilule habituelle.</w:t>
      </w:r>
    </w:p>
    <w:p>
      <w:pPr>
        <w:pStyle w:val="ListBullet"/>
      </w:pPr>
      <w:r>
        <w:t>Règle de prise : régularité horaire stricte, idéalement le soir au coucher (réduit la fréquence des nausées).</w:t>
      </w:r>
    </w:p>
    <w:p>
      <w:pPr>
        <w:pStyle w:val="ListBullet"/>
      </w:pPr>
      <w:r>
        <w:t>Préparation et Conservation : comprimés à température &lt; 25 °C, à l'abri de l'humidité.</w:t>
      </w:r>
    </w:p>
    <w:p>
      <w:pPr>
        <w:pStyle w:val="ListBullet"/>
      </w:pPr>
      <w:r>
        <w:t>Piège du surdosage / Substitution : substituabilité Microgynon ↔ Minidril ↔ génériques locaux (Marilon, DESOGYLON est 3e génération et non substituable !) possible (vérifier la composition exacte) ; ne pas substituer une forme monophasique par une forme biphasique ou triphasique sans avis médical.</w:t>
      </w:r>
    </w:p>
    <w:p>
      <w:pPr>
        <w:pStyle w:val="Heading3"/>
      </w:pPr>
      <w:r>
        <w:t>8. DCI : Ethinylestradiol + Désogestrel (Association)</w:t>
      </w:r>
    </w:p>
    <w:p>
      <w:r/>
      <w:r>
        <w:rPr>
          <w:b/>
        </w:rPr>
        <w:t>Liste des Catégories :</w:t>
      </w:r>
      <w:r>
        <w:t xml:space="preserve"> Contraceptifs oraux combinés — 3e génération ; Liste I.</w:t>
      </w:r>
    </w:p>
    <w:p>
      <w:r>
        <w:t>L'association éthinylestradiol (EE) + désogestrel est un COC de 3e génération, commercialisé dans les années 1990. Le désogestrel est un progestatif de synthèse dérivé 19-nortestostérone, prodrogue métabolisée en etonogestrel (métabolite actif) par le CYP2C9 hépatique. Le désogestrel présente une activité progestative puissante avec une moindre activité androgénique que le lévonorgestrel, justifiant sa promotion initiale pour une meilleure tolérance cutanée et métabolique. Cependant, plusieurs études épidémiologiques (Lidegaard 2009, 2011) ont mis en évidence un sur-risque thromboembolique veineux (RR 1,5 à 2,3) par rapport à la 2e génération, conduisant à une restriction d'utilisation en seconde intention.</w:t>
      </w:r>
    </w:p>
    <w:p>
      <w:r/>
      <w:r>
        <w:rPr>
          <w:b/>
        </w:rPr>
        <w:t>Médicaments disponibles en Algérie (Marques, Laboratoires, Formes et Dosages) :</w:t>
      </w:r>
      <w:r/>
    </w:p>
    <w:p>
      <w:pPr>
        <w:pStyle w:val="ListBullet"/>
      </w:pPr>
      <w:r/>
      <w:r>
        <w:rPr>
          <w:b/>
        </w:rPr>
        <w:t>MERCILON</w:t>
      </w:r>
      <w:r>
        <w:t xml:space="preserve"> (ORGANON, ex AKZO NOBEL)</w:t>
      </w:r>
    </w:p>
    <w:p>
      <w:pPr>
        <w:pStyle w:val="ListBullet"/>
      </w:pPr>
      <w:r>
        <w:t>Formes et Dosages : comprimé 0,02 mg EE / 0,15 mg désogestrel (B/21)</w:t>
      </w:r>
    </w:p>
    <w:p>
      <w:pPr>
        <w:pStyle w:val="ListBullet"/>
      </w:pPr>
      <w:r>
        <w:t>Statut : Non Renouvelable (spécialité pionnière)</w:t>
      </w:r>
    </w:p>
    <w:p>
      <w:pPr>
        <w:pStyle w:val="ListBullet"/>
      </w:pPr>
      <w:r/>
      <w:r>
        <w:rPr>
          <w:b/>
        </w:rPr>
        <w:t>GRACIAL</w:t>
      </w:r>
      <w:r>
        <w:t xml:space="preserve"> (ORGANON N.V.)</w:t>
      </w:r>
    </w:p>
    <w:p>
      <w:pPr>
        <w:pStyle w:val="ListBullet"/>
      </w:pPr>
      <w:r>
        <w:t>Formes et Dosages : comprimés biphasiques 30 µg EE/125 µg désogestrel (blancs, 15 comprimés) + 40 µg EE/25 µg désogestrel (bleus, 7 comprimés) (B/22 — 15 blancs + 7 bleus)</w:t>
      </w:r>
    </w:p>
    <w:p>
      <w:pPr>
        <w:pStyle w:val="ListBullet"/>
      </w:pPr>
      <w:r>
        <w:t>Statut : Non Renouvelable</w:t>
      </w:r>
    </w:p>
    <w:p>
      <w:pPr>
        <w:pStyle w:val="ListBullet"/>
      </w:pPr>
      <w:r/>
      <w:r>
        <w:rPr>
          <w:b/>
        </w:rPr>
        <w:t>MARVELON</w:t>
      </w:r>
      <w:r>
        <w:t xml:space="preserve"> (ORGANON N.V.) — formulation associée 0,15 mg désogestrel + 0,03 mg EE</w:t>
      </w:r>
    </w:p>
    <w:p>
      <w:pPr>
        <w:pStyle w:val="ListBullet"/>
      </w:pPr>
      <w:r>
        <w:t>Formes et Dosages : comprimé 0,15 mg désogestrel / 0,03 mg EE (B/3×21)</w:t>
      </w:r>
    </w:p>
    <w:p>
      <w:pPr>
        <w:pStyle w:val="ListBullet"/>
      </w:pPr>
      <w:r>
        <w:t>Statut : Actif (classé dans cette sous-classe mais dose EE 30 µg)</w:t>
      </w:r>
    </w:p>
    <w:p>
      <w:pPr>
        <w:pStyle w:val="ListBullet"/>
      </w:pPr>
      <w:r/>
      <w:r>
        <w:rPr>
          <w:b/>
        </w:rPr>
        <w:t>DESOGYLON</w:t>
      </w:r>
      <w:r>
        <w:t xml:space="preserve"> (BIORMONE)</w:t>
      </w:r>
    </w:p>
    <w:p>
      <w:pPr>
        <w:pStyle w:val="ListBullet"/>
      </w:pPr>
      <w:r>
        <w:t>Formes et Dosages : comprimé 0,15 mg désogestrel / 0,02 mg EE (B/21)</w:t>
      </w:r>
    </w:p>
    <w:p>
      <w:pPr>
        <w:pStyle w:val="ListBullet"/>
      </w:pPr>
      <w:r>
        <w:t>Statut : Actif (générique local de Mercilon)</w:t>
      </w:r>
    </w:p>
    <w:p>
      <w:pPr>
        <w:pStyle w:val="ListBullet"/>
      </w:pPr>
      <w:r/>
      <w:r>
        <w:rPr>
          <w:b/>
        </w:rPr>
        <w:t>MARILON</w:t>
      </w:r>
      <w:r>
        <w:t xml:space="preserve"> (SPA UNION PHARMACEUITIQUE CONSTANTINOISE PRODUCTION — UPC)</w:t>
      </w:r>
    </w:p>
    <w:p>
      <w:pPr>
        <w:pStyle w:val="ListBullet"/>
      </w:pPr>
      <w:r>
        <w:t>Formes et Dosages : comprimé 150 µg désogestrel / 20 µg EE (B/21)</w:t>
      </w:r>
    </w:p>
    <w:p>
      <w:pPr>
        <w:pStyle w:val="ListBullet"/>
      </w:pPr>
      <w:r>
        <w:t>Statut : Actif (générique local)</w:t>
      </w:r>
    </w:p>
    <w:p>
      <w:r/>
      <w:r>
        <w:rPr>
          <w:b/>
        </w:rPr>
        <w:t>Sous-classe et Mécanisme d'action :</w:t>
      </w:r>
      <w:r/>
    </w:p>
    <w:p>
      <w:pPr>
        <w:pStyle w:val="ListBullet"/>
      </w:pPr>
      <w:r>
        <w:t>Sous-classe : contraceptif oral combiné (COC) de 3e génération, association éthinylestradiol + désogestrel.</w:t>
      </w:r>
    </w:p>
    <w:p>
      <w:pPr>
        <w:pStyle w:val="ListBullet"/>
      </w:pPr>
      <w:r>
        <w:t>Mécanisme d'action : triple action contraceptive identique à la 2e génération — (1) inhibition de l'ovulation par rétrocontrôle négatif hypothalamo-hypophysaire de l'EE sur la GnRH et de FSH/LH, empêchant le pic ovulant de LH ; (2) modification de la glaire cervicale (épaississement, diminution) par le désogestrel ; (3) atrophie endométriale rendant la nidation improbable. Le désogestrel est métabolisé en etonogestrel (métabolite actif) qui se fixe au récepteur progestatif PR avec une affinité élevée, exerçant une activité progestative puissante. Sa moindre activité androgénique (vs lévonorgestrel) explique une meilleure tolérance cutanée (acné, séborrhée) et une neutralité métabolique sur le profil lipidique. Toutefois, le métabolisme en etonogestrel et la pharmacocinétique particulière du désogestrel sont associés à une augmentation de la résistance à la protéine C activée (APC-résistance acquise), expliquant le sur-risque thromboembolique veineux.</w:t>
      </w:r>
    </w:p>
    <w:p>
      <w:r/>
      <w:r>
        <w:rPr>
          <w:b/>
        </w:rPr>
        <w:t>Profil Pharmacologique :</w:t>
      </w:r>
      <w:r/>
    </w:p>
    <w:p>
      <w:pPr>
        <w:pStyle w:val="ListBullet"/>
      </w:pPr>
      <w:r>
        <w:t>Indications : contraception hormonale orale en seconde intention, après échec (intolérance, saignements) ou contre-indication relative à une 2e génération, chez la femme présentant une hyperandrogénie légère (acné, séborrhée, hirsutisme léger) améliorée par le désogestrel.</w:t>
      </w:r>
    </w:p>
    <w:p>
      <w:pPr>
        <w:pStyle w:val="ListBullet"/>
      </w:pPr>
      <w:r>
        <w:t>Contre-indications : identiques à celles de la 2e génération, avec une vigilance accrue sur le sur-risque thromboembolique veineux (préférer une 2e génération en cas d'antécédent familial thromboembolique sans thrombophilie documentée) ; tabagisme &gt; 35 ans ; antécédent thromboembolique veineux personnel ; migraine avec aura ; HTA non contrôlée ; cardiopathie ischémique ; AVC ; hépatopathie sévère ; cancer du sein ; grossesse ; allaitement &lt; 6 semaines post-partum.</w:t>
      </w:r>
    </w:p>
    <w:p>
      <w:pPr>
        <w:pStyle w:val="ListBullet"/>
      </w:pPr>
      <w:r>
        <w:t>Effets Indésirables : risque thromboembolique veineux (RR 1,5 à 2,3 vs 2e génération — mécanisme : augmentation de la résistance à la protéine C activée) ; céphalées, migraines ; nausées, vomissements ; tension mammaire ; spotting, métrorragies ; acné paradoxale transitoire ; prise de poids ; troubles de l'humeur ; baisse de la libido ; modification du profil lipidique (moindre que 2e génération) ; intolérance glucidique ; risque de cancer du sein (légère augmentation) ; risque de cholestase.</w:t>
      </w:r>
    </w:p>
    <w:p>
      <w:r/>
      <w:r>
        <w:rPr>
          <w:b/>
        </w:rPr>
        <w:t>Prévention et Gestion des Effets Indésirables :</w:t>
      </w:r>
      <w:r/>
    </w:p>
    <w:p>
      <w:pPr>
        <w:pStyle w:val="ListBullet"/>
      </w:pPr>
      <w:r>
        <w:t>Mesures Préventives : évaluation pré-thérapeutique du risque thromboembolique (interrogatoire, antécédents personnels et familiaux, tabagisme, IMC, varices) ; mesure de la pression artérielle ; en cas d'antécédent familial thromboembolique ou de suspicion de thrombophilie, prescription d'une 2e génération (lévonorgestrel) ou d'une contraception progestative pure ; arrêt 4 semaines avant chirurgie programmée avec immobilisation prolongée.</w:t>
      </w:r>
    </w:p>
    <w:p>
      <w:pPr>
        <w:pStyle w:val="ListBullet"/>
      </w:pPr>
      <w:r>
        <w:t>Conduite à Tenir : arrêt immédiat en cas de suspicion d'événement thromboembolique (douleur thoracique, dyspnée, douleur mollet, céphalée brutale, troubles visuels) ; consultation urgente. Surveillance des céphalées (arrêt si migraine de novo ou aggravation, surtout si aura).</w:t>
      </w:r>
    </w:p>
    <w:p>
      <w:r/>
      <w:r>
        <w:rPr>
          <w:b/>
        </w:rPr>
        <w:t>Interactions Importantes :</w:t>
      </w:r>
      <w:r/>
    </w:p>
    <w:p>
      <w:pPr>
        <w:pStyle w:val="ListBullet"/>
      </w:pPr>
      <w:r>
        <w:t>COC + inducteurs enzymatiques (rifampicine, phénytoïne, carbamazépine, phénobarbital, millepertuis) : diminution majeure de l'efficacité — contraception mécanique pendant toute la durée et 28 jours après l'arrêt.</w:t>
      </w:r>
    </w:p>
    <w:p>
      <w:pPr>
        <w:pStyle w:val="ListBullet"/>
      </w:pPr>
      <w:r>
        <w:t>COC + lamotrigine : diminution des concentrations de lamotrigine.</w:t>
      </w:r>
    </w:p>
    <w:p>
      <w:pPr>
        <w:pStyle w:val="ListBullet"/>
      </w:pPr>
      <w:r>
        <w:t>EE + cyclosporine, tacrolimus : augmentation des concentrations de l'immunosuppresseur.</w:t>
      </w:r>
    </w:p>
    <w:p>
      <w:r/>
      <w:r>
        <w:rPr>
          <w:b/>
        </w:rPr>
        <w:t>Grossesse et Allaitement :</w:t>
      </w:r>
      <w:r/>
    </w:p>
    <w:p>
      <w:pPr>
        <w:pStyle w:val="ListBullet"/>
      </w:pPr>
      <w:r>
        <w:t>Grossesse : CI absolue (catégorie X FDA). Arrêt immédiat dès suspicion de grossesse. Selon le CRAT, exposition accidentelle n'impose pas d'IVG mais justifie une surveillance échographique.</w:t>
      </w:r>
    </w:p>
    <w:p>
      <w:pPr>
        <w:pStyle w:val="ListBullet"/>
      </w:pPr>
      <w:r>
        <w:t>Allaitement : CI (estrogènes diminuent la production lactée et passent dans le lait). Préférer les progestatifs purs après 6 semaines post-partum.</w:t>
      </w:r>
    </w:p>
    <w:p>
      <w:pPr>
        <w:pStyle w:val="ListBullet"/>
      </w:pPr>
      <w:r>
        <w:t>Précisions : reprise de la fertilité rapide à l'arrêt.</w:t>
      </w:r>
    </w:p>
    <w:p>
      <w:r/>
      <w:r>
        <w:rPr>
          <w:b/>
        </w:rPr>
        <w:t>Posologie et Mode d'administration (Standard) :</w:t>
      </w:r>
      <w:r/>
    </w:p>
    <w:p>
      <w:pPr>
        <w:pStyle w:val="ListBullet"/>
      </w:pPr>
      <w:r>
        <w:t>Adulte (contraception, schéma 21+7) : 1 comprimé par jour pendant 21 jours consécutifs à heure fixe, suivi de 7 jours d'arrêt (hémorragie de privation). Reprise le 8e jour après l'arrêt.</w:t>
      </w:r>
    </w:p>
    <w:p>
      <w:pPr>
        <w:pStyle w:val="ListBullet"/>
      </w:pPr>
      <w:r>
        <w:t>Adulte (schéma 28 jours continu) : 1 comprimé actif par jour pendant 21 jours, suivi de 7 comprimés placebo pendant 7 jours.</w:t>
      </w:r>
    </w:p>
    <w:p>
      <w:pPr>
        <w:pStyle w:val="ListBullet"/>
      </w:pPr>
      <w:r>
        <w:t>Durée : tant que la contraception est souhaitée.</w:t>
      </w:r>
    </w:p>
    <w:p>
      <w:pPr>
        <w:pStyle w:val="ListBullet"/>
      </w:pPr>
      <w:r>
        <w:t>Moment de prise : à heure fixe quotidienne, idéalement le soir.</w:t>
      </w:r>
    </w:p>
    <w:p>
      <w:r/>
      <w:r>
        <w:rPr>
          <w:b/>
        </w:rPr>
        <w:t>Arbitrage et Bénéfices des Formes Galéniques :</w:t>
      </w:r>
      <w:r/>
    </w:p>
    <w:p>
      <w:r>
        <w:t>La forme monophasique à 20 µg EE (Mercilon, Desogylon, Marilon) offre une dose d'estrogène réduite par rapport à la formulation à 30 µg EE (Marvelon), avec une efficacité contraceptive comparable et une meilleure tolérance métabolique et mammaire. La forme biphasique (Gracial) module les doses d'EE et de désogestrel selon le jour du cycle, sans bénéfice démontré sur l'efficacité ou la tolérance. La dose de 20 µg EE est particulièrement appropriée chez la femme présentant une intolérance aux estrogènes (mastodynie, céphalées, nausées) ou un risque cardiovasculaire intermédiaire.</w:t>
      </w:r>
    </w:p>
    <w:p>
      <w:r/>
      <w:r>
        <w:rPr>
          <w:b/>
        </w:rPr>
        <w:t>Instructions et Conseils au Patient :</w:t>
      </w:r>
      <w:r/>
    </w:p>
    <w:p>
      <w:pPr>
        <w:pStyle w:val="ListBullet"/>
      </w:pPr>
      <w:r>
        <w:t>Communication au comptoir : expliquer le mode de prise et la gestion des oublis ; prévenir sur le sur-risque thromboembolique veineux par rapport à la 2e génération et l'importance de ne pas fumer (surtout &gt; 35 ans) ; prévenir sur les signes d'arrêt immédiat (douleur thoracique, jambe, céphalée brutale).</w:t>
      </w:r>
    </w:p>
    <w:p>
      <w:pPr>
        <w:pStyle w:val="ListBullet"/>
      </w:pPr>
      <w:r>
        <w:t>Mode d'utilisation pratique : prise à heure fixe quotidienne, idéalement le soir au coucher ; tenir un carnet de suivi.</w:t>
      </w:r>
    </w:p>
    <w:p>
      <w:r/>
      <w:r>
        <w:rPr>
          <w:b/>
        </w:rPr>
        <w:t>Notes, Règles d'Or &amp; Pièges au Comptoir :</w:t>
      </w:r>
      <w:r/>
    </w:p>
    <w:p>
      <w:pPr>
        <w:pStyle w:val="ListBullet"/>
      </w:pPr>
      <w:r>
        <w:t>Piège classique : substitution d'une 2e génération par une 3e génération sans avis médical — erreur fréquente, en raison du sur-risque thromboembolique veineux. Toujours respecter la prescription médicale stricte.</w:t>
      </w:r>
    </w:p>
    <w:p>
      <w:pPr>
        <w:pStyle w:val="ListBullet"/>
      </w:pPr>
      <w:r>
        <w:t>Piège : oubli que DESOGYLON, MARILON, MERCILON sont des 3e génération (désogestrel) alors que MICROGYNON, MINIDRIL sont des 2e génération (lévonorgestrel) — ne pas substituer entre ces classes.</w:t>
      </w:r>
    </w:p>
    <w:p>
      <w:pPr>
        <w:pStyle w:val="ListBullet"/>
      </w:pPr>
      <w:r>
        <w:t>Règle de prise : régularité horaire stricte.</w:t>
      </w:r>
    </w:p>
    <w:p>
      <w:pPr>
        <w:pStyle w:val="ListBullet"/>
      </w:pPr>
      <w:r>
        <w:t>Préparation et Conservation : comprimés à température &lt; 25 °C.</w:t>
      </w:r>
    </w:p>
    <w:p>
      <w:pPr>
        <w:pStyle w:val="ListBullet"/>
      </w:pPr>
      <w:r>
        <w:t>Piège du surdosage / Substitution : substituabilité au sein de la même classe (Mercilon ↔ Desogylon ↔ Marilon pour la formulation 20 µg EE) ; ne pas substituer avec Marvelon (30 µg EE) sans avis médical.</w:t>
      </w:r>
    </w:p>
    <w:p>
      <w:pPr>
        <w:pStyle w:val="Heading3"/>
      </w:pPr>
      <w:r>
        <w:t>9. DCI : Ethinylestradiol + Gestodène (Association)</w:t>
      </w:r>
    </w:p>
    <w:p>
      <w:r/>
      <w:r>
        <w:rPr>
          <w:b/>
        </w:rPr>
        <w:t>Liste des Catégories :</w:t>
      </w:r>
      <w:r>
        <w:t xml:space="preserve"> Contraceptifs oraux combinés — 3e génération ; Liste I.</w:t>
      </w:r>
    </w:p>
    <w:p>
      <w:r>
        <w:t>L'association éthinylestradiol (EE) + gestodène est un COC de 3e génération commercialisé dans les années 1990. Le gestodène est un progestatif de synthèse dérivé 19-nortestostérone, à activité progestative très puissante (la plus puissante des progestatifs de synthèse en usage contraceptif) et activité androgénique résiduelle modérée. Sa biodisponibilité orale est quasi complète (99 %) et sa demi-vie plasmatique de 10 à 12 heures. Le gestodène est métabolisé au niveau hépatique (CYP3A4). Comme le désogestrel, il est associé à un sur-risque thromboembolique veineux (RR 1,5 à 2,3 vs 2e génération) par augmentation de la résistance à la protéine C activée.</w:t>
      </w:r>
    </w:p>
    <w:p>
      <w:r/>
      <w:r>
        <w:rPr>
          <w:b/>
        </w:rPr>
        <w:t>Médicaments disponibles en Algérie (Marques, Laboratoires, Formes et Dosages) :</w:t>
      </w:r>
      <w:r/>
    </w:p>
    <w:p>
      <w:pPr>
        <w:pStyle w:val="ListBullet"/>
      </w:pPr>
      <w:r/>
      <w:r>
        <w:rPr>
          <w:b/>
        </w:rPr>
        <w:t>ELLEANE</w:t>
      </w:r>
      <w:r>
        <w:t xml:space="preserve"> (SPA UNION PHARMACEUITIQUE CONSTANTINOISE PRODUCTION — UPC)</w:t>
      </w:r>
    </w:p>
    <w:p>
      <w:pPr>
        <w:pStyle w:val="ListBullet"/>
      </w:pPr>
      <w:r>
        <w:t>Formes et Dosages : comprimé enrobé 20 µg EE / 75 µg gestodène (B/21)</w:t>
      </w:r>
    </w:p>
    <w:p>
      <w:pPr>
        <w:pStyle w:val="ListBullet"/>
      </w:pPr>
      <w:r>
        <w:t>Statut : Actif (générique local de Meliane)</w:t>
      </w:r>
    </w:p>
    <w:p>
      <w:pPr>
        <w:pStyle w:val="ListBullet"/>
      </w:pPr>
      <w:r/>
      <w:r>
        <w:rPr>
          <w:b/>
        </w:rPr>
        <w:t>MELIANE</w:t>
      </w:r>
      <w:r>
        <w:t xml:space="preserve"> (BAYER HEALTHCARE)</w:t>
      </w:r>
    </w:p>
    <w:p>
      <w:pPr>
        <w:pStyle w:val="ListBullet"/>
      </w:pPr>
      <w:r>
        <w:t>Formes et Dosages : comprimé enrobé 20 µg EE / 75 µg gestodène (B/21)</w:t>
      </w:r>
    </w:p>
    <w:p>
      <w:pPr>
        <w:pStyle w:val="ListBullet"/>
      </w:pPr>
      <w:r>
        <w:t>Statut : Actif (spécialité pionnière)</w:t>
      </w:r>
    </w:p>
    <w:p>
      <w:pPr>
        <w:pStyle w:val="ListBullet"/>
      </w:pPr>
      <w:r/>
      <w:r>
        <w:rPr>
          <w:b/>
        </w:rPr>
        <w:t>MINESSE</w:t>
      </w:r>
      <w:r>
        <w:t xml:space="preserve"> (WYETH LEDERLE)</w:t>
      </w:r>
    </w:p>
    <w:p>
      <w:pPr>
        <w:pStyle w:val="ListBullet"/>
      </w:pPr>
      <w:r>
        <w:t>Formes et Dosages : comprimé pelliculé 15 µg EE / 60 µg gestodène (B/28 — 24 actifs + 4 placebos)</w:t>
      </w:r>
    </w:p>
    <w:p>
      <w:pPr>
        <w:pStyle w:val="ListBullet"/>
      </w:pPr>
      <w:r>
        <w:t>Statut : Non Renouvelable (formulation à très faible dose EE, 24+4)</w:t>
      </w:r>
    </w:p>
    <w:p>
      <w:r/>
      <w:r>
        <w:rPr>
          <w:b/>
        </w:rPr>
        <w:t>Sous-classe et Mécanisme d'action :</w:t>
      </w:r>
      <w:r/>
    </w:p>
    <w:p>
      <w:pPr>
        <w:pStyle w:val="ListBullet"/>
      </w:pPr>
      <w:r>
        <w:t>Sous-classe : contraceptif oral combiné (COC) de 3e génération, association éthinylestradiol + gestodène.</w:t>
      </w:r>
    </w:p>
    <w:p>
      <w:pPr>
        <w:pStyle w:val="ListBullet"/>
      </w:pPr>
      <w:r>
        <w:t>Mécanisme d'action : triple action contraceptive identique à la 2e génération — (1) inhibition de l'ovulation par rétrocontrôle négatif de l'EE sur la sécrétion de GnRH et de FSH/LH, supprimant le pic ovulant de LH ; (2) modification de la glaire cervicale (épaississement, diminution) par le gestodène ; (3) atrophie endométriale rendant la nidation improbable. Le gestodène se fixe au récepteur progestatif PR avec une affinité élevée, exerçant une activité progestative très puissante (supérieure au lévonorgestrel). Sa moindre activité androgénique résiduelle explique une meilleure tolérance cutanée que la 2e génération. Le sur-risque thromboembolique veineux est lié à l'augmentation de la résistance à la protéine C activée acquise sous gestodène, similaire à celle observée avec le désogestrel.</w:t>
      </w:r>
    </w:p>
    <w:p>
      <w:r/>
      <w:r>
        <w:rPr>
          <w:b/>
        </w:rPr>
        <w:t>Profil Pharmacologique :</w:t>
      </w:r>
      <w:r/>
    </w:p>
    <w:p>
      <w:pPr>
        <w:pStyle w:val="ListBullet"/>
      </w:pPr>
      <w:r>
        <w:t>Indications : contraception hormonale orale en seconde intention, après échec ou intolérance à une 2e génération, chez la femme présentant une hyperandrogénie légère (acné, séborrhée, hirsutisme léger) ou une intolérance au lévonorgestrel (mastodynie, prise de poids, acné sous 2e génération).</w:t>
      </w:r>
    </w:p>
    <w:p>
      <w:pPr>
        <w:pStyle w:val="ListBullet"/>
      </w:pPr>
      <w:r>
        <w:t>Contre-indications : identiques à la 2e génération, avec vigilance accrue sur le sur-risque thromboembolique veineux ; tabagisme &gt; 35 ans ; antécédent thromboembolique veineux personnel ; migraine avec aura ; HTA non contrôlée ; cardiopathie ischémique ; AVC ; hépatopathie sévère ; cancer du sein ; grossesse ; allaitement &lt; 6 semaines post-partum.</w:t>
      </w:r>
    </w:p>
    <w:p>
      <w:pPr>
        <w:pStyle w:val="ListBullet"/>
      </w:pPr>
      <w:r>
        <w:t>Effets Indésirables : risque thromboembolique veineux (RR 1,5 à 2,3 vs 2e génération) ; céphalées, migraines ; nausées, vomissements ; tension mammaire ; spotting, métrorragies ; acné paradoxale transitoire ; prise de poids ; troubles de l'humeur ; baisse de la libido ; modification du profil lipidique (moindre que 2e génération) ; intolérance glucidique ; risque de cancer du sein (légère augmentation) ; risque de cholestase.</w:t>
      </w:r>
    </w:p>
    <w:p>
      <w:r/>
      <w:r>
        <w:rPr>
          <w:b/>
        </w:rPr>
        <w:t>Prévention et Gestion des Effets Indésirables :</w:t>
      </w:r>
      <w:r/>
    </w:p>
    <w:p>
      <w:pPr>
        <w:pStyle w:val="ListBullet"/>
      </w:pPr>
      <w:r>
        <w:t>Mesures Préventives : évaluation pré-thérapeutique du risque thromboembolique (interrogatoire, antécédents personnels et familiaux, tabagisme, IMC) ; mesure de la pression artérielle ; arrêt 4 semaines avant chirurgie programmée avec immobilisation prolongée ; surveillance des céphalées.</w:t>
      </w:r>
    </w:p>
    <w:p>
      <w:pPr>
        <w:pStyle w:val="ListBullet"/>
      </w:pPr>
      <w:r>
        <w:t>Conduite à Tenir : arrêt immédiat en cas de suspicion d'événement thromboembolique ; consultation urgente.</w:t>
      </w:r>
    </w:p>
    <w:p>
      <w:r/>
      <w:r>
        <w:rPr>
          <w:b/>
        </w:rPr>
        <w:t>Interactions Importantes :</w:t>
      </w:r>
      <w:r/>
    </w:p>
    <w:p>
      <w:pPr>
        <w:pStyle w:val="ListBullet"/>
      </w:pPr>
      <w:r>
        <w:t>COC + inducteurs enzymatiques (rifampicine, phénytoïne, carbamazépine, phénobarbital, millepertuis) : diminution majeure de l'efficacité — contraception mécanique pendant toute la durée et 28 jours après l'arrêt.</w:t>
      </w:r>
    </w:p>
    <w:p>
      <w:pPr>
        <w:pStyle w:val="ListBullet"/>
      </w:pPr>
      <w:r>
        <w:t>COC + lamotrigine : diminution des concentrations de lamotrigine.</w:t>
      </w:r>
    </w:p>
    <w:p>
      <w:pPr>
        <w:pStyle w:val="ListBullet"/>
      </w:pPr>
      <w:r>
        <w:t>EE + cyclosporine, tacrolimus : augmentation des concentrations de l'immunosuppresseur.</w:t>
      </w:r>
    </w:p>
    <w:p>
      <w:r/>
      <w:r>
        <w:rPr>
          <w:b/>
        </w:rPr>
        <w:t>Grossesse et Allaitement :</w:t>
      </w:r>
      <w:r/>
    </w:p>
    <w:p>
      <w:pPr>
        <w:pStyle w:val="ListBullet"/>
      </w:pPr>
      <w:r>
        <w:t>Grossesse : CI absolue (catégorie X FDA). Arrêt immédiat dès suspicion de grossesse. Selon le CRAT, exposition accidentelle n'impose pas d'IVG mais justifie une surveillance échographique.</w:t>
      </w:r>
    </w:p>
    <w:p>
      <w:pPr>
        <w:pStyle w:val="ListBullet"/>
      </w:pPr>
      <w:r>
        <w:t>Allaitement : CI (estrogènes diminuent la production lactée). Préférer les progestatifs purs après 6 semaines post-partum.</w:t>
      </w:r>
    </w:p>
    <w:p>
      <w:pPr>
        <w:pStyle w:val="ListBullet"/>
      </w:pPr>
      <w:r>
        <w:t>Précisions : reprise de la fertilité rapide à l'arrêt.</w:t>
      </w:r>
    </w:p>
    <w:p>
      <w:r/>
      <w:r>
        <w:rPr>
          <w:b/>
        </w:rPr>
        <w:t>Posologie et Mode d'administration (Standard) :</w:t>
      </w:r>
      <w:r/>
    </w:p>
    <w:p>
      <w:pPr>
        <w:pStyle w:val="ListBullet"/>
      </w:pPr>
      <w:r>
        <w:t>Adulte (contraception, schéma 21+7) : 1 comprimé par jour pendant 21 jours consécutifs à heure fixe, suivi de 7 jours d'arrêt (hémorragie de privation). Reprise le 8e jour après l'arrêt.</w:t>
      </w:r>
    </w:p>
    <w:p>
      <w:pPr>
        <w:pStyle w:val="ListBullet"/>
      </w:pPr>
      <w:r>
        <w:t>Adulte (schéma 24+4) : 1 comprimé actif par jour pendant 24 jours, suivi de 4 comprimés placebo pendant 4 jours (Minesse, formulation à très faible dose EE 15 µg).</w:t>
      </w:r>
    </w:p>
    <w:p>
      <w:pPr>
        <w:pStyle w:val="ListBullet"/>
      </w:pPr>
      <w:r>
        <w:t>Durée : tant que la contraception est souhaitée.</w:t>
      </w:r>
    </w:p>
    <w:p>
      <w:pPr>
        <w:pStyle w:val="ListBullet"/>
      </w:pPr>
      <w:r>
        <w:t>Moment de prise : à heure fixe quotidienne, idéalement le soir.</w:t>
      </w:r>
    </w:p>
    <w:p>
      <w:r/>
      <w:r>
        <w:rPr>
          <w:b/>
        </w:rPr>
        <w:t>Arbitrage et Bénéfices des Formes Galéniques :</w:t>
      </w:r>
      <w:r/>
    </w:p>
    <w:p>
      <w:r>
        <w:t>La formulation à 20 µg EE + 75 µg gestodène (Meliane, ElLeane) offre une dose d'estrogène réduite par rapport à la formulation historique à 30 µg, avec une efficacité contraceptive comparable et une meilleure tolérance métabolique et mammaire. La formulation à 15 µg EE + 60 µg gestodène (Minesse, schéma 24+4) propose une réduction supplémentaire de la dose d'estrogène, particulièrement appropriée chez la femme présentant une intolérance aux estrogènes ou un risque cardiovasculaire intermédiaire. Le schéma 24+4 réduit la durée de l'hémorragie de privation et améliore l'observance, mais expose à un risque accru de spotting en début de traitement. Le générique algérien (ElLeane, UPC) est bioéquivalent à la spécialité pionnière (Meliane) et offre une accessibilité économique supérieure.</w:t>
      </w:r>
    </w:p>
    <w:p>
      <w:r/>
      <w:r>
        <w:rPr>
          <w:b/>
        </w:rPr>
        <w:t>Instructions et Conseils au Patient :</w:t>
      </w:r>
      <w:r/>
    </w:p>
    <w:p>
      <w:pPr>
        <w:pStyle w:val="ListBullet"/>
      </w:pPr>
      <w:r>
        <w:t>Communication au comptoir : expliquer le mode de prise et la gestion des oublis ; prévenir sur le sur-risque thromboembolique veineux par rapport à la 2e génération et l'importance de ne pas fumer (surtout &gt; 35 ans) ; prévenir sur les signes d'arrêt immédiat (douleur thoracique, jambe, céphalée brutale).</w:t>
      </w:r>
    </w:p>
    <w:p>
      <w:pPr>
        <w:pStyle w:val="ListBullet"/>
      </w:pPr>
      <w:r>
        <w:t>Mode d'utilisation pratique : prise à heure fixe quotidienne, idéalement le soir au coucher ; tenir un carnet de suivi.</w:t>
      </w:r>
    </w:p>
    <w:p>
      <w:r/>
      <w:r>
        <w:rPr>
          <w:b/>
        </w:rPr>
        <w:t>Notes, Règles d'Or &amp; Pièges au Comptoir :</w:t>
      </w:r>
      <w:r/>
    </w:p>
    <w:p>
      <w:pPr>
        <w:pStyle w:val="ListBullet"/>
      </w:pPr>
      <w:r>
        <w:t>Piège classique : substitution d'une 2e génération par une 3e génération sans avis médical — en raison du sur-risque thromboembolique veineux. Toujours respecter la prescription médicale stricte.</w:t>
      </w:r>
    </w:p>
    <w:p>
      <w:pPr>
        <w:pStyle w:val="ListBullet"/>
      </w:pPr>
      <w:r>
        <w:t>Piège : oubli que MELIANE, ELLEANE, MINESSE sont des 3e génération (gestodène) alors que MICROGYNON, MINIDRIL sont des 2e génération (lévonorgestrel) — ne pas substituer entre classes.</w:t>
      </w:r>
    </w:p>
    <w:p>
      <w:pPr>
        <w:pStyle w:val="ListBullet"/>
      </w:pPr>
      <w:r>
        <w:t>Règle de prise : régularité horaire stricte.</w:t>
      </w:r>
    </w:p>
    <w:p>
      <w:pPr>
        <w:pStyle w:val="ListBullet"/>
      </w:pPr>
      <w:r>
        <w:t>Préparation et Conservation : comprimés à température &lt; 25 °C.</w:t>
      </w:r>
    </w:p>
    <w:p>
      <w:pPr>
        <w:pStyle w:val="ListBullet"/>
      </w:pPr>
      <w:r>
        <w:t>Piège du surdosage / Substitution : substituabilité au sein de la même classe (Meliane ↔ ElLeane pour la 20 µg EE) ; ne pas substituer avec Minesse (15 µg EE, schéma 24+4) sans avis médical.</w:t>
      </w:r>
    </w:p>
    <w:p>
      <w:pPr>
        <w:pStyle w:val="Heading3"/>
      </w:pPr>
      <w:r>
        <w:t>10. DCI : Ethinylestradiol (ou Estradiol) + Cyprotérone (Association)</w:t>
      </w:r>
    </w:p>
    <w:p>
      <w:r/>
      <w:r>
        <w:rPr>
          <w:b/>
        </w:rPr>
        <w:t>Liste des Catégories :</w:t>
      </w:r>
      <w:r>
        <w:t xml:space="preserve"> Contraceptifs oraux combinés — Anti-androgènes ; Liste I.</w:t>
      </w:r>
    </w:p>
    <w:p>
      <w:r>
        <w:t>L'association éthinylestradiol + acétate de cyprotérone est un COC dit « anti-androgénique » en raison de l'activité anti-androgène puissante de la cyprotérone. Initialement développée et commercialisée comme contraception orale sous les marques Diane 35, Holgyeme, Lumalia, cette association a vu son AMM européenne restreinte en 2013 à la seconde intention dans l'acné modérée à sévère (après échec des traitements locaux et antibiotiques), l'hirsutisme léger à modéré et la séborrhée, chez la femme en âge de procréer. La restriction fait suite à l'évaluation du sur-risque thromboembolique veineux (RR ~4 à 10 vs non-utilisatrices, supérieur à celui des COC classiques). Le métabolisme est hépatique (CYP3A4), avec une demi-vie plasmatique de la cyprotérone de l'ordre de 38 heures.</w:t>
      </w:r>
    </w:p>
    <w:p>
      <w:r/>
      <w:r>
        <w:rPr>
          <w:b/>
        </w:rPr>
        <w:t>Médicaments disponibles en Algérie (Marques, Laboratoires, Formes et Dosages) :</w:t>
      </w:r>
      <w:r/>
    </w:p>
    <w:p>
      <w:pPr>
        <w:pStyle w:val="ListBullet"/>
      </w:pPr>
      <w:r/>
      <w:r>
        <w:rPr>
          <w:b/>
        </w:rPr>
        <w:t>DIANE 35</w:t>
      </w:r>
      <w:r>
        <w:t xml:space="preserve"> (SCHERING SA)</w:t>
      </w:r>
    </w:p>
    <w:p>
      <w:pPr>
        <w:pStyle w:val="ListBullet"/>
      </w:pPr>
      <w:r>
        <w:t>Formes et Dosages : comprimé pelliculé 2 mg acétate de cyprotérone / 35 µg éthinylestradiol (B/21)</w:t>
      </w:r>
    </w:p>
    <w:p>
      <w:pPr>
        <w:pStyle w:val="ListBullet"/>
      </w:pPr>
      <w:r>
        <w:t>Statut : Non Renouvelable (spécialité historique, AMM européenne restreinte en 2013)</w:t>
      </w:r>
    </w:p>
    <w:p>
      <w:pPr>
        <w:pStyle w:val="ListBullet"/>
      </w:pPr>
      <w:r/>
      <w:r>
        <w:rPr>
          <w:b/>
        </w:rPr>
        <w:t>LUMALIA</w:t>
      </w:r>
      <w:r>
        <w:t xml:space="preserve"> (PIERRE FABRE DERMATOLOGIE)</w:t>
      </w:r>
    </w:p>
    <w:p>
      <w:pPr>
        <w:pStyle w:val="ListBullet"/>
      </w:pPr>
      <w:r>
        <w:t>Formes et Dosages : comprimé enrobé 2 mg acétate de cyprotérone / 0,035 mg éthinylestradiol (B/21)</w:t>
      </w:r>
    </w:p>
    <w:p>
      <w:pPr>
        <w:pStyle w:val="ListBullet"/>
      </w:pPr>
      <w:r>
        <w:t>Statut : Retiré (R)</w:t>
      </w:r>
    </w:p>
    <w:p>
      <w:r/>
      <w:r>
        <w:rPr>
          <w:b/>
        </w:rPr>
        <w:t>Sous-classe et Mécanisme d'action :</w:t>
      </w:r>
      <w:r/>
    </w:p>
    <w:p>
      <w:pPr>
        <w:pStyle w:val="ListBullet"/>
      </w:pPr>
      <w:r>
        <w:t>Sous-classe : COC anti-androgénique (associant un estrogène et un anti-androgène stéroïdien de synthèse).</w:t>
      </w:r>
    </w:p>
    <w:p>
      <w:pPr>
        <w:pStyle w:val="ListBullet"/>
      </w:pPr>
      <w:r>
        <w:t>Mécanisme d'action : triple action contraceptive + effet anti-androgénique thérapeutique — (1) inhibition de l'ovulation par rétrocontrôle négatif de l'EE sur la sécrétion de GnRH et de FSH/LH, supprimant le pic ovulant de LH ; (2) modification de la glaire cervicale par la cyprotérone ; (3) atrophie endométriale rendant la nidation improbable. L'effet anti-androgénique de la cyprotérone s'exerce par (a) blocage compétitif des récepteurs androgéniques nucléaires au niveau des tissus cibles (peau, glandes sébacées, follicules pilo-sébacés, prostate) — diminuant la production de sébum et l'hyperkératinisation du follicule ; (b) activité progestative marquée au niveau du récepteur progestatif, responsable d'une inhibition de la sécrétion pulsatile de GnRH hypothalamique, aboutissant à une baisse de la LH et donc de la production ovarienne d'androgènes ; (c) légère inhibition de la 5α-réductase (conversion de testostérone en DHT). L'efficacité anti-androgénique est supérieure à celle des autres progestatifs (drosperinone, diénogest), justifiant son maintien dans l'arsenal thérapeutique malgré le sur-risque thromboembolique.</w:t>
      </w:r>
    </w:p>
    <w:p>
      <w:r/>
      <w:r>
        <w:rPr>
          <w:b/>
        </w:rPr>
        <w:t>Profil Pharmacologique :</w:t>
      </w:r>
      <w:r/>
    </w:p>
    <w:p>
      <w:pPr>
        <w:pStyle w:val="ListBullet"/>
      </w:pPr>
      <w:r>
        <w:t>Indications : acné modérée à sévère réfractaire aux traitements locaux et à l'antibiothérapie classique (cyclines) chez la femme en âge de procréer ; hirsutisme léger à modéré (syndrome des ovaires polykystiques, idiopathique) ; séborrhée ; alopécie androgénique féminine (seconde intention). Le traitement doit être de courte durée (3 à 6 mois d'évaluation), suspendu dès amélioration, et n'est pas indiqué en contraception de première intention (selon les recommandations EMA 2013).</w:t>
      </w:r>
    </w:p>
    <w:p>
      <w:pPr>
        <w:pStyle w:val="ListBullet"/>
      </w:pPr>
      <w:r>
        <w:t>Contre-indications : tabagisme &gt; 35 ans ; antécédent thromboembolique veineux personnel ; accident vasculaire cérébral ; infarctus du myocarde ; cardiopathie ischémique ; hypertension non contrôlée ; migraine avec aura ; hépatopathie sévère ; cancer du sein hormono-dépendant ; méningiome ou antécédent de méningiome (récepteur progestatif) ; métrorragies non diagnostiquées ; grossesse ; allaitement ; hypersensibilité à la cyprotérone ou à l'EE.</w:t>
      </w:r>
    </w:p>
    <w:p>
      <w:pPr>
        <w:pStyle w:val="ListBullet"/>
      </w:pPr>
      <w:r>
        <w:t>Effets Indésirables : risque thromboembolique veineux majeur (RR ~4 à 10 vs non-utilisatrices — supérieur aux COC classiques en raison de la dose d'EE 35 µg et de l'effet progestatif marqué de la cyprotérone) ; risque d'AVC et d'infarctus du myocarde (surtout chez la fumeuse &gt; 35 ans) ; céphalées, migraines ; nausées, vomissements ; tension mammaire ; spotting, métrorragies ; aménorrhée post-pilule ; prise de poids ; troubles de l'humeur (dépression, irritabilité) ; baisse de la libido (effet anti-androgénique central) ; hépatotoxicité (cytolyse, cholestase, rares hépatites fulminantes — surveillance mensuelle des transaminases pendant 6 mois) ; méningiomes (imputabilité progestative, surveillance IRM cérébrale au long cours) ; modification du profil lipidique ; intolérance glucidique.</w:t>
      </w:r>
    </w:p>
    <w:p>
      <w:r/>
      <w:r>
        <w:rPr>
          <w:b/>
        </w:rPr>
        <w:t>Prévention et Gestion des Effets Indésirables :</w:t>
      </w:r>
      <w:r/>
    </w:p>
    <w:p>
      <w:pPr>
        <w:pStyle w:val="ListBullet"/>
      </w:pPr>
      <w:r>
        <w:t>Mesures Préventives : bilan pré-thérapeutique complet (interrogatoire, examen clinique, bilan hépatique, lipidogramme, glycémie, pression artérielle) ; surveillance hépatique mensuelle pendant 6 mois (ALAT, ASAT, GGT, PAL, bilirubine) puis trimestrielle ; surveillance de la pression artérielle ; IRM cérébrale en cas de céphalées ou troubles visuels (recherche de méningiome) ; arrêt 4 semaines avant chirurgie programmée ; durée de traitement limitée à 3-6 mois d'évaluation, suspendu dès amélioration.</w:t>
      </w:r>
    </w:p>
    <w:p>
      <w:pPr>
        <w:pStyle w:val="ListBullet"/>
      </w:pPr>
      <w:r>
        <w:t>Conduite à Tenir : arrêt immédiat en cas de cytolyse &gt; 3× LSN, de suspicion d'événement thromboembolique, de céphalées sévères ou de troubles visuels ; consultation médicale urgente. Surveillance clinique : examen des seins annuel, mammographie selon calendrier national.</w:t>
      </w:r>
    </w:p>
    <w:p>
      <w:r/>
      <w:r>
        <w:rPr>
          <w:b/>
        </w:rPr>
        <w:t>Interactions Importantes :</w:t>
      </w:r>
      <w:r/>
    </w:p>
    <w:p>
      <w:pPr>
        <w:pStyle w:val="ListBullet"/>
      </w:pPr>
      <w:r>
        <w:t>Diane-like + inducteurs enzymatiques (rifampicine, phénytoïne, carbamazépine, phénobarbital, millepertuis) : diminution de l'efficacité contraceptive et anti-androgénique.</w:t>
      </w:r>
    </w:p>
    <w:p>
      <w:pPr>
        <w:pStyle w:val="ListBullet"/>
      </w:pPr>
      <w:r>
        <w:t>Diane-like + anti-vitamines K (warfarine, acénocoumarol) : potentialisation de l'effet anticoagulant.</w:t>
      </w:r>
    </w:p>
    <w:p>
      <w:pPr>
        <w:pStyle w:val="ListBullet"/>
      </w:pPr>
      <w:r>
        <w:t>Diane-like + statines métabolisées par CYP3A4 (atorvastatine, simvastatine) : risque majoré de rhabdomyolyse.</w:t>
      </w:r>
    </w:p>
    <w:p>
      <w:pPr>
        <w:pStyle w:val="ListBullet"/>
      </w:pPr>
      <w:r>
        <w:t>Diane-like + kététoconazole, itraconazole : augmentation des concentrations plasmatiques de cyprotérone.</w:t>
      </w:r>
    </w:p>
    <w:p>
      <w:r/>
      <w:r>
        <w:rPr>
          <w:b/>
        </w:rPr>
        <w:t>Grossesse et Allaitement :</w:t>
      </w:r>
      <w:r/>
    </w:p>
    <w:p>
      <w:pPr>
        <w:pStyle w:val="ListBullet"/>
      </w:pPr>
      <w:r>
        <w:t>Grossesse : CI absolue (catégorie X FDA — risque de féminisation des fœtus masculins en raison de l'effet anti-androgénique). Arrêt immédiat dès suspicion de grossesse. Selon le CRAT, exposition accidentelle impose un conseil génétique et une surveillance échographique morphologique urogénitale.</w:t>
      </w:r>
    </w:p>
    <w:p>
      <w:pPr>
        <w:pStyle w:val="ListBullet"/>
      </w:pPr>
      <w:r>
        <w:t>Allaitement : CI (passage dans le lait, effet anti-androgénique puissant sur le nourrisson).</w:t>
      </w:r>
    </w:p>
    <w:p>
      <w:pPr>
        <w:pStyle w:val="ListBullet"/>
      </w:pPr>
      <w:r>
        <w:t>Précisions : contraception efficace obligatoire pendant toute la durée du traitement et 1 mois après l'arrêt (la cyprotérone a une demi-vie longue).</w:t>
      </w:r>
    </w:p>
    <w:p>
      <w:r/>
      <w:r>
        <w:rPr>
          <w:b/>
        </w:rPr>
        <w:t>Posologie et Mode d'administration (Standard) :</w:t>
      </w:r>
      <w:r/>
    </w:p>
    <w:p>
      <w:pPr>
        <w:pStyle w:val="ListBullet"/>
      </w:pPr>
      <w:r>
        <w:t>Adulte (acné, hirsutisme) : 1 comprimé par jour pendant 21 jours consécutifs à heure fixe, suivi de 7 jours d'arrêt (hémorragie de privation). Reprise le 8e jour après l'arrêt.</w:t>
      </w:r>
    </w:p>
    <w:p>
      <w:pPr>
        <w:pStyle w:val="ListBullet"/>
      </w:pPr>
      <w:r>
        <w:t>Durée : traitement de 3 à 6 mois d'évaluation, suspendu dès amélioration (recommandations EMA 2013) ; ne pas dépasser 9-12 mois en continu.</w:t>
      </w:r>
    </w:p>
    <w:p>
      <w:pPr>
        <w:pStyle w:val="ListBullet"/>
      </w:pPr>
      <w:r>
        <w:t>Moment de prise : à heure fixe quotidienne, idéalement le soir.</w:t>
      </w:r>
    </w:p>
    <w:p>
      <w:r/>
      <w:r>
        <w:rPr>
          <w:b/>
        </w:rPr>
        <w:t>Arbitrage et Bénéfices des Formes Galéniques :</w:t>
      </w:r>
      <w:r/>
    </w:p>
    <w:p>
      <w:r>
        <w:t>La forme orale unique (comprimé 2 mg cyprotérone + 35 µg EE) est la seule disponible. Il n'existe pas de forme alternative (transdermique, injectable) de l'association. La dose d'EE (35 µg) est supérieure à celle des COC modernes (20-30 µg), contribuant au sur-risque thromboembolique. La spécialité Diane 35 est non renouvelable en Algérie — la prescription et la délivrance doivent être limitées aux situations où l'indication dermatologique est posée par un spécialiste (dermatologue, gynéco-endocrinologue).</w:t>
      </w:r>
    </w:p>
    <w:p>
      <w:r/>
      <w:r>
        <w:rPr>
          <w:b/>
        </w:rPr>
        <w:t>Instructions et Conseils au Patient :</w:t>
      </w:r>
      <w:r/>
    </w:p>
    <w:p>
      <w:pPr>
        <w:pStyle w:val="ListBullet"/>
      </w:pPr>
      <w:r>
        <w:t>Communication au comptoir : expliquer que le traitement n'est pas un contraceptif de première intention mais un traitement dermatologique de seconde intention, à utiliser de façon brève (3-6 mois) ; prévenir sur le sur-risque thromboembolique majeur et l'importance de ne pas fumer (surtout &gt; 35 ans) ; prévenir sur les signes d'arrêt immédiat (douleur thoracique, jambe, céphalée brutale, ictère) ; surveillance hépatique mensuelle indispensable.</w:t>
      </w:r>
    </w:p>
    <w:p>
      <w:pPr>
        <w:pStyle w:val="ListBullet"/>
      </w:pPr>
      <w:r>
        <w:t>Mode d'utilisation pratique : prise à heure fixe quotidienne, idéalement le soir au coucher ; tenir un carnet de suivi des prises et des bilans biologiques ; contraception mécanique complémentaire recommandée pendant les 7 premiers jours d'initiation.</w:t>
      </w:r>
    </w:p>
    <w:p>
      <w:r/>
      <w:r>
        <w:rPr>
          <w:b/>
        </w:rPr>
        <w:t>Notes, Règles d'Or &amp; Pièges au Comptoir :</w:t>
      </w:r>
      <w:r/>
    </w:p>
    <w:p>
      <w:pPr>
        <w:pStyle w:val="ListBullet"/>
      </w:pPr>
      <w:r>
        <w:t>Piège classique : prescription de Diane 35 comme contraception orale de première intention — erreur grave, en raison du sur-risque thromboembolique et de l'AMM européenne restreinte en 2013 à l'acné sévère réfractaire en seconde intention. Refuser la délivrance en l'absence d'indication dermatologique spécialisée.</w:t>
      </w:r>
    </w:p>
    <w:p>
      <w:pPr>
        <w:pStyle w:val="ListBullet"/>
      </w:pPr>
      <w:r>
        <w:t>Piège : oubli que la Diane 35 contient 35 µg EE (dose supérieure aux COC modernes 20-30 µg) — sur-risque thromboembolique majoré.</w:t>
      </w:r>
    </w:p>
    <w:p>
      <w:pPr>
        <w:pStyle w:val="ListBullet"/>
      </w:pPr>
      <w:r>
        <w:t>Règle de prise : régularité horaire stricte.</w:t>
      </w:r>
    </w:p>
    <w:p>
      <w:pPr>
        <w:pStyle w:val="ListBullet"/>
      </w:pPr>
      <w:r>
        <w:t>Préparation et Conservation : comprimés à température &lt; 25 °C.</w:t>
      </w:r>
    </w:p>
    <w:p>
      <w:pPr>
        <w:pStyle w:val="ListBullet"/>
      </w:pPr>
      <w:r>
        <w:t>Piège du surdosage / Substitution : aucune substituabilité au sein de la classe (Diane 35 et Lumalia sont retirées / non renouvelées en Algérie) ; en cas de non-disponibilité, orientation vers le médecin prescripteur pour alternative (spironolactone, isotrétinoïne).</w:t>
      </w:r>
    </w:p>
    <w:p>
      <w:pPr>
        <w:pStyle w:val="Heading3"/>
      </w:pPr>
      <w:r>
        <w:t>11. DCI : Désogestrel / Etonogestrel (Seul)</w:t>
      </w:r>
    </w:p>
    <w:p>
      <w:r/>
      <w:r>
        <w:rPr>
          <w:b/>
        </w:rPr>
        <w:t>Liste des Catégories :</w:t>
      </w:r>
      <w:r>
        <w:t xml:space="preserve"> Progestatifs seuls — Microprogestatifs (contraception progestative pure) ; Liste I.</w:t>
      </w:r>
    </w:p>
    <w:p>
      <w:r>
        <w:t>Le désogestrel est un progestatif de synthèse dérivé 19-nortestostérone, utilisé seul (sans estrogène associé) en contraception progestative pure sous le nom de « microprogestatif ». Administré par voie orale à la dose de 75 µg/jour, il est rapidement métabolisé en etonogestrel (métabolite actif) par le CYP2C9 hépatique. L'etonogestrel a une demi-vie de 30 heures, autorisant une certaine tolérance horaire (12 heures). L'etonogestrel est également disponible sous forme d'implant sous-cutané (Implanon NXT, 68 mg) assurant une libération continue pendant 3 ans. La biodisponibilité orale du désogestrel est de l'ordre de 75 %.</w:t>
      </w:r>
    </w:p>
    <w:p>
      <w:r/>
      <w:r>
        <w:rPr>
          <w:b/>
        </w:rPr>
        <w:t>Médicaments disponibles en Algérie (Marques, Laboratoires, Formes et Dosages) :</w:t>
      </w:r>
      <w:r/>
    </w:p>
    <w:p>
      <w:pPr>
        <w:pStyle w:val="ListBullet"/>
      </w:pPr>
      <w:r/>
      <w:r>
        <w:rPr>
          <w:b/>
        </w:rPr>
        <w:t>MARVELON</w:t>
      </w:r>
      <w:r>
        <w:t xml:space="preserve"> (ORGANON N.V.) — formulation associée à l'EE 30 µg</w:t>
      </w:r>
    </w:p>
    <w:p>
      <w:pPr>
        <w:pStyle w:val="ListBullet"/>
      </w:pPr>
      <w:r>
        <w:t>Formes et Dosages : comprimé 0,15 mg désogestrel / 0,03 mg EE (B/3×21)</w:t>
      </w:r>
    </w:p>
    <w:p>
      <w:pPr>
        <w:pStyle w:val="ListBullet"/>
      </w:pPr>
      <w:r>
        <w:t>Statut : Actif (COC 3e génération — voir fiche dédiée EE + désogestrel)</w:t>
      </w:r>
    </w:p>
    <w:p>
      <w:pPr>
        <w:pStyle w:val="ListBullet"/>
      </w:pPr>
      <w:r/>
      <w:r>
        <w:rPr>
          <w:b/>
        </w:rPr>
        <w:t>DESOGYLON</w:t>
      </w:r>
      <w:r>
        <w:t xml:space="preserve"> (BIORMONE) — formulation associée à l'EE 20 µg</w:t>
      </w:r>
    </w:p>
    <w:p>
      <w:pPr>
        <w:pStyle w:val="ListBullet"/>
      </w:pPr>
      <w:r>
        <w:t>Formes et Dosages : comprimé 0,15 mg désogestrel / 0,02 mg EE (B/21)</w:t>
      </w:r>
    </w:p>
    <w:p>
      <w:pPr>
        <w:pStyle w:val="ListBullet"/>
      </w:pPr>
      <w:r>
        <w:t>Statut : Actif (COC 3e génération)</w:t>
      </w:r>
    </w:p>
    <w:p>
      <w:pPr>
        <w:pStyle w:val="ListBullet"/>
      </w:pPr>
      <w:r/>
      <w:r>
        <w:rPr>
          <w:b/>
        </w:rPr>
        <w:t>MARILON</w:t>
      </w:r>
      <w:r>
        <w:t xml:space="preserve"> (SPA UNION PHARMACEUITIQUE CONSTANTINOISE PRODUCTION — UPC)</w:t>
      </w:r>
    </w:p>
    <w:p>
      <w:pPr>
        <w:pStyle w:val="ListBullet"/>
      </w:pPr>
      <w:r>
        <w:t>Formes et Dosages : comprimé 150 µg désogestrel / 20 µg EE (B/21)</w:t>
      </w:r>
    </w:p>
    <w:p>
      <w:pPr>
        <w:pStyle w:val="ListBullet"/>
      </w:pPr>
      <w:r>
        <w:t>Statut : Actif (COC 3e génération)</w:t>
      </w:r>
    </w:p>
    <w:p>
      <w:pPr>
        <w:pStyle w:val="ListBullet"/>
      </w:pPr>
      <w:r/>
      <w:r>
        <w:rPr>
          <w:b/>
        </w:rPr>
        <w:t>CERAZETTE</w:t>
      </w:r>
      <w:r>
        <w:t xml:space="preserve"> (ORGANON N.V.) — microprogestatif pur</w:t>
      </w:r>
    </w:p>
    <w:p>
      <w:pPr>
        <w:pStyle w:val="ListBullet"/>
      </w:pPr>
      <w:r>
        <w:t>Formes et Dosages : comprimé 0,075 mg désogestrel (B/28)</w:t>
      </w:r>
    </w:p>
    <w:p>
      <w:pPr>
        <w:pStyle w:val="ListBullet"/>
      </w:pPr>
      <w:r>
        <w:t>Statut : Actif (spécialité pionnière)</w:t>
      </w:r>
    </w:p>
    <w:p>
      <w:pPr>
        <w:pStyle w:val="ListBullet"/>
      </w:pPr>
      <w:r/>
      <w:r>
        <w:rPr>
          <w:b/>
        </w:rPr>
        <w:t>DESIRETT</w:t>
      </w:r>
      <w:r>
        <w:t xml:space="preserve"> (EXELTIS GERMANY GMBH)</w:t>
      </w:r>
    </w:p>
    <w:p>
      <w:pPr>
        <w:pStyle w:val="ListBullet"/>
      </w:pPr>
      <w:r>
        <w:t>Formes et Dosages : comprimé pelliculé 0,075 mg désogestrel (B/28)</w:t>
      </w:r>
    </w:p>
    <w:p>
      <w:pPr>
        <w:pStyle w:val="ListBullet"/>
      </w:pPr>
      <w:r>
        <w:t>Statut : Actif</w:t>
      </w:r>
    </w:p>
    <w:p>
      <w:pPr>
        <w:pStyle w:val="ListBullet"/>
      </w:pPr>
      <w:r/>
      <w:r>
        <w:rPr>
          <w:b/>
        </w:rPr>
        <w:t>DESONETTE</w:t>
      </w:r>
      <w:r>
        <w:t xml:space="preserve"> (SPA UNION PHARMACEUITIQUE CONSTANTINOISE PRODUCTION — UPC)</w:t>
      </w:r>
    </w:p>
    <w:p>
      <w:pPr>
        <w:pStyle w:val="ListBullet"/>
      </w:pPr>
      <w:r>
        <w:t>Formes et Dosages : comprimé pelliculé 0,075 mg (75 µg) désogestrel (B/28)</w:t>
      </w:r>
    </w:p>
    <w:p>
      <w:pPr>
        <w:pStyle w:val="ListBullet"/>
      </w:pPr>
      <w:r>
        <w:t>Statut : Actif (générique local)</w:t>
      </w:r>
    </w:p>
    <w:p>
      <w:pPr>
        <w:pStyle w:val="ListBullet"/>
      </w:pPr>
      <w:r/>
      <w:r>
        <w:rPr>
          <w:b/>
        </w:rPr>
        <w:t>IMPLANON NXT</w:t>
      </w:r>
      <w:r>
        <w:t xml:space="preserve"> (ORGANON N.V.)</w:t>
      </w:r>
    </w:p>
    <w:p>
      <w:pPr>
        <w:pStyle w:val="ListBullet"/>
      </w:pPr>
      <w:r>
        <w:t>Formes et Dosages : implant pour usage sous-cutané 68 mg etonogestrel (boîte de 1 applicateur contenant un implant)</w:t>
      </w:r>
    </w:p>
    <w:p>
      <w:pPr>
        <w:pStyle w:val="ListBullet"/>
      </w:pPr>
      <w:r>
        <w:t>Statut : Actif (contraception LARC 3 ans)</w:t>
      </w:r>
    </w:p>
    <w:p>
      <w:pPr>
        <w:pStyle w:val="ListBullet"/>
      </w:pPr>
      <w:r/>
      <w:r>
        <w:rPr>
          <w:b/>
        </w:rPr>
        <w:t>ANTIGONE</w:t>
      </w:r>
      <w:r>
        <w:t xml:space="preserve"> (BESINS INTERNATIONAL)</w:t>
      </w:r>
    </w:p>
    <w:p>
      <w:pPr>
        <w:pStyle w:val="ListBullet"/>
      </w:pPr>
      <w:r>
        <w:t>Formes et Dosages : comprimé pelliculé 0,075 mg désogestrel (B/28)</w:t>
      </w:r>
    </w:p>
    <w:p>
      <w:pPr>
        <w:pStyle w:val="ListBullet"/>
      </w:pPr>
      <w:r>
        <w:t>Statut : Retiré (R)</w:t>
      </w:r>
    </w:p>
    <w:p>
      <w:r/>
      <w:r>
        <w:rPr>
          <w:b/>
        </w:rPr>
        <w:t>Sous-classe et Mécanisme d'action :</w:t>
      </w:r>
      <w:r/>
    </w:p>
    <w:p>
      <w:pPr>
        <w:pStyle w:val="ListBullet"/>
      </w:pPr>
      <w:r>
        <w:t>Sous-classe : progestatif seul (microprogestatif) en contraception progestative pure, par voie orale (désogestrel 75 µg) ou par implant sous-cutané (etonogestrel 68 mg).</w:t>
      </w:r>
    </w:p>
    <w:p>
      <w:pPr>
        <w:pStyle w:val="ListBullet"/>
      </w:pPr>
      <w:r>
        <w:t>Mécanisme d'action : le désogestrel est métabolisé en etonogestrel, qui se fixe au récepteur progestatif PR avec une affinité élevée. L'action contraceptive principale du désogestrel à dose de 75 µg/jour est l'inhibition de l'ovulation (97 % des cycles — supérieure aux autres microprogestatifs comme le lévonorgestrel 30 µg qui n'inhibe l'ovulation que dans ~50 % des cycles) par suppression de la sécrétion de LH et du pic ovulant. Les mécanismes complémentaires sont l'épaississement de la glaire cervicale (empêchant la remontée des spermatozoïdes) et l'atrophie endométriale (rendant la nidation improbable). L'etonogestrel libéré en continu par l'implant assure une contraception de longue durée d'action (LARC) pendant 3 ans avec une efficacité supérieure à 99,9 % (indice de Pearl 0,05). L'absence d'estrogène associé autorise l'utilisation chez la femme ayant une contre-indication aux estrogènes (allaitement, tabagisme &gt; 35 ans, migraine avec aura, hypertension, antécédent thromboembolique veineux contre-indiquant les COC).</w:t>
      </w:r>
    </w:p>
    <w:p>
      <w:r/>
      <w:r>
        <w:rPr>
          <w:b/>
        </w:rPr>
        <w:t>Profil Pharmacologique :</w:t>
      </w:r>
      <w:r/>
    </w:p>
    <w:p>
      <w:pPr>
        <w:pStyle w:val="ListBullet"/>
      </w:pPr>
      <w:r>
        <w:t>Indications : contraception progestative pure chez la femme en âge de procréer, en alternative aux COC, particulièrement indiquée chez la femme ayant une contre-indication aux estrogènes (allaitement, tabagisme &gt; 35 ans, migraine avec aura, hypertension artérielle, antécédent thromboembolique veineux, diabète compliqué, dyslipidémie sévère, hépatopathie) ou en cas d'intolérance aux COC (mastodynie, céphalées, nausées, prise de poids sous estroprogestatif). L'implant est indiqué en contraception de longue durée d'action (3 ans), particulièrement adapté à la femme ayant des difficultés d'observance quotidienne.</w:t>
      </w:r>
    </w:p>
    <w:p>
      <w:pPr>
        <w:pStyle w:val="ListBullet"/>
      </w:pPr>
      <w:r>
        <w:t>Contre-indications : grossesse évolutive ; antécédent ou maladie thromboembolique veineuse en évolution (prudence — risque moindre que COC mais non nul) ; hépatopathie sévère (cytolyse, cholestase) ; cancer du sein hormono-dépendant présent ou antécédent ; tumeurs hormono-dépendantes ; métrorragies non diagnostiquées ; hypersensibilité au désogestrel ou à l'etonogestrel.</w:t>
      </w:r>
    </w:p>
    <w:p>
      <w:pPr>
        <w:pStyle w:val="ListBullet"/>
      </w:pPr>
      <w:r>
        <w:t>Effets Indésirables : spotting irrégulier (très fréquent en début de traitement, persistance possible au long cours — principale cause d'arrêt) ; aménorrhée secondaire (fréquente au long cours, effet contraceptif attendu) ; kystes ovariens fonctionnels bénins (fréquents, généralement asymptomatiques, régression spontanée) ; céphalées ; mastodynie transitoire ; prise de poids modeste (moyenne 1-2 kg) ; acné transitoire ou paradoxale ; troubles de l'humeur (irritabilité, dépression) ; baisse de la libido ; asthénie ; risque thromboembolique veineux (RR ~1,5 à 2 vs non-utilisatrices — moindre que COC mais non nul) ; allergie cutanée locale (implant) ; infection ou hématome au site d'insertion (implant).</w:t>
      </w:r>
    </w:p>
    <w:p>
      <w:r/>
      <w:r>
        <w:rPr>
          <w:b/>
        </w:rPr>
        <w:t>Prévention et Gestion des Effets Indésirables :</w:t>
      </w:r>
      <w:r/>
    </w:p>
    <w:p>
      <w:pPr>
        <w:pStyle w:val="ListBullet"/>
      </w:pPr>
      <w:r>
        <w:t>Mesures Préventives : information de la patiente sur les spotting fréquents en début de traitement (qui ne doivent pas inquiéter, persistance possible au long cours chez 20-30 % des patientes) ; bilan pré-thérapeutique (interrogatoire, examen clinique, pression artérielle) ; pour l'implant — insertion par un professionnel formé (médecin, sage-femme), sous anesthésie locale, en conditions d'asepsie stricte.</w:t>
      </w:r>
    </w:p>
    <w:p>
      <w:pPr>
        <w:pStyle w:val="ListBullet"/>
      </w:pPr>
      <w:r>
        <w:t>Conduite à Tenir : en cas de spotting abondant ou persistant après 3 mois, consultation gynécologique pour vérification de l'endomètre ; en cas de douleur pelvienne aiguë, éliminer un kyste ovarien rompu ou une grossesse extra-utérine (rare mais possible sous microprogestatif) ; en cas d'infection au site d'insertion de l'implant, antibiothérapie locale ou ablation de l'implant.</w:t>
      </w:r>
    </w:p>
    <w:p>
      <w:r/>
      <w:r>
        <w:rPr>
          <w:b/>
        </w:rPr>
        <w:t>Interactions Importantes :</w:t>
      </w:r>
      <w:r/>
    </w:p>
    <w:p>
      <w:pPr>
        <w:pStyle w:val="ListBullet"/>
      </w:pPr>
      <w:r>
        <w:t>Désogestrel/Etonogestrel + inducteurs enzymatiques (rifampicine, phénytoïne, carbamazépine, phénobarbital, oxcarbazépine, topiramate &gt; 200 mg/j, millepertuis) : diminution majeure de l'efficacité contraceptive — utiliser une méthode mécanique (préservatif) pendant toute la durée de l'association et 28 jours après l'arrêt de l'inducteur ; pour l'implant, l'efficacité est diminuée pendant toute la durée de prise de l'inducteur et 28 jours après, sans relais possible (sauf ablation de l'implant et remplacement par un DIU cuivre).</w:t>
      </w:r>
    </w:p>
    <w:p>
      <w:pPr>
        <w:pStyle w:val="ListBullet"/>
      </w:pPr>
      <w:r>
        <w:t>Désogestrel + inhibiteurs enzymatiques (kététoconazole, itraconazole, érythromycine, clarithromycine, ritonavir) : augmentation des concentrations plasmatiques.</w:t>
      </w:r>
    </w:p>
    <w:p>
      <w:r/>
      <w:r>
        <w:rPr>
          <w:b/>
        </w:rPr>
        <w:t>Grossesse et Allaitement :</w:t>
      </w:r>
      <w:r/>
    </w:p>
    <w:p>
      <w:pPr>
        <w:pStyle w:val="ListBullet"/>
      </w:pPr>
      <w:r>
        <w:t>Grossesse : CI absolue. Arrêt immédiat dès suspicion de grossesse. Selon le CRAT, exposition accidentelle en début de grossesse n'impose pas d'IVG mais justifie une surveillance échographique ; aucun sur-risque malformatif démontré. Pour l'implant, ablation recommandée dès diagnostic de grossesse (en raison du sur-risque théorique d'ectopique).</w:t>
      </w:r>
    </w:p>
    <w:p>
      <w:pPr>
        <w:pStyle w:val="ListBullet"/>
      </w:pPr>
      <w:r>
        <w:t>Allaitement : compatible (à partir de 6 semaines post-partum). Le désogestrel et l'etonogestrel passent faiblement dans le lait maternel sans effet délétère démontré sur la croissance ou le développement du nourrisson allaité (recommandations OMS).</w:t>
      </w:r>
    </w:p>
    <w:p>
      <w:pPr>
        <w:pStyle w:val="ListBullet"/>
      </w:pPr>
      <w:r>
        <w:t>Précisions : retour de la fertilité rapide à l'arrêt (grossesse possible dès le cycle suivant pour la forme orale ; 1 à 3 mois après ablation de l'implant).</w:t>
      </w:r>
    </w:p>
    <w:p>
      <w:r/>
      <w:r>
        <w:rPr>
          <w:b/>
        </w:rPr>
        <w:t>Posologie et Mode d'administration (Standard) :</w:t>
      </w:r>
      <w:r/>
    </w:p>
    <w:p>
      <w:pPr>
        <w:pStyle w:val="ListBullet"/>
      </w:pPr>
      <w:r>
        <w:t>Adulte (forme orale, contraception) : 1 comprimé de 75 µg désogestrel par jour en continu (sans interruption cyclique), à heure fixe quotidienne.</w:t>
      </w:r>
    </w:p>
    <w:p>
      <w:pPr>
        <w:pStyle w:val="ListBullet"/>
      </w:pPr>
      <w:r>
        <w:t>Adulte (implant, contraception LARC) : 1 implant sous-cutané de 68 mg etonogestrel inséré à la face interne du bras non dominant, sous anesthésie locale, libérant 60-70 µg/jour pendant 3 ans. Renouvellement possible immédiatement après ablation du précédent.</w:t>
      </w:r>
    </w:p>
    <w:p>
      <w:pPr>
        <w:pStyle w:val="ListBullet"/>
      </w:pPr>
      <w:r>
        <w:t>Durée : forme orale — tant que la contraception est souhaitée ; implant — 3 ans (avec possibilité de retrait anticipé à tout moment).</w:t>
      </w:r>
    </w:p>
    <w:p>
      <w:pPr>
        <w:pStyle w:val="ListBullet"/>
      </w:pPr>
      <w:r>
        <w:t>Moment de prise : forme orale — à heure fixe quotidienne (tolérance de ± 12 heures) ; implant — insertion unique, libération continue.</w:t>
      </w:r>
    </w:p>
    <w:p>
      <w:r/>
      <w:r>
        <w:rPr>
          <w:b/>
        </w:rPr>
        <w:t>Arbitrage et Bénéfices des Formes Galéniques :</w:t>
      </w:r>
      <w:r/>
    </w:p>
    <w:p>
      <w:r>
        <w:t>La forme orale (comprimé 75 µg) offre une contraception quotidienne simple, particulièrement adaptée à la femme ayant une contre-indication aux estrogènes mais souhaitant une contraception réversible rapidement. La tolérance de ± 12 heures de la prise est un avantage par rapport aux COC (tolérance de ± 3 heures pour les anciens microprogestatifs). L'implant sous-cutané (Implanon NXT) offre une contraception de longue durée d'action (LARC) pendant 3 ans, avec une efficacité supérieure à 99,9 % et une indépendance vis-à-vis de l'observance quotidienne — particulièrement adapté aux adolescentes, aux femmes ayant des difficultés d'observance ou souhaitant un espacement des grossesses prolongé. L'ablation de l'implant nécessite un geste médical (incision, extraction) sous anesthésie locale. Le pharmacien doit orienter la patiente vers un médecin ou une sage-femme formée pour l'insertion et l'ablation de l'implant.</w:t>
      </w:r>
    </w:p>
    <w:p>
      <w:r/>
      <w:r>
        <w:rPr>
          <w:b/>
        </w:rPr>
        <w:t>Instructions et Conseils au Patient :</w:t>
      </w:r>
      <w:r/>
    </w:p>
    <w:p>
      <w:pPr>
        <w:pStyle w:val="ListBullet"/>
      </w:pPr>
      <w:r>
        <w:t>Communication au comptoir : expliquer le mode de prise (1 comprimé par jour en continu, sans interruption cyclique) et la tolérance de ± 12 heures ; rassurer sur les spotting fréquents en début de traitement (qui ne doivent pas inquiéter) ; prévenir sur la possibilité d'une aménorrhée au long cours (effet contraceptif attendu, pas pathologique) ; pour l'implant — informer sur la durée d'action (3 ans), le geste d'insertion et d'ablation, et la nécessité de consulter en cas de modification de la peau au site d'insertion.</w:t>
      </w:r>
    </w:p>
    <w:p>
      <w:pPr>
        <w:pStyle w:val="ListBullet"/>
      </w:pPr>
      <w:r>
        <w:t>Mode d'utilisation pratique : forme orale — prise à heure fixe quotidienne, avaler le comprimé avec un verre d'eau ; en cas d'oubli &gt; 12 heures, prendre le comprimé oublié dès que possible et utiliser une contraception mécanique pendant 7 jours ; en cas de vomissement &lt; 3 heures après la prise, prendre un autre comprimé. Implant — suivi médical annuel, vérification de la palpation de l'implant, consultation en cas de signes locaux (rougeur, douleur, migration).</w:t>
      </w:r>
    </w:p>
    <w:p>
      <w:r/>
      <w:r>
        <w:rPr>
          <w:b/>
        </w:rPr>
        <w:t>Notes, Règles d'Or &amp; Pièges au Comptoir :</w:t>
      </w:r>
      <w:r/>
    </w:p>
    <w:p>
      <w:pPr>
        <w:pStyle w:val="ListBullet"/>
      </w:pPr>
      <w:r>
        <w:t>Piège classique : oubli que le désogestrel se prend en continu (sans interruption cyclique de 7 jours comme les COC) — erreur fréquente de la patiente qui arrête à J21 comme un COC. Insister sur la prise continue.</w:t>
      </w:r>
    </w:p>
    <w:p>
      <w:pPr>
        <w:pStyle w:val="ListBullet"/>
      </w:pPr>
      <w:r>
        <w:t>Piège : oubli &gt; 12 heures — contraception mécanique (préservatif) pendant 7 jours ; en cas de rapport non protégé dans les 5 jours précédant l'oubli, envisager une contraception d'urgence.</w:t>
      </w:r>
    </w:p>
    <w:p>
      <w:pPr>
        <w:pStyle w:val="ListBullet"/>
      </w:pPr>
      <w:r>
        <w:t>Règle de prise : régularité horaire stricte (heure fixe quotidienne, tolérance ± 12 heures).</w:t>
      </w:r>
    </w:p>
    <w:p>
      <w:pPr>
        <w:pStyle w:val="ListBullet"/>
      </w:pPr>
      <w:r>
        <w:t>Préparation et Conservation : comprimés à température &lt; 25 °C ; implant à conserver à température ambiante, à insérer avant la date de péremption.</w:t>
      </w:r>
    </w:p>
    <w:p>
      <w:pPr>
        <w:pStyle w:val="ListBullet"/>
      </w:pPr>
      <w:r>
        <w:t>Piège du surdosage / Substitution : substituabilité Cerazette ↔ Desirett ↔ Desonette possible (bioéquivalence démontrée pour la formulation 75 µg) ; ne pas substituer avec Marvelon, Desogylon ou Marilon (qui sont des COC avec EE associé) — erreur grave.</w:t>
      </w:r>
    </w:p>
    <w:p>
      <w:pPr>
        <w:pStyle w:val="Heading3"/>
      </w:pPr>
      <w:r>
        <w:t>12. DCI : Lévonorgestrel (Seul — Urgence, microprogestatif, SIU)</w:t>
      </w:r>
    </w:p>
    <w:p>
      <w:r/>
      <w:r>
        <w:rPr>
          <w:b/>
        </w:rPr>
        <w:t>Liste des Catégories :</w:t>
      </w:r>
      <w:r>
        <w:t xml:space="preserve"> Progestatifs — Contraception d'urgence et implants / Progestatifs seuls - Microprogestatifs ; Liste I.</w:t>
      </w:r>
    </w:p>
    <w:p>
      <w:r>
        <w:t>Le lévonorgestrel (LNG) est un progestatif de synthèse dérivé 19-nortestostérone, le plus ancien et le mieux évalué des progestatifs contraceptifs. Il est utilisé à trois doses et par trois voies distinctes : (1) contraception d'urgence orale (1,5 mg en dose unique, à prendre le plus tôt possible après un rapport non ou mal protégé, idéalement &lt; 72 heures) ; (2) microprogestatif oral continu (30 µg/jour, en contraception progestative pure) ; (3) système intra-utérin (SIU) libérant 20 µg/24 heures pendant 5 ans (Mirena 52 mg). La biodisponibilité orale est de l'ordre de 95 % et la demi-vie plasmatique de 24 heures. Le LNG est métabolisé au niveau hépatique (CYP3A4).</w:t>
      </w:r>
    </w:p>
    <w:p>
      <w:r/>
      <w:r>
        <w:rPr>
          <w:b/>
        </w:rPr>
        <w:t>Médicaments disponibles en Algérie (Marques, Laboratoires, Formes et Dosages) :</w:t>
      </w:r>
      <w:r/>
    </w:p>
    <w:p>
      <w:pPr>
        <w:pStyle w:val="ListBullet"/>
      </w:pPr>
      <w:r/>
      <w:r>
        <w:rPr>
          <w:b/>
        </w:rPr>
        <w:t>HYAN</w:t>
      </w:r>
      <w:r>
        <w:t xml:space="preserve"> (MYLAN LABORATOIRES LIMITED)</w:t>
      </w:r>
    </w:p>
    <w:p>
      <w:pPr>
        <w:pStyle w:val="ListBullet"/>
      </w:pPr>
      <w:r>
        <w:t>Formes et Dosages : comprimé enrobé 0,03 mg (30 µg) lévonorgestrel (B/28)</w:t>
      </w:r>
    </w:p>
    <w:p>
      <w:pPr>
        <w:pStyle w:val="ListBullet"/>
      </w:pPr>
      <w:r>
        <w:t>Statut : Actif (microprogestatif oral continu)</w:t>
      </w:r>
    </w:p>
    <w:p>
      <w:pPr>
        <w:pStyle w:val="ListBullet"/>
      </w:pPr>
      <w:r/>
      <w:r>
        <w:rPr>
          <w:b/>
        </w:rPr>
        <w:t>MICROVAL</w:t>
      </w:r>
      <w:r>
        <w:t xml:space="preserve"> (WYETH LEDERLE)</w:t>
      </w:r>
    </w:p>
    <w:p>
      <w:pPr>
        <w:pStyle w:val="ListBullet"/>
      </w:pPr>
      <w:r>
        <w:t>Formes et Dosages : comprimé 0,03 mg (30 µg) lévonorgestrel (B/28)</w:t>
      </w:r>
    </w:p>
    <w:p>
      <w:pPr>
        <w:pStyle w:val="ListBullet"/>
      </w:pPr>
      <w:r>
        <w:t>Statut : Actif (spécialité pionnière du microprogestatif)</w:t>
      </w:r>
    </w:p>
    <w:p>
      <w:pPr>
        <w:pStyle w:val="ListBullet"/>
      </w:pPr>
      <w:r/>
      <w:r>
        <w:rPr>
          <w:b/>
        </w:rPr>
        <w:t>MIRENA 20 µg/24H</w:t>
      </w:r>
      <w:r>
        <w:t xml:space="preserve"> (BAYER OY)</w:t>
      </w:r>
    </w:p>
    <w:p>
      <w:pPr>
        <w:pStyle w:val="ListBullet"/>
      </w:pPr>
      <w:r>
        <w:t>Formes et Dosages : système de diffusion intra-utérin 52 mg lévonorgestrel (libération 20 µg/24 h pendant 5 ans) (B/01 système muni d'inserteur Evo-Inserteur)</w:t>
      </w:r>
    </w:p>
    <w:p>
      <w:pPr>
        <w:pStyle w:val="ListBullet"/>
      </w:pPr>
      <w:r>
        <w:t>Statut : Actif (SIU LARC 5 ans)</w:t>
      </w:r>
    </w:p>
    <w:p>
      <w:pPr>
        <w:pStyle w:val="ListBullet"/>
      </w:pPr>
      <w:r/>
      <w:r>
        <w:rPr>
          <w:b/>
        </w:rPr>
        <w:t>NORLEVO</w:t>
      </w:r>
      <w:r>
        <w:t xml:space="preserve"> (PHARMALLIANCE)</w:t>
      </w:r>
    </w:p>
    <w:p>
      <w:pPr>
        <w:pStyle w:val="ListBullet"/>
      </w:pPr>
      <w:r>
        <w:t>Formes et Dosages : comprimé 750 µg (0,75 mg) lévonorgestrel (B/2 — schéma historique 2 comprimés à 12 heures d'intervalle, maintenant en dose unique 1,5 mg)</w:t>
      </w:r>
    </w:p>
    <w:p>
      <w:pPr>
        <w:pStyle w:val="ListBullet"/>
      </w:pPr>
      <w:r>
        <w:t>Statut : Non Renouvelable</w:t>
      </w:r>
    </w:p>
    <w:p>
      <w:pPr>
        <w:pStyle w:val="ListBullet"/>
      </w:pPr>
      <w:r/>
      <w:r>
        <w:rPr>
          <w:b/>
        </w:rPr>
        <w:t>PREGNON</w:t>
      </w:r>
      <w:r>
        <w:t xml:space="preserve"> (FAMYCARE LIMITED)</w:t>
      </w:r>
    </w:p>
    <w:p>
      <w:pPr>
        <w:pStyle w:val="ListBullet"/>
      </w:pPr>
      <w:r>
        <w:t>Formes et Dosages : comprimé 0,75 mg (750 µg) lévonorgestrel (B/2)</w:t>
      </w:r>
    </w:p>
    <w:p>
      <w:pPr>
        <w:pStyle w:val="ListBullet"/>
      </w:pPr>
      <w:r>
        <w:t>Statut : Non Renouvelable</w:t>
      </w:r>
    </w:p>
    <w:p>
      <w:r/>
      <w:r>
        <w:rPr>
          <w:b/>
        </w:rPr>
        <w:t>Sous-classe et Mécanisme d'action :</w:t>
      </w:r>
      <w:r/>
    </w:p>
    <w:p>
      <w:pPr>
        <w:pStyle w:val="ListBullet"/>
      </w:pPr>
      <w:r>
        <w:t>Sous-classe : progestatif seul, utilisé à trois doses et par trois voies distinctes — contraception d'urgence orale (1,5 mg dose unique), microprogestatif oral continu (30 µg/jour), système intra-utérin (SIU 52 mg libérant 20 µg/24 h pendant 5 ans).</w:t>
      </w:r>
    </w:p>
    <w:p>
      <w:pPr>
        <w:pStyle w:val="ListBullet"/>
      </w:pPr>
      <w:r>
        <w:t>Mécanisme d'action : le lévonorgestrel se fixe au récepteur progestatif PR avec une affinité élevée, exerçant un effet progestatif puissant. Le mécanisme varie selon la dose et la voie :</w:t>
      </w:r>
    </w:p>
    <w:p>
      <w:pPr>
        <w:pStyle w:val="ListBullet"/>
      </w:pPr>
      <w:r>
        <w:t>*Contraception d'urgence (1,5 mg dose unique)* : mécanisme principal = retard ou inhibition de l'ovulation (effet sur le pic de LH). Efficacité maximale si prise dans les 24 heures (95 %), décroissante à 72 heures (89 %), nulle après le pic de LH (car le LNG n'inhibe pas la nidation d'un œuf déjà fécondé). Le LNG n'est PAS abortif.</w:t>
      </w:r>
    </w:p>
    <w:p>
      <w:pPr>
        <w:pStyle w:val="ListBullet"/>
      </w:pPr>
      <w:r>
        <w:t>*Microprogestatif oral continu (30 µg/jour)* : mécanisme principal = modification de la glaire cervicale (épaississement, diminution) empêchant la remontée des spermatozoïdes ; atrophie endométriale rendant la nidation improbable ; inhibition partielle de l'ovulation (~50 % des cycles — moindre que le désogestrel 75 µg qui inhibe 97 % des cycles).</w:t>
      </w:r>
    </w:p>
    <w:p>
      <w:pPr>
        <w:pStyle w:val="ListBullet"/>
      </w:pPr>
      <w:r>
        <w:t>*SIU Mirena (20 µg/24 h pendant 5 ans)* : mécanisme principal local = atrophie endométriale puissante (effet local direct sur les récepteurs PR endométriaux) ; modification de la glaire cervicale ; inhibition partielle de l'ovulation (85 % des cycles). Efficacité contraceptive supérieure à 99,9 % (indice de Pearl 0,1). Effet thérapeutique additionnel sur les ménorragies (réduction de 70-90 %), la dysménorrhée et la protection endométriale sous THS.</w:t>
      </w:r>
    </w:p>
    <w:p>
      <w:r/>
      <w:r>
        <w:rPr>
          <w:b/>
        </w:rPr>
        <w:t>Profil Pharmacologique :</w:t>
      </w:r>
      <w:r/>
    </w:p>
    <w:p>
      <w:pPr>
        <w:pStyle w:val="ListBullet"/>
      </w:pPr>
      <w:r>
        <w:t>Indications : contraception d'urgence orale (1,5 mg dose unique) après rapport sexuel non ou mal protégé, idéalement dans les 24 heures et jusqu'à 72 heures (au-delà, considérer l'acétate d'ulipristal EllaOne si disponible) ; contraception progestative pure orale continue (30 µg/jour) en alternative aux COC, particulièrement chez la femme ayant une contre-indication aux estrogènes ; contraception de longue durée d'action par SIU (5 ans) avec effet thérapeutique additionnel sur les ménorragies fonctionnelles, la dysménorrhée, l'endométriose, et la protection endométriale sous THS chez la femme sous estrogène.</w:t>
      </w:r>
    </w:p>
    <w:p>
      <w:pPr>
        <w:pStyle w:val="ListBullet"/>
      </w:pPr>
      <w:r>
        <w:t>Contre-indications : grossesse évolutive (la contraception d'urgence ne provoque pas l'avortement mais n'est pas indiquée en cas de grossesse connue) ; antécédent ou maladie thromboembolique veineuse en évolution (prudence pour le SIU — risque moindre que COC mais non nul) ; hépatopathie sévère ; cancer du sein hormono-dépendant présent ou antécédent ; métrorragies non diagnostiquées ; malformations utérines ou fibromes déformant la cavité (CI relative au SIU) ; infection pelvienne non traitée (CI au SIU) ; hypersensibilité au lévonorgestrel ou aux composants du SIU (polyéthylène, sulfate de baryum).</w:t>
      </w:r>
    </w:p>
    <w:p>
      <w:pPr>
        <w:pStyle w:val="ListBullet"/>
      </w:pPr>
      <w:r>
        <w:t>Effets Indésirables : spotting, métrorragies (très fréquents en début de traitement ou après pose du SIU) ; aménorrhée secondaire (fréquente au long cours sous SIU Mirena, ~20 % à 1 an, ~50 % à 5 ans — effet contraceptif attendu et bénéfique dans les ménorragies) ; céphalées ; mastodynie transitoire ; prise de poids modeste ; acné transitoire ou paradoxale ; troubles de l'humeur ; kystes ovariens fonctionnels bénins (surtout sous SIU, généralement asymptomatiques) ; risque thromboembolique veineux (RR ~1,5 à 2 vs non-utilisatrices — moindre que COC mais non nul) ; pour le SIU — perforation utérine (rare, 1-2/1000), expulsion (5-10 %), infection pelvienne (rare, surtout dans les 3 semaines après pose) ; pour la contraception d'urgence — nausées (fréquentes, 20-30 %), vomissements (&lt; 5 %), fatigue, céphalées, douleurs pelviennes, modification du cycle suivant (avance ou retard des règles).</w:t>
      </w:r>
    </w:p>
    <w:p>
      <w:r/>
      <w:r>
        <w:rPr>
          <w:b/>
        </w:rPr>
        <w:t>Prévention et Gestion des Effets Indésirables :</w:t>
      </w:r>
      <w:r/>
    </w:p>
    <w:p>
      <w:pPr>
        <w:pStyle w:val="ListBullet"/>
      </w:pPr>
      <w:r>
        <w:t>Mesures Préventives : information de la patiente sur les spotting fréquents en début de traitement ou après pose du SIU ; bilan pré-thérapeutique (interrogatoire, examen clinique, pression artérielle) ; pour le SIU — pose par un professionnel formé (gynécologue, sage-femme), sous asepsie stricte, idéalement pendant les règles (col ouvert) ou dans les 7 jours suivant le début des règles ; dépistage des IST avant la pose (Chlamydia, Gonocoque) chez la femme à risque.</w:t>
      </w:r>
    </w:p>
    <w:p>
      <w:pPr>
        <w:pStyle w:val="ListBullet"/>
      </w:pPr>
      <w:r>
        <w:t>Conduite à Tenir : en cas de nausées/vomissements dans les 3 heures après la contraception d'urgence, prendre un autre comprimé de 1,5 mg ; en cas de spotting abondant ou persistant après 3 mois sous microprogestatif, consultation gynécologique ; en cas de douleur pelvienne aiguë, fièvre ou fièvre sous SIU, consulter en urgence (suspicion de grossesse extra-utérine, infection pelvienne, perforation) ; en cas d'absence de règles après la contraception d'urgence, test de grossesse à 3 semaines.</w:t>
      </w:r>
    </w:p>
    <w:p>
      <w:r/>
      <w:r>
        <w:rPr>
          <w:b/>
        </w:rPr>
        <w:t>Interactions Importantes :</w:t>
      </w:r>
      <w:r/>
    </w:p>
    <w:p>
      <w:pPr>
        <w:pStyle w:val="ListBullet"/>
      </w:pPr>
      <w:r>
        <w:t>LNG + inducteurs enzymatiques (rifampicine, phénytoïne, carbamazépine, phénobarbital, oxcarbazépine, topiramate &gt; 200 mg/j, millepertuis) : diminution majeure de l'efficacité — pour la contraception d'urgence, doubler la dose (3 mg au lieu de 1,5 mg) si prise d'inducteur dans les 4 semaines précédentes ; pour le microprogestatif et le SIU, utiliser une méthode mécanique (préservatif) pendant toute la durée et 28 jours après l'arrêt.</w:t>
      </w:r>
    </w:p>
    <w:p>
      <w:pPr>
        <w:pStyle w:val="ListBullet"/>
      </w:pPr>
      <w:r>
        <w:t>LNG + inhibiteurs enzymatiques (kététoconazole, itraconazole, érythromycine, clarithromycine) : augmentation des concentrations plasmatiques.</w:t>
      </w:r>
    </w:p>
    <w:p>
      <w:pPr>
        <w:pStyle w:val="ListBullet"/>
      </w:pPr>
      <w:r>
        <w:t>LNG + acétate d'ulipristal (EllaOne) : inhibition compétitive au niveau du récepteur progestatif — ne pas associer, espacer de 5 jours.</w:t>
      </w:r>
    </w:p>
    <w:p>
      <w:r/>
      <w:r>
        <w:rPr>
          <w:b/>
        </w:rPr>
        <w:t>Grossesse et Allaitement :</w:t>
      </w:r>
      <w:r/>
    </w:p>
    <w:p>
      <w:pPr>
        <w:pStyle w:val="ListBullet"/>
      </w:pPr>
      <w:r>
        <w:t>Grossesse : CI absolue (la contraception d'urgence ne provoque pas l'avortement mais n'est pas indiquée en cas de grossesse connue). Selon le CRAT, exposition accidentelle en début de grossesse n'impose pas d'IVG mais justifie une surveillance échographique ; aucun sur-risque malformatif démontré. Pour le SIU, ablation recommandée dès diagnostic de grossesse (en raison du sur-risque d'AVC, d'infection, de fausse couche, et de prématurité).</w:t>
      </w:r>
    </w:p>
    <w:p>
      <w:pPr>
        <w:pStyle w:val="ListBullet"/>
      </w:pPr>
      <w:r>
        <w:t>Allaitement : compatible (à partir de 6 semaines post-partum). Le lévonorgestrel passe faiblement dans le lait maternel sans effet délétère démontré sur la croissance ou le développement du nourrisson allaité (recommandations OMS). Le SIU Mirena est l'une des contraceptions de choix chez la femme allaitante.</w:t>
      </w:r>
    </w:p>
    <w:p>
      <w:pPr>
        <w:pStyle w:val="ListBullet"/>
      </w:pPr>
      <w:r>
        <w:t>Précisions : retour de la fertilité rapide à l'arrêt (grossesse possible dès le cycle suivant pour la forme orale ; immédiat après ablation du SIU).</w:t>
      </w:r>
    </w:p>
    <w:p>
      <w:r/>
      <w:r>
        <w:rPr>
          <w:b/>
        </w:rPr>
        <w:t>Posologie et Mode d'administration (Standard) :</w:t>
      </w:r>
      <w:r/>
    </w:p>
    <w:p>
      <w:pPr>
        <w:pStyle w:val="ListBullet"/>
      </w:pPr>
      <w:r>
        <w:t>Adulte (contraception d'urgence) : 1,5 mg en dose unique le plus tôt possible après le rapport non ou mal protégé, idéalement &lt; 24 heures, jusqu'à 72 heures (au-delà, envisager l'acétate d'ulipristal si disponible).</w:t>
      </w:r>
    </w:p>
    <w:p>
      <w:pPr>
        <w:pStyle w:val="ListBullet"/>
      </w:pPr>
      <w:r>
        <w:t>Adulte (microprogestatif oral continu) : 1 comprimé de 30 µg par jour en continu (sans interruption cyclique), à heure fixe quotidienne (tolérance stricte de ± 3 heures — moindre que le désogestrel 75 µg qui tolère ± 12 heures).</w:t>
      </w:r>
    </w:p>
    <w:p>
      <w:pPr>
        <w:pStyle w:val="ListBullet"/>
      </w:pPr>
      <w:r>
        <w:t>Adulte (SIU Mirena) : 1 SIU inséré dans la cavité utérine, libérant 20 µg/24 h pendant 5 ans. Renouvellement possible immédiatement après ablation du précédent.</w:t>
      </w:r>
    </w:p>
    <w:p>
      <w:pPr>
        <w:pStyle w:val="ListBullet"/>
      </w:pPr>
      <w:r>
        <w:t>Durée : contraception d'urgence — dose unique ; microprogestatif — tant que la contraception est souhaitée ; SIU — 5 ans (avec possibilité de retrait anticipé à tout moment).</w:t>
      </w:r>
    </w:p>
    <w:p>
      <w:pPr>
        <w:pStyle w:val="ListBullet"/>
      </w:pPr>
      <w:r>
        <w:t>Moment de prise : contraception d'urgence — ASAP après le rapport ; microprogestatif — à heure fixe quotidienne ; SIU — insertion unique, libération continue.</w:t>
      </w:r>
    </w:p>
    <w:p>
      <w:r/>
      <w:r>
        <w:rPr>
          <w:b/>
        </w:rPr>
        <w:t>Arbitrage et Bénéfices des Formes Galéniques :</w:t>
      </w:r>
      <w:r/>
    </w:p>
    <w:p>
      <w:r>
        <w:t>La contraception d'urgence orale (1,5 mg dose unique) est la méthode de référence en raison de son accessibilité (sans prescription dans de nombreux pays), de son innocuité (pas d'avortement) et de son efficacité (95 % si prise &lt; 24 heures). Toutefois, l'acétate d'ulipristal (EllaOne) est supérieur au LNG pour les rapports &gt; 72 heures (efficace jusqu'à 120 heures) et en cas d'obésité (IMC &gt; 30 — le LNG perd de l'efficacité, l'ulipristal conserve son efficacité). Le microprogestatif oral (30 µg/jour) est moins utilisé que le désogestrel (75 µg) en raison de sa tolérance horaire stricte (± 3 heures vs ± 12 heures) et de son moindre effet inhibiteur sur l'ovulation (50 % vs 97 %). Le SIU Mirena représente la contraception LARC de référence chez la femme souhaitant une contraception de longue durée avec effet thérapeutique additionnel sur les ménorragies, la dysménorrhée, l'endométriose et la protection endométrale sous THS. Le SIU est également utilisé comme composant progestatif du THS chez la femme ménopausée avec utérus intact.</w:t>
      </w:r>
    </w:p>
    <w:p>
      <w:r/>
      <w:r>
        <w:rPr>
          <w:b/>
        </w:rPr>
        <w:t>Instructions et Conseils au Patient :</w:t>
      </w:r>
      <w:r/>
    </w:p>
    <w:p>
      <w:pPr>
        <w:pStyle w:val="ListBullet"/>
      </w:pPr>
      <w:r>
        <w:t>Communication au comptoir : expliquer que la contraception d'urgence n'est pas abortive et n'interrompt pas une grossesse déjà installée ; prévenir sur la nécessité de prendre le comprimé le plus tôt possible (&lt; 24 heures idéalement) ; prévenir sur les nausées fréquentes et la conduite à tenir en cas de vomissement &lt; 3 heures (reprendre un autre comprimé) ; prévenir sur la modification possible du cycle suivant (avance ou retard des règles) et la nécessité d'un test de grossesse à 3 semaines en cas d'absence de règles ; rappeler que la contraception d'urgence ne remplace pas une contraception régulière. Pour le microprogestatif — expliquer la tolérance stricte de ± 3 heures. Pour le SIU Mirena — informer sur la durée d'action (5 ans), le geste d'insertion et d'ablation, et la possibilité d'aménorrhée au long cours (effet bénéfique dans les ménorragies).</w:t>
      </w:r>
    </w:p>
    <w:p>
      <w:pPr>
        <w:pStyle w:val="ListBullet"/>
      </w:pPr>
      <w:r>
        <w:t>Mode d'utilisation pratique : contraception d'urgence — avaler le comprimé avec un verre d'eau le plus tôt possible après le rapport ; microprogestatif — prise à heure fixe quotidienne stricte ; SIU — insertion par gynécologue ou sage-femme, suivi annuel, consultation en cas de signes anormaux (douleur, fièvre, modification du cycle).</w:t>
      </w:r>
    </w:p>
    <w:p>
      <w:r/>
      <w:r>
        <w:rPr>
          <w:b/>
        </w:rPr>
        <w:t>Notes, Règles d'Or &amp; Pièges au Comptoir :</w:t>
      </w:r>
      <w:r/>
    </w:p>
    <w:p>
      <w:pPr>
        <w:pStyle w:val="ListBullet"/>
      </w:pPr>
      <w:r>
        <w:t>Piège classique : oubli que la contraception d'urgence perd de son efficacité après le pic de LH (car le LNG n'inhibe pas la nidation) — expliquer à la patiente que plus la prise est précoce, plus l'efficacité est élevée.</w:t>
      </w:r>
    </w:p>
    <w:p>
      <w:pPr>
        <w:pStyle w:val="ListBullet"/>
      </w:pPr>
      <w:r>
        <w:t>Piège : prescription de lévonorgestrel en contraception d'urgence chez une femme sous inducteur enzymatique — doubler la dose (3 mg au lieu de 1,5 mg).</w:t>
      </w:r>
    </w:p>
    <w:p>
      <w:pPr>
        <w:pStyle w:val="ListBullet"/>
      </w:pPr>
      <w:r>
        <w:t>Piège : oubli que la contraception d'urgence n'est pas abortive — ne pas refuser la délivrance en cas de doute sur une grossesse éventuelle (le LNG ne provoque pas l'avortement).</w:t>
      </w:r>
    </w:p>
    <w:p>
      <w:pPr>
        <w:pStyle w:val="ListBullet"/>
      </w:pPr>
      <w:r>
        <w:t>Piège : vomissement &lt; 3 heures après la prise — reprendre un autre comprimé de 1,5 mg.</w:t>
      </w:r>
    </w:p>
    <w:p>
      <w:pPr>
        <w:pStyle w:val="ListBullet"/>
      </w:pPr>
      <w:r>
        <w:t>Règle de prise : contraception d'urgence — ASAP ; microprogestatif — heure fixe stricte (± 3 heures) ; SIU — insertion unique.</w:t>
      </w:r>
    </w:p>
    <w:p>
      <w:pPr>
        <w:pStyle w:val="ListBullet"/>
      </w:pPr>
      <w:r>
        <w:t>Préparation et Conservation : comprimés à température &lt; 25 °C ; SIU à conserver à température ambiante, à insérer avant la date de péremption.</w:t>
      </w:r>
    </w:p>
    <w:p>
      <w:pPr>
        <w:pStyle w:val="ListBullet"/>
      </w:pPr>
      <w:r>
        <w:t>Piège du surdosage / Substitution : substituabilité Microval ↔ Hyan possible (bioéquivalence démontrée pour la formulation 30 µg) ; substituabilité NorLevo ↔ Pregnon possible pour la contraception d'urgence (1,5 mg = 2 × 750 µg en dose unique).</w:t>
      </w:r>
    </w:p>
    <w:p>
      <w:pPr>
        <w:pStyle w:val="Heading3"/>
      </w:pPr>
      <w:r>
        <w:t>13. DCI : Lynestrénol (Seule)</w:t>
      </w:r>
    </w:p>
    <w:p>
      <w:r/>
      <w:r>
        <w:rPr>
          <w:b/>
        </w:rPr>
        <w:t>Liste des Catégories :</w:t>
      </w:r>
      <w:r>
        <w:t xml:space="preserve"> Progestatifs seuls — 19-nortestostérone ; Liste I.</w:t>
      </w:r>
    </w:p>
    <w:p>
      <w:r>
        <w:t>Le lynestrénol est un progestatif de synthèse dérivé 19-nortestostérone, métabolisé en norgestrel actif (métabolite 19-nor-17α-éthynyl-testostérone). Il possède une activité progestative puissante et une activité estrogénique résiduelle (par son métabolite). Sa biodisponibilité orale est bonne et sa demi-vie plasmatique de l'ordre de 10 à 15 heures. Le lynestrénol a été largement utilisé comme contraceptif progestatif pur à faibles doses (Exluton 0,5 mg/jour) dans les années 1970-1980, mais cette indication a été supplantée par le désogestrel (tolérance horaire plus large, meilleure inhibition de l'ovulation).</w:t>
      </w:r>
    </w:p>
    <w:p>
      <w:r/>
      <w:r>
        <w:rPr>
          <w:b/>
        </w:rPr>
        <w:t>Médicaments disponibles en Algérie (Marques, Laboratoires, Formes et Dosages) :</w:t>
      </w:r>
      <w:r/>
    </w:p>
    <w:p>
      <w:pPr>
        <w:pStyle w:val="ListBullet"/>
      </w:pPr>
      <w:r/>
      <w:r>
        <w:rPr>
          <w:b/>
        </w:rPr>
        <w:t>ORGAMETRIL</w:t>
      </w:r>
      <w:r>
        <w:t xml:space="preserve"> (ORGANON N.V.)</w:t>
      </w:r>
    </w:p>
    <w:p>
      <w:pPr>
        <w:pStyle w:val="ListBullet"/>
      </w:pPr>
      <w:r>
        <w:t>Formes et Dosages : comprimé 5 mg (B/30)</w:t>
      </w:r>
    </w:p>
    <w:p>
      <w:pPr>
        <w:pStyle w:val="ListBullet"/>
      </w:pPr>
      <w:r>
        <w:t>Statut : Actif (spécialité pionnière)</w:t>
      </w:r>
    </w:p>
    <w:p>
      <w:pPr>
        <w:pStyle w:val="ListBullet"/>
      </w:pPr>
      <w:r/>
      <w:r>
        <w:rPr>
          <w:b/>
        </w:rPr>
        <w:t>EXLUTON</w:t>
      </w:r>
      <w:r>
        <w:t xml:space="preserve"> (ORGANON, ex AKZO NOBEL)</w:t>
      </w:r>
    </w:p>
    <w:p>
      <w:pPr>
        <w:pStyle w:val="ListBullet"/>
      </w:pPr>
      <w:r>
        <w:t>Formes et Dosages : comprimé 0,5 mg (B/3×28 ou B/100×28)</w:t>
      </w:r>
    </w:p>
    <w:p>
      <w:pPr>
        <w:pStyle w:val="ListBullet"/>
      </w:pPr>
      <w:r>
        <w:t>Statut : Retiré (R) — ancien microprogestatif contraceptif</w:t>
      </w:r>
    </w:p>
    <w:p>
      <w:pPr>
        <w:pStyle w:val="ListBullet"/>
      </w:pPr>
      <w:r/>
      <w:r>
        <w:rPr>
          <w:b/>
        </w:rPr>
        <w:t>OVOSTAT</w:t>
      </w:r>
      <w:r>
        <w:t xml:space="preserve"> (ORGANON, ex AKZO NOBEL)</w:t>
      </w:r>
    </w:p>
    <w:p>
      <w:pPr>
        <w:pStyle w:val="ListBullet"/>
      </w:pPr>
      <w:r>
        <w:t>Formes et Dosages : comprimé 1 mg lynestrénol / 50 µg éthinylestradiol (B/63)</w:t>
      </w:r>
    </w:p>
    <w:p>
      <w:pPr>
        <w:pStyle w:val="ListBullet"/>
      </w:pPr>
      <w:r>
        <w:t>Statut : Retiré (R) — ancien COC</w:t>
      </w:r>
    </w:p>
    <w:p>
      <w:r/>
      <w:r>
        <w:rPr>
          <w:b/>
        </w:rPr>
        <w:t>Sous-classe et Mécanisme d'action :</w:t>
      </w:r>
      <w:r/>
    </w:p>
    <w:p>
      <w:pPr>
        <w:pStyle w:val="ListBullet"/>
      </w:pPr>
      <w:r>
        <w:t>Sous-classe : progestatif de synthèse dérivé 19-nortestostérone, à activité progestative puissante et estrogénique résiduelle (par son métabolite norgestrel).</w:t>
      </w:r>
    </w:p>
    <w:p>
      <w:pPr>
        <w:pStyle w:val="ListBullet"/>
      </w:pPr>
      <w:r>
        <w:t>Mécanisme d'action : le lynestrénol est métabolisé en norgestrel (métabolite actif) qui se fixe au récepteur progestatif PR avec une affinité élevée, exerçant un effet progestatif puissant : transformation sécrétoire de l'endomètre, atrophie endométriale au long cours, épaississement de la glaire cervicale, inhibition partielle de l'ovulation (à dose thérapeutique). À dose contraceptive (0,5 mg/jour en continu), l'effet contraceptif repose principalement sur la modification de la glaire cervicale et l'atrophie endométriale. À dose thérapeutique supérieure (5-10 mg/jour), l'effet antigonadotrope est marqué (suppression de la sécrétion de LH et du pic ovulant). Le métabolite norgestrel conserve une activité estrogénique résiduelle, à l'origine d'une légère stimulation endométriale et d'une meilleure tolérance osseuse au long cours (par rapport aux progestatifs purs très anti-estrogéniques comme le diénogest).</w:t>
      </w:r>
    </w:p>
    <w:p>
      <w:r/>
      <w:r>
        <w:rPr>
          <w:b/>
        </w:rPr>
        <w:t>Profil Pharmacologique :</w:t>
      </w:r>
      <w:r/>
    </w:p>
    <w:p>
      <w:pPr>
        <w:pStyle w:val="ListBullet"/>
      </w:pPr>
      <w:r>
        <w:t>Indications : troubles menstruels (dysménorrhée essentielle, polyménorrhée, métrorragies fonctionnelles) ; mastopathie bénigne douloureuse ; endométriose pelvienne (seconde intention) ; syndrome prémenstruel sévère ; contraception progestative pure (à dose 0,5 mg/jour, indication historique — retirée de l'AMM en Algérie, remplacée par le désogestrel) ; retard de règles (à dose unique) ; ménorragies fonctionnelles.</w:t>
      </w:r>
    </w:p>
    <w:p>
      <w:pPr>
        <w:pStyle w:val="ListBullet"/>
      </w:pPr>
      <w:r>
        <w:t>Contre-indications : grossesse évolutive (par mesure de précaution — lynestrénol n'a pas d'effet abortif mais son utilisation en grossesse est déconseillée) ; antécédent thromboembolique veineux personnel en évolution ; hépatopathie sévère ; cancer du sein hormono-dépendant ; métrorragies non diagnostiquées ; hypersensibilité au lynestrénol.</w:t>
      </w:r>
    </w:p>
    <w:p>
      <w:pPr>
        <w:pStyle w:val="ListBullet"/>
      </w:pPr>
      <w:r>
        <w:t>Effets Indésirables : spotting, métrorragies (fréquents en début de traitement) ; aménorrhée secondaire ; céphalées ; mastodynie transitoire ; prise de poids (effet androgénique et estrogénique) ; acné, séborrhée (effet androgénique) ; rétention hydrosodée (effet estrogénique) ; troubles de l'humeur ; baisse de la libido ; risque thromboembolique veineux (RR moindre que COC mais non nul) ; intolérance glucidique modeste ; modification du profil lipidique.</w:t>
      </w:r>
    </w:p>
    <w:p>
      <w:r/>
      <w:r>
        <w:rPr>
          <w:b/>
        </w:rPr>
        <w:t>Prévention et Gestion des Effets Indésirables :</w:t>
      </w:r>
      <w:r/>
    </w:p>
    <w:p>
      <w:pPr>
        <w:pStyle w:val="ListBullet"/>
      </w:pPr>
      <w:r>
        <w:t>Mesures Préventives : bilan pré-thérapeutique (interrogatoire, examen clinique, pression artérielle) ; surveillance clinique des saignements en début de traitement.</w:t>
      </w:r>
    </w:p>
    <w:p>
      <w:pPr>
        <w:pStyle w:val="ListBullet"/>
      </w:pPr>
      <w:r>
        <w:t>Conduite à Tenir : en cas de spotting abondant ou persistant, consultation gynécologique pour vérification de l'endomètre ; arrêt immédiat en cas de suspicion d'événement thromboembolique.</w:t>
      </w:r>
    </w:p>
    <w:p>
      <w:r/>
      <w:r>
        <w:rPr>
          <w:b/>
        </w:rPr>
        <w:t>Interactions Importantes :</w:t>
      </w:r>
      <w:r/>
    </w:p>
    <w:p>
      <w:pPr>
        <w:pStyle w:val="ListBullet"/>
      </w:pPr>
      <w:r>
        <w:t>Lynestrénol + inducteurs enzymatiques (rifampicine, phénytoïne, carbamazépine, phénobarbital, millepertuis) : accélération du catabolisme et diminution de l'efficacité.</w:t>
      </w:r>
    </w:p>
    <w:p>
      <w:pPr>
        <w:pStyle w:val="ListBullet"/>
      </w:pPr>
      <w:r>
        <w:t>Lynestrénol + inhibiteurs enzymatiques (kététoconazole, itraconazole, érythromycine, clarithromycine) : augmentation des concentrations plasmatiques.</w:t>
      </w:r>
    </w:p>
    <w:p>
      <w:r/>
      <w:r>
        <w:rPr>
          <w:b/>
        </w:rPr>
        <w:t>Grossesse et Allaitement :</w:t>
      </w:r>
      <w:r/>
    </w:p>
    <w:p>
      <w:pPr>
        <w:pStyle w:val="ListBullet"/>
      </w:pPr>
      <w:r>
        <w:t>Grossesse : à éviter par mesure de précaution (lynestrénol n'a pas d'effet tératogène démontré chez l'animal, mais les données cliniques sont limitées). Selon le CRAT, exposition accidentelle en début de grossesse n'impose pas d'IVG mais justifie une surveillance échographique.</w:t>
      </w:r>
    </w:p>
    <w:p>
      <w:pPr>
        <w:pStyle w:val="ListBullet"/>
      </w:pPr>
      <w:r>
        <w:t>Allaitement : compatible (à partir de 6 semaines post-partum) en raison du faible passage dans le lait et de l'absence d'effet délétère démontré.</w:t>
      </w:r>
    </w:p>
    <w:p>
      <w:pPr>
        <w:pStyle w:val="ListBullet"/>
      </w:pPr>
      <w:r>
        <w:t>Précisions : ne pas utiliser en soutien de phase lutéale en AMP (préférer progestérone micronisée ou dydrogestérone).</w:t>
      </w:r>
    </w:p>
    <w:p>
      <w:r/>
      <w:r>
        <w:rPr>
          <w:b/>
        </w:rPr>
        <w:t>Posologie et Mode d'administration (Standard) :</w:t>
      </w:r>
      <w:r/>
    </w:p>
    <w:p>
      <w:pPr>
        <w:pStyle w:val="ListBullet"/>
      </w:pPr>
      <w:r>
        <w:t>Adulte (troubles menstruels, mastopathie, endométriose) : 5-10 mg/jour (1-2 comprimés) en continu ou en discontinu selon le schéma (de J5 à J25 du cycle, ou en continu).</w:t>
      </w:r>
    </w:p>
    <w:p>
      <w:pPr>
        <w:pStyle w:val="ListBullet"/>
      </w:pPr>
      <w:r>
        <w:t>Adulte (syndrome prémenstruel sévère) : 5 mg/jour de J5 à J25 du cycle.</w:t>
      </w:r>
    </w:p>
    <w:p>
      <w:pPr>
        <w:pStyle w:val="ListBullet"/>
      </w:pPr>
      <w:r>
        <w:t>Adulte (retard de règles) : 5-10 mg/jour pendant 5-10 jours.</w:t>
      </w:r>
    </w:p>
    <w:p>
      <w:pPr>
        <w:pStyle w:val="ListBullet"/>
      </w:pPr>
      <w:r>
        <w:t>Durée : selon indication ; en endométriose, 6 mois minimum.</w:t>
      </w:r>
    </w:p>
    <w:p>
      <w:pPr>
        <w:pStyle w:val="ListBullet"/>
      </w:pPr>
      <w:r>
        <w:t>Moment de prise : à heure fixe quotidienne.</w:t>
      </w:r>
    </w:p>
    <w:p>
      <w:r/>
      <w:r>
        <w:rPr>
          <w:b/>
        </w:rPr>
        <w:t>Arbitrage et Bénéfices des Formes Galéniques :</w:t>
      </w:r>
      <w:r/>
    </w:p>
    <w:p>
      <w:r>
        <w:t>La forme orale unique (comprimé 5 mg) est la seule disponible en Algérie (Orgametril). Les formes historiques à faible dose contraceptive (Exluton 0,5 mg, microprogestatif) et COC (Ovostat 1 mg lynestrénol + 50 µg EE) sont retirées du marché algérien. Le lynestrénol est aujourd'hui utilisé principalement comme progestatif thérapeutique (troubles menstruels, endométriose) à dose supérieure à la dose contraceptive historique. Sa tolérance est marquée par les effets androgéniques (acné, prise de poids) et estrogéniques (rétention hydrosodée), ce qui limite son emploi au profit de progestatifs plus modernes (diénogest, nomégestrol).</w:t>
      </w:r>
    </w:p>
    <w:p>
      <w:r/>
      <w:r>
        <w:rPr>
          <w:b/>
        </w:rPr>
        <w:t>Instructions et Conseils au Patient :</w:t>
      </w:r>
      <w:r/>
    </w:p>
    <w:p>
      <w:pPr>
        <w:pStyle w:val="ListBullet"/>
      </w:pPr>
      <w:r>
        <w:t>Communication au comptoir : rassurer sur les spotting fréquents en début de traitement (qui régressent en 2-3 mois) ; prévenir sur la possibilité d'une aménorrhée au long cours ; rappeler l'importance de la régularité des prises.</w:t>
      </w:r>
    </w:p>
    <w:p>
      <w:pPr>
        <w:pStyle w:val="ListBullet"/>
      </w:pPr>
      <w:r>
        <w:t>Mode d'utilisation pratique : prise à heure fixe quotidienne, avaler le comprimé avec un verre d'eau.</w:t>
      </w:r>
    </w:p>
    <w:p>
      <w:r/>
      <w:r>
        <w:rPr>
          <w:b/>
        </w:rPr>
        <w:t>Notes, Règles d'Or &amp; Pièges au Comptoir :</w:t>
      </w:r>
      <w:r/>
    </w:p>
    <w:p>
      <w:pPr>
        <w:pStyle w:val="ListBullet"/>
      </w:pPr>
      <w:r>
        <w:t>Piège classique : prescription de lynestrénol en contraception (hors indication historique Exluton retirée) — la molécule n'a plus d'AMM contraceptive en Algérie à dose 5 mg.</w:t>
      </w:r>
    </w:p>
    <w:p>
      <w:pPr>
        <w:pStyle w:val="ListBullet"/>
      </w:pPr>
      <w:r>
        <w:t>Piège : oubli de prise &gt; 12 heures — effet progestatif diminué, risque de spotting ; ne pas doubler la dose.</w:t>
      </w:r>
    </w:p>
    <w:p>
      <w:pPr>
        <w:pStyle w:val="ListBullet"/>
      </w:pPr>
      <w:r>
        <w:t>Règle de prise : régularité horaire stricte.</w:t>
      </w:r>
    </w:p>
    <w:p>
      <w:pPr>
        <w:pStyle w:val="ListBullet"/>
      </w:pPr>
      <w:r>
        <w:t>Préparation et Conservation : comprimés à température &lt; 25 °C.</w:t>
      </w:r>
    </w:p>
    <w:p>
      <w:pPr>
        <w:pStyle w:val="ListBullet"/>
      </w:pPr>
      <w:r>
        <w:t>Piège du surdosage / Substitution : aucune substituabilité au sein de la classe (Orgametril est la seule spécialité active en Algérie) ; en cas de non-disponibilité, orientation vers le médecin prescripteur pour alternative (diénogest, nomégestrol).</w:t>
      </w:r>
    </w:p>
    <w:p>
      <w:pPr>
        <w:pStyle w:val="Heading3"/>
      </w:pPr>
      <w:r>
        <w:t>14. DCI : Tibolone (Seule)</w:t>
      </w:r>
    </w:p>
    <w:p>
      <w:r/>
      <w:r>
        <w:rPr>
          <w:b/>
        </w:rPr>
        <w:t>Liste des Catégories :</w:t>
      </w:r>
      <w:r>
        <w:t xml:space="preserve"> THS ménopause — Stéroïdes synthétiques ; Liste I.</w:t>
      </w:r>
    </w:p>
    <w:p>
      <w:r>
        <w:t>La tibolone est un stéroïde de synthèse à activité mixte (estrogénique, progestative et androgénique faible), utilisé dans le traitement hormonal de substitution (THS) de la ménopause chez la femme avec utérus intact. La tibolone est une prodrogue qui subit un métabolisme hépatique (3α- et 3β-hydroxylation, isomérisation Δ4) en trois métabolites actifs aux propriétés pharmacologiques distinctes : 3α-hydroxytibolone et 3β-hydroxytibolone (activité estrogénique sur l'os, le vagin et le système nerveux central) et l'isomère Δ4-tibolone (activité progestative sur l'endomètre et androgénique faible). Cette spécificité tissu-spécifique de type SERM (Selective Estrogen Receptor Modulator) permet à la tibolone d'exercer son effet estrogénique sur l'os et le vagin, son effet progestatif sur l'endomètre (sans nécessité d'association à un progestatif séparé), et son effet androgénique faible (amélioration de la libido). Sa biodisponibilité orale est bonne et sa demi-vie plasmatique de 45 heures.</w:t>
      </w:r>
    </w:p>
    <w:p>
      <w:r/>
      <w:r>
        <w:rPr>
          <w:b/>
        </w:rPr>
        <w:t>Médicaments disponibles en Algérie (Marques, Laboratoires, Formes et Dosages) :</w:t>
      </w:r>
      <w:r/>
    </w:p>
    <w:p>
      <w:pPr>
        <w:pStyle w:val="ListBullet"/>
      </w:pPr>
      <w:r/>
      <w:r>
        <w:rPr>
          <w:b/>
        </w:rPr>
        <w:t>LIVIAL</w:t>
      </w:r>
      <w:r>
        <w:t xml:space="preserve"> (ORGANON N.V.)</w:t>
      </w:r>
    </w:p>
    <w:p>
      <w:pPr>
        <w:pStyle w:val="ListBullet"/>
      </w:pPr>
      <w:r>
        <w:t>Formes et Dosages : comprimé 2,5 mg (B/28)</w:t>
      </w:r>
    </w:p>
    <w:p>
      <w:pPr>
        <w:pStyle w:val="ListBullet"/>
      </w:pPr>
      <w:r>
        <w:t>Statut : Non Renouvelable (spécialité pionnière unique, à vérifier pour disponibilité effective)</w:t>
      </w:r>
    </w:p>
    <w:p>
      <w:r/>
      <w:r>
        <w:rPr>
          <w:b/>
        </w:rPr>
        <w:t>Sous-classe et Mécanisme d'action :</w:t>
      </w:r>
      <w:r/>
    </w:p>
    <w:p>
      <w:pPr>
        <w:pStyle w:val="ListBullet"/>
      </w:pPr>
      <w:r>
        <w:t>Sous-classe : stéroïde de synthèse à activité mixte (estrogénique, progestative et androgénique faible), utilisé dans le THS de la ménopause chez la femme avec utérus intact.</w:t>
      </w:r>
    </w:p>
    <w:p>
      <w:pPr>
        <w:pStyle w:val="ListBullet"/>
      </w:pPr>
      <w:r>
        <w:t>Mécanisme d'action : la tibolone est une prodrogue métabolisée en trois métabolites actifs aux propriétés pharmacologiques distinctes :</w:t>
      </w:r>
    </w:p>
    <w:p>
      <w:pPr>
        <w:pStyle w:val="ListBullet"/>
      </w:pPr>
      <w:r>
        <w:t>*3α-hydroxytibolone et 3β-hydroxytibolone* : activité estrogénique tissu-spécifique sur l'os (diminution de la résorption ostéoclastique via inhibition de RANKL, prévention de l'ostéoporose post-ménopausique), le vagin (amélioration de l'atrophie vulvo-vaginale), le bas appareil urinaire et le système nerveux central (effet sur les bouffées de chaleur). Ces métabolites n'ont pas d'effet stimulant sur l'endomètre ni sur le sein.</w:t>
      </w:r>
    </w:p>
    <w:p>
      <w:pPr>
        <w:pStyle w:val="ListBullet"/>
      </w:pPr>
      <w:r>
        <w:t>*Isomère Δ4-tibolone* : activité progestative sur l'endomètre (atrophie endométriale, sans nécessité d'association à un progestatif séparé) et activité androgénique faible (amélioration de la libido, augmentation de la masse musculaire).</w:t>
      </w:r>
    </w:p>
    <w:p>
      <w:r>
        <w:t xml:space="preserve">  Cette spécificité tissu-spécifique de type SERM (effet agoniste estrogénique sur l'os et le vagin, effet antagoniste estrogénique sur l'endomètre et le sein, effet androgénique sur le cerveau et les muscles) permet à la tibolone d'agir comme un THS complet en monothérapie, sans nécessité d'association à un progestatif séparé chez la femme avec utérus intact.</w:t>
      </w:r>
    </w:p>
    <w:p>
      <w:r/>
      <w:r>
        <w:rPr>
          <w:b/>
        </w:rPr>
        <w:t>Profil Pharmacologique :</w:t>
      </w:r>
      <w:r/>
    </w:p>
    <w:p>
      <w:pPr>
        <w:pStyle w:val="ListBullet"/>
      </w:pPr>
      <w:r>
        <w:t>Indications : traitement hormonal de substitution (THS) de la ménopause chez la femme avec utérus intact, présentant des symptômes climatériques invalidants (bouffées de chaleur, sueurs nocturnes, troubles du sommeil, asthénie) au moins 12 mois après la dernière menstruation (ménopause confirmée) ; prévention de l'ostéoporose post-ménopausique en cas d'intolérance ou de contre-indication aux bisphosphonates ; troubles de la libido post-ménopausique (effet androgénique).</w:t>
      </w:r>
    </w:p>
    <w:p>
      <w:pPr>
        <w:pStyle w:val="ListBullet"/>
      </w:pPr>
      <w:r>
        <w:t>Contre-indications : cancer du sein hormono-dépendant présent ou antécédent ; tout autre cancer hormono-dépendant (endomètre) ; antécédent ou maladie thromboembolique veineuse en évolution (phlébite, embolie pulmonaire) ; accident vasculaire cérébral ; infarctus du myocarde ou cardiopathie ischémique évolutive ; hépatopathie sévère ; porphyrie aiguë ; métrorragies non diagnostiquées ; lupus érythémateux disséminé ; grossesse ; allaitement ; hypersensibilité à la tibolone.</w:t>
      </w:r>
    </w:p>
    <w:p>
      <w:pPr>
        <w:pStyle w:val="ListBullet"/>
      </w:pPr>
      <w:r>
        <w:t>Effets Indésirables : risque thromboembolique veineux (RR ~2 à 3 vs non-utilisatrices — comparable voire majoré par rapport au THS classique, notamment chez la femme &gt; 60 ans — étude LIFT) ; risque d'AVC ischémique (surtout chez la femme hypertendue) ; spotting, métrorragies (fréquents en début de traitement, plus marqués qu'avec le THS combiné continu — principale cause d'arrêt) ; céphalées, migraines ; mastodynie transitoire ; prise de poids modeste ; rétention hydrosodée ; acné, séborrhée (effet androgénique) ; troubles de l'humeur ; modification du profil lipidique (baisse HDL en raison de l'effet androgénique) ; hypertriglycéridémie ; augmentation de la SHBG (effet estrogénique) ; prurit, rash cutané.</w:t>
      </w:r>
    </w:p>
    <w:p>
      <w:r/>
      <w:r>
        <w:rPr>
          <w:b/>
        </w:rPr>
        <w:t>Prévention et Gestion des Effets Indésirables :</w:t>
      </w:r>
      <w:r/>
    </w:p>
    <w:p>
      <w:pPr>
        <w:pStyle w:val="ListBullet"/>
      </w:pPr>
      <w:r>
        <w:t>Mesures Préventives : évaluation pré-thérapeutique du risque thromboembolique (interrogatoire, antécédents personnels et familiaux, tabagisme, IMC) ; mesure de la pression artérielle ; bilan biologique (glycémie, lipidogramme, transaminases) ; mammographie et examen gynécologique récents (&lt; 1 an) ; initiation dans la fenêtre d'opportunité (avant 60 ans ou dans les 10 ans suivant la ménopause) — la tibolone ne doit pas être initiée chez la femme &gt; 60 ans en raison du sur-risque cardiovasculaire (étude LIFT).</w:t>
      </w:r>
    </w:p>
    <w:p>
      <w:pPr>
        <w:pStyle w:val="ListBullet"/>
      </w:pPr>
      <w:r>
        <w:t>Conduite à Tenir : arrêt immédiat en cas de douleur thoracique, dyspnée, douleur mollet, céphalées brutales et inhabituelles, troubles visuels, ictère, prurit, HTA sévère ; consultation médicale en urgence. Réévaluation annuelle du rapport bénéfice/risque et de la nécessité de poursuivre le THS. Surveillance clinique : examen des seins annuel, mammographie tous les 2 ans, échographie pelvienne si métrorragies.</w:t>
      </w:r>
    </w:p>
    <w:p>
      <w:r/>
      <w:r>
        <w:rPr>
          <w:b/>
        </w:rPr>
        <w:t>Interactions Importantes :</w:t>
      </w:r>
      <w:r/>
    </w:p>
    <w:p>
      <w:pPr>
        <w:pStyle w:val="ListBullet"/>
      </w:pPr>
      <w:r>
        <w:t>Tibolone + anticoagulants oraux (warfarine, acénocoumarol) : potentialisation de l'effet anticoagulant (augmentation de la sensibilité aux AVK) — surveillance accrue de l'INR.</w:t>
      </w:r>
    </w:p>
    <w:p>
      <w:pPr>
        <w:pStyle w:val="ListBullet"/>
      </w:pPr>
      <w:r>
        <w:t>Tibolone + inducteurs enzymatiques (rifampicine, phénytoïne, carbamazépine, phénobarbital, millepertuis) : accélération du catabolisme et diminution de l'efficacité.</w:t>
      </w:r>
    </w:p>
    <w:p>
      <w:pPr>
        <w:pStyle w:val="ListBullet"/>
      </w:pPr>
      <w:r>
        <w:t>Tibolone + inhibiteurs enzymatiques (kététoconazole, itraconazole, érythromycine, clarithromycine) : augmentation des concentrations plasmatiques.</w:t>
      </w:r>
    </w:p>
    <w:p>
      <w:r/>
      <w:r>
        <w:rPr>
          <w:b/>
        </w:rPr>
        <w:t>Grossesse et Allaitement :</w:t>
      </w:r>
      <w:r/>
    </w:p>
    <w:p>
      <w:pPr>
        <w:pStyle w:val="ListBullet"/>
      </w:pPr>
      <w:r>
        <w:t>Grossesse : CI absolue (catégorie X FDA). Arrêt immédiat dès suspicion de grossesse.</w:t>
      </w:r>
    </w:p>
    <w:p>
      <w:pPr>
        <w:pStyle w:val="ListBullet"/>
      </w:pPr>
      <w:r>
        <w:t>Allaitement : CI (la tibolone diminue la production lactée et passe dans le lait).</w:t>
      </w:r>
    </w:p>
    <w:p>
      <w:pPr>
        <w:pStyle w:val="ListBullet"/>
      </w:pPr>
      <w:r>
        <w:t>Précisions : la femme en âge de procréer sous tibolone doit utiliser une contraception efficace (la tibolone n'est pas contraceptif), ou bien le THS ne doit pas être initié tant que la ménopause n'est pas confirmée (12 mois d'aménorrhée).</w:t>
      </w:r>
    </w:p>
    <w:p>
      <w:r/>
      <w:r>
        <w:rPr>
          <w:b/>
        </w:rPr>
        <w:t>Posologie et Mode d'administration (Standard) :</w:t>
      </w:r>
      <w:r/>
    </w:p>
    <w:p>
      <w:pPr>
        <w:pStyle w:val="ListBullet"/>
      </w:pPr>
      <w:r>
        <w:t>Adulte (THS ménopause) : 2,5 mg/jour (1 comprimé) en continu, sans interruption cyclique.</w:t>
      </w:r>
    </w:p>
    <w:p>
      <w:pPr>
        <w:pStyle w:val="ListBullet"/>
      </w:pPr>
      <w:r>
        <w:t>Durée : fenêtre d'opportunité du THS — initiation avant 60 ans ou dans les 10 ans suivant la ménopause ; durée la plus courte possible, réévaluation annuelle.</w:t>
      </w:r>
    </w:p>
    <w:p>
      <w:pPr>
        <w:pStyle w:val="ListBullet"/>
      </w:pPr>
      <w:r>
        <w:t>Moment de prise : à heure fixe quotidienne, idéalement au coucher.</w:t>
      </w:r>
    </w:p>
    <w:p>
      <w:r/>
      <w:r>
        <w:rPr>
          <w:b/>
        </w:rPr>
        <w:t>Arbitrage et Bénéfices des Formes Galéniques :</w:t>
      </w:r>
      <w:r/>
    </w:p>
    <w:p>
      <w:r>
        <w:t>La tibolone est administrée exclusivement par voie orale (comprimé 2,5 mg). Il n'existe pas de forme transdermique, vaginale ou injectable. Sa spécificité tissu-spécifique de type SERM permet de l'utiliser en monothérapie sans association à un progestatif séparé chez la femme avec utérus intact, ce qui simplifie l'observance par rapport au THS combiné classique (estradiol + progestatif). Toutefois, le profil thromboembolique veineux et cardiovasculaire de la tibolone est comparable voire majoré par rapport au THS classique (notamment chez la femme &gt; 60 ans, étude LIFT), ce qui en fait un traitement de seconde intention par rapport au THS classique par voie transdermique. Le statut « non renouvelable » de la spécialité Livial en Algérie doit alerter le pharmacien sur la disponibilité effective de cette molécule.</w:t>
      </w:r>
    </w:p>
    <w:p>
      <w:r/>
      <w:r>
        <w:rPr>
          <w:b/>
        </w:rPr>
        <w:t>Instructions et Conseils au Patient :</w:t>
      </w:r>
      <w:r/>
    </w:p>
    <w:p>
      <w:pPr>
        <w:pStyle w:val="ListBullet"/>
      </w:pPr>
      <w:r>
        <w:t>Communication au comptoir : expliquer que la tibolone est un THS complet en monothérapie (sans association à un progestatif séparé) ; prévenir sur le sur-risque thromboembolique veineux et cardiovasculaire (surtout chez la femme &gt; 60 ans) et l'importance de ne pas fumer ; prévenir sur les spotting fréquents en début de traitement (qui régressent en 3-6 mois) ; rappeler que la tibolone ne dispense pas d'une contraception efficace chez la femme péri-ménopausique ; rappeler les signes d'arrêt immédiat (douleur thoracique, jambe, céphalée brutale).</w:t>
      </w:r>
    </w:p>
    <w:p>
      <w:pPr>
        <w:pStyle w:val="ListBullet"/>
      </w:pPr>
      <w:r>
        <w:t>Mode d'utilisation pratique : prise à heure fixe quotidienne, idéalement au coucher.</w:t>
      </w:r>
    </w:p>
    <w:p>
      <w:r/>
      <w:r>
        <w:rPr>
          <w:b/>
        </w:rPr>
        <w:t>Notes, Règles d'Or &amp; Pièges au Comptoir :</w:t>
      </w:r>
      <w:r/>
    </w:p>
    <w:p>
      <w:pPr>
        <w:pStyle w:val="ListBullet"/>
      </w:pPr>
      <w:r>
        <w:t>Piège classique : initiation de la tibolone chez la femme &gt; 60 ans ou à plus de 10 ans de la ménopause — sur-risque cardiovasculaire (étude LIFT) ; respecter la fenêtre d'opportunité.</w:t>
      </w:r>
    </w:p>
    <w:p>
      <w:pPr>
        <w:pStyle w:val="ListBullet"/>
      </w:pPr>
      <w:r>
        <w:t>Piège : prescription de tibolone chez la femme non ménopausée confirmée (ménopause &lt; 12 mois) — risque d'irrégularité menstruelle et de métrorragies.</w:t>
      </w:r>
    </w:p>
    <w:p>
      <w:pPr>
        <w:pStyle w:val="ListBullet"/>
      </w:pPr>
      <w:r>
        <w:t>Règle de prise : régularité horaire stricte.</w:t>
      </w:r>
    </w:p>
    <w:p>
      <w:pPr>
        <w:pStyle w:val="ListBullet"/>
      </w:pPr>
      <w:r>
        <w:t>Préparation et Conservation : comprimés à température &lt; 25 °C, à l'abri de l'humidité.</w:t>
      </w:r>
    </w:p>
    <w:p>
      <w:pPr>
        <w:pStyle w:val="ListBullet"/>
      </w:pPr>
      <w:r>
        <w:t>Piège du surdosage / Substitution : aucune substituabilité au sein de la classe (Livial est la seule spécialité de tibolone) ; en cas de non-disponibilité, orientation vers le médecin prescripteur pour alternative (THS classique estradiol + progestérone micronisée).</w:t>
      </w:r>
    </w:p>
    <w:p>
      <w:pPr>
        <w:pStyle w:val="Heading3"/>
      </w:pPr>
      <w:r>
        <w:t>15. DCI : Raloxifène (Seule)</w:t>
      </w:r>
    </w:p>
    <w:p>
      <w:r/>
      <w:r>
        <w:rPr>
          <w:b/>
        </w:rPr>
        <w:t>Liste des Catégories :</w:t>
      </w:r>
      <w:r>
        <w:t xml:space="preserve"> SERM — Modulateurs sélectifs des récepteurs aux estrogènes ; Liste I.</w:t>
      </w:r>
    </w:p>
    <w:p>
      <w:r>
        <w:t>Le raloxifène est un modulateur sélectif des récepteurs aux estrogènes (SERM) de 2e génération (dérivé benzothiophène), caractérisé par un profil tissu-spécifique : agoniste partiel des récepteurs ER au niveau osseux (effet anti-résorptif ostéoclastique) et au niveau hépatique (modification favorable du profil lipidique), antagoniste au niveau mammaire (pas de stimulation endométriale ni de risque accru de cancer du sein) et au niveau utérin (pas de stimulation endométriale). Sa biodisponibilité orale est faible (~2 %) en raison d'un effet de premier passage hépatique intense de conjugaison (glucurono- et sulfo-conjugaison) ; la prise doit se faire à distance des repas pour optimiser l'absorption. La demi-vie d'élimination est de 27 heures, autorisant une seule prise quotidienne.</w:t>
      </w:r>
    </w:p>
    <w:p>
      <w:r/>
      <w:r>
        <w:rPr>
          <w:b/>
        </w:rPr>
        <w:t>Médicaments disponibles en Algérie (Marques, Laboratoires, Formes et Dosages) :</w:t>
      </w:r>
      <w:r/>
    </w:p>
    <w:p>
      <w:pPr>
        <w:pStyle w:val="ListBullet"/>
      </w:pPr>
      <w:r/>
      <w:r>
        <w:rPr>
          <w:b/>
        </w:rPr>
        <w:t>EVIFEN</w:t>
      </w:r>
      <w:r>
        <w:t xml:space="preserve"> (EL KENDI INDUSTRIE DU MEDICAMENT)</w:t>
      </w:r>
    </w:p>
    <w:p>
      <w:pPr>
        <w:pStyle w:val="ListBullet"/>
      </w:pPr>
      <w:r>
        <w:t>Formes et Dosages : comprimé pelliculé 60 mg (B/30)</w:t>
      </w:r>
    </w:p>
    <w:p>
      <w:pPr>
        <w:pStyle w:val="ListBullet"/>
      </w:pPr>
      <w:r>
        <w:t>Statut : Actif (générique local)</w:t>
      </w:r>
    </w:p>
    <w:p>
      <w:pPr>
        <w:pStyle w:val="ListBullet"/>
      </w:pPr>
      <w:r/>
      <w:r>
        <w:rPr>
          <w:b/>
        </w:rPr>
        <w:t>EVISTA</w:t>
      </w:r>
      <w:r>
        <w:t xml:space="preserve"> (ELI LILLY NEDERLAND BV)</w:t>
      </w:r>
    </w:p>
    <w:p>
      <w:pPr>
        <w:pStyle w:val="ListBullet"/>
      </w:pPr>
      <w:r>
        <w:t>Formes et Dosages : comprimé pelliculé 60 mg (B/28)</w:t>
      </w:r>
    </w:p>
    <w:p>
      <w:pPr>
        <w:pStyle w:val="ListBullet"/>
      </w:pPr>
      <w:r>
        <w:t>Statut : Non Renouvelable (spécialité pionnière)</w:t>
      </w:r>
    </w:p>
    <w:p>
      <w:pPr>
        <w:pStyle w:val="ListBullet"/>
      </w:pPr>
      <w:r/>
      <w:r>
        <w:rPr>
          <w:b/>
        </w:rPr>
        <w:t>EVISTA</w:t>
      </w:r>
      <w:r>
        <w:t xml:space="preserve"> (ELI LILLY NEDERLAND BV) — ancienne présentation</w:t>
      </w:r>
    </w:p>
    <w:p>
      <w:pPr>
        <w:pStyle w:val="ListBullet"/>
      </w:pPr>
      <w:r>
        <w:t>Formes et Dosages : comprimé pelliculé 60 mg (B/28)</w:t>
      </w:r>
    </w:p>
    <w:p>
      <w:pPr>
        <w:pStyle w:val="ListBullet"/>
      </w:pPr>
      <w:r>
        <w:t>Statut : Retiré (R)</w:t>
      </w:r>
    </w:p>
    <w:p>
      <w:r/>
      <w:r>
        <w:rPr>
          <w:b/>
        </w:rPr>
        <w:t>Sous-classe et Mécanisme d'action :</w:t>
      </w:r>
      <w:r/>
    </w:p>
    <w:p>
      <w:pPr>
        <w:pStyle w:val="ListBullet"/>
      </w:pPr>
      <w:r>
        <w:t>Sous-classe : SERM de 2e génération (dérivé benzothiophène), modulateur sélectif des récepteurs aux estrogènes à activité tissu-spécifique.</w:t>
      </w:r>
    </w:p>
    <w:p>
      <w:pPr>
        <w:pStyle w:val="ListBullet"/>
      </w:pPr>
      <w:r>
        <w:t>Mécanisme d'action : le raloxifène se fixe aux récepteurs nucléaires ERα et ERβ en tant qu'agoniste partiel, exerçant une activité tissu-spécifique dépendante du recrutement de co-régulateurs transcriptionnels (co-activateurs ou co-répresseurs) :</w:t>
      </w:r>
    </w:p>
    <w:p>
      <w:pPr>
        <w:pStyle w:val="ListBullet"/>
      </w:pPr>
      <w:r>
        <w:t>*Tissu osseux (effet agoniste)* : le raloxifène stimule les récepteurs ER ostéoclastiques, induisant l'apoptose ostéoclastique et diminuant la résorption osseuse. Il antagonise l'effet de l'estradiol sur la formation de RANKL par les ostéoblastes, réduisant ainsi l'activation des ostéoclastes. Effet global : augmentation de la densité minérale osseuse (DMO) et réduction du risque fracturaire vertébral (réduction ~30-50 %) et non vertébral.</w:t>
      </w:r>
    </w:p>
    <w:p>
      <w:pPr>
        <w:pStyle w:val="ListBullet"/>
      </w:pPr>
      <w:r>
        <w:t>*Tissu mammaire (effet antagoniste)* : le raloxifène bloque l'effet prolifératif de l'estradiol sur les cellules épithéliales mammaires, réduisant le risque de cancer du sein invasif (réduction ~70 % chez la femme ménopausée à haut risque, étude MORE et CORE).</w:t>
      </w:r>
    </w:p>
    <w:p>
      <w:pPr>
        <w:pStyle w:val="ListBullet"/>
      </w:pPr>
      <w:r>
        <w:t>*Tissu utérin (effet antagoniste)* : le raloxifène ne stimule pas l'endomètre (pas d'hyperplasie, pas de métrorragies, pas de cancer de l'endomètre) — avantage majeur par rapport au THS classique.</w:t>
      </w:r>
    </w:p>
    <w:p>
      <w:pPr>
        <w:pStyle w:val="ListBullet"/>
      </w:pPr>
      <w:r>
        <w:t>*Tissu hépatique (effet agoniste partiel)* : le raloxifène diminue le LDL-cholestérol et les marqueurs de l'inflammation vasculaire, mais n'augmente pas le HDL-cholestérol (contrairement aux estrogènes) ni les triglycérides.</w:t>
      </w:r>
    </w:p>
    <w:p>
      <w:pPr>
        <w:pStyle w:val="ListBullet"/>
      </w:pPr>
      <w:r>
        <w:t>*Tissu vasculaire (effet neutre ou agoniste partiel)* : le raloxifène n'améliore pas le risque cardiovasculaire global (étude RUTH — neutre), mais augmente le risque thromboembolique veineux (RR ~3 vs non-utilisatrices) similaire aux estrogènes oraux.</w:t>
      </w:r>
    </w:p>
    <w:p>
      <w:pPr>
        <w:pStyle w:val="ListBullet"/>
      </w:pPr>
      <w:r>
        <w:t>*Système nerveux central (effet antagoniste)* : le raloxifène n'améliore pas les bouffées de chaleur ménopausiques (et peut même les aggraver transitoirement), n'améliore pas l'atrophie vulvo-vaginale, ni les troubles cognitifs.</w:t>
      </w:r>
    </w:p>
    <w:p>
      <w:r/>
      <w:r>
        <w:rPr>
          <w:b/>
        </w:rPr>
        <w:t>Profil Pharmacologique :</w:t>
      </w:r>
      <w:r/>
    </w:p>
    <w:p>
      <w:pPr>
        <w:pStyle w:val="ListBullet"/>
      </w:pPr>
      <w:r>
        <w:t>Indications : traitement de l'ostéoporose post-ménopausique chez la femme à haut risque fracturaire (DMO T-score &lt; -2,5 ou antécédent de fracture vertébrale par fragilité osseuse) ; prévention de l'ostéoporose post-ménopausique chez la femme à haut risque ; réduction du risque de cancer du sein invasif chez la femme ménopausée à haut risque (antécédent familial, biopsie atypique) — indication oncologique préventive.</w:t>
      </w:r>
    </w:p>
    <w:p>
      <w:pPr>
        <w:pStyle w:val="ListBullet"/>
      </w:pPr>
      <w:r>
        <w:t>Contre-indications : antécédent ou maladie thromboembolique veineuse en évolution (phlébite, embolie pulmonaire) — sur-risque thromboembolique majeur ; accident vasculaire cérébral ; infarctus du myocarde ou cardiopathie ischémique évolutive (prudence, étude RUTH n'a pas montré de bénéfice cardiovasculaire) ; grossesse évolutive (catégorie X FDA — tératogène chez l'animal) ; allaitement ; hépatopathie sévère ; hypersensibilité au raloxifène.</w:t>
      </w:r>
    </w:p>
    <w:p>
      <w:pPr>
        <w:pStyle w:val="ListBullet"/>
      </w:pPr>
      <w:r>
        <w:t>Effets Indésirables : risque thromboembolique veineux (RR ~3 vs non-utilisatrices — similaire aux estrogènes oraux — principale limitation du traitement) ; risque d'AVC ischémique (légère augmentation, surtout chez la femme hypertendue) ; bouffées de chaleur (fréquentes, par antagonisme estrogénique central — aggravation transitoire en début de traitement) ; crampes des membres inférieurs (fréquentes, 5-10 % — mécanisme inconnu, parfois invalidantes) ; syndrome prémenstruel (rare) ; céphalées ; nausées ; rash cutané ; prurit ; œdèmes périphériques ; exceptionnels cas de toxicité hépatique (cytolyse) ; exceptionnels cas de syndrome de Steven-Johnson.</w:t>
      </w:r>
    </w:p>
    <w:p>
      <w:r/>
      <w:r>
        <w:rPr>
          <w:b/>
        </w:rPr>
        <w:t>Prévention et Gestion des Effets Indésirables :</w:t>
      </w:r>
      <w:r/>
    </w:p>
    <w:p>
      <w:pPr>
        <w:pStyle w:val="ListBullet"/>
      </w:pPr>
      <w:r>
        <w:t>Mesures Préventives : évaluation pré-thérapeutique du risque thromboembolique (interrogatoire, antécédents personnels et familiaux, varices, IMC) ; mesure de la pression artérielle ; bilan biologique (transaminases, lipidogramme) ; densitométrie osseuse initiale puis tous les 2 ans ; mammographie et examen gynécologique récents ; arrêt 4 semaines avant une chirurgie programmée avec immobilisation prolongée et reprise 2 semaines après mobilisation complète.</w:t>
      </w:r>
    </w:p>
    <w:p>
      <w:pPr>
        <w:pStyle w:val="ListBullet"/>
      </w:pPr>
      <w:r>
        <w:t>Conduite à Tenir : arrêt immédiat en cas de douleur thoracique, dyspnée, douleur mollet, céphalées brutales et inhabituelles, troubles visuels transitoires ; consultation médicale en urgence pour suspicion d'événement thromboembolique. Surveillance clinique : examen des seins annuel, mammographie tous les 2 ans.</w:t>
      </w:r>
    </w:p>
    <w:p>
      <w:r/>
      <w:r>
        <w:rPr>
          <w:b/>
        </w:rPr>
        <w:t>Interactions Importantes :</w:t>
      </w:r>
      <w:r/>
    </w:p>
    <w:p>
      <w:pPr>
        <w:pStyle w:val="ListBullet"/>
      </w:pPr>
      <w:r>
        <w:t>Raloxifène + cholestyramine : diminution majeure de l'absorption du raloxifène (capture intestinale) — espacer la prise de 4-6 heures.</w:t>
      </w:r>
    </w:p>
    <w:p>
      <w:pPr>
        <w:pStyle w:val="ListBullet"/>
      </w:pPr>
      <w:r>
        <w:t>Raloxifène + warfarine : diminution modeste de l'INR (interaction avec le métabolisme) — surveillance accrue de l'INR à l'initiation et à l'arrêt du raloxifène.</w:t>
      </w:r>
    </w:p>
    <w:p>
      <w:pPr>
        <w:pStyle w:val="ListBullet"/>
      </w:pPr>
      <w:r>
        <w:t>Raloxifène + estrogènes (THS) : association déconseillée (potentialisation des effets estrogéniques compétitifs au niveau des récepteurs ER).</w:t>
      </w:r>
    </w:p>
    <w:p>
      <w:pPr>
        <w:pStyle w:val="ListBullet"/>
      </w:pPr>
      <w:r>
        <w:t>Raloxifène + inducteurs enzymatiques (rifampicine, phénytoïne, carbamazépine, phénobarbital, millepertuis) : accélération du catabolisme et diminution de l'efficacité.</w:t>
      </w:r>
    </w:p>
    <w:p>
      <w:r/>
      <w:r>
        <w:rPr>
          <w:b/>
        </w:rPr>
        <w:t>Grossesse et Allaitement :</w:t>
      </w:r>
      <w:r/>
    </w:p>
    <w:p>
      <w:pPr>
        <w:pStyle w:val="ListBullet"/>
      </w:pPr>
      <w:r>
        <w:t>Grossesse : CI absolue (catégorie X FDA — tératogène chez l'animal, anomalies urogénitales et cardiovasculaires chez le fœtus). Dépistage de grossesse avant initiation. Selon le CRAT, exposition accidentelle impose un conseil génétique et une surveillance échographique morphologique.</w:t>
      </w:r>
    </w:p>
    <w:p>
      <w:pPr>
        <w:pStyle w:val="ListBullet"/>
      </w:pPr>
      <w:r>
        <w:t>Allaitement : CI (le raloxifène passe dans le lait et pourrait avoir des effets endocriniens sur le nourrisson).</w:t>
      </w:r>
    </w:p>
    <w:p>
      <w:pPr>
        <w:pStyle w:val="ListBullet"/>
      </w:pPr>
      <w:r>
        <w:t>Précisions : la femme en âge de procréer sous raloxifène doit utiliser une contraception efficace.</w:t>
      </w:r>
    </w:p>
    <w:p>
      <w:r/>
      <w:r>
        <w:rPr>
          <w:b/>
        </w:rPr>
        <w:t>Posologie et Mode d'administration (Standard) :</w:t>
      </w:r>
      <w:r/>
    </w:p>
    <w:p>
      <w:pPr>
        <w:pStyle w:val="ListBullet"/>
      </w:pPr>
      <w:r>
        <w:t>Adulte (ostéoporose post-ménopausique) : 60 mg/jour (1 comprimé) en continu, sans interruption cyclique.</w:t>
      </w:r>
    </w:p>
    <w:p>
      <w:pPr>
        <w:pStyle w:val="ListBullet"/>
      </w:pPr>
      <w:r>
        <w:t>Adulte (prévention de l'ostéoporose post-ménopausique) : 60 mg/jour en continu.</w:t>
      </w:r>
    </w:p>
    <w:p>
      <w:pPr>
        <w:pStyle w:val="ListBullet"/>
      </w:pPr>
      <w:r>
        <w:t>Adulte (réduction du risque de cancer du sein invasif) : 60 mg/jour en continu.</w:t>
      </w:r>
    </w:p>
    <w:p>
      <w:pPr>
        <w:pStyle w:val="ListBullet"/>
      </w:pPr>
      <w:r>
        <w:t>Durée : selon indication ; en ostéoporose, traitement prolongé (5 à 10 ans), réévaluation régulière de la persistance du risque fracturaire et de la tolérance.</w:t>
      </w:r>
    </w:p>
    <w:p>
      <w:pPr>
        <w:pStyle w:val="ListBullet"/>
      </w:pPr>
      <w:r>
        <w:t>Moment de prise : à heure fixe quotidienne, à distance des repas (idéalement 1 heure avant ou 2 heures après un repas, en raison de la biodisponibilité orale faible affectée par la nourriture).</w:t>
      </w:r>
    </w:p>
    <w:p>
      <w:r/>
      <w:r>
        <w:rPr>
          <w:b/>
        </w:rPr>
        <w:t>Arbitrage et Bénéfices des Formes Galéniques :</w:t>
      </w:r>
      <w:r/>
    </w:p>
    <w:p>
      <w:r>
        <w:t>La forme orale unique (comprimé 60 mg) est la seule disponible en Algérie. Il n'existe pas de forme transdermique, injectable ou intraveineuse. La biodisponibilité orale faible (~2 %) impose une prise à distance des repas. Le raloxifène représente une alternative majeure au THS classique chez la femme ménopausée avec utérus intact, présentant une ostéoporose et un risque de cancer du sein élevé, en raison de son profil tissu-spécifique (protection osseuse et mammaire sans stimulation endométriale). Toutefois, le sur-risque thromboembolique veineux limite son utilisation chez la femme à risque cardiovasculaire. Le générique algérien (Evifen, El Kendi) est bioéquivalent à la spécialité pionnière (Evista, Eli Lilly) et offre une accessibilité économique supérieure. L'association avec un bisphosphonate ou avec la vitamine D + calcium est possible et recommandée pour optimiser la protection osseuse.</w:t>
      </w:r>
    </w:p>
    <w:p>
      <w:r/>
      <w:r>
        <w:rPr>
          <w:b/>
        </w:rPr>
        <w:t>Instructions et Conseils au Patient :</w:t>
      </w:r>
      <w:r/>
    </w:p>
    <w:p>
      <w:pPr>
        <w:pStyle w:val="ListBullet"/>
      </w:pPr>
      <w:r>
        <w:t>Communication au comptoir : expliquer que le raloxifène n'est pas un THS mais un traitement de l'ostéoporose avec effet protecteur mammaire additionnel ; prévenir sur le sur-risque thromboembolique veineux et l'importance de ne pas fumer ; prévenir sur les bouffées de chaleur fréquentes (par antagonisme estrogénique central) et les crampes des membres inférieurs ; rappeler l'importance de l'association à une supplémentation vitaminocalcique (vitamine D 800-1000 UI/jour + calcium 1-1,2 g/jour) et à une activité physique régulière ; rappeler les signes d'arrêt immédiat (douleur thoracique, jambe, céphalée brutale).</w:t>
      </w:r>
    </w:p>
    <w:p>
      <w:pPr>
        <w:pStyle w:val="ListBullet"/>
      </w:pPr>
      <w:r>
        <w:t>Mode d'utilisation pratique : prise à heure fixe quotidienne, à distance des repas (idéalement 1 heure avant le petit déjeuner) ; avaler le comprimé avec un verre d'eau, ne pas croquer.</w:t>
      </w:r>
    </w:p>
    <w:p>
      <w:r/>
      <w:r>
        <w:rPr>
          <w:b/>
        </w:rPr>
        <w:t>Notes, Règles d'Or &amp; Pièges au Comptoir :</w:t>
      </w:r>
      <w:r/>
    </w:p>
    <w:p>
      <w:pPr>
        <w:pStyle w:val="ListBullet"/>
      </w:pPr>
      <w:r>
        <w:t>Piège classique : prescription de raloxifène chez la femme avec antécédent thromboembolique veineux — contre-indication absolue en raison du sur-risque thromboembolique majeur (RR ~3).</w:t>
      </w:r>
    </w:p>
    <w:p>
      <w:pPr>
        <w:pStyle w:val="ListBullet"/>
      </w:pPr>
      <w:r>
        <w:t>Piège : oubli que le raloxifène aggrave les bouffées de chaleur ménopausiques (par antagonisme estrogénique central) — ne pas prescrire chez la femme présentant des bouffées de chaleur invalidantes.</w:t>
      </w:r>
    </w:p>
    <w:p>
      <w:pPr>
        <w:pStyle w:val="ListBullet"/>
      </w:pPr>
      <w:r>
        <w:t>Piège : oubli que la biodisponibilité orale du raloxifène est faible (~2 %) — importance de la prise à distance des repas.</w:t>
      </w:r>
    </w:p>
    <w:p>
      <w:pPr>
        <w:pStyle w:val="ListBullet"/>
      </w:pPr>
      <w:r>
        <w:t>Règle de prise : régularité horaire stricte, à distance des repas.</w:t>
      </w:r>
    </w:p>
    <w:p>
      <w:pPr>
        <w:pStyle w:val="ListBullet"/>
      </w:pPr>
      <w:r>
        <w:t>Préparation et Conservation : comprimés à température &lt; 25 °C, à l'abri de l'humidité.</w:t>
      </w:r>
    </w:p>
    <w:p>
      <w:pPr>
        <w:pStyle w:val="ListBullet"/>
      </w:pPr>
      <w:r>
        <w:t>Piège du surdosage / Substitution : substituabilité Evista ↔ Evifen possible (bioéquivalence démontrée pour la formulation 60 mg) ; ne pas substituer avec le tamoxifène (autre SERM à indications différentes — cancer du sein) sans avis médical.</w:t>
      </w:r>
    </w:p>
    <w:p>
      <w:pPr>
        <w:pStyle w:val="Heading2"/>
      </w:pPr>
      <w:r>
        <w:t>Tableau Comparatif des 15 DCI</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w:t>
            </w:r>
          </w:p>
        </w:tc>
        <w:tc>
          <w:tcPr>
            <w:tcW w:type="dxa" w:w="1169"/>
          </w:tcPr>
          <w:p>
            <w:r>
              <w:rPr>
                <w:b/>
                <w:sz w:val="20"/>
              </w:rPr>
              <w:t>DCI</w:t>
            </w:r>
          </w:p>
        </w:tc>
        <w:tc>
          <w:tcPr>
            <w:tcW w:type="dxa" w:w="1169"/>
          </w:tcPr>
          <w:p>
            <w:r>
              <w:rPr>
                <w:b/>
                <w:sz w:val="20"/>
              </w:rPr>
              <w:t>Sous-classe</w:t>
            </w:r>
          </w:p>
        </w:tc>
        <w:tc>
          <w:tcPr>
            <w:tcW w:type="dxa" w:w="1169"/>
          </w:tcPr>
          <w:p>
            <w:r>
              <w:rPr>
                <w:b/>
                <w:sz w:val="20"/>
              </w:rPr>
              <w:t>Mécanisme principal</w:t>
            </w:r>
          </w:p>
        </w:tc>
        <w:tc>
          <w:tcPr>
            <w:tcW w:type="dxa" w:w="1169"/>
          </w:tcPr>
          <w:p>
            <w:r>
              <w:rPr>
                <w:b/>
                <w:sz w:val="20"/>
              </w:rPr>
              <w:t>Posologie standard</w:t>
            </w:r>
          </w:p>
        </w:tc>
        <w:tc>
          <w:tcPr>
            <w:tcW w:type="dxa" w:w="1169"/>
          </w:tcPr>
          <w:p>
            <w:r>
              <w:rPr>
                <w:b/>
                <w:sz w:val="20"/>
              </w:rPr>
              <w:t>EI majeur</w:t>
            </w:r>
          </w:p>
        </w:tc>
        <w:tc>
          <w:tcPr>
            <w:tcW w:type="dxa" w:w="1169"/>
          </w:tcPr>
          <w:p>
            <w:r>
              <w:rPr>
                <w:b/>
                <w:sz w:val="20"/>
              </w:rPr>
              <w:t>CI principale</w:t>
            </w:r>
          </w:p>
        </w:tc>
        <w:tc>
          <w:tcPr>
            <w:tcW w:type="dxa" w:w="1169"/>
          </w:tcPr>
          <w:p>
            <w:r>
              <w:rPr>
                <w:b/>
                <w:sz w:val="20"/>
              </w:rPr>
              <w:t>Grossesse</w:t>
            </w:r>
          </w:p>
        </w:tc>
      </w:tr>
      <w:tr>
        <w:tc>
          <w:tcPr>
            <w:tcW w:type="dxa" w:w="1169"/>
          </w:tcPr>
          <w:p>
            <w:r>
              <w:rPr>
                <w:sz w:val="20"/>
              </w:rPr>
              <w:t>1</w:t>
            </w:r>
          </w:p>
        </w:tc>
        <w:tc>
          <w:tcPr>
            <w:tcW w:type="dxa" w:w="1169"/>
          </w:tcPr>
          <w:p>
            <w:r>
              <w:rPr>
                <w:sz w:val="20"/>
              </w:rPr>
              <w:t>Estradiol (et estriol, valérate)</w:t>
            </w:r>
          </w:p>
        </w:tc>
        <w:tc>
          <w:tcPr>
            <w:tcW w:type="dxa" w:w="1169"/>
          </w:tcPr>
          <w:p>
            <w:r>
              <w:rPr>
                <w:sz w:val="20"/>
              </w:rPr>
              <w:t>Estrogènes</w:t>
            </w:r>
          </w:p>
        </w:tc>
        <w:tc>
          <w:tcPr>
            <w:tcW w:type="dxa" w:w="1169"/>
          </w:tcPr>
          <w:p>
            <w:r>
              <w:rPr>
                <w:sz w:val="20"/>
              </w:rPr>
              <w:t>Agoniste ERα/β nucléaire</w:t>
            </w:r>
          </w:p>
        </w:tc>
        <w:tc>
          <w:tcPr>
            <w:tcW w:type="dxa" w:w="1169"/>
          </w:tcPr>
          <w:p>
            <w:r>
              <w:rPr>
                <w:sz w:val="20"/>
              </w:rPr>
              <w:t>1-2 mg/jour oral ou 25-100 µg/24h transdermique</w:t>
            </w:r>
          </w:p>
        </w:tc>
        <w:tc>
          <w:tcPr>
            <w:tcW w:type="dxa" w:w="1169"/>
          </w:tcPr>
          <w:p>
            <w:r>
              <w:rPr>
                <w:sz w:val="20"/>
              </w:rPr>
              <w:t>Thrombose veineuse, cancer sein</w:t>
            </w:r>
          </w:p>
        </w:tc>
        <w:tc>
          <w:tcPr>
            <w:tcW w:type="dxa" w:w="1169"/>
          </w:tcPr>
          <w:p>
            <w:r>
              <w:rPr>
                <w:sz w:val="20"/>
              </w:rPr>
              <w:t>Cancer sein hormono-dépendant, TVP, AVC, tabac &gt;35 ans</w:t>
            </w:r>
          </w:p>
        </w:tc>
        <w:tc>
          <w:tcPr>
            <w:tcW w:type="dxa" w:w="1169"/>
          </w:tcPr>
          <w:p>
            <w:r>
              <w:rPr>
                <w:sz w:val="20"/>
              </w:rPr>
              <w:t>CI absolue (cat X)</w:t>
            </w:r>
          </w:p>
        </w:tc>
      </w:tr>
      <w:tr>
        <w:tc>
          <w:tcPr>
            <w:tcW w:type="dxa" w:w="1169"/>
          </w:tcPr>
          <w:p>
            <w:r>
              <w:rPr>
                <w:sz w:val="20"/>
              </w:rPr>
              <w:t>2</w:t>
            </w:r>
          </w:p>
        </w:tc>
        <w:tc>
          <w:tcPr>
            <w:tcW w:type="dxa" w:w="1169"/>
          </w:tcPr>
          <w:p>
            <w:r>
              <w:rPr>
                <w:sz w:val="20"/>
              </w:rPr>
              <w:t>Progestérone</w:t>
            </w:r>
          </w:p>
        </w:tc>
        <w:tc>
          <w:tcPr>
            <w:tcW w:type="dxa" w:w="1169"/>
          </w:tcPr>
          <w:p>
            <w:r>
              <w:rPr>
                <w:sz w:val="20"/>
              </w:rPr>
              <w:t>Progestérone naturelle micronisée</w:t>
            </w:r>
          </w:p>
        </w:tc>
        <w:tc>
          <w:tcPr>
            <w:tcW w:type="dxa" w:w="1169"/>
          </w:tcPr>
          <w:p>
            <w:r>
              <w:rPr>
                <w:sz w:val="20"/>
              </w:rPr>
              <w:t>Agoniste PR-A/PR-B</w:t>
            </w:r>
          </w:p>
        </w:tc>
        <w:tc>
          <w:tcPr>
            <w:tcW w:type="dxa" w:w="1169"/>
          </w:tcPr>
          <w:p>
            <w:r>
              <w:rPr>
                <w:sz w:val="20"/>
              </w:rPr>
              <w:t>100-200 mg/jour oral ou vaginal</w:t>
            </w:r>
          </w:p>
        </w:tc>
        <w:tc>
          <w:tcPr>
            <w:tcW w:type="dxa" w:w="1169"/>
          </w:tcPr>
          <w:p>
            <w:r>
              <w:rPr>
                <w:sz w:val="20"/>
              </w:rPr>
              <w:t>Somnolence (métabolite GABA-A)</w:t>
            </w:r>
          </w:p>
        </w:tc>
        <w:tc>
          <w:tcPr>
            <w:tcW w:type="dxa" w:w="1169"/>
          </w:tcPr>
          <w:p>
            <w:r>
              <w:rPr>
                <w:sz w:val="20"/>
              </w:rPr>
              <w:t>Hypersensibilité, hépatopathie sévère</w:t>
            </w:r>
          </w:p>
        </w:tc>
        <w:tc>
          <w:tcPr>
            <w:tcW w:type="dxa" w:w="1169"/>
          </w:tcPr>
          <w:p>
            <w:r>
              <w:rPr>
                <w:sz w:val="20"/>
              </w:rPr>
              <w:t>Compatible (AMP)</w:t>
            </w:r>
          </w:p>
        </w:tc>
      </w:tr>
      <w:tr>
        <w:tc>
          <w:tcPr>
            <w:tcW w:type="dxa" w:w="1169"/>
          </w:tcPr>
          <w:p>
            <w:r>
              <w:rPr>
                <w:sz w:val="20"/>
              </w:rPr>
              <w:t>3</w:t>
            </w:r>
          </w:p>
        </w:tc>
        <w:tc>
          <w:tcPr>
            <w:tcW w:type="dxa" w:w="1169"/>
          </w:tcPr>
          <w:p>
            <w:r>
              <w:rPr>
                <w:sz w:val="20"/>
              </w:rPr>
              <w:t>Dydrogestérone</w:t>
            </w:r>
          </w:p>
        </w:tc>
        <w:tc>
          <w:tcPr>
            <w:tcW w:type="dxa" w:w="1169"/>
          </w:tcPr>
          <w:p>
            <w:r>
              <w:rPr>
                <w:sz w:val="20"/>
              </w:rPr>
              <w:t>Dérivé rétroprogestérone</w:t>
            </w:r>
          </w:p>
        </w:tc>
        <w:tc>
          <w:tcPr>
            <w:tcW w:type="dxa" w:w="1169"/>
          </w:tcPr>
          <w:p>
            <w:r>
              <w:rPr>
                <w:sz w:val="20"/>
              </w:rPr>
              <w:t>Agoniste PR sélectif</w:t>
            </w:r>
          </w:p>
        </w:tc>
        <w:tc>
          <w:tcPr>
            <w:tcW w:type="dxa" w:w="1169"/>
          </w:tcPr>
          <w:p>
            <w:r>
              <w:rPr>
                <w:sz w:val="20"/>
              </w:rPr>
              <w:t>10 mg 2x/jour oral</w:t>
            </w:r>
          </w:p>
        </w:tc>
        <w:tc>
          <w:tcPr>
            <w:tcW w:type="dxa" w:w="1169"/>
          </w:tcPr>
          <w:p>
            <w:r>
              <w:rPr>
                <w:sz w:val="20"/>
              </w:rPr>
              <w:t>Céphalées, spotting</w:t>
            </w:r>
          </w:p>
        </w:tc>
        <w:tc>
          <w:tcPr>
            <w:tcW w:type="dxa" w:w="1169"/>
          </w:tcPr>
          <w:p>
            <w:r>
              <w:rPr>
                <w:sz w:val="20"/>
              </w:rPr>
              <w:t>Hypersensibilité, métrorragies non diagnostiquées</w:t>
            </w:r>
          </w:p>
        </w:tc>
        <w:tc>
          <w:tcPr>
            <w:tcW w:type="dxa" w:w="1169"/>
          </w:tcPr>
          <w:p>
            <w:r>
              <w:rPr>
                <w:sz w:val="20"/>
              </w:rPr>
              <w:t>Compatible (AMP, menace FC)</w:t>
            </w:r>
          </w:p>
        </w:tc>
      </w:tr>
      <w:tr>
        <w:tc>
          <w:tcPr>
            <w:tcW w:type="dxa" w:w="1169"/>
          </w:tcPr>
          <w:p>
            <w:r>
              <w:rPr>
                <w:sz w:val="20"/>
              </w:rPr>
              <w:t>4</w:t>
            </w:r>
          </w:p>
        </w:tc>
        <w:tc>
          <w:tcPr>
            <w:tcW w:type="dxa" w:w="1169"/>
          </w:tcPr>
          <w:p>
            <w:r>
              <w:rPr>
                <w:sz w:val="20"/>
              </w:rPr>
              <w:t>Medroxyprogestérone (acétate)</w:t>
            </w:r>
          </w:p>
        </w:tc>
        <w:tc>
          <w:tcPr>
            <w:tcW w:type="dxa" w:w="1169"/>
          </w:tcPr>
          <w:p>
            <w:r>
              <w:rPr>
                <w:sz w:val="20"/>
              </w:rPr>
              <w:t>Dérivé 17-OH progestérone</w:t>
            </w:r>
          </w:p>
        </w:tc>
        <w:tc>
          <w:tcPr>
            <w:tcW w:type="dxa" w:w="1169"/>
          </w:tcPr>
          <w:p>
            <w:r>
              <w:rPr>
                <w:sz w:val="20"/>
              </w:rPr>
              <w:t>Agoniste PR + activité glucocorticoïde résiduelle</w:t>
            </w:r>
          </w:p>
        </w:tc>
        <w:tc>
          <w:tcPr>
            <w:tcW w:type="dxa" w:w="1169"/>
          </w:tcPr>
          <w:p>
            <w:r>
              <w:rPr>
                <w:sz w:val="20"/>
              </w:rPr>
              <w:t>150 mg IM/12 semaines (contraception)</w:t>
            </w:r>
          </w:p>
        </w:tc>
        <w:tc>
          <w:tcPr>
            <w:tcW w:type="dxa" w:w="1169"/>
          </w:tcPr>
          <w:p>
            <w:r>
              <w:rPr>
                <w:sz w:val="20"/>
              </w:rPr>
              <w:t>Perte osseuse, prise de poids</w:t>
            </w:r>
          </w:p>
        </w:tc>
        <w:tc>
          <w:tcPr>
            <w:tcW w:type="dxa" w:w="1169"/>
          </w:tcPr>
          <w:p>
            <w:r>
              <w:rPr>
                <w:sz w:val="20"/>
              </w:rPr>
              <w:t>TVP, hépatopathie, cancer sein</w:t>
            </w:r>
          </w:p>
        </w:tc>
        <w:tc>
          <w:tcPr>
            <w:tcW w:type="dxa" w:w="1169"/>
          </w:tcPr>
          <w:p>
            <w:r>
              <w:rPr>
                <w:sz w:val="20"/>
              </w:rPr>
              <w:t>CI absolue (cat D)</w:t>
            </w:r>
          </w:p>
        </w:tc>
      </w:tr>
      <w:tr>
        <w:tc>
          <w:tcPr>
            <w:tcW w:type="dxa" w:w="1169"/>
          </w:tcPr>
          <w:p>
            <w:r>
              <w:rPr>
                <w:sz w:val="20"/>
              </w:rPr>
              <w:t>5</w:t>
            </w:r>
          </w:p>
        </w:tc>
        <w:tc>
          <w:tcPr>
            <w:tcW w:type="dxa" w:w="1169"/>
          </w:tcPr>
          <w:p>
            <w:r>
              <w:rPr>
                <w:sz w:val="20"/>
              </w:rPr>
              <w:t>Nomégestrol (acétate)</w:t>
            </w:r>
          </w:p>
        </w:tc>
        <w:tc>
          <w:tcPr>
            <w:tcW w:type="dxa" w:w="1169"/>
          </w:tcPr>
          <w:p>
            <w:r>
              <w:rPr>
                <w:sz w:val="20"/>
              </w:rPr>
              <w:t>Dérivé 19-norprogestérone</w:t>
            </w:r>
          </w:p>
        </w:tc>
        <w:tc>
          <w:tcPr>
            <w:tcW w:type="dxa" w:w="1169"/>
          </w:tcPr>
          <w:p>
            <w:r>
              <w:rPr>
                <w:sz w:val="20"/>
              </w:rPr>
              <w:t>Agoniste PR + anti-androgénique modéré</w:t>
            </w:r>
          </w:p>
        </w:tc>
        <w:tc>
          <w:tcPr>
            <w:tcW w:type="dxa" w:w="1169"/>
          </w:tcPr>
          <w:p>
            <w:r>
              <w:rPr>
                <w:sz w:val="20"/>
              </w:rPr>
              <w:t>5 mg/jour oral</w:t>
            </w:r>
          </w:p>
        </w:tc>
        <w:tc>
          <w:tcPr>
            <w:tcW w:type="dxa" w:w="1169"/>
          </w:tcPr>
          <w:p>
            <w:r>
              <w:rPr>
                <w:sz w:val="20"/>
              </w:rPr>
              <w:t>Spotting, acné paradoxale</w:t>
            </w:r>
          </w:p>
        </w:tc>
        <w:tc>
          <w:tcPr>
            <w:tcW w:type="dxa" w:w="1169"/>
          </w:tcPr>
          <w:p>
            <w:r>
              <w:rPr>
                <w:sz w:val="20"/>
              </w:rPr>
              <w:t>TVP, hépatopathie sévère</w:t>
            </w:r>
          </w:p>
        </w:tc>
        <w:tc>
          <w:tcPr>
            <w:tcW w:type="dxa" w:w="1169"/>
          </w:tcPr>
          <w:p>
            <w:r>
              <w:rPr>
                <w:sz w:val="20"/>
              </w:rPr>
              <w:t>À éviter</w:t>
            </w:r>
          </w:p>
        </w:tc>
      </w:tr>
      <w:tr>
        <w:tc>
          <w:tcPr>
            <w:tcW w:type="dxa" w:w="1169"/>
          </w:tcPr>
          <w:p>
            <w:r>
              <w:rPr>
                <w:sz w:val="20"/>
              </w:rPr>
              <w:t>6</w:t>
            </w:r>
          </w:p>
        </w:tc>
        <w:tc>
          <w:tcPr>
            <w:tcW w:type="dxa" w:w="1169"/>
          </w:tcPr>
          <w:p>
            <w:r>
              <w:rPr>
                <w:sz w:val="20"/>
              </w:rPr>
              <w:t>Diénogest</w:t>
            </w:r>
          </w:p>
        </w:tc>
        <w:tc>
          <w:tcPr>
            <w:tcW w:type="dxa" w:w="1169"/>
          </w:tcPr>
          <w:p>
            <w:r>
              <w:rPr>
                <w:sz w:val="20"/>
              </w:rPr>
              <w:t>Dérivé 19-nortestostérone + progestérone</w:t>
            </w:r>
          </w:p>
        </w:tc>
        <w:tc>
          <w:tcPr>
            <w:tcW w:type="dxa" w:w="1169"/>
          </w:tcPr>
          <w:p>
            <w:r>
              <w:rPr>
                <w:sz w:val="20"/>
              </w:rPr>
              <w:t>Agoniste PR + anti-androgénique</w:t>
            </w:r>
          </w:p>
        </w:tc>
        <w:tc>
          <w:tcPr>
            <w:tcW w:type="dxa" w:w="1169"/>
          </w:tcPr>
          <w:p>
            <w:r>
              <w:rPr>
                <w:sz w:val="20"/>
              </w:rPr>
              <w:t>2 mg/jour continu oral</w:t>
            </w:r>
          </w:p>
        </w:tc>
        <w:tc>
          <w:tcPr>
            <w:tcW w:type="dxa" w:w="1169"/>
          </w:tcPr>
          <w:p>
            <w:r>
              <w:rPr>
                <w:sz w:val="20"/>
              </w:rPr>
              <w:t>Spotting, hypoestrogénisme</w:t>
            </w:r>
          </w:p>
        </w:tc>
        <w:tc>
          <w:tcPr>
            <w:tcW w:type="dxa" w:w="1169"/>
          </w:tcPr>
          <w:p>
            <w:r>
              <w:rPr>
                <w:sz w:val="20"/>
              </w:rPr>
              <w:t>TVP, hépatopathie, grossesse</w:t>
            </w:r>
          </w:p>
        </w:tc>
        <w:tc>
          <w:tcPr>
            <w:tcW w:type="dxa" w:w="1169"/>
          </w:tcPr>
          <w:p>
            <w:r>
              <w:rPr>
                <w:sz w:val="20"/>
              </w:rPr>
              <w:t>À éviter</w:t>
            </w:r>
          </w:p>
        </w:tc>
      </w:tr>
      <w:tr>
        <w:tc>
          <w:tcPr>
            <w:tcW w:type="dxa" w:w="1169"/>
          </w:tcPr>
          <w:p>
            <w:r>
              <w:rPr>
                <w:sz w:val="20"/>
              </w:rPr>
              <w:t>7</w:t>
            </w:r>
          </w:p>
        </w:tc>
        <w:tc>
          <w:tcPr>
            <w:tcW w:type="dxa" w:w="1169"/>
          </w:tcPr>
          <w:p>
            <w:r>
              <w:rPr>
                <w:sz w:val="20"/>
              </w:rPr>
              <w:t>EE + Lévonorgestrel</w:t>
            </w:r>
          </w:p>
        </w:tc>
        <w:tc>
          <w:tcPr>
            <w:tcW w:type="dxa" w:w="1169"/>
          </w:tcPr>
          <w:p>
            <w:r>
              <w:rPr>
                <w:sz w:val="20"/>
              </w:rPr>
              <w:t>COC 2e génération</w:t>
            </w:r>
          </w:p>
        </w:tc>
        <w:tc>
          <w:tcPr>
            <w:tcW w:type="dxa" w:w="1169"/>
          </w:tcPr>
          <w:p>
            <w:r>
              <w:rPr>
                <w:sz w:val="20"/>
              </w:rPr>
              <w:t>Inhibition ovulation + glaire + endomètre</w:t>
            </w:r>
          </w:p>
        </w:tc>
        <w:tc>
          <w:tcPr>
            <w:tcW w:type="dxa" w:w="1169"/>
          </w:tcPr>
          <w:p>
            <w:r>
              <w:rPr>
                <w:sz w:val="20"/>
              </w:rPr>
              <w:t>1 cp/jour 21+7</w:t>
            </w:r>
          </w:p>
        </w:tc>
        <w:tc>
          <w:tcPr>
            <w:tcW w:type="dxa" w:w="1169"/>
          </w:tcPr>
          <w:p>
            <w:r>
              <w:rPr>
                <w:sz w:val="20"/>
              </w:rPr>
              <w:t>Thrombose veineuse (RR 3-5)</w:t>
            </w:r>
          </w:p>
        </w:tc>
        <w:tc>
          <w:tcPr>
            <w:tcW w:type="dxa" w:w="1169"/>
          </w:tcPr>
          <w:p>
            <w:r>
              <w:rPr>
                <w:sz w:val="20"/>
              </w:rPr>
              <w:t>Tabac &gt;35 ans, TVP, migraine aura, HTA</w:t>
            </w:r>
          </w:p>
        </w:tc>
        <w:tc>
          <w:tcPr>
            <w:tcW w:type="dxa" w:w="1169"/>
          </w:tcPr>
          <w:p>
            <w:r>
              <w:rPr>
                <w:sz w:val="20"/>
              </w:rPr>
              <w:t>CI absolue (cat X)</w:t>
            </w:r>
          </w:p>
        </w:tc>
      </w:tr>
      <w:tr>
        <w:tc>
          <w:tcPr>
            <w:tcW w:type="dxa" w:w="1169"/>
          </w:tcPr>
          <w:p>
            <w:r>
              <w:rPr>
                <w:sz w:val="20"/>
              </w:rPr>
              <w:t>8</w:t>
            </w:r>
          </w:p>
        </w:tc>
        <w:tc>
          <w:tcPr>
            <w:tcW w:type="dxa" w:w="1169"/>
          </w:tcPr>
          <w:p>
            <w:r>
              <w:rPr>
                <w:sz w:val="20"/>
              </w:rPr>
              <w:t>EE + Désogestrel</w:t>
            </w:r>
          </w:p>
        </w:tc>
        <w:tc>
          <w:tcPr>
            <w:tcW w:type="dxa" w:w="1169"/>
          </w:tcPr>
          <w:p>
            <w:r>
              <w:rPr>
                <w:sz w:val="20"/>
              </w:rPr>
              <w:t>COC 3e génération</w:t>
            </w:r>
          </w:p>
        </w:tc>
        <w:tc>
          <w:tcPr>
            <w:tcW w:type="dxa" w:w="1169"/>
          </w:tcPr>
          <w:p>
            <w:r>
              <w:rPr>
                <w:sz w:val="20"/>
              </w:rPr>
              <w:t>Idem + métabolite etonogestrel</w:t>
            </w:r>
          </w:p>
        </w:tc>
        <w:tc>
          <w:tcPr>
            <w:tcW w:type="dxa" w:w="1169"/>
          </w:tcPr>
          <w:p>
            <w:r>
              <w:rPr>
                <w:sz w:val="20"/>
              </w:rPr>
              <w:t>1 cp/jour 21+7</w:t>
            </w:r>
          </w:p>
        </w:tc>
        <w:tc>
          <w:tcPr>
            <w:tcW w:type="dxa" w:w="1169"/>
          </w:tcPr>
          <w:p>
            <w:r>
              <w:rPr>
                <w:sz w:val="20"/>
              </w:rPr>
              <w:t>Thrombose veineuse (RR 1,5-2,3 vs 2e gén)</w:t>
            </w:r>
          </w:p>
        </w:tc>
        <w:tc>
          <w:tcPr>
            <w:tcW w:type="dxa" w:w="1169"/>
          </w:tcPr>
          <w:p>
            <w:r>
              <w:rPr>
                <w:sz w:val="20"/>
              </w:rPr>
              <w:t>Idem + sur-risque TVP vs 2e gén</w:t>
            </w:r>
          </w:p>
        </w:tc>
        <w:tc>
          <w:tcPr>
            <w:tcW w:type="dxa" w:w="1169"/>
          </w:tcPr>
          <w:p>
            <w:r>
              <w:rPr>
                <w:sz w:val="20"/>
              </w:rPr>
              <w:t>CI absolue (cat X)</w:t>
            </w:r>
          </w:p>
        </w:tc>
      </w:tr>
      <w:tr>
        <w:tc>
          <w:tcPr>
            <w:tcW w:type="dxa" w:w="1169"/>
          </w:tcPr>
          <w:p>
            <w:r>
              <w:rPr>
                <w:sz w:val="20"/>
              </w:rPr>
              <w:t>9</w:t>
            </w:r>
          </w:p>
        </w:tc>
        <w:tc>
          <w:tcPr>
            <w:tcW w:type="dxa" w:w="1169"/>
          </w:tcPr>
          <w:p>
            <w:r>
              <w:rPr>
                <w:sz w:val="20"/>
              </w:rPr>
              <w:t>EE + Gestodène</w:t>
            </w:r>
          </w:p>
        </w:tc>
        <w:tc>
          <w:tcPr>
            <w:tcW w:type="dxa" w:w="1169"/>
          </w:tcPr>
          <w:p>
            <w:r>
              <w:rPr>
                <w:sz w:val="20"/>
              </w:rPr>
              <w:t>COC 3e génération</w:t>
            </w:r>
          </w:p>
        </w:tc>
        <w:tc>
          <w:tcPr>
            <w:tcW w:type="dxa" w:w="1169"/>
          </w:tcPr>
          <w:p>
            <w:r>
              <w:rPr>
                <w:sz w:val="20"/>
              </w:rPr>
              <w:t>Idem + plus forte affinité PR</w:t>
            </w:r>
          </w:p>
        </w:tc>
        <w:tc>
          <w:tcPr>
            <w:tcW w:type="dxa" w:w="1169"/>
          </w:tcPr>
          <w:p>
            <w:r>
              <w:rPr>
                <w:sz w:val="20"/>
              </w:rPr>
              <w:t>1 cp/jour 21+7 ou 24+4</w:t>
            </w:r>
          </w:p>
        </w:tc>
        <w:tc>
          <w:tcPr>
            <w:tcW w:type="dxa" w:w="1169"/>
          </w:tcPr>
          <w:p>
            <w:r>
              <w:rPr>
                <w:sz w:val="20"/>
              </w:rPr>
              <w:t>Thrombose veineuse (RR 1,5-2,3 vs 2e gén)</w:t>
            </w:r>
          </w:p>
        </w:tc>
        <w:tc>
          <w:tcPr>
            <w:tcW w:type="dxa" w:w="1169"/>
          </w:tcPr>
          <w:p>
            <w:r>
              <w:rPr>
                <w:sz w:val="20"/>
              </w:rPr>
              <w:t>Idem + sur-risque TVP vs 2e gén</w:t>
            </w:r>
          </w:p>
        </w:tc>
        <w:tc>
          <w:tcPr>
            <w:tcW w:type="dxa" w:w="1169"/>
          </w:tcPr>
          <w:p>
            <w:r>
              <w:rPr>
                <w:sz w:val="20"/>
              </w:rPr>
              <w:t>CI absolue (cat X)</w:t>
            </w:r>
          </w:p>
        </w:tc>
      </w:tr>
      <w:tr>
        <w:tc>
          <w:tcPr>
            <w:tcW w:type="dxa" w:w="1169"/>
          </w:tcPr>
          <w:p>
            <w:r>
              <w:rPr>
                <w:sz w:val="20"/>
              </w:rPr>
              <w:t>10</w:t>
            </w:r>
          </w:p>
        </w:tc>
        <w:tc>
          <w:tcPr>
            <w:tcW w:type="dxa" w:w="1169"/>
          </w:tcPr>
          <w:p>
            <w:r>
              <w:rPr>
                <w:sz w:val="20"/>
              </w:rPr>
              <w:t>EE + Cyprotérone</w:t>
            </w:r>
          </w:p>
        </w:tc>
        <w:tc>
          <w:tcPr>
            <w:tcW w:type="dxa" w:w="1169"/>
          </w:tcPr>
          <w:p>
            <w:r>
              <w:rPr>
                <w:sz w:val="20"/>
              </w:rPr>
              <w:t>COC anti-androgénique</w:t>
            </w:r>
          </w:p>
        </w:tc>
        <w:tc>
          <w:tcPr>
            <w:tcW w:type="dxa" w:w="1169"/>
          </w:tcPr>
          <w:p>
            <w:r>
              <w:rPr>
                <w:sz w:val="20"/>
              </w:rPr>
              <w:t>Idem + blocage AR puissant</w:t>
            </w:r>
          </w:p>
        </w:tc>
        <w:tc>
          <w:tcPr>
            <w:tcW w:type="dxa" w:w="1169"/>
          </w:tcPr>
          <w:p>
            <w:r>
              <w:rPr>
                <w:sz w:val="20"/>
              </w:rPr>
              <w:t>1 cp/jour 21+7 (3-6 mois)</w:t>
            </w:r>
          </w:p>
        </w:tc>
        <w:tc>
          <w:tcPr>
            <w:tcW w:type="dxa" w:w="1169"/>
          </w:tcPr>
          <w:p>
            <w:r>
              <w:rPr>
                <w:sz w:val="20"/>
              </w:rPr>
              <w:t>Thrombose veineuse (RR 4-10), hépatotoxicité, méningiome</w:t>
            </w:r>
          </w:p>
        </w:tc>
        <w:tc>
          <w:tcPr>
            <w:tcW w:type="dxa" w:w="1169"/>
          </w:tcPr>
          <w:p>
            <w:r>
              <w:rPr>
                <w:sz w:val="20"/>
              </w:rPr>
              <w:t>TVP, méningiome, hépatopathie, grossesse</w:t>
            </w:r>
          </w:p>
        </w:tc>
        <w:tc>
          <w:tcPr>
            <w:tcW w:type="dxa" w:w="1169"/>
          </w:tcPr>
          <w:p>
            <w:r>
              <w:rPr>
                <w:sz w:val="20"/>
              </w:rPr>
              <w:t>CI absolue (virilisation fœtus mâle)</w:t>
            </w:r>
          </w:p>
        </w:tc>
      </w:tr>
      <w:tr>
        <w:tc>
          <w:tcPr>
            <w:tcW w:type="dxa" w:w="1169"/>
          </w:tcPr>
          <w:p>
            <w:r>
              <w:rPr>
                <w:sz w:val="20"/>
              </w:rPr>
              <w:t>11</w:t>
            </w:r>
          </w:p>
        </w:tc>
        <w:tc>
          <w:tcPr>
            <w:tcW w:type="dxa" w:w="1169"/>
          </w:tcPr>
          <w:p>
            <w:r>
              <w:rPr>
                <w:sz w:val="20"/>
              </w:rPr>
              <w:t>Désogestrel / Etonogestrel</w:t>
            </w:r>
          </w:p>
        </w:tc>
        <w:tc>
          <w:tcPr>
            <w:tcW w:type="dxa" w:w="1169"/>
          </w:tcPr>
          <w:p>
            <w:r>
              <w:rPr>
                <w:sz w:val="20"/>
              </w:rPr>
              <w:t>Microprogestatif</w:t>
            </w:r>
          </w:p>
        </w:tc>
        <w:tc>
          <w:tcPr>
            <w:tcW w:type="dxa" w:w="1169"/>
          </w:tcPr>
          <w:p>
            <w:r>
              <w:rPr>
                <w:sz w:val="20"/>
              </w:rPr>
              <w:t>Inhibition ovulation + glaire + endomètre</w:t>
            </w:r>
          </w:p>
        </w:tc>
        <w:tc>
          <w:tcPr>
            <w:tcW w:type="dxa" w:w="1169"/>
          </w:tcPr>
          <w:p>
            <w:r>
              <w:rPr>
                <w:sz w:val="20"/>
              </w:rPr>
              <w:t>75 µg/jour continu oral ou implant 68 mg SC/3 ans</w:t>
            </w:r>
          </w:p>
        </w:tc>
        <w:tc>
          <w:tcPr>
            <w:tcW w:type="dxa" w:w="1169"/>
          </w:tcPr>
          <w:p>
            <w:r>
              <w:rPr>
                <w:sz w:val="20"/>
              </w:rPr>
              <w:t>Spotting, aménorrhée</w:t>
            </w:r>
          </w:p>
        </w:tc>
        <w:tc>
          <w:tcPr>
            <w:tcW w:type="dxa" w:w="1169"/>
          </w:tcPr>
          <w:p>
            <w:r>
              <w:rPr>
                <w:sz w:val="20"/>
              </w:rPr>
              <w:t>Hypersensibilité, hépatopathie</w:t>
            </w:r>
          </w:p>
        </w:tc>
        <w:tc>
          <w:tcPr>
            <w:tcW w:type="dxa" w:w="1169"/>
          </w:tcPr>
          <w:p>
            <w:r>
              <w:rPr>
                <w:sz w:val="20"/>
              </w:rPr>
              <w:t>À éviter ; compatible allaitement</w:t>
            </w:r>
          </w:p>
        </w:tc>
      </w:tr>
      <w:tr>
        <w:tc>
          <w:tcPr>
            <w:tcW w:type="dxa" w:w="1169"/>
          </w:tcPr>
          <w:p>
            <w:r>
              <w:rPr>
                <w:sz w:val="20"/>
              </w:rPr>
              <w:t>12</w:t>
            </w:r>
          </w:p>
        </w:tc>
        <w:tc>
          <w:tcPr>
            <w:tcW w:type="dxa" w:w="1169"/>
          </w:tcPr>
          <w:p>
            <w:r>
              <w:rPr>
                <w:sz w:val="20"/>
              </w:rPr>
              <w:t>Lévonorgestrel</w:t>
            </w:r>
          </w:p>
        </w:tc>
        <w:tc>
          <w:tcPr>
            <w:tcW w:type="dxa" w:w="1169"/>
          </w:tcPr>
          <w:p>
            <w:r>
              <w:rPr>
                <w:sz w:val="20"/>
              </w:rPr>
              <w:t>Contraception d'urgence, microprogestatif, SIU</w:t>
            </w:r>
          </w:p>
        </w:tc>
        <w:tc>
          <w:tcPr>
            <w:tcW w:type="dxa" w:w="1169"/>
          </w:tcPr>
          <w:p>
            <w:r>
              <w:rPr>
                <w:sz w:val="20"/>
              </w:rPr>
              <w:t>Retard/inhibition ovulation (urgence) ; glaire + endomètre (microprogestatif) ; endomètre (SIU)</w:t>
            </w:r>
          </w:p>
        </w:tc>
        <w:tc>
          <w:tcPr>
            <w:tcW w:type="dxa" w:w="1169"/>
          </w:tcPr>
          <w:p>
            <w:r>
              <w:rPr>
                <w:sz w:val="20"/>
              </w:rPr>
              <w:t>1,5 mg ASAP &lt;72h (urgence) ; 30 µg/jour (microprogestatif) ; SIU 52 mg/5 ans</w:t>
            </w:r>
          </w:p>
        </w:tc>
        <w:tc>
          <w:tcPr>
            <w:tcW w:type="dxa" w:w="1169"/>
          </w:tcPr>
          <w:p>
            <w:r>
              <w:rPr>
                <w:sz w:val="20"/>
              </w:rPr>
              <w:t>Nausées (urgence), spotting, aménorrhée (SIU)</w:t>
            </w:r>
          </w:p>
        </w:tc>
        <w:tc>
          <w:tcPr>
            <w:tcW w:type="dxa" w:w="1169"/>
          </w:tcPr>
          <w:p>
            <w:r>
              <w:rPr>
                <w:sz w:val="20"/>
              </w:rPr>
              <w:t>Grossesse connue, métrorragies</w:t>
            </w:r>
          </w:p>
        </w:tc>
        <w:tc>
          <w:tcPr>
            <w:tcW w:type="dxa" w:w="1169"/>
          </w:tcPr>
          <w:p>
            <w:r>
              <w:rPr>
                <w:sz w:val="20"/>
              </w:rPr>
              <w:t>CI ; compatible allaitement (si &gt;6 sem)</w:t>
            </w:r>
          </w:p>
        </w:tc>
      </w:tr>
      <w:tr>
        <w:tc>
          <w:tcPr>
            <w:tcW w:type="dxa" w:w="1169"/>
          </w:tcPr>
          <w:p>
            <w:r>
              <w:rPr>
                <w:sz w:val="20"/>
              </w:rPr>
              <w:t>13</w:t>
            </w:r>
          </w:p>
        </w:tc>
        <w:tc>
          <w:tcPr>
            <w:tcW w:type="dxa" w:w="1169"/>
          </w:tcPr>
          <w:p>
            <w:r>
              <w:rPr>
                <w:sz w:val="20"/>
              </w:rPr>
              <w:t>Lynestrénol</w:t>
            </w:r>
          </w:p>
        </w:tc>
        <w:tc>
          <w:tcPr>
            <w:tcW w:type="dxa" w:w="1169"/>
          </w:tcPr>
          <w:p>
            <w:r>
              <w:rPr>
                <w:sz w:val="20"/>
              </w:rPr>
              <w:t>Progestatif 19-nortestostérone</w:t>
            </w:r>
          </w:p>
        </w:tc>
        <w:tc>
          <w:tcPr>
            <w:tcW w:type="dxa" w:w="1169"/>
          </w:tcPr>
          <w:p>
            <w:r>
              <w:rPr>
                <w:sz w:val="20"/>
              </w:rPr>
              <w:t>Agoniste PR + métabolite norgestrel</w:t>
            </w:r>
          </w:p>
        </w:tc>
        <w:tc>
          <w:tcPr>
            <w:tcW w:type="dxa" w:w="1169"/>
          </w:tcPr>
          <w:p>
            <w:r>
              <w:rPr>
                <w:sz w:val="20"/>
              </w:rPr>
              <w:t>5-10 mg/jour oral</w:t>
            </w:r>
          </w:p>
        </w:tc>
        <w:tc>
          <w:tcPr>
            <w:tcW w:type="dxa" w:w="1169"/>
          </w:tcPr>
          <w:p>
            <w:r>
              <w:rPr>
                <w:sz w:val="20"/>
              </w:rPr>
              <w:t>Acné, prise de poids, spotting</w:t>
            </w:r>
          </w:p>
        </w:tc>
        <w:tc>
          <w:tcPr>
            <w:tcW w:type="dxa" w:w="1169"/>
          </w:tcPr>
          <w:p>
            <w:r>
              <w:rPr>
                <w:sz w:val="20"/>
              </w:rPr>
              <w:t>TVP, hépatopathie, cancer sein</w:t>
            </w:r>
          </w:p>
        </w:tc>
        <w:tc>
          <w:tcPr>
            <w:tcW w:type="dxa" w:w="1169"/>
          </w:tcPr>
          <w:p>
            <w:r>
              <w:rPr>
                <w:sz w:val="20"/>
              </w:rPr>
              <w:t>À éviter</w:t>
            </w:r>
          </w:p>
        </w:tc>
      </w:tr>
      <w:tr>
        <w:tc>
          <w:tcPr>
            <w:tcW w:type="dxa" w:w="1169"/>
          </w:tcPr>
          <w:p>
            <w:r>
              <w:rPr>
                <w:sz w:val="20"/>
              </w:rPr>
              <w:t>14</w:t>
            </w:r>
          </w:p>
        </w:tc>
        <w:tc>
          <w:tcPr>
            <w:tcW w:type="dxa" w:w="1169"/>
          </w:tcPr>
          <w:p>
            <w:r>
              <w:rPr>
                <w:sz w:val="20"/>
              </w:rPr>
              <w:t>Tibolone</w:t>
            </w:r>
          </w:p>
        </w:tc>
        <w:tc>
          <w:tcPr>
            <w:tcW w:type="dxa" w:w="1169"/>
          </w:tcPr>
          <w:p>
            <w:r>
              <w:rPr>
                <w:sz w:val="20"/>
              </w:rPr>
              <w:t>THS stéroïde synthétique</w:t>
            </w:r>
          </w:p>
        </w:tc>
        <w:tc>
          <w:tcPr>
            <w:tcW w:type="dxa" w:w="1169"/>
          </w:tcPr>
          <w:p>
            <w:r>
              <w:rPr>
                <w:sz w:val="20"/>
              </w:rPr>
              <w:t>Prodrogue → 3 métabolites tissu-spécifiques (estrogénique os/vagin, progestatif endomètre, androgénique cerveau)</w:t>
            </w:r>
          </w:p>
        </w:tc>
        <w:tc>
          <w:tcPr>
            <w:tcW w:type="dxa" w:w="1169"/>
          </w:tcPr>
          <w:p>
            <w:r>
              <w:rPr>
                <w:sz w:val="20"/>
              </w:rPr>
              <w:t>2,5 mg/jour continu oral</w:t>
            </w:r>
          </w:p>
        </w:tc>
        <w:tc>
          <w:tcPr>
            <w:tcW w:type="dxa" w:w="1169"/>
          </w:tcPr>
          <w:p>
            <w:r>
              <w:rPr>
                <w:sz w:val="20"/>
              </w:rPr>
              <w:t>Spotting, thrombose veineuse, AVC</w:t>
            </w:r>
          </w:p>
        </w:tc>
        <w:tc>
          <w:tcPr>
            <w:tcW w:type="dxa" w:w="1169"/>
          </w:tcPr>
          <w:p>
            <w:r>
              <w:rPr>
                <w:sz w:val="20"/>
              </w:rPr>
              <w:t>TVP, AVC, cancer sein, &gt;60 ans</w:t>
            </w:r>
          </w:p>
        </w:tc>
        <w:tc>
          <w:tcPr>
            <w:tcW w:type="dxa" w:w="1169"/>
          </w:tcPr>
          <w:p>
            <w:r>
              <w:rPr>
                <w:sz w:val="20"/>
              </w:rPr>
              <w:t>CI absolue (cat X)</w:t>
            </w:r>
          </w:p>
        </w:tc>
      </w:tr>
      <w:tr>
        <w:tc>
          <w:tcPr>
            <w:tcW w:type="dxa" w:w="1169"/>
          </w:tcPr>
          <w:p>
            <w:r>
              <w:rPr>
                <w:sz w:val="20"/>
              </w:rPr>
              <w:t>15</w:t>
            </w:r>
          </w:p>
        </w:tc>
        <w:tc>
          <w:tcPr>
            <w:tcW w:type="dxa" w:w="1169"/>
          </w:tcPr>
          <w:p>
            <w:r>
              <w:rPr>
                <w:sz w:val="20"/>
              </w:rPr>
              <w:t>Raloxifène</w:t>
            </w:r>
          </w:p>
        </w:tc>
        <w:tc>
          <w:tcPr>
            <w:tcW w:type="dxa" w:w="1169"/>
          </w:tcPr>
          <w:p>
            <w:r>
              <w:rPr>
                <w:sz w:val="20"/>
              </w:rPr>
              <w:t>SERM benzothiophène</w:t>
            </w:r>
          </w:p>
        </w:tc>
        <w:tc>
          <w:tcPr>
            <w:tcW w:type="dxa" w:w="1169"/>
          </w:tcPr>
          <w:p>
            <w:r>
              <w:rPr>
                <w:sz w:val="20"/>
              </w:rPr>
              <w:t>Agoniste partiel ER tissu-spécifique (agoniste os, antagoniste sein/endomètre)</w:t>
            </w:r>
          </w:p>
        </w:tc>
        <w:tc>
          <w:tcPr>
            <w:tcW w:type="dxa" w:w="1169"/>
          </w:tcPr>
          <w:p>
            <w:r>
              <w:rPr>
                <w:sz w:val="20"/>
              </w:rPr>
              <w:t>60 mg/jour oral à distance repas</w:t>
            </w:r>
          </w:p>
        </w:tc>
        <w:tc>
          <w:tcPr>
            <w:tcW w:type="dxa" w:w="1169"/>
          </w:tcPr>
          <w:p>
            <w:r>
              <w:rPr>
                <w:sz w:val="20"/>
              </w:rPr>
              <w:t>Thrombose veineuse (RR 3), bouffées de chaleur, crampes</w:t>
            </w:r>
          </w:p>
        </w:tc>
        <w:tc>
          <w:tcPr>
            <w:tcW w:type="dxa" w:w="1169"/>
          </w:tcPr>
          <w:p>
            <w:r>
              <w:rPr>
                <w:sz w:val="20"/>
              </w:rPr>
              <w:t>TVP, AVC, grossesse, allaitement</w:t>
            </w:r>
          </w:p>
        </w:tc>
        <w:tc>
          <w:tcPr>
            <w:tcW w:type="dxa" w:w="1169"/>
          </w:tcPr>
          <w:p>
            <w:r>
              <w:rPr>
                <w:sz w:val="20"/>
              </w:rPr>
              <w:t>CI absolue (cat X)</w:t>
            </w:r>
          </w:p>
        </w:tc>
      </w:tr>
    </w:tbl>
    <w:p/>
    <w:p>
      <w:pPr>
        <w:pStyle w:val="Heading2"/>
      </w:pPr>
      <w:r>
        <w:t>Conclusion et Recommandations Pharmaceutiques au Comptoir</w:t>
      </w:r>
    </w:p>
    <w:p>
      <w:r>
        <w:t>La pharmacologie des hormones sexuelles et des contraceptifs représente l'un des domaines les plus fréquentés de l'officine algérienne, et le pharmacien y occupe une position stratégique de conseil, de dépistage et de surveillance. Plusieurs enseignements transversaux méritent d'être soulignés :</w:t>
      </w:r>
    </w:p>
    <w:p>
      <w:r/>
      <w:r>
        <w:rPr>
          <w:b/>
        </w:rPr>
        <w:t>1. Reconnaissance des générations de pilules</w:t>
      </w:r>
      <w:r>
        <w:t xml:space="preserve"> : Le pharmacien doit savoir identifier la génération d'un COC par son progestatif — 2e génération (lévonorgestrel, norgestimate) ; 3e génération (désogestrel, gestodène) ; 4e génération (drospirénone). Le sur-risque thromboembolique veineux augmente avec la génération, et les 3e/4e générations sont en seconde intention. La substitution entre classes sans avis médical est un acte pharmaceutique dangereux.</w:t>
      </w:r>
    </w:p>
    <w:p>
      <w:r/>
      <w:r>
        <w:rPr>
          <w:b/>
        </w:rPr>
        <w:t>2. Respect strict des contre-indications absolues</w:t>
      </w:r>
      <w:r>
        <w:t xml:space="preserve"> : Toute initiation de contraception estroprogestative doit être précédée d'une évaluation du risque thromboembolique, cardiovasculaire et oncologique. Le tabagisme &gt; 35 ans, la migraine avec aura, l'HTA non contrôlée, l'antécédent thromboembolique veineux personnel et le cancer du sein hormono-dépendant sont des contre-indications absolues qui doivent conduire au refus de délivrance et à l'orientation médicale.</w:t>
      </w:r>
    </w:p>
    <w:p>
      <w:r/>
      <w:r>
        <w:rPr>
          <w:b/>
        </w:rPr>
        <w:t>3. Voie d'administration privilégiée pour le THS</w:t>
      </w:r>
      <w:r>
        <w:t xml:space="preserve"> : La voie transdermique (patchs, gels) doit être préférée à la voie orale chez la femme à risque thromboembolique veineux intermédiaire, hypertendue, diabétique, dyslipidémique ou fumeuse, en raison de la suppression du premier passage hépatique. La fenêtre d'opportunité du THS (avant 60 ans ou dans les 10 ans suivant la ménopause) doit être respectée.</w:t>
      </w:r>
    </w:p>
    <w:p>
      <w:r/>
      <w:r>
        <w:rPr>
          <w:b/>
        </w:rPr>
        <w:t>4. Contraception d'urgence</w:t>
      </w:r>
      <w:r>
        <w:t xml:space="preserve"> : Le lévonorgestrel 1,5 mg en dose unique, le plus tôt possible après le rapport non protégé (idéalement &lt; 24 heures, jusqu'à 72 heures), est la méthode de référence en raison de son accessibilité et de son innocuité (pas abortif). La patiente doit être informée des nausées fréquentes, de la conduite à tenir en cas de vomissement &lt; 3 heures (reprendre un comprimé), et de la nécessité d'un test de grossesse à 3 semaines en cas d'absence de règles.</w:t>
      </w:r>
    </w:p>
    <w:p>
      <w:r/>
      <w:r>
        <w:rPr>
          <w:b/>
        </w:rPr>
        <w:t>5. LARC (Long Acting Reversible Contraception)</w:t>
      </w:r>
      <w:r>
        <w:t xml:space="preserve"> : L'implant sous-cutané (Implanon NXT 3 ans) et le SIU au lévonorgestrel (Mirena 5 ans) offrent une contraception de longue durée d'action avec une efficacité supérieure à 99,9 % et une indépendance vis-à-vis de l'observance quotidienne. Ces méthodes sont recommandées par l'OMS comme contraceptions de première intention, particulièrement adaptées aux adolescentes et aux femmes souhaitant un espacement des grossesses prolongé.</w:t>
      </w:r>
    </w:p>
    <w:p>
      <w:r/>
      <w:r>
        <w:rPr>
          <w:b/>
        </w:rPr>
        <w:t>6. Compatibilité avec l'allaitement</w:t>
      </w:r>
      <w:r>
        <w:t xml:space="preserve"> : Les estrogènes (et les COC) sont contre-indiqués pendant l'allaitement (diminution de la production lactée). Les progestatifs purs (désogestrel après 6 semaines post-partum, microprogestatifs oraux, implant, SIU Mirena) sont compatibles et représentent la contraception de choix chez la femme allaitante.</w:t>
      </w:r>
    </w:p>
    <w:p>
      <w:r/>
      <w:r>
        <w:rPr>
          <w:b/>
        </w:rPr>
        <w:t>7. Suivi biologique et clinique</w:t>
      </w:r>
      <w:r>
        <w:t xml:space="preserve"> : Toute initiation de THS ou de COC doit être précédée d'un bilan pré-thérapeutique (interrogatoire, examen clinique, pression artérielle, bilan biologique) et suivie d'une surveillance régulière (examen des seins annuel, mammographie tous les 2 ans, frottis cervico-utérin selon calendrier national, échographie pelvienne si métrorragies).</w:t>
      </w:r>
    </w:p>
    <w:p>
      <w:r/>
      <w:r>
        <w:rPr>
          <w:b/>
        </w:rPr>
        <w:t>8. Substitution au comptoir</w:t>
      </w:r>
      <w:r>
        <w:t xml:space="preserve"> : La substituabilité au sein d'une même classe (même DCI, même dosage, même forme galénique) est autorisée, mais doit respecter la prescription médicale stricte. La substitution entre classes (2e vs 3e génération, EE + cyprotérone vs COC classique, microprogestatif vs COC) est un acte dangereux qui doit être proscrit sans avis médical spécialisé.</w:t>
      </w:r>
    </w:p>
    <w:p>
      <w:r/>
      <w:r>
        <w:rPr>
          <w:b/>
        </w:rPr>
        <w:t>9. Statut administratif des spécialités</w:t>
      </w:r>
      <w:r>
        <w:t xml:space="preserve"> : Le pharmacien doit vérifier le statut administratif des spécialités (Actif, Non Renouvelable, Retiré R) avant délivrance, en raison du nombre important de retraits et de non-renouvellements dans la nomenclature algérienne récente. Plusieurs spécialités historiques (Diane 35, Stediril, Livial, Mercilon, etc.) ne sont plus disponibles, et le pharmacien doit orienter la patiente vers le médecin prescripteur pour une alternative.</w:t>
      </w:r>
    </w:p>
    <w:p>
      <w:r/>
      <w:r>
        <w:rPr>
          <w:b/>
        </w:rPr>
        <w:t>10. Information et éducation thérapeutique</w:t>
      </w:r>
      <w:r>
        <w:t xml:space="preserve"> : Le pharmacien joue un rôle fondamental d'éducation thérapeutique au comptoir — explication du mode de prise, gestion des oublis (règle des 12 heures pour les microprogestatifs, des 3 heures pour le lévonorgestrel 30 µg), reconnaissance des signes d'arrêt immédiat (douleur thoracique, jambe, céphalée brutale, troubles visuels), importance du suivi gynécologique régulier, et dépistage des IST en cas de partenaires multiples.</w:t>
      </w:r>
    </w:p>
    <w:p>
      <w:r>
        <w:t>L'évolution future de cette pharmacologie verra probablement le développement des SERM sélectifs (acétate de bazedoxifène, lasofoxifène), des contraceptions masculines hormonales (en cours d'essai clinique), et des alternatives non hormonales (DIU cuivre, méthodes naturelles assistées par application). Le pharmacien doit rester informé de ces avancées pour maintenir une pratique pharmaceutique de qualité.</w:t>
      </w:r>
    </w:p>
    <w:p>
      <w:r/>
      <w:r>
        <w:rPr>
          <w:i/>
        </w:rPr>
        <w:t>Fin de la Section 44 — Hormones sexuelles et Contraceptifs.</w:t>
      </w:r>
      <w:r/>
    </w:p>
    <w:p>
      <w:pPr>
        <w:pStyle w:val="Heading1"/>
      </w:pPr>
      <w:r>
        <w:t>Section 45 — Anti-androgènes, Gonadotrophines, Hormones Hypophysaires et apparentés</w:t>
      </w:r>
    </w:p>
    <w:p>
      <w:pPr>
        <w:pStyle w:val="Heading2"/>
      </w:pPr>
      <w:r>
        <w:t>Introduction générale</w:t>
      </w:r>
    </w:p>
    <w:p>
      <w:r>
        <w:t>Cette section regroupe vingt et une classes de médicaments intervenant dans la régulation hormonale de la reproduction, de la croissance et de l'axe hypophyso-gonadique. Elle couvre un spectre clinique particulièrement large : cancers hormono-dépendants (prostate, sein), induction de l'ovulation, hypogonadismes masculins, hyperprolactinémies, acromégalie, retards de croissance, endométriose et fibromes utérins. La compréhension de ces molécules exige une maîtrise solide de la physiologie endocrinienne : axe hypothalamo-hypophyso-gonadique (GnRH → LH/FSH → stéroïdes sexuels), rétrocontrôle négatif et positif des estrogènes et androgènes, métabolisation périphérique par la 5α-réductase et l'aromatase, et régulation dopaminergique de la prolactine.</w:t>
      </w:r>
    </w:p>
    <w:p>
      <w:r>
        <w:t>La particularité algérienne réside dans la coexistence de spécialités historiques encore commercialisées (Androcur, Proviron, Danatrol, Parodel) et de génériques de dernière génération (Enzalutamide Hikma sous marque XYTOVA, Létrozole Biopharm/Continental Pharm/El Kendi/UPC, Cabergoline multi-sources). Le pharmacien d'officine algérien doit savoir identifier les équivalents, reconnaître les spécialités retirées du marché (R) ou non renouvelées, et particulièrement surveiller les médicaments à forte toxicité (hépatotoxicité des anti-androgènes, fibrose valvulaire des agonistes dopaminergiques, interactions de l'enzalutamide inducteur enzymatique puissant).</w:t>
      </w:r>
    </w:p>
    <w:p>
      <w:r>
        <w:t>L'enseignement de cette section s'articule autour de seize sous-classes pharmaco-thérapeutiques couvrant : (1) les anti-androgènes stéroïdiens (cyprotérone), (2) les anti-androgènes non stéroïdiens de première génération (flutamide, bicalutamide), (3) les anti-androgènes de deuxième génération (enzalutamide), (4) les SERM anti-estrogéniques inducteurs d'ovulation (clomifène), (5–6) les inhibiteurs de l'aromatase non stéroïdiens (anastrozole, létrozole) et stéroïdiens (exemestane), (7) les gonadotrophines FSH recombinantes ou urinaires (follitropine, ménotropine), (8) la gonadotrophine chorionique recombinante (choriogonadotropine alfa), (9) les antagonistes de la GnRH (cetrorelix, ganirelix), (10) les agonistes de la GnRH (leuproréline, goséréline, triptoréline), (11) l'hormone de croissance (somatropine), (12) les analogues de la somatostatine (octréotide, lanréotide), (13) les agonistes dopaminergiques D2 antiprolactinémiques (bromocriptine, cabergoline, quinagolide), (14) les androgènes (testostérone), (15) les dérivés de la DHT (mestérolone), (16) les androgènes faibles antigonadotropes (danazol).</w:t>
      </w:r>
    </w:p>
    <w:p>
      <w:pPr>
        <w:pStyle w:val="Heading2"/>
      </w:pPr>
      <w:r>
        <w:t>Sous-classes pharmaco-thérapeutiques</w:t>
      </w:r>
    </w:p>
    <w:p>
      <w:pPr>
        <w:pStyle w:val="Heading3"/>
      </w:pPr>
      <w:r>
        <w:t>1. Anti-androgènes — Progestatifs antiandrogéniques</w:t>
      </w:r>
    </w:p>
    <w:p>
      <w:r>
        <w:t>Représentée en Algérie par l'acétate de cyprotérone (Androcur). Cette molécule combine une activité anti-androgène competitive sur les récepteurs androgéniques et une activité progestative responsable d'une réduction de la libération hypophysaire de LH et donc d'une baisse de la testostéronémie. Elle reste indiquée dans l'hirsutisme sévère, l'acné androgénique réfractaire, le cancer de la prostate hormonosensible et la puberté précoce. Ses principaux risques sont hépatotoxiques (hépatites cytolytiques, rares tumeurs hépatiques), thrombo-emboliques et métaboliques.</w:t>
      </w:r>
    </w:p>
    <w:p>
      <w:pPr>
        <w:pStyle w:val="Heading3"/>
      </w:pPr>
      <w:r>
        <w:t>2. Anti-androgènes — Non stéroïdiens (cancer prostate)</w:t>
      </w:r>
    </w:p>
    <w:p>
      <w:r>
        <w:t>Cette sous-classe inclut le flutamide et le bicalutamide, antagonistes purs du récepteur androgénique nucléaire sans action progestative ou estrogénique. Ils sont utilisés essentiellement en association avec un agoniste de la GnRH dans le cancer prostatique métastatique (bloc androgénique complet) ou en monothérapie dans les formes localisées. Le flutamide, vieillissant et hépatotoxique, a été largement supplanté par le bicalutamide, mieux toléré et à demi-vie plus longue autorisant une seule prise quotidienne. Une particularité pharmacologique est la « flare-up » initiale (pic de testostérone) observée au début du traitement par agoniste GnRH, justifiant l'anti-androgène de couverture.</w:t>
      </w:r>
    </w:p>
    <w:p>
      <w:pPr>
        <w:pStyle w:val="Heading3"/>
      </w:pPr>
      <w:r>
        <w:t>3. Anti-androgènes — 2e génération (cancer prostate)</w:t>
      </w:r>
    </w:p>
    <w:p>
      <w:r>
        <w:t>L'enzalutamide représente l'innovation majeure de la dernière décennie dans le cancer de la prostate résistant à la castration (CPRC). Il associe une affinité très supérieure pour le récepteur androgénique à une activité inhibitrice de la translocation nucléaire et de la fixation sur l'ADN. Indispensable dans le CPRC métastatique pré- et post-chimiothérapie par docétaxel, il se distingue par son profil d'inducteur enzymatique (CYP3A4, CYP2C9) responsable d'interactions majeures (AVK, AOD, anticonvulsivants) et par le risque de convulsions lié à son passage de la barrière hémato-encéphalique et à l'inhibition des récepteurs GABA-A.</w:t>
      </w:r>
    </w:p>
    <w:p>
      <w:pPr>
        <w:pStyle w:val="Heading3"/>
      </w:pPr>
      <w:r>
        <w:t>4. Inducteurs ovulation — SERM antiestrogéniques</w:t>
      </w:r>
    </w:p>
    <w:p>
      <w:r>
        <w:t>Le clomifène, modulateur sélectif des récepteurs aux estrogènes (SERM) de première génération, agit au niveau hypothalamique en bloquant les récepteurs estrogéniques et en levant ainsi le rétrocontrôle négatif, stimulant la sécrétion pulsatile de GnRH, puis de FSH/LH. Il reste l'inducteur d'ovulation de première intention dans l'infertilité anovulatoire (syndrome des ovaires polykystiques notamment). Son maniement impose une stricte surveillance échographique folliculaire pour limiter le risque de grossesses multiples et d'hyperstimulation ovarienne, ainsi qu'un schéma cyclique démarrant entre J2 et J5 du cycle.</w:t>
      </w:r>
    </w:p>
    <w:p>
      <w:pPr>
        <w:pStyle w:val="Heading3"/>
      </w:pPr>
      <w:r>
        <w:t>5. Inhibiteurs aromatase — Non stéroïdiens</w:t>
      </w:r>
    </w:p>
    <w:p>
      <w:r>
        <w:t>Représentée par l'anastrozole et le létrozole, cette classe bloque de façon compétitive et réversible l'aromatase (CYP19A1), enzyme convertissant les androgènes (androstènedione, testostérone) en estrogènes. Elle supprime quasi totalement la production d'estrogènes périphériques (tissus adipeux) et tumoraux. Indiquée en adjuvant et métastatique du cancer du sein hormonosensible chez la femme ménopausée, elle a supplanté le tamoxifène dans cette population. Sa tolérance se distingue par l'absence de risque thromboembolique et utérin, mais au prix d'une ostéoporose accélérée et d'arthralgies parfois invalidantes (« AI-induced arthralgia »).</w:t>
      </w:r>
    </w:p>
    <w:p>
      <w:pPr>
        <w:pStyle w:val="Heading3"/>
      </w:pPr>
      <w:r>
        <w:t>6. Inhibiteurs aromatase — Stéroïdiens</w:t>
      </w:r>
    </w:p>
    <w:p>
      <w:r>
        <w:t>L'exemestane est un inhibiteur stéroïdien, structurellement apparenté à l'androstènedione, qui inactive l'aromatase de manière irréversible (inactivation suicidaire). Son mécanisme stéroïdien lui confère un profil différent : demi-vie plus longue (24 h), légère activité androgénique intrinsèque, et möindres effets sur les lipides. Il est utilisé en adjuvant du cancer du sein ménopausique après 2–3 ans de tamoxifène (switch thérapeutique) ou en traitement de première ligne. Une particularité est son utilisation en dose unique comme contraception d'urgence dans certains pays (non retenue en France/Algérie).</w:t>
      </w:r>
    </w:p>
    <w:p>
      <w:pPr>
        <w:pStyle w:val="Heading3"/>
      </w:pPr>
      <w:r>
        <w:t>7. Gonadotrophines — FSH recombinante ou urinaire</w:t>
      </w:r>
    </w:p>
    <w:p>
      <w:r>
        <w:t>Cette sous-classe inclut la follitropine alfa (Gonal-F), la follitropine bêta (Puregon) et la ménotropine (Menopur, hMG). La FSH stimule la croissance folliculaire ovarienne et la spermatogenèse. Indiquée dans les protocoles d'assistance médicale à la procréation (FIV, ICSI) et dans l'hypogonadisme hypogonadotrophique masculin. La forme recombinante (follitropine alfa/bêta) a supplanté la ménotropine urinaire pour des raisons de pureté, de standardisation et de tolérance locale. Le risque majeur est le syndrome d'hyperstimulation ovarienne (SHSO), qui peut mettre en jeu le pronostic vital par épanchements de troisième secteur et accidents thromboemboliques.</w:t>
      </w:r>
    </w:p>
    <w:p>
      <w:pPr>
        <w:pStyle w:val="Heading3"/>
      </w:pPr>
      <w:r>
        <w:t>8. Gonadotrophines — hCG</w:t>
      </w:r>
    </w:p>
    <w:p>
      <w:r>
        <w:t>La choriogonadotropine alfa (Ovitrelle) est une hCG recombinante qui mime le pic ovulant de LH. Elle est administrée en une injection unique sous-cutanée pour déclencher l'ovulation finale après stimulation folliculaire. Elle est également utilisée chez l'homme dans le test de stimulation à l'hCG (exploration du retard pubertaire) et en complément de la FSH dans l'hypogonadisme hypogonadotrophique masculin. Sa prescription est strictement hospitalière et spécialisée (gynécologie médicale, biologie de la reproduction, endocrinologie pédiatrique).</w:t>
      </w:r>
    </w:p>
    <w:p>
      <w:pPr>
        <w:pStyle w:val="Heading3"/>
      </w:pPr>
      <w:r>
        <w:t>9. Antagonistes GnRH</w:t>
      </w:r>
    </w:p>
    <w:p>
      <w:r>
        <w:t>Le cetrorelix et le ganirelix inhibent immédiatement et compétitivement les récepteurs hypophysaires de la GnRH, supprimant la sécrétion de FSH/LH sans effet flare initial. Ils sont utilisés dans les protocoles courts d'AMP pour prévenir l'ovulation prématurée pendant la stimulation folliculaire. Leur maniement est spécialisé et hospitalier. Leurs principaux risques sont les réactions locales au point d'injection, les syndromes d'hyperstimulation résiduels et de rares réactions d'hypersensibilité (œdème de Quincke).</w:t>
      </w:r>
    </w:p>
    <w:p>
      <w:pPr>
        <w:pStyle w:val="Heading3"/>
      </w:pPr>
      <w:r>
        <w:t>10. Agonistes GnRH</w:t>
      </w:r>
    </w:p>
    <w:p>
      <w:r>
        <w:t>La leuproréline, la goséréline et la triptoréline sont des agonistes de la GnRH dont l'administration continue (formes LP) induit une désensibilisation hypophysaire (down-regulation) aboutissant à une castration chimique réversible : effondrement de LH/FSH puis de testostérone (homme) et d'estradiol (femme). Un pic initial (flare-up) survient les 7 à 10 premiers jours et impose une couverture par anti-androgène dans le cancer de prostate. Indications : cancer de prostate hormonosensible, endométriose sévère, fibromes utérins, puberté précoce centrale, FIV. Les formes galéniques à libération prolongée (1, 3, 6 mois) conditionnent la compliance.</w:t>
      </w:r>
    </w:p>
    <w:p>
      <w:pPr>
        <w:pStyle w:val="Heading3"/>
      </w:pPr>
      <w:r>
        <w:t>11. Hormone de croissance</w:t>
      </w:r>
    </w:p>
    <w:p>
      <w:r>
        <w:t>La somatropine (hGH recombinante) mime l'hormone de croissance hypophysaire endogène. Sa fixation sur le récepteur GHR hépatique induit la synthèse d'IGF-1, principal médiateur des effets anabolisants et de croissance. Indications : retard de croissance par déficit en GH, syndrome de Turner, syndrome de Prader-Willi, retards de croissance chez l'enfant petit pour l'âge gestationnel, et chez l'adulte en cas de déficit confirmé. L'administration est sous-cutanée quotidienne au coucher (rythme physiologique nocturne). Les principales surveillance sont la glycémie, l'IGF-1, la croissance, et la recherche de scoliose, d'hypertension intracrânienne et d'épiphysiolyse.</w:t>
      </w:r>
    </w:p>
    <w:p>
      <w:pPr>
        <w:pStyle w:val="Heading3"/>
      </w:pPr>
      <w:r>
        <w:t>12. Analogues somatostatine</w:t>
      </w:r>
    </w:p>
    <w:p>
      <w:r>
        <w:t>L'octréotide et le lanréotide sont des analogues synthétiques de la somatostatine, agissant sur les récepteurs SSTR (principalement SSTR-2 et SSTR-5) pour inhiber la libération de GH, d'insuline, de glucagon et de nombreuses hormones gastro-entéropancréatiques. Ils sont indiqués dans l'acromégalie, les tumeurs neuroendocrines fonctionnelles (gastrinomes, glucagonomes, insulinomes), les fistules digestives hautes, et dans le traitement symptomatique des diarrhées sécrétoires. Leurs principaux effets indésirables sont digestifs (douleurs, diarrhée, stéatorrhée par insuffisance pancréatique exocrine), lithiase biliaire et trouble de la tolérance glucidique.</w:t>
      </w:r>
    </w:p>
    <w:p>
      <w:pPr>
        <w:pStyle w:val="Heading3"/>
      </w:pPr>
      <w:r>
        <w:t>13. Agonistes dopaminergiques D2 — Antiprolactinémiques</w:t>
      </w:r>
    </w:p>
    <w:p>
      <w:r>
        <w:t>La bromocriptine, la cabergoline et le quinagolide stimulent les récepteurs dopaminergiques D2 lactotropes, inhibant la libération de prolactine. Indiqués dans les hyperprolactinémies (adénomes à prolactine, hyperprolactinémies médicamenteuses), la cabergoline est aussi utilisée à forte dose dans la maladie de Parkinson et l'octréotide dans l'acromégalie. La cabergoline, plus longue durée d'action (demi-vie 65 h), est le traitement de première intention (une à deux prises par semaine). La fibrose valvulaire cardiaque (risque dose-dépendant) impose une échocardiographie de surveillance pour les traitements prolongés ou à forte dose.</w:t>
      </w:r>
    </w:p>
    <w:p>
      <w:pPr>
        <w:pStyle w:val="Heading3"/>
      </w:pPr>
      <w:r>
        <w:t>14. Androgènes</w:t>
      </w:r>
    </w:p>
    <w:p>
      <w:r>
        <w:t>La testostérone (énanthate, heptylate, undécanoate) est l'androgène de référence utilisé dans l'hypogonadisme masculin primaire ou secondaire. Les formes injectables intra-musculaires à libération prolongée (1 à 3 mois) assurent une couverture prolongée mais avec un pic initial non physiologique. La forme orale (undécanoate, Andriol) a une biodisponibilité faible et lymphatique. Les contre-indications majeures sont le cancer de prostate et les syndromes d'hyperandrogénie. Les surveillances comportent hématocrite, PSA, prostate, lipidogramme, et fonction hépatique.</w:t>
      </w:r>
    </w:p>
    <w:p>
      <w:pPr>
        <w:pStyle w:val="Heading3"/>
      </w:pPr>
      <w:r>
        <w:t>15. Androgènes — Dérivés DHT</w:t>
      </w:r>
    </w:p>
    <w:p>
      <w:r>
        <w:t>La mestérolone (Proviron) est un dérivé 1-méthylé de la dihydrotestostérone, non aromatisable en estrogènes. Elle conserve une activité androgénique modérée sans effet antigonadotrope marqué et sans rétention hydrosodée majeure. Indiquée historiquement dans l'hypogonadisme masculin modéré, la fertilité masculine (oligospermie idiopathique) et l'andropause, elle est aujourd'hui d'usage marginal. La prescription est limitée chez l'homme, strictement contre-indiquée chez la femme enceinte en raison du risque de virilisation fœtale.</w:t>
      </w:r>
    </w:p>
    <w:p>
      <w:pPr>
        <w:pStyle w:val="Heading3"/>
      </w:pPr>
      <w:r>
        <w:t>16. Androgènes faibles — Antigonadotropes</w:t>
      </w:r>
    </w:p>
    <w:p>
      <w:r>
        <w:t>Le danazol (Danatrol) est un stéroïde 2,4-isoxazol dérivé de l'éthistérone, possédant une activité androgénique faible, anti-estrogénique et antigonadotrope. Il induit une aménorrhée hypothalamique et une atrophie endométriale. Indiqué historiquement dans l'endométriose, la maladie fibrokystique du sein et l'angiœdème héréditaire, il est aujourd'hui largement supplanté par les agonistes GnRH dans l'endométriose. Ses principaux effets indésirables sont androgéniques (acné, hirsutisme, voix), hépatiques (tumorigènes), thromboemboliques et métaboliques. Strictement contre-indiqué pendant la grossesse (virilisation fœtale).</w:t>
      </w:r>
    </w:p>
    <w:p>
      <w:pPr>
        <w:pStyle w:val="Heading2"/>
      </w:pPr>
      <w:r>
        <w:t>Fiches DCI détaillées</w:t>
      </w:r>
    </w:p>
    <w:p>
      <w:pPr>
        <w:pStyle w:val="Heading3"/>
      </w:pPr>
      <w:r>
        <w:t>1. DCI : Cyprotérone (acétate) (Seule)</w:t>
      </w:r>
    </w:p>
    <w:p>
      <w:r/>
      <w:r>
        <w:rPr>
          <w:b/>
        </w:rPr>
        <w:t>Liste des Catégories :</w:t>
      </w:r>
      <w:r>
        <w:t xml:space="preserve"> Anti-androgènes — Progestatifs antiandrogéniques ; Liste I.</w:t>
      </w:r>
    </w:p>
    <w:p>
      <w:r>
        <w:t>L'acétate de cyprotérone est un anti-androgène stéroïdien de première génération, seul représentant de sa sous-classe encore commercialisé dans plusieurs pays. Sa demi-vie plasmatique est d'environ 38 heures (forme orale) et de 2 à 4 semaines pour la forme injectable LP utilisée dans la puberté précoce. La prise orale s'accompagne d'une biodisponibilité variable et complète, avec métabolisation hépatique (CYP3A4) en hydroxyl-cyprotérone, métabolite actif.</w:t>
      </w:r>
    </w:p>
    <w:p>
      <w:r/>
      <w:r>
        <w:rPr>
          <w:b/>
        </w:rPr>
        <w:t>Médicaments disponibles en Algérie (Marques, Laboratoires, Formes et Dosages) :</w:t>
      </w:r>
      <w:r/>
    </w:p>
    <w:p>
      <w:pPr>
        <w:pStyle w:val="ListBullet"/>
      </w:pPr>
      <w:r/>
      <w:r>
        <w:rPr>
          <w:b/>
        </w:rPr>
        <w:t>ANDROCUR</w:t>
      </w:r>
      <w:r>
        <w:t xml:space="preserve"> (SCHERING SA)</w:t>
      </w:r>
    </w:p>
    <w:p>
      <w:pPr>
        <w:pStyle w:val="ListBullet"/>
      </w:pPr>
      <w:r>
        <w:t>Formes et Dosages : Comprimé sécable 50 mg (oral)</w:t>
      </w:r>
    </w:p>
    <w:p>
      <w:pPr>
        <w:pStyle w:val="ListBullet"/>
      </w:pPr>
      <w:r>
        <w:t>Statut : Non Renouvelable (spécialité historique — vérifier disponibilité officinale effective)</w:t>
      </w:r>
    </w:p>
    <w:p>
      <w:r/>
      <w:r>
        <w:rPr>
          <w:b/>
        </w:rPr>
        <w:t>Sous-classe et Mécanisme d'action :</w:t>
      </w:r>
      <w:r/>
    </w:p>
    <w:p>
      <w:pPr>
        <w:pStyle w:val="ListBullet"/>
      </w:pPr>
      <w:r>
        <w:t>Sous-classe : Anti-androgène stéroïdien d'action centrale et périphérique.</w:t>
      </w:r>
    </w:p>
    <w:p>
      <w:pPr>
        <w:pStyle w:val="ListBullet"/>
      </w:pPr>
      <w:r>
        <w:t>Mécanisme d'action : la cyprotérone exerce une triple action pharmacologique : (1) blocage compétitif des récepteurs androgéniques nucléaires au niveau des tissus cibles (prostate, peau, sébacés) ; (2) activité progestative marquée au niveau du récepteur progestatif, responsable d'une inhibition de la sécrétion pulsatile de GnRH hypothalamique, aboutissant à une baisse de la LH et donc de la testostéronémie ; (3) légère activité glucocorticoïde à forte dose. Cette double action centrale et périphérique explique son utilisation à la fois dans l'hirsutisme (blocage périphérique) et dans le cancer de prostate (castration chimique partielle).</w:t>
      </w:r>
    </w:p>
    <w:p>
      <w:r/>
      <w:r>
        <w:rPr>
          <w:b/>
        </w:rPr>
        <w:t>Profil Pharmacologique :</w:t>
      </w:r>
      <w:r/>
    </w:p>
    <w:p>
      <w:pPr>
        <w:pStyle w:val="ListBullet"/>
      </w:pPr>
      <w:r>
        <w:t>Indications : cancer de la prostate hormono-dépendant (formes métastatiques, en relais de la castration chirurgicale ou en cas d'échec des agonistes GnRH), hypersexualisme et déviances sexuelles (en milieu psychiatrique spécialisé), hirsutisme sévère et acné androgénique réfractaire (en association à l'éthinylestradiol sous forme Diane-like), puberté précoce centrale (forme injectable LP).</w:t>
      </w:r>
    </w:p>
    <w:p>
      <w:pPr>
        <w:pStyle w:val="ListBullet"/>
      </w:pPr>
      <w:r>
        <w:t>Contre-indications : hépatopathies sévères (cytolyse, cholestase), antécédents de tumeurs hépatiques, syndrome de Dubin-Johnson, syndrome de Rotor, thrombo-embolie veineuse en évolution, méningiome ou antécédent de méningiome (récepteur progestatif), cancer de prostate hormono-résistant, grossesse et allaitement (risque de féminisation des fœtus mâles).</w:t>
      </w:r>
    </w:p>
    <w:p>
      <w:pPr>
        <w:pStyle w:val="ListBullet"/>
      </w:pPr>
      <w:r>
        <w:t>Effets Indésirables : hépatotoxicité (cytolyse, hépatites cholestatiques, rares hépatites fulminantes — surveillance bimensuelle des transaminases), baisse de la libido et impuissance (effet thérapeutique dans le cancer de prostate), gynécomastie, ostéoporose au long cours, prise de poids, méningiomes (imputabilité progestative), événements thromboemboliques veineux, dépression, asthénie.</w:t>
      </w:r>
    </w:p>
    <w:p>
      <w:r/>
      <w:r>
        <w:rPr>
          <w:b/>
        </w:rPr>
        <w:t>Prévention et Gestion des Effets Indésirables :</w:t>
      </w:r>
      <w:r/>
    </w:p>
    <w:p>
      <w:pPr>
        <w:pStyle w:val="ListBullet"/>
      </w:pPr>
      <w:r>
        <w:t>Mesures Préventives : bilan hépatique pré-thérapeutique (ALAT, ASAT, GGT, PAL, bilirubine) puis mensuel pendant 6 mois puis trimestriel ; dosage PSA et testosterone totale à M1, M3 puis semestriel ; densitométrie osseuse initiale puis tous les 2 ans si traitement prolongé ; IRM cérébrale en cas de céphalées ou de troubles visuels (recherche de méningiome).</w:t>
      </w:r>
    </w:p>
    <w:p>
      <w:pPr>
        <w:pStyle w:val="ListBullet"/>
      </w:pPr>
      <w:r>
        <w:t>Conduite à Tenir : arrêt immédiat en cas de cytolyse &gt; 3× LSN ; arrêt en cas de méningiome documenté ; substitution par anti-androgène non stéroïdien (bicalutamide) en cas d'intolérance hépatique ; supplémentation vitaminocalcique et bisphosphonate ou dénosumab en cas d'ostéoporose fracturaire.</w:t>
      </w:r>
    </w:p>
    <w:p>
      <w:r/>
      <w:r>
        <w:rPr>
          <w:b/>
        </w:rPr>
        <w:t>Interactions Importantes :</w:t>
      </w:r>
      <w:r/>
    </w:p>
    <w:p>
      <w:pPr>
        <w:pStyle w:val="ListBullet"/>
      </w:pPr>
      <w:r>
        <w:t>Cyprotérone + inducteurs enzymatiques (rifampicine, phénytoïne, carbamazépine, millepertuis) : diminution de l'efficacité par augmentation du métabolisme.</w:t>
      </w:r>
    </w:p>
    <w:p>
      <w:pPr>
        <w:pStyle w:val="ListBullet"/>
      </w:pPr>
      <w:r>
        <w:t>Cyprotérone + anti-vitamines K (warfarine, acénocoumarol) : potentialisation de l'effet anticoagulant (compétition métabolique).</w:t>
      </w:r>
    </w:p>
    <w:p>
      <w:pPr>
        <w:pStyle w:val="ListBullet"/>
      </w:pPr>
      <w:r>
        <w:t>Cyprotérone + statines métabolisées par CYP3A4 (atorvastatine, simvastatine) : risque majoré de rhabdomyolyse.</w:t>
      </w:r>
    </w:p>
    <w:p>
      <w:pPr>
        <w:pStyle w:val="ListBullet"/>
      </w:pPr>
      <w:r>
        <w:t>Cyprotérone + kétéconazole, itraconazole : augmentation des concentrations plasmatiques de cyprotérone.</w:t>
      </w:r>
    </w:p>
    <w:p>
      <w:r/>
      <w:r>
        <w:rPr>
          <w:b/>
        </w:rPr>
        <w:t>Grossesse et Allaitement :</w:t>
      </w:r>
      <w:r/>
    </w:p>
    <w:p>
      <w:pPr>
        <w:pStyle w:val="ListBullet"/>
      </w:pPr>
      <w:r>
        <w:t>Grossesse : CI absolue (fœtus masculin : risque de féminisation et de malformations urogénitales). Selon le CRAT, exposition accidentelle impose un conseil génétique et une échographie morphologique. Contraception efficace obligatoire chez la femme en âge de procréer (sauf indication gynéco-andrologique).</w:t>
      </w:r>
    </w:p>
    <w:p>
      <w:pPr>
        <w:pStyle w:val="ListBullet"/>
      </w:pPr>
      <w:r>
        <w:t>Allaitement : CI (passage dans le lait, anti-androgène puissant).</w:t>
      </w:r>
    </w:p>
    <w:p>
      <w:pPr>
        <w:pStyle w:val="ListBullet"/>
      </w:pPr>
      <w:r>
        <w:t>Précisions : chez l'homme traité pour cancer de prostate, aucune grossesse possible ; chez la femme utilisant l'association Diane-like (Diane 35 retirée), contre-indication stricte.</w:t>
      </w:r>
    </w:p>
    <w:p>
      <w:r/>
      <w:r>
        <w:rPr>
          <w:b/>
        </w:rPr>
        <w:t>Posologie et Mode d'administration (Standard) :</w:t>
      </w:r>
      <w:r/>
    </w:p>
    <w:p>
      <w:pPr>
        <w:pStyle w:val="ListBullet"/>
      </w:pPr>
      <w:r>
        <w:t>Adulte cancer prostate : 100 mg × 2 à 3 fois/jour per os (200 à 300 mg/j), à réduire à 50 mg × 2/j en entretien après castration chirurgicale.</w:t>
      </w:r>
    </w:p>
    <w:p>
      <w:pPr>
        <w:pStyle w:val="ListBullet"/>
      </w:pPr>
      <w:r>
        <w:t>Adulte hypersexualisme : 50 mg × 2/j per os.</w:t>
      </w:r>
    </w:p>
    <w:p>
      <w:pPr>
        <w:pStyle w:val="ListBullet"/>
      </w:pPr>
      <w:r>
        <w:t>Puberté précoce (forme injectable LP 300 mg) : 1 injection IM toutes les 3 à 4 semaines.</w:t>
      </w:r>
    </w:p>
    <w:p>
      <w:pPr>
        <w:pStyle w:val="ListBullet"/>
      </w:pPr>
      <w:r>
        <w:t>Femme hirsutisme : 50 mg × 1/j du J1 au J10 du cycle en association avec estroprogestatif (Diane).</w:t>
      </w:r>
    </w:p>
    <w:p>
      <w:pPr>
        <w:pStyle w:val="ListBullet"/>
      </w:pPr>
      <w:r>
        <w:t>Sujet âgé : pas d'adaptation posologique formelle mais surveillance hépatique renforcée.</w:t>
      </w:r>
    </w:p>
    <w:p>
      <w:pPr>
        <w:pStyle w:val="ListBullet"/>
      </w:pPr>
      <w:r>
        <w:t>Durée : cancer prostate au long cours (à vie tant que réponse hormonale), hirsutisme 6 à 12 mois.</w:t>
      </w:r>
    </w:p>
    <w:p>
      <w:pPr>
        <w:pStyle w:val="ListBullet"/>
      </w:pPr>
      <w:r>
        <w:t>Moment de prise : pendant les repas pour limiter les troubles digestifs.</w:t>
      </w:r>
    </w:p>
    <w:p>
      <w:r/>
      <w:r>
        <w:rPr>
          <w:b/>
        </w:rPr>
        <w:t>Arbitrage et Bénéfices des Formes Galéniques :</w:t>
      </w:r>
      <w:r/>
    </w:p>
    <w:p>
      <w:r>
        <w:t>La forme orale comprimé sécable 50 mg permet une titration facile (50, 100, 150 mg). La forme injectable LP (300 mg/3 ml) exclusivement hospitalière (pédiatrie) assure une castration chimique stable sans observance quotidienne. Le comprimé sécable facilite l'adaptation posologique progressive chez la femme hirsute et la dégression thérapeutique.</w:t>
      </w:r>
    </w:p>
    <w:p>
      <w:r/>
      <w:r>
        <w:rPr>
          <w:b/>
        </w:rPr>
        <w:t>Instructions et Conseils au Patient :</w:t>
      </w:r>
      <w:r/>
    </w:p>
    <w:p>
      <w:pPr>
        <w:pStyle w:val="ListBullet"/>
      </w:pPr>
      <w:r>
        <w:t>Communication au comptoir : informer sur les effets androgéno-bloquants (baisse de libido, troubles de l'érection chez l'homme — effet attendu et non paradoxal), l'importance d'une contraception efficace chez la femme en âge de procréer, l'obligation de surveillance hépatique, le caractère généralement irréversible de la gynécomastie.</w:t>
      </w:r>
    </w:p>
    <w:p>
      <w:pPr>
        <w:pStyle w:val="ListBullet"/>
      </w:pPr>
      <w:r>
        <w:t>Mode d'utilisation pratique : prise pendant les repas à heure fixe ; ne jamais arrêter brutalement en cas de traitement prolongé du cancer (risque de flare tumoral) ; signaler tout ictère, asthénie intense ou douleur abdominale droite.</w:t>
      </w:r>
    </w:p>
    <w:p>
      <w:r/>
      <w:r>
        <w:rPr>
          <w:b/>
        </w:rPr>
        <w:t>Notes, Règles d'Or &amp; Pièges au Comptoir :</w:t>
      </w:r>
      <w:r/>
    </w:p>
    <w:p>
      <w:pPr>
        <w:pStyle w:val="ListBullet"/>
      </w:pPr>
      <w:r>
        <w:t>Piège classique : oublier le risque de méningiome (effet de classe des progestatifs, plus important chez la femme traitée pour hirsutisme/acné que chez l'homme traité pour cancer prostate).</w:t>
      </w:r>
    </w:p>
    <w:p>
      <w:pPr>
        <w:pStyle w:val="ListBullet"/>
      </w:pPr>
      <w:r>
        <w:t>Règle de prise : jamais chez la femme enceinte ; vérifier systématiquement une grossesse avant prescription chez la femme en âge de procréer.</w:t>
      </w:r>
    </w:p>
    <w:p>
      <w:pPr>
        <w:pStyle w:val="ListBullet"/>
      </w:pPr>
      <w:r>
        <w:t>Préparation et Conservation : conservation à température inférieure à 25 °C, à l'abri de l'humidité.</w:t>
      </w:r>
    </w:p>
    <w:p>
      <w:pPr>
        <w:pStyle w:val="ListBullet"/>
      </w:pPr>
      <w:r>
        <w:t>Piège du surdosage / Substitution : en cas de retrait d'Androcur, ne pas substituer aveuglément par bicalutamide (mécanisme différent, indications distinctes) ; demander avis spécialisé.</w:t>
      </w:r>
    </w:p>
    <w:p>
      <w:pPr>
        <w:pStyle w:val="Heading3"/>
      </w:pPr>
      <w:r>
        <w:t>2. DCI : Flutamide (Seule)</w:t>
      </w:r>
    </w:p>
    <w:p>
      <w:r/>
      <w:r>
        <w:rPr>
          <w:b/>
        </w:rPr>
        <w:t>Liste des Catégories :</w:t>
      </w:r>
      <w:r>
        <w:t xml:space="preserve"> Anti-androgènes — Non stéroïdiens (cancer prostate) ; Liste I.</w:t>
      </w:r>
    </w:p>
    <w:p>
      <w:r>
        <w:t>Le flutamide, premier anti-androgène non stéroïdien commercialisé (années 1970), est aujourd'hui considéré comme obsolète en raison de sa toxicité hépatique significative et de sa demi-vie courte (5–6 heures) imposant 3 prises quotidiennes. La molécule est un précurseur inactif métabolisé en 2-hydroxyflutamide, métabolite actif compétitif du récepteur androgénique.</w:t>
      </w:r>
    </w:p>
    <w:p>
      <w:r/>
      <w:r>
        <w:rPr>
          <w:b/>
        </w:rPr>
        <w:t>Médicaments disponibles en Algérie (Marques, Laboratoires, Formes et Dosages) :</w:t>
      </w:r>
      <w:r/>
    </w:p>
    <w:p>
      <w:pPr>
        <w:pStyle w:val="ListBullet"/>
      </w:pPr>
      <w:r/>
      <w:r>
        <w:rPr>
          <w:b/>
        </w:rPr>
        <w:t>EULEXINE</w:t>
      </w:r>
      <w:r>
        <w:t xml:space="preserve"> (SCHERING PLOUGH)</w:t>
      </w:r>
    </w:p>
    <w:p>
      <w:pPr>
        <w:pStyle w:val="ListBullet"/>
      </w:pPr>
      <w:r>
        <w:t>Formes et Dosages : Comprimé 250 mg</w:t>
      </w:r>
    </w:p>
    <w:p>
      <w:pPr>
        <w:pStyle w:val="ListBullet"/>
      </w:pPr>
      <w:r>
        <w:t>Statut : Retiré (R)</w:t>
      </w:r>
    </w:p>
    <w:p>
      <w:pPr>
        <w:pStyle w:val="ListBullet"/>
      </w:pPr>
      <w:r/>
      <w:r>
        <w:rPr>
          <w:b/>
        </w:rPr>
        <w:t>CURESTAT</w:t>
      </w:r>
      <w:r>
        <w:t xml:space="preserve"> (ADVANCED PHARMACEUTICALS INDUSTRIES)</w:t>
      </w:r>
    </w:p>
    <w:p>
      <w:pPr>
        <w:pStyle w:val="ListBullet"/>
      </w:pPr>
      <w:r>
        <w:t>Formes et Dosages : Gélule 250 mg</w:t>
      </w:r>
    </w:p>
    <w:p>
      <w:pPr>
        <w:pStyle w:val="ListBullet"/>
      </w:pPr>
      <w:r>
        <w:t>Statut : Retiré (R)</w:t>
      </w:r>
    </w:p>
    <w:p>
      <w:pPr>
        <w:pStyle w:val="ListBullet"/>
      </w:pPr>
      <w:r/>
      <w:r>
        <w:rPr>
          <w:b/>
        </w:rPr>
        <w:t>CYTOMID-250</w:t>
      </w:r>
      <w:r>
        <w:t xml:space="preserve"> (CIPLA LTD)</w:t>
      </w:r>
    </w:p>
    <w:p>
      <w:pPr>
        <w:pStyle w:val="ListBullet"/>
      </w:pPr>
      <w:r>
        <w:t>Formes et Dosages : Comprimé 250 mg</w:t>
      </w:r>
    </w:p>
    <w:p>
      <w:pPr>
        <w:pStyle w:val="ListBullet"/>
      </w:pPr>
      <w:r>
        <w:t>Statut : Retiré (R)</w:t>
      </w:r>
    </w:p>
    <w:p>
      <w:pPr>
        <w:pStyle w:val="ListBullet"/>
      </w:pPr>
      <w:r/>
      <w:r>
        <w:rPr>
          <w:b/>
        </w:rPr>
        <w:t>PROSTAGEN</w:t>
      </w:r>
      <w:r>
        <w:t xml:space="preserve"> (GENERICLAB SARL)</w:t>
      </w:r>
    </w:p>
    <w:p>
      <w:pPr>
        <w:pStyle w:val="ListBullet"/>
      </w:pPr>
      <w:r>
        <w:t>Formes et Dosages : Comprimé 250 mg</w:t>
      </w:r>
    </w:p>
    <w:p>
      <w:pPr>
        <w:pStyle w:val="ListBullet"/>
      </w:pPr>
      <w:r>
        <w:t>Statut : Retiré (R)</w:t>
      </w:r>
    </w:p>
    <w:p>
      <w:r/>
      <w:r>
        <w:rPr>
          <w:b/>
        </w:rPr>
        <w:t>Sous-classe et Mécanisme d'action :</w:t>
      </w:r>
      <w:r/>
    </w:p>
    <w:p>
      <w:pPr>
        <w:pStyle w:val="ListBullet"/>
      </w:pPr>
      <w:r>
        <w:t>Sous-classe : Anti-androgène pur non stéroïdien de première génération (.nilutamide, flutamide, bicalutamide), sans aucune action progestative, estrogénique ou antigonadotrope.</w:t>
      </w:r>
    </w:p>
    <w:p>
      <w:pPr>
        <w:pStyle w:val="ListBullet"/>
      </w:pPr>
      <w:r>
        <w:t>Mécanisme d'action : le flutamide est un antagoniste compétitif pur du récepteur androgénique nucléaire. Il bloque l'action de la testostérone et de la dihydrotestostérone (DHT) au niveau des cellules cibles (prostate, tissus androgénosensibles), sans modifier les concentrations circulantes de LH et FSH (pas d'effet central). Utilisé en association avec un agoniste GnRH, il assure le « bloc androgénique complet » (castration centrale + bloc périphérique).</w:t>
      </w:r>
    </w:p>
    <w:p>
      <w:r/>
      <w:r>
        <w:rPr>
          <w:b/>
        </w:rPr>
        <w:t>Profil Pharmacologique :</w:t>
      </w:r>
      <w:r/>
    </w:p>
    <w:p>
      <w:pPr>
        <w:pStyle w:val="ListBullet"/>
      </w:pPr>
      <w:r>
        <w:t>Indications : historiquement cancer de la prostate localement avancé ou métastatique en association avec un agoniste GnRH (bloc androgénique complet) ; traitement du flare initial de l'agoniste GnRH pendant les 2 premières semaines. Aujourd'hui supplanté par le bicalutamide.</w:t>
      </w:r>
    </w:p>
    <w:p>
      <w:pPr>
        <w:pStyle w:val="ListBullet"/>
      </w:pPr>
      <w:r>
        <w:t>Contre-indications : insuffisance hépatique sévère, hépatopathies chroniques actives, porphyrie, grossesse (partenaire du patient — risque tératogène sur le fœtus masculin), hypersensibilité.</w:t>
      </w:r>
    </w:p>
    <w:p>
      <w:pPr>
        <w:pStyle w:val="ListBullet"/>
      </w:pPr>
      <w:r>
        <w:t>Effets Indésirables : hépatotoxicité sévère (jusqu'à 5 % de cytolyse, cas mortels décrits — surveillance mensuelle obligatoire), diarrhée (20–30 %), nausées, gynécomastie et douleurs mammaires (plus fréquentes qu'avec bicalutamide en monothérapie), bouffées de chaleur, suppression de la libido, troubles visuels à type de troubles de l'adaptation à l'obscurité (caractéristiques de la classe).</w:t>
      </w:r>
    </w:p>
    <w:p>
      <w:r/>
      <w:r>
        <w:rPr>
          <w:b/>
        </w:rPr>
        <w:t>Prévention et Gestion des Effets Indésirables :</w:t>
      </w:r>
      <w:r/>
    </w:p>
    <w:p>
      <w:pPr>
        <w:pStyle w:val="ListBullet"/>
      </w:pPr>
      <w:r>
        <w:t>Mesures Préventives : bilan hépatique complet pré-thérapeutique puis hebdomadaire pendant le premier mois, mensuel pendant 3 mois, puis trimestriel. Information du patient sur les signes d'hépatotoxicité (ictère, urines foncées, selles claires, asthénie).</w:t>
      </w:r>
    </w:p>
    <w:p>
      <w:pPr>
        <w:pStyle w:val="ListBullet"/>
      </w:pPr>
      <w:r>
        <w:t>Conduite à Tenir : arrêt immédiat en cas d'ALAT/ASAT &gt; 3× LSN ou d'ictère clinique ; hospitalisation en cas d'hépatite symptomatique ; substitution par bicalutamide en relais en cas d'intolérance digestive ou hépatique modérée.</w:t>
      </w:r>
    </w:p>
    <w:p>
      <w:r/>
      <w:r>
        <w:rPr>
          <w:b/>
        </w:rPr>
        <w:t>Interactions Importantes :</w:t>
      </w:r>
      <w:r/>
    </w:p>
    <w:p>
      <w:pPr>
        <w:pStyle w:val="ListBullet"/>
      </w:pPr>
      <w:r>
        <w:t>Flutamide + warfarine : augmentation de l'INR (compétition CYP2C9) — surveillance rapprochée.</w:t>
      </w:r>
    </w:p>
    <w:p>
      <w:pPr>
        <w:pStyle w:val="ListBullet"/>
      </w:pPr>
      <w:r>
        <w:t>Flutamide + théophylline : diminution de la clairance de la théophylline (CYP1A2).</w:t>
      </w:r>
    </w:p>
    <w:p>
      <w:pPr>
        <w:pStyle w:val="ListBullet"/>
      </w:pPr>
      <w:r>
        <w:t>Flutamide + inducteurs enzymatiques : risque d'inefficacité.</w:t>
      </w:r>
    </w:p>
    <w:p>
      <w:r/>
      <w:r>
        <w:rPr>
          <w:b/>
        </w:rPr>
        <w:t>Grossesse et Allaitement :</w:t>
      </w:r>
      <w:r/>
    </w:p>
    <w:p>
      <w:pPr>
        <w:pStyle w:val="ListBullet"/>
      </w:pPr>
      <w:r>
        <w:t>Grossesse : le patient doit utiliser un préservatif pendant le traitement et 3 mois après (effet du métabolite actif sur l'ADN spermatique et risque théorique tératogène pour une grossesse chez la partenaire).</w:t>
      </w:r>
    </w:p>
    <w:p>
      <w:pPr>
        <w:pStyle w:val="ListBullet"/>
      </w:pPr>
      <w:r>
        <w:t>Allaitement : non concerné chez l'homme.</w:t>
      </w:r>
    </w:p>
    <w:p>
      <w:pPr>
        <w:pStyle w:val="ListBullet"/>
      </w:pPr>
      <w:r>
        <w:t>Précisions : recommandation d'éviter toute paternité pendant le traitement et 3 mois après l'arrêt.</w:t>
      </w:r>
    </w:p>
    <w:p>
      <w:r/>
      <w:r>
        <w:rPr>
          <w:b/>
        </w:rPr>
        <w:t>Posologie et Mode d'administration (Standard) :</w:t>
      </w:r>
      <w:r/>
    </w:p>
    <w:p>
      <w:pPr>
        <w:pStyle w:val="ListBullet"/>
      </w:pPr>
      <w:r>
        <w:t>Adulte : 250 mg × 3/j per os (soit 750 mg/j), en association avec agoniste GnRH dans le bloc androgénique complet.</w:t>
      </w:r>
    </w:p>
    <w:p>
      <w:pPr>
        <w:pStyle w:val="ListBullet"/>
      </w:pPr>
      <w:r>
        <w:t>Couverture du flare GnRH : 250 mg × 3/j pendant les 10 à 14 premiers jours du traitement par agoniste GnRH.</w:t>
      </w:r>
    </w:p>
    <w:p>
      <w:pPr>
        <w:pStyle w:val="ListBullet"/>
      </w:pPr>
      <w:r>
        <w:t>Sujet âgé : pas d'adaptation mais surveillance hépatique accrue.</w:t>
      </w:r>
    </w:p>
    <w:p>
      <w:pPr>
        <w:pStyle w:val="ListBullet"/>
      </w:pPr>
      <w:r>
        <w:t>Durée : tant que réponse au bloc androgénique.</w:t>
      </w:r>
    </w:p>
    <w:p>
      <w:pPr>
        <w:pStyle w:val="ListBullet"/>
      </w:pPr>
      <w:r>
        <w:t>Moment de prise : 3 prises par jour à intervalles réguliers (8h, 16h, 24h).</w:t>
      </w:r>
    </w:p>
    <w:p>
      <w:r/>
      <w:r>
        <w:rPr>
          <w:b/>
        </w:rPr>
        <w:t>Arbitrage et Bénéfices des Formes Galéniques :</w:t>
      </w:r>
      <w:r/>
    </w:p>
    <w:p>
      <w:r>
        <w:t>Formes orales (comprimé 250 mg ou gélule 250 mg) — la galénique est standard sans distinction majeure entre marques. Le flutamide impose une observance stricte de 3 prises/jour, source d'erreurs et de baisse d'efficacité. Le bicalutamide en une prise quotidienne lui est nettement supérieur en termes d'observance et de tolérance hépatique.</w:t>
      </w:r>
    </w:p>
    <w:p>
      <w:r/>
      <w:r>
        <w:rPr>
          <w:b/>
        </w:rPr>
        <w:t>Instructions et Conseils au Patient :</w:t>
      </w:r>
      <w:r/>
    </w:p>
    <w:p>
      <w:pPr>
        <w:pStyle w:val="ListBullet"/>
      </w:pPr>
      <w:r>
        <w:t>Communication au comptoir : informer sur la nécessité absolue de 3 prises par jour, surveillance hépatique mensuelle, signaler tout ictère ou douleur abdominale haute, sur le risque de troubles visuels nocturnes, sur l'obligation de préservatif pendant le traitement.</w:t>
      </w:r>
    </w:p>
    <w:p>
      <w:pPr>
        <w:pStyle w:val="ListBullet"/>
      </w:pPr>
      <w:r>
        <w:t>Mode d'utilisation pratique : prises à heures fixes, à consigner dans un carnet de surveillance.</w:t>
      </w:r>
    </w:p>
    <w:p>
      <w:r/>
      <w:r>
        <w:rPr>
          <w:b/>
        </w:rPr>
        <w:t>Notes, Règles d'Or &amp; Pièges au Comptoir :</w:t>
      </w:r>
      <w:r/>
    </w:p>
    <w:p>
      <w:pPr>
        <w:pStyle w:val="ListBullet"/>
      </w:pPr>
      <w:r>
        <w:t>Piège classique : ne pas confondre le flutamide avec le bicalutamide en cas de substitution (le flutamide impose 3 prises/j, le bicalutamide une seule).</w:t>
      </w:r>
    </w:p>
    <w:p>
      <w:pPr>
        <w:pStyle w:val="ListBullet"/>
      </w:pPr>
      <w:r>
        <w:t>Règle de prise : jamais en monothérapie comme anti-androgène unique (préférer bicalutamide).</w:t>
      </w:r>
    </w:p>
    <w:p>
      <w:pPr>
        <w:pStyle w:val="ListBullet"/>
      </w:pPr>
      <w:r>
        <w:t>Préparation et Conservation : à température ambiante (&lt; 25 °C).</w:t>
      </w:r>
    </w:p>
    <w:p>
      <w:pPr>
        <w:pStyle w:val="ListBullet"/>
      </w:pPr>
      <w:r>
        <w:t>Piège du surdosage / Substitution : en Algérie, le flutamide étant retiré du marché, ne pas délivrer ; signaler au prescripteur la nécessité de substituer par bicalutamide (50 mg/j en association ou 150 mg/j en monothérapie).</w:t>
      </w:r>
    </w:p>
    <w:p>
      <w:pPr>
        <w:pStyle w:val="Heading3"/>
      </w:pPr>
      <w:r>
        <w:t>3. DCI : Bicalutamide (Seule)</w:t>
      </w:r>
    </w:p>
    <w:p>
      <w:r/>
      <w:r>
        <w:rPr>
          <w:b/>
        </w:rPr>
        <w:t>Liste des Catégories :</w:t>
      </w:r>
      <w:r>
        <w:t xml:space="preserve"> Anti-androgènes — Non stéroïdiens (cancer prostate) ; Liste I.</w:t>
      </w:r>
    </w:p>
    <w:p>
      <w:r>
        <w:t>Le bicalutamide, anti-androgène non stéroïdien de première génération, est aujourd'hui la molécule de référence de sa classe en raison de sa demi-vie longue (5–7 jours), permettant une seule prise quotidienne, et de sa meilleure tolérance hépatique comparativement au flutamide. Il est largement distribué en Algérie sous plusieurs marques génériques (BICAdex, Casomide, Clamudex) à côté de l'originator Casodex.</w:t>
      </w:r>
    </w:p>
    <w:p>
      <w:r/>
      <w:r>
        <w:rPr>
          <w:b/>
        </w:rPr>
        <w:t>Médicaments disponibles en Algérie (Marques, Laboratoires, Formes et Dosages) :</w:t>
      </w:r>
      <w:r/>
    </w:p>
    <w:p>
      <w:pPr>
        <w:pStyle w:val="ListBullet"/>
      </w:pPr>
      <w:r/>
      <w:r>
        <w:rPr>
          <w:b/>
        </w:rPr>
        <w:t>BICADEX</w:t>
      </w:r>
      <w:r>
        <w:t xml:space="preserve"> (CONTINENTAL PHARM)</w:t>
      </w:r>
    </w:p>
    <w:p>
      <w:pPr>
        <w:pStyle w:val="ListBullet"/>
      </w:pPr>
      <w:r>
        <w:t>Formes et Dosages : Comprimé pelliculé 50 mg</w:t>
      </w:r>
    </w:p>
    <w:p>
      <w:pPr>
        <w:pStyle w:val="ListBullet"/>
      </w:pPr>
      <w:r>
        <w:t>Statut : Actif</w:t>
      </w:r>
    </w:p>
    <w:p>
      <w:pPr>
        <w:pStyle w:val="ListBullet"/>
      </w:pPr>
      <w:r/>
      <w:r>
        <w:rPr>
          <w:b/>
        </w:rPr>
        <w:t>BICALUTAMIDE CINFA</w:t>
      </w:r>
      <w:r>
        <w:t xml:space="preserve"> (CINFA S.A.)</w:t>
      </w:r>
    </w:p>
    <w:p>
      <w:pPr>
        <w:pStyle w:val="ListBullet"/>
      </w:pPr>
      <w:r>
        <w:t>Formes et Dosages : Comprimé pelliculé 50 mg</w:t>
      </w:r>
    </w:p>
    <w:p>
      <w:pPr>
        <w:pStyle w:val="ListBullet"/>
      </w:pPr>
      <w:r>
        <w:t>Statut : Actif</w:t>
      </w:r>
    </w:p>
    <w:p>
      <w:pPr>
        <w:pStyle w:val="ListBullet"/>
      </w:pPr>
      <w:r/>
      <w:r>
        <w:rPr>
          <w:b/>
        </w:rPr>
        <w:t>BICALUTAMIDE UPC</w:t>
      </w:r>
      <w:r>
        <w:t xml:space="preserve"> (SPA UNION PHARMACEUTIQUE CONSTANTINOISE PRODUCTION)</w:t>
      </w:r>
    </w:p>
    <w:p>
      <w:pPr>
        <w:pStyle w:val="ListBullet"/>
      </w:pPr>
      <w:r>
        <w:t>Formes et Dosages : Comprimé pelliculé 50 mg</w:t>
      </w:r>
    </w:p>
    <w:p>
      <w:pPr>
        <w:pStyle w:val="ListBullet"/>
      </w:pPr>
      <w:r>
        <w:t>Statut : Actif</w:t>
      </w:r>
    </w:p>
    <w:p>
      <w:pPr>
        <w:pStyle w:val="ListBullet"/>
      </w:pPr>
      <w:r/>
      <w:r>
        <w:rPr>
          <w:b/>
        </w:rPr>
        <w:t>CASODEX</w:t>
      </w:r>
      <w:r>
        <w:t xml:space="preserve"> (LABORATOIRE JUVISE PHARMACEUTICALS)</w:t>
      </w:r>
    </w:p>
    <w:p>
      <w:pPr>
        <w:pStyle w:val="ListBullet"/>
      </w:pPr>
      <w:r>
        <w:t>Formes et Dosages : Comprimé enrobé 50 mg</w:t>
      </w:r>
    </w:p>
    <w:p>
      <w:pPr>
        <w:pStyle w:val="ListBullet"/>
      </w:pPr>
      <w:r>
        <w:t>Statut : Actif (originator)</w:t>
      </w:r>
    </w:p>
    <w:p>
      <w:pPr>
        <w:pStyle w:val="ListBullet"/>
      </w:pPr>
      <w:r/>
      <w:r>
        <w:rPr>
          <w:b/>
        </w:rPr>
        <w:t>CASOMIDE</w:t>
      </w:r>
      <w:r>
        <w:t xml:space="preserve"> (BIOPHARM)</w:t>
      </w:r>
    </w:p>
    <w:p>
      <w:pPr>
        <w:pStyle w:val="ListBullet"/>
      </w:pPr>
      <w:r>
        <w:t>Formes et Dosages : Comprimé pelliculé 50 mg</w:t>
      </w:r>
    </w:p>
    <w:p>
      <w:pPr>
        <w:pStyle w:val="ListBullet"/>
      </w:pPr>
      <w:r>
        <w:t>Statut : Actif</w:t>
      </w:r>
    </w:p>
    <w:p>
      <w:pPr>
        <w:pStyle w:val="ListBullet"/>
      </w:pPr>
      <w:r/>
      <w:r>
        <w:rPr>
          <w:b/>
        </w:rPr>
        <w:t>CLAMUDEX</w:t>
      </w:r>
      <w:r>
        <w:t xml:space="preserve"> (EL KENDI INDUSTRIE DU MEDICAMENT)</w:t>
      </w:r>
    </w:p>
    <w:p>
      <w:pPr>
        <w:pStyle w:val="ListBullet"/>
      </w:pPr>
      <w:r>
        <w:t>Formes et Dosages : Comprimé pelliculé 50 mg</w:t>
      </w:r>
    </w:p>
    <w:p>
      <w:pPr>
        <w:pStyle w:val="ListBullet"/>
      </w:pPr>
      <w:r>
        <w:t>Statut : Actif</w:t>
      </w:r>
    </w:p>
    <w:p>
      <w:r/>
      <w:r>
        <w:rPr>
          <w:b/>
        </w:rPr>
        <w:t>Sous-classe et Mécanisme d'action :</w:t>
      </w:r>
      <w:r/>
    </w:p>
    <w:p>
      <w:pPr>
        <w:pStyle w:val="ListBullet"/>
      </w:pPr>
      <w:r>
        <w:t>Sous-classe : Anti-androgène non stéroïdien de première génération (à l'instar du flutamide et du nilutamide), dérivé des anilides.</w:t>
      </w:r>
    </w:p>
    <w:p>
      <w:pPr>
        <w:pStyle w:val="ListBullet"/>
      </w:pPr>
      <w:r>
        <w:t>Mécanisme d'action : le bicalutamide est un antagoniste compétitif pur du récepteur androgénique nucléaire, dépourvu de toute activité agoniste partielle, progestative, estrogénique ou antigonadotrope. Il bloque l'action de la testostérone et de la DHT sur les cellules cibles (prostate). Son affinity pour le récepteur androgénique est 4 fois supérieure à celle du 2-hydroxyflutamide (métabolite actif du flutamide), ce qui explique son efficacité comparable à dose bien moindre (50 mg vs 750 mg/jour).</w:t>
      </w:r>
    </w:p>
    <w:p>
      <w:r/>
      <w:r>
        <w:rPr>
          <w:b/>
        </w:rPr>
        <w:t>Profil Pharmacologique :</w:t>
      </w:r>
      <w:r/>
    </w:p>
    <w:p>
      <w:pPr>
        <w:pStyle w:val="ListBullet"/>
      </w:pPr>
      <w:r>
        <w:t>Indications : cancer de la prostate localement avancé ou métastatique en association avec un agoniste GnRH (bloc androgénique complet) à la dose de 50 mg/j ; cancer prostate non métastatique en monothérapie à la dose de 150 mg/j (indication en réévaluation — voir AVIS EMA) ; couverture du flare initial de l'agoniste GnRH.</w:t>
      </w:r>
    </w:p>
    <w:p>
      <w:pPr>
        <w:pStyle w:val="ListBullet"/>
      </w:pPr>
      <w:r>
        <w:t>Contre-indations : hypersensibilité, insuffisance hépatique sévère, co-prescription avec terfénadine, astémizole ou cisapride (allongement QT), grossesse de la partenaire.</w:t>
      </w:r>
    </w:p>
    <w:p>
      <w:pPr>
        <w:pStyle w:val="ListBullet"/>
      </w:pPr>
      <w:r>
        <w:t>Effets Indésirables : bouffées de chaleur (49 %), gynécomastie (49 %) et douleur mammaire (40 %) — fréquents en monothérapie 150 mg, beaucoup moins en association avec agoniste GnRH (castration centrale), hépatotoxicité (cytolyse rare mais grave — surveillance requise), troubles digestifs (diarrhée, nausées), asthénie, prise de poids, exceptionnels cas d'insuffisance respiratoire (pneumopathie interstitielle), allongement de l'intervalle QT.</w:t>
      </w:r>
    </w:p>
    <w:p>
      <w:r/>
      <w:r>
        <w:rPr>
          <w:b/>
        </w:rPr>
        <w:t>Prévention et Gestion des Effets Indésirables :</w:t>
      </w:r>
      <w:r/>
    </w:p>
    <w:p>
      <w:pPr>
        <w:pStyle w:val="ListBullet"/>
      </w:pPr>
      <w:r>
        <w:t>Mesures Préventives : bilan hépatique pré-thérapeutique puis mensuel 3 mois puis trimestriel ; ECG si antécédents cardiaques ou traitements associés allongeant QT ; information du patient sur les signes d'hépatotoxicité.</w:t>
      </w:r>
    </w:p>
    <w:p>
      <w:pPr>
        <w:pStyle w:val="ListBullet"/>
      </w:pPr>
      <w:r>
        <w:t>Conduite à Tenir : arrêt en cas de cytolyse &gt; 3× LSN persistante ; irradiation mammaire préventive possible en cas de gynécomastie douloureuse ; switch vers enzalutamide en cas d'échec du bloc androgénique complet.</w:t>
      </w:r>
    </w:p>
    <w:p>
      <w:r/>
      <w:r>
        <w:rPr>
          <w:b/>
        </w:rPr>
        <w:t>Interactions Importantes :</w:t>
      </w:r>
      <w:r/>
    </w:p>
    <w:p>
      <w:pPr>
        <w:pStyle w:val="ListBullet"/>
      </w:pPr>
      <w:r>
        <w:t>Bicalutamide + warfarine : augmentation importante de l'INR (CYP2C9) — surveillance étroite et adaptation posologique.</w:t>
      </w:r>
    </w:p>
    <w:p>
      <w:pPr>
        <w:pStyle w:val="ListBullet"/>
      </w:pPr>
      <w:r>
        <w:t>Bicalutamide + statines CYP3A4 : risque de majoration des concentrations.</w:t>
      </w:r>
    </w:p>
    <w:p>
      <w:pPr>
        <w:pStyle w:val="ListBullet"/>
      </w:pPr>
      <w:r>
        <w:t>Bicalutamide + inhibiteurs CYP3A4 (kétoconazole, itraconazole, ritonavir) : augmentation des taux de bicalutamide.</w:t>
      </w:r>
    </w:p>
    <w:p>
      <w:r/>
      <w:r>
        <w:rPr>
          <w:b/>
        </w:rPr>
        <w:t>Grossesse et Allaitement :</w:t>
      </w:r>
      <w:r/>
    </w:p>
    <w:p>
      <w:pPr>
        <w:pStyle w:val="ListBullet"/>
      </w:pPr>
      <w:r>
        <w:t>Grossesse : contre-indication chez la femme enceinte (risque théorique de féminisation fœtus mâle) — le patient partenaire doit utiliser un préservatif pendant le traitement et 130 jours après l'arrêt (durée de la spermatogenèse).</w:t>
      </w:r>
    </w:p>
    <w:p>
      <w:pPr>
        <w:pStyle w:val="ListBullet"/>
      </w:pPr>
      <w:r>
        <w:t>Allaitement : non applicable chez l'homme.</w:t>
      </w:r>
    </w:p>
    <w:p>
      <w:pPr>
        <w:pStyle w:val="ListBullet"/>
      </w:pPr>
      <w:r>
        <w:t>Précisions : information systématique du patient sur l'obligation de contraception mécanique.</w:t>
      </w:r>
    </w:p>
    <w:p>
      <w:r/>
      <w:r>
        <w:rPr>
          <w:b/>
        </w:rPr>
        <w:t>Posologie et Mode d'administration (Standard) :</w:t>
      </w:r>
      <w:r/>
    </w:p>
    <w:p>
      <w:pPr>
        <w:pStyle w:val="ListBullet"/>
      </w:pPr>
      <w:r>
        <w:t>Adulte cancer prostate en association (bloc androgénique complet) : 50 mg × 1/j per os, à débuter 3 jours avant l'agoniste GnRH pour couvrir le flare.</w:t>
      </w:r>
    </w:p>
    <w:p>
      <w:pPr>
        <w:pStyle w:val="ListBullet"/>
      </w:pPr>
      <w:r>
        <w:t>Adulte monothérapie : 150 mg × 1/j (indication en réévaluation, prescription spécialisée).</w:t>
      </w:r>
    </w:p>
    <w:p>
      <w:pPr>
        <w:pStyle w:val="ListBullet"/>
      </w:pPr>
      <w:r>
        <w:t>Sujet âgé : pas d'adaptation posologique.</w:t>
      </w:r>
    </w:p>
    <w:p>
      <w:pPr>
        <w:pStyle w:val="ListBullet"/>
      </w:pPr>
      <w:r>
        <w:t>Insuffisance rénale : pas d'adaptation.</w:t>
      </w:r>
    </w:p>
    <w:p>
      <w:pPr>
        <w:pStyle w:val="ListBullet"/>
      </w:pPr>
      <w:r>
        <w:t>Insuffisance hépatique légère à modérée : pas d'adaptation ; CI en cas d'insuffisance sévère.</w:t>
      </w:r>
    </w:p>
    <w:p>
      <w:pPr>
        <w:pStyle w:val="ListBullet"/>
      </w:pPr>
      <w:r>
        <w:t>Durée : au long cours, tant que réponse hormonale.</w:t>
      </w:r>
    </w:p>
    <w:p>
      <w:pPr>
        <w:pStyle w:val="ListBullet"/>
      </w:pPr>
      <w:r>
        <w:t>Moment de prise : une prise par jour, le matin ou le soir à heure fixe, pendant ou en dehors des repas.</w:t>
      </w:r>
    </w:p>
    <w:p>
      <w:r/>
      <w:r>
        <w:rPr>
          <w:b/>
        </w:rPr>
        <w:t>Arbitrage et Bénéfices des Formes Galéniques :</w:t>
      </w:r>
      <w:r/>
    </w:p>
    <w:p>
      <w:r>
        <w:t>Le comprimé à 50 mg est la seule forme standardisée disponible en Algérie. La monothérapie 150 mg impose 3 comprimés/jour (chronique et coûteux). Le bicalutamide est nettement plus pratique que le flutamide (1 prise vs 3) avec une meilleure tolérance hépatique — ce qui explique la multiplicité des génériques disponibles (BICAdex, Casomide, Clamudex, Bicalutamide UPC, Cinfa, Casodex originator).</w:t>
      </w:r>
    </w:p>
    <w:p>
      <w:r/>
      <w:r>
        <w:rPr>
          <w:b/>
        </w:rPr>
        <w:t>Instructions et Conseils au Patient :</w:t>
      </w:r>
      <w:r/>
    </w:p>
    <w:p>
      <w:pPr>
        <w:pStyle w:val="ListBullet"/>
      </w:pPr>
      <w:r>
        <w:t>Communication au comptoir : informer que la prise est unique et quotidienne à heure fixe, sur les bouffées de chaleur (effet attendu du bloc hormonal), la possible gynécomastie (parfois douloureuse), l'importance du suivi hépatique et prostatique (PSA), l'obligation de préservatif pendant traitement et 4 mois après.</w:t>
      </w:r>
    </w:p>
    <w:p>
      <w:pPr>
        <w:pStyle w:val="ListBullet"/>
      </w:pPr>
      <w:r>
        <w:t>Mode d'utilisation pratique : prise quotidienne le matin, en notant la date de démarrage pour ne pas oublier ; carnet de suivi du PSA et des transaminases.</w:t>
      </w:r>
    </w:p>
    <w:p>
      <w:r/>
      <w:r>
        <w:rPr>
          <w:b/>
        </w:rPr>
        <w:t>Notes, Règles d'Or &amp; Pièges au Comptoir :</w:t>
      </w:r>
      <w:r/>
    </w:p>
    <w:p>
      <w:pPr>
        <w:pStyle w:val="ListBullet"/>
      </w:pPr>
      <w:r>
        <w:t>Piège classique : oublier de débuter le bicalutamide AVANT l'agoniste GnRH (3 jours avant idéalement) pour couvrir le flare initial.</w:t>
      </w:r>
    </w:p>
    <w:p>
      <w:pPr>
        <w:pStyle w:val="ListBullet"/>
      </w:pPr>
      <w:r>
        <w:t>Règle de prise : une fois par jour, heure fixe, indépendamment des repas.</w:t>
      </w:r>
    </w:p>
    <w:p>
      <w:pPr>
        <w:pStyle w:val="ListBullet"/>
      </w:pPr>
      <w:r>
        <w:t>Préparation et Conservation : à température &lt; 30 °C, à l'abri de l'humidité.</w:t>
      </w:r>
    </w:p>
    <w:p>
      <w:pPr>
        <w:pStyle w:val="ListBullet"/>
      </w:pPr>
      <w:r>
        <w:t>Piège du surdosage / Substitution : vérifier la prescription (50 mg/j en association vs 150 mg/j en monothérapie — erreur de dose fréquente à la dispensation) ; vérifier l'absence d'interaction AVK.</w:t>
      </w:r>
    </w:p>
    <w:p>
      <w:pPr>
        <w:pStyle w:val="Heading3"/>
      </w:pPr>
      <w:r>
        <w:t>4. DCI : Enzalutamide (Seule)</w:t>
      </w:r>
    </w:p>
    <w:p>
      <w:r/>
      <w:r>
        <w:rPr>
          <w:b/>
        </w:rPr>
        <w:t>Liste des Catégories :</w:t>
      </w:r>
      <w:r>
        <w:t xml:space="preserve"> Anti-androgènes — 2e génération (cancer prostate) ; Liste I.</w:t>
      </w:r>
    </w:p>
    <w:p>
      <w:r>
        <w:t>L'enzalutamide, anti-androgène de deuxième génération, est l'avancée thérapeutique majeure de la dernière décennie dans le cancer de la prostate résistant à la castration (CPRC). Sa demi-vie longue (5,8 jours pour la molécule mère, 7,8 jours pour le métabolite actif N-déméthyl) autorise une seule prise quotidienne. Sa caractéristique pharmacologique distinctive est d'être un inducteur enzymatique puissant (CYP3A4, CYP2C9, CYP2C19) à l'origine d'interactions médicamenteuses majeures.</w:t>
      </w:r>
    </w:p>
    <w:p>
      <w:r/>
      <w:r>
        <w:rPr>
          <w:b/>
        </w:rPr>
        <w:t>Médicaments disponibles en Algérie (Marques, Laboratoires, Formes et Dosages) :</w:t>
      </w:r>
      <w:r/>
    </w:p>
    <w:p>
      <w:pPr>
        <w:pStyle w:val="ListBullet"/>
      </w:pPr>
      <w:r/>
      <w:r>
        <w:rPr>
          <w:b/>
        </w:rPr>
        <w:t>XTANDI</w:t>
      </w:r>
      <w:r>
        <w:t xml:space="preserve"> (ASTELLAS PHARMA EUROPE B.V.)</w:t>
      </w:r>
    </w:p>
    <w:p>
      <w:pPr>
        <w:pStyle w:val="ListBullet"/>
      </w:pPr>
      <w:r>
        <w:t>Formes et Dosages : Capsule molle 40 mg</w:t>
      </w:r>
    </w:p>
    <w:p>
      <w:pPr>
        <w:pStyle w:val="ListBullet"/>
      </w:pPr>
      <w:r>
        <w:t>Statut : Actif (originator)</w:t>
      </w:r>
    </w:p>
    <w:p>
      <w:pPr>
        <w:pStyle w:val="ListBullet"/>
      </w:pPr>
      <w:r/>
      <w:r>
        <w:rPr>
          <w:b/>
        </w:rPr>
        <w:t>XYTOVA</w:t>
      </w:r>
      <w:r>
        <w:t xml:space="preserve"> (HIKMA PHARMA ALGERIA)</w:t>
      </w:r>
    </w:p>
    <w:p>
      <w:pPr>
        <w:pStyle w:val="ListBullet"/>
      </w:pPr>
      <w:r>
        <w:t>Formes et Dosages : Comprimé pelliculé 40 mg et Comprimé pelliculé 80 mg</w:t>
      </w:r>
    </w:p>
    <w:p>
      <w:pPr>
        <w:pStyle w:val="ListBullet"/>
      </w:pPr>
      <w:r>
        <w:t>Statut : Actif (générique)</w:t>
      </w:r>
    </w:p>
    <w:p>
      <w:r/>
      <w:r>
        <w:rPr>
          <w:b/>
        </w:rPr>
        <w:t>Sous-classe et Mécanisme d'action :</w:t>
      </w:r>
      <w:r/>
    </w:p>
    <w:p>
      <w:pPr>
        <w:pStyle w:val="ListBullet"/>
      </w:pPr>
      <w:r>
        <w:t>Sous-classe : Anti-androgène non stéroïdien de deuxième génération (avec l'apalutamide et le darolutamide), indiqué dans le CPRC.</w:t>
      </w:r>
    </w:p>
    <w:p>
      <w:pPr>
        <w:pStyle w:val="ListBullet"/>
      </w:pPr>
      <w:r>
        <w:t>Mécanisme d'action : l'enzalutamide est un antagoniste compétitif du récepteur androgénique (RA) avec une affinité 5 à 8 fois supérieure à celle du bicalutamide. Il exerce trois actions complémentaires : (1) inhibition de la liaison des androgènes au RA ; (2) inhibition de la translocation nucléaire du complexe RA-androgène ; (3) inhibition de la liaison du complexe à l'ADN et de la co-activation transcriptionnelle. Cette triple action explique son efficacité sur les variants de splice du RA (RA-V7) responsables de résistance aux anti-androgènes de première génération.</w:t>
      </w:r>
    </w:p>
    <w:p>
      <w:r/>
      <w:r>
        <w:rPr>
          <w:b/>
        </w:rPr>
        <w:t>Profil Pharmacologique :</w:t>
      </w:r>
      <w:r/>
    </w:p>
    <w:p>
      <w:pPr>
        <w:pStyle w:val="ListBullet"/>
      </w:pPr>
      <w:r>
        <w:t>Indications : cancer de la prostate métastatique résistant à la castration (mCPRC) en pré- ou post-chimiothérapie par docétaxel ; cancer de la prostate non métastatique résistant à la castration (nmCPRC) ; cancer de la prostate métastatique hormonosensible (mHSPC) en association ; formes localisées à haut risque en cours d'évaluation.</w:t>
      </w:r>
    </w:p>
    <w:p>
      <w:pPr>
        <w:pStyle w:val="ListBullet"/>
      </w:pPr>
      <w:r>
        <w:t>Contre-indications : hypersensibilité, association avec le tacrolimus ou la ciclosporine (induction enzymatique majeure), grossesse de la partenaire, antécédents d'épilepsie ou de convulsions (risque majoré).</w:t>
      </w:r>
    </w:p>
    <w:p>
      <w:pPr>
        <w:pStyle w:val="ListBullet"/>
      </w:pPr>
      <w:r>
        <w:t>Effets Indésirables : asthénie et fatigue (50 %), bouffées de chaleur (20 %), hypertension artérielle, chute (risque de fracture), troubles cognitifs ( troubles de la mémoire, désorientation), convulsions (0,9 % des patients — mécanisme : inhibition des récepteurs GABA-A), rare syndrome d'encéphalopathie postérieure réversible (PRES), allongement QT (dose-dépendant).</w:t>
      </w:r>
    </w:p>
    <w:p>
      <w:r/>
      <w:r>
        <w:rPr>
          <w:b/>
        </w:rPr>
        <w:t>Prévention et Gestion des Effets Indésirables :</w:t>
      </w:r>
      <w:r/>
    </w:p>
    <w:p>
      <w:pPr>
        <w:pStyle w:val="ListBullet"/>
      </w:pPr>
      <w:r>
        <w:t>Mesures Préventives : évaluation neurologique pré-thérapeutique (ATCD convulsions, lésion cérébrale, métastase cérébrale) ; contrôle tensionnel initial et mensuel ; évaluation cognitive à l'aide du questionnaire MOCA si traitement prolongé ; surveillance de la kaliémie et de la calcémie (facteurs favorisants convulsifs).</w:t>
      </w:r>
    </w:p>
    <w:p>
      <w:pPr>
        <w:pStyle w:val="ListBullet"/>
      </w:pPr>
      <w:r>
        <w:t>Conduite à Tenir : arrêt définitif en cas de convulsion ; réduction posologique à 80 mg/j en cas de fatigue Grade 3 ; gestion symptomatique des bouffées de chaleur (prévention non hormonale) ; arrêt en cas de PRES.</w:t>
      </w:r>
    </w:p>
    <w:p>
      <w:r/>
      <w:r>
        <w:rPr>
          <w:b/>
        </w:rPr>
        <w:t>Interactions Importantes :</w:t>
      </w:r>
      <w:r/>
    </w:p>
    <w:p>
      <w:pPr>
        <w:pStyle w:val="ListBullet"/>
      </w:pPr>
      <w:r>
        <w:t>Enzalutamide + AVK (warfarine, acénocoumarol) : induction CYP2C9 → chute majeure de l'INR → risque thrombotique. Surveillance hebdomadaire 6 semaines puis mensuelle.</w:t>
      </w:r>
    </w:p>
    <w:p>
      <w:pPr>
        <w:pStyle w:val="ListBullet"/>
      </w:pPr>
      <w:r>
        <w:t>Enzalutamide + AOD (apixaban, rivaroxaban, dabigatran) : induction CYP3A4 et P-gp → efficacité réduite → CI.</w:t>
      </w:r>
    </w:p>
    <w:p>
      <w:pPr>
        <w:pStyle w:val="ListBullet"/>
      </w:pPr>
      <w:r>
        <w:t>Enzalutamide + anticonvulsivants (valproate, phénytoïne) : induction → inefficacité antiépileptique.</w:t>
      </w:r>
    </w:p>
    <w:p>
      <w:pPr>
        <w:pStyle w:val="ListBullet"/>
      </w:pPr>
      <w:r>
        <w:t>Enzalutamide + statines (simvastatine, atorvastatine) : baisse d'efficacité hypolipémiante.</w:t>
      </w:r>
    </w:p>
    <w:p>
      <w:pPr>
        <w:pStyle w:val="ListBullet"/>
      </w:pPr>
      <w:r>
        <w:t>Enzalutamide + digoxine : induction P-gp → baisse des concentrations.</w:t>
      </w:r>
    </w:p>
    <w:p>
      <w:pPr>
        <w:pStyle w:val="ListBullet"/>
      </w:pPr>
      <w:r>
        <w:t>Enzalutamide + inhibiteurs puissants CYP2C8 (gemfibrozil) : augmentation des concentrations d'enzalutamide.</w:t>
      </w:r>
    </w:p>
    <w:p>
      <w:r/>
      <w:r>
        <w:rPr>
          <w:b/>
        </w:rPr>
        <w:t>Grossesse et Allaitement :</w:t>
      </w:r>
      <w:r/>
    </w:p>
    <w:p>
      <w:pPr>
        <w:pStyle w:val="ListBullet"/>
      </w:pPr>
      <w:r>
        <w:t>Grossesse : CI absolue (effet tératogène androgéno-bloquant sur fœtus masculin). Contraception mécanique obligatoire du patient pendant traitement et 3 mois après l'arrêt.</w:t>
      </w:r>
    </w:p>
    <w:p>
      <w:pPr>
        <w:pStyle w:val="ListBullet"/>
      </w:pPr>
      <w:r>
        <w:t>Allaitement : non applicable (prescription masculine essentiellement).</w:t>
      </w:r>
    </w:p>
    <w:p>
      <w:pPr>
        <w:pStyle w:val="ListBullet"/>
      </w:pPr>
      <w:r>
        <w:t>Précisions : information systématique du patient sur l'obligation de préservatif.</w:t>
      </w:r>
    </w:p>
    <w:p>
      <w:r/>
      <w:r>
        <w:rPr>
          <w:b/>
        </w:rPr>
        <w:t>Posologie et Mode d'administration (Standard) :</w:t>
      </w:r>
      <w:r/>
    </w:p>
    <w:p>
      <w:pPr>
        <w:pStyle w:val="ListBullet"/>
      </w:pPr>
      <w:r>
        <w:t>Adulte : 160 mg/j per os (4 capsules de 40 mg ou 2 comprimés de 80 mg) en une prise unique quotidienne.</w:t>
      </w:r>
    </w:p>
    <w:p>
      <w:pPr>
        <w:pStyle w:val="ListBullet"/>
      </w:pPr>
      <w:r>
        <w:t>Sujet âgé : pas d'adaptation formelle mais surveillance accrue de la fatigue et de l'équilibre.</w:t>
      </w:r>
    </w:p>
    <w:p>
      <w:pPr>
        <w:pStyle w:val="ListBullet"/>
      </w:pPr>
      <w:r>
        <w:t>Insuffisance rénale modérée à sévère : pas d'adaptation (sauf dialyse : non étudié).</w:t>
      </w:r>
    </w:p>
    <w:p>
      <w:pPr>
        <w:pStyle w:val="ListBullet"/>
      </w:pPr>
      <w:r>
        <w:t>Insuffisance hépatique légère à modérée : pas d'adaptation ; sévère : non recommandé.</w:t>
      </w:r>
    </w:p>
    <w:p>
      <w:pPr>
        <w:pStyle w:val="ListBullet"/>
      </w:pPr>
      <w:r>
        <w:t>Adaptation en cas d'effet indésirable : 120 mg/j puis 80 mg/j en cas de toxicité persistante Grade ≥ 3.</w:t>
      </w:r>
    </w:p>
    <w:p>
      <w:pPr>
        <w:pStyle w:val="ListBullet"/>
      </w:pPr>
      <w:r>
        <w:t>Durée : jusqu'à progression ou toxicité inacceptable.</w:t>
      </w:r>
    </w:p>
    <w:p>
      <w:pPr>
        <w:pStyle w:val="ListBullet"/>
      </w:pPr>
      <w:r>
        <w:t>Moment de prise : une prise par jour à heure fixe, pendant ou en dehors des repas (la capsule doit être avalée entière).</w:t>
      </w:r>
    </w:p>
    <w:p>
      <w:r/>
      <w:r>
        <w:rPr>
          <w:b/>
        </w:rPr>
        <w:t>Arbitrage et Bénéfices des Formes Galéniques :</w:t>
      </w:r>
      <w:r/>
    </w:p>
    <w:p>
      <w:r>
        <w:t>La capsule molle 40 mg (Xtandi) et le comprimé pelliculé 40 ou 80 mg (Xytova) permettent l'adaptation posologique. Le comprimé 80 mg (Xytova) facilite la prise quotidienne de 160 mg (2 comprimés vs 4 capsules). Le choix entre originator et générique se fait sur la disponibilité, le coût et la préférence du patient (forme capsule vs comprimé).</w:t>
      </w:r>
    </w:p>
    <w:p>
      <w:r/>
      <w:r>
        <w:rPr>
          <w:b/>
        </w:rPr>
        <w:t>Instructions et Conseils au Patient :</w:t>
      </w:r>
      <w:r/>
    </w:p>
    <w:p>
      <w:pPr>
        <w:pStyle w:val="ListBullet"/>
      </w:pPr>
      <w:r>
        <w:t>Communication au comptoir : expliquer l'importance d'une prise unique quotidienne, signaler toute convulsion (arrêt immédiat + consultation urgente), informer sur les interactions médicamenteuses (ne pas prendre d'automédication, en particulier millepertuis), prévenir de la baisse d'efficacité des anticoagulants oraux, surveiller la tension, éviter la conduite en cas de fatigue ou vertiges.</w:t>
      </w:r>
    </w:p>
    <w:p>
      <w:pPr>
        <w:pStyle w:val="ListBullet"/>
      </w:pPr>
      <w:r>
        <w:t>Mode d'utilisation pratique : prise à heure fixe (matin par convention) ; carnet de suivi tensionnel et biologique (PSA, hemogramme, transaminases, INR si AVK).</w:t>
      </w:r>
    </w:p>
    <w:p>
      <w:r/>
      <w:r>
        <w:rPr>
          <w:b/>
        </w:rPr>
        <w:t>Notes, Règles d'Or &amp; Pièges au Comptoir :</w:t>
      </w:r>
      <w:r/>
    </w:p>
    <w:p>
      <w:pPr>
        <w:pStyle w:val="ListBullet"/>
      </w:pPr>
      <w:r>
        <w:t>Piège classique : oublier les interactions enzymatiques (CYP3A4, CYP2C9) — systématiquement rechercher AVK, AOD, anticonvulsivants et statines.</w:t>
      </w:r>
    </w:p>
    <w:p>
      <w:pPr>
        <w:pStyle w:val="ListBullet"/>
      </w:pPr>
      <w:r>
        <w:t>Règle de prise : une fois par jour, heure fixe, sans oubli (induction enzymatique persistante même après arrêt pendant 1 mois).</w:t>
      </w:r>
    </w:p>
    <w:p>
      <w:pPr>
        <w:pStyle w:val="ListBullet"/>
      </w:pPr>
      <w:r>
        <w:t>Préparation et Conservation : à température &lt; 25 °C, ne pas congeler.</w:t>
      </w:r>
    </w:p>
    <w:p>
      <w:pPr>
        <w:pStyle w:val="ListBullet"/>
      </w:pPr>
      <w:r>
        <w:t>Piège du surdosage / Substitution : ne jamais dépasser 160 mg/j ; vérifier systématiquement la prescription d'un anticoagulant associé.</w:t>
      </w:r>
    </w:p>
    <w:p>
      <w:pPr>
        <w:pStyle w:val="Heading3"/>
      </w:pPr>
      <w:r>
        <w:t>5. DCI : Clomifène (Seule)</w:t>
      </w:r>
    </w:p>
    <w:p>
      <w:r/>
      <w:r>
        <w:rPr>
          <w:b/>
        </w:rPr>
        <w:t>Liste des Catégories :</w:t>
      </w:r>
      <w:r>
        <w:t xml:space="preserve"> Inducteurs ovulation — SERM antiestrogéniques ; Liste I.</w:t>
      </w:r>
    </w:p>
    <w:p>
      <w:r>
        <w:t>Le clomifène (citrate de clomifène) est un SERM (Selective Estrogen Receptor Modulator) de première génération utilisé depuis les années 1960 comme inducteur d'ovulation oral. Sa demi-vie longue (5 à 7 jours) et son métabolisme hépatique expliquent son accumulation et la nécessité d'un schéma cyclique strict. C'est le traitement de première ligne de l'infertilité anovulatoire.</w:t>
      </w:r>
    </w:p>
    <w:p>
      <w:r/>
      <w:r>
        <w:rPr>
          <w:b/>
        </w:rPr>
        <w:t>Médicaments disponibles en Algérie (Marques, Laboratoires, Formes et Dosages) :</w:t>
      </w:r>
      <w:r/>
    </w:p>
    <w:p>
      <w:pPr>
        <w:pStyle w:val="ListBullet"/>
      </w:pPr>
      <w:r/>
      <w:r>
        <w:rPr>
          <w:b/>
        </w:rPr>
        <w:t>BIOMID BR</w:t>
      </w:r>
      <w:r>
        <w:t xml:space="preserve"> (SARL BIOREM)</w:t>
      </w:r>
    </w:p>
    <w:p>
      <w:pPr>
        <w:pStyle w:val="ListBullet"/>
      </w:pPr>
      <w:r>
        <w:t>Formes et Dosages : Comprimé sécable 50 mg</w:t>
      </w:r>
    </w:p>
    <w:p>
      <w:pPr>
        <w:pStyle w:val="ListBullet"/>
      </w:pPr>
      <w:r>
        <w:t>Statut : Actif</w:t>
      </w:r>
    </w:p>
    <w:p>
      <w:pPr>
        <w:pStyle w:val="ListBullet"/>
      </w:pPr>
      <w:r/>
      <w:r>
        <w:rPr>
          <w:b/>
        </w:rPr>
        <w:t>CLOMID</w:t>
      </w:r>
      <w:r>
        <w:t xml:space="preserve"> (SANOFI AVENTIS FRANCE)</w:t>
      </w:r>
    </w:p>
    <w:p>
      <w:pPr>
        <w:pStyle w:val="ListBullet"/>
      </w:pPr>
      <w:r>
        <w:t>Formes et Dosages : Comprimé 50 mg</w:t>
      </w:r>
    </w:p>
    <w:p>
      <w:pPr>
        <w:pStyle w:val="ListBullet"/>
      </w:pPr>
      <w:r>
        <w:t>Statut : Actif (originator historique)</w:t>
      </w:r>
    </w:p>
    <w:p>
      <w:pPr>
        <w:pStyle w:val="ListBullet"/>
      </w:pPr>
      <w:r/>
      <w:r>
        <w:rPr>
          <w:b/>
        </w:rPr>
        <w:t>CLOMINE</w:t>
      </w:r>
      <w:r>
        <w:t xml:space="preserve"> (SANAMED)</w:t>
      </w:r>
    </w:p>
    <w:p>
      <w:pPr>
        <w:pStyle w:val="ListBullet"/>
      </w:pPr>
      <w:r>
        <w:t>Formes et Dosages : Comprimé 50 mg</w:t>
      </w:r>
    </w:p>
    <w:p>
      <w:pPr>
        <w:pStyle w:val="ListBullet"/>
      </w:pPr>
      <w:r>
        <w:t>Statut : Actif</w:t>
      </w:r>
    </w:p>
    <w:p>
      <w:pPr>
        <w:pStyle w:val="ListBullet"/>
      </w:pPr>
      <w:r/>
      <w:r>
        <w:rPr>
          <w:b/>
        </w:rPr>
        <w:t>CROVIFENE</w:t>
      </w:r>
      <w:r>
        <w:t xml:space="preserve"> (FARMACEUTICI CROVIS PH.I.L.COM)</w:t>
      </w:r>
    </w:p>
    <w:p>
      <w:pPr>
        <w:pStyle w:val="ListBullet"/>
      </w:pPr>
      <w:r>
        <w:t>Formes et Dosages : Comprimé 50 mg</w:t>
      </w:r>
    </w:p>
    <w:p>
      <w:pPr>
        <w:pStyle w:val="ListBullet"/>
      </w:pPr>
      <w:r>
        <w:t>Statut : Actif</w:t>
      </w:r>
    </w:p>
    <w:p>
      <w:pPr>
        <w:pStyle w:val="ListBullet"/>
      </w:pPr>
      <w:r/>
      <w:r>
        <w:rPr>
          <w:b/>
        </w:rPr>
        <w:t>CITAL</w:t>
      </w:r>
      <w:r>
        <w:t xml:space="preserve"> (GROUPE SANTE)</w:t>
      </w:r>
    </w:p>
    <w:p>
      <w:pPr>
        <w:pStyle w:val="ListBullet"/>
      </w:pPr>
      <w:r>
        <w:t>Formes et Dosages : Comprimé 50 mg</w:t>
      </w:r>
    </w:p>
    <w:p>
      <w:pPr>
        <w:pStyle w:val="ListBullet"/>
      </w:pPr>
      <w:r>
        <w:t>Statut : Non Renouvelable</w:t>
      </w:r>
    </w:p>
    <w:p>
      <w:pPr>
        <w:pStyle w:val="ListBullet"/>
      </w:pPr>
      <w:r/>
      <w:r>
        <w:rPr>
          <w:b/>
        </w:rPr>
        <w:t>CLOMID</w:t>
      </w:r>
      <w:r>
        <w:t xml:space="preserve"> (AVENTIS PHARMA)</w:t>
      </w:r>
    </w:p>
    <w:p>
      <w:pPr>
        <w:pStyle w:val="ListBullet"/>
      </w:pPr>
      <w:r>
        <w:t>Formes et Dosages : Comprimé 50 mg</w:t>
      </w:r>
    </w:p>
    <w:p>
      <w:pPr>
        <w:pStyle w:val="ListBullet"/>
      </w:pPr>
      <w:r>
        <w:t>Statut : Non Renouvelable</w:t>
      </w:r>
    </w:p>
    <w:p>
      <w:pPr>
        <w:pStyle w:val="ListBullet"/>
      </w:pPr>
      <w:r/>
      <w:r>
        <w:rPr>
          <w:b/>
        </w:rPr>
        <w:t>CLOMIDINE</w:t>
      </w:r>
      <w:r>
        <w:t xml:space="preserve"> (ASIA PHARMACEUTICA L)</w:t>
      </w:r>
    </w:p>
    <w:p>
      <w:pPr>
        <w:pStyle w:val="ListBullet"/>
      </w:pPr>
      <w:r>
        <w:t>Formes et Dosages : Comprimé 50 mg</w:t>
      </w:r>
    </w:p>
    <w:p>
      <w:pPr>
        <w:pStyle w:val="ListBullet"/>
      </w:pPr>
      <w:r>
        <w:t>Statut : Non Renouvelable</w:t>
      </w:r>
    </w:p>
    <w:p>
      <w:pPr>
        <w:pStyle w:val="ListBullet"/>
      </w:pPr>
      <w:r/>
      <w:r>
        <w:rPr>
          <w:b/>
        </w:rPr>
        <w:t>CLOMIFERT</w:t>
      </w:r>
      <w:r>
        <w:t xml:space="preserve"> (DAR AL DAWA)</w:t>
      </w:r>
    </w:p>
    <w:p>
      <w:pPr>
        <w:pStyle w:val="ListBullet"/>
      </w:pPr>
      <w:r>
        <w:t>Formes et Dosages : Comprimé 50 mg</w:t>
      </w:r>
    </w:p>
    <w:p>
      <w:pPr>
        <w:pStyle w:val="ListBullet"/>
      </w:pPr>
      <w:r>
        <w:t>Statut : Non Renouvelable</w:t>
      </w:r>
    </w:p>
    <w:p>
      <w:pPr>
        <w:pStyle w:val="ListBullet"/>
      </w:pPr>
      <w:r/>
      <w:r>
        <w:rPr>
          <w:b/>
        </w:rPr>
        <w:t>CLOMOVAL</w:t>
      </w:r>
      <w:r>
        <w:t xml:space="preserve"> (UNITED PHARMACEUTICAL MANUFACTURING - UPM)</w:t>
      </w:r>
    </w:p>
    <w:p>
      <w:pPr>
        <w:pStyle w:val="ListBullet"/>
      </w:pPr>
      <w:r>
        <w:t>Formes et Dosages : Comprimé 50 mg</w:t>
      </w:r>
    </w:p>
    <w:p>
      <w:pPr>
        <w:pStyle w:val="ListBullet"/>
      </w:pPr>
      <w:r>
        <w:t>Statut : Non Renouvelable</w:t>
      </w:r>
    </w:p>
    <w:p>
      <w:pPr>
        <w:pStyle w:val="ListBullet"/>
      </w:pPr>
      <w:r/>
      <w:r>
        <w:rPr>
          <w:b/>
        </w:rPr>
        <w:t>INFANTRIL</w:t>
      </w:r>
      <w:r>
        <w:t xml:space="preserve"> (RAM PHARMACEUTICAL INDUSTRIES CO LTD)</w:t>
      </w:r>
    </w:p>
    <w:p>
      <w:pPr>
        <w:pStyle w:val="ListBullet"/>
      </w:pPr>
      <w:r>
        <w:t>Formes et Dosages : Comprimé sécable 50 mg</w:t>
      </w:r>
    </w:p>
    <w:p>
      <w:pPr>
        <w:pStyle w:val="ListBullet"/>
      </w:pPr>
      <w:r>
        <w:t>Statut : Non Renouvelable</w:t>
      </w:r>
    </w:p>
    <w:p>
      <w:pPr>
        <w:pStyle w:val="ListBullet"/>
      </w:pPr>
      <w:r/>
      <w:r>
        <w:rPr>
          <w:b/>
        </w:rPr>
        <w:t>SEROPHENE</w:t>
      </w:r>
      <w:r>
        <w:t xml:space="preserve"> (SERONO-ARES INTERNATIONAL)</w:t>
      </w:r>
    </w:p>
    <w:p>
      <w:pPr>
        <w:pStyle w:val="ListBullet"/>
      </w:pPr>
      <w:r>
        <w:t>Formes et Dosages : Comprimé 50 mg</w:t>
      </w:r>
    </w:p>
    <w:p>
      <w:pPr>
        <w:pStyle w:val="ListBullet"/>
      </w:pPr>
      <w:r>
        <w:t>Statut : Retiré (R)</w:t>
      </w:r>
    </w:p>
    <w:p>
      <w:pPr>
        <w:pStyle w:val="ListBullet"/>
      </w:pPr>
      <w:r/>
      <w:r>
        <w:rPr>
          <w:b/>
        </w:rPr>
        <w:t>CLOMIPHENE CITRATE</w:t>
      </w:r>
      <w:r>
        <w:t xml:space="preserve"> (ANFARM HELLAS SA)</w:t>
      </w:r>
    </w:p>
    <w:p>
      <w:pPr>
        <w:pStyle w:val="ListBullet"/>
      </w:pPr>
      <w:r>
        <w:t>Formes et Dosages : Comprimé 50 mg</w:t>
      </w:r>
    </w:p>
    <w:p>
      <w:pPr>
        <w:pStyle w:val="ListBullet"/>
      </w:pPr>
      <w:r>
        <w:t>Statut : Retiré (R)</w:t>
      </w:r>
    </w:p>
    <w:p>
      <w:pPr>
        <w:pStyle w:val="ListBullet"/>
      </w:pPr>
      <w:r/>
      <w:r>
        <w:rPr>
          <w:b/>
        </w:rPr>
        <w:t>CLOSTILBEGYT</w:t>
      </w:r>
      <w:r>
        <w:t xml:space="preserve"> (EGIS S.A.)</w:t>
      </w:r>
    </w:p>
    <w:p>
      <w:pPr>
        <w:pStyle w:val="ListBullet"/>
      </w:pPr>
      <w:r>
        <w:t>Formes et Dosages : Comprimé 50 mg</w:t>
      </w:r>
    </w:p>
    <w:p>
      <w:pPr>
        <w:pStyle w:val="ListBullet"/>
      </w:pPr>
      <w:r>
        <w:t>Statut : Retiré (R)</w:t>
      </w:r>
    </w:p>
    <w:p>
      <w:r/>
      <w:r>
        <w:rPr>
          <w:b/>
        </w:rPr>
        <w:t>Sous-classe et Mécanisme d'action :</w:t>
      </w:r>
      <w:r/>
    </w:p>
    <w:p>
      <w:pPr>
        <w:pStyle w:val="ListBullet"/>
      </w:pPr>
      <w:r>
        <w:t>Sous-classe : SERM (modulateur sélectif des récepteurs estrogéniques), inducteur d'ovulation de première intention.</w:t>
      </w:r>
    </w:p>
    <w:p>
      <w:pPr>
        <w:pStyle w:val="ListBullet"/>
      </w:pPr>
      <w:r>
        <w:t>Mécanisme d'action : le clomifène est un antagoniste compétitif des récepteurs estrogéniques au niveau de l'hypothalamus et de l'hypophyse. En bloquant le rétrocontrôle négatif des estrogènes endogènes sur l'axe hypothalamo-hypophyso-ovarien, il stimule la sécrétion pulsatile de GnRH hypothalamique, qui à son tour augmente la libération de FSH et LH hypophysaires. La FSH stimule la croissance folliculaire ovarienne, permettant la maturation d'un (ou plusieurs) follicule(s) et le déclenchement de l'ovulation. Le clomifène est un mélange racémique d'isomères zuclomifène (estrogénique) et enclomifène (anti-estrogénique), ce dernier étant responsable de l'essentiel de l'activité inductrice.</w:t>
      </w:r>
    </w:p>
    <w:p>
      <w:r/>
      <w:r>
        <w:rPr>
          <w:b/>
        </w:rPr>
        <w:t>Profil Pharmacologique :</w:t>
      </w:r>
      <w:r/>
    </w:p>
    <w:p>
      <w:pPr>
        <w:pStyle w:val="ListBullet"/>
      </w:pPr>
      <w:r>
        <w:t>Indications : infertilité féminine anovulatoire (syndrome des ovaires polykystiques SOPK, anovulation hypothalamique fonctionnelle) ; exploration de la réserve ovarienne (test au clomifène) ; induction d'ovulation en AMP ; certaines indications masculines (oligospermie idiopathique — hors AMM).</w:t>
      </w:r>
    </w:p>
    <w:p>
      <w:pPr>
        <w:pStyle w:val="ListBullet"/>
      </w:pPr>
      <w:r>
        <w:t>Contre-indications : grossesse (l'induction vise à la provoquer mais une grossesse débutante doit être exclue avant démarrage), insuffisance hépatique sévère, kyste ovarien fonctionnel non résolutif, tumeur hypophysaire, saignement génital inexpliqué, endométriose sévère, insuffisance ovarienne primaire (inefficace).</w:t>
      </w:r>
    </w:p>
    <w:p>
      <w:pPr>
        <w:pStyle w:val="ListBullet"/>
      </w:pPr>
      <w:r>
        <w:t>Effets Indésirables : bouffées de chaleur (10 %), troubles visuels (scotomes, myodesopsies, phosphènes — à l'origine d'arrêt), céphalées, mastodynie, nausées, kystes ovariens fonctionnels (10 %), syndrome d'hyperstimulation ovarienne (&lt; 1 %, mais grave), grossesses multiples (8–10 % de gémellité), modification de la glaire cervicale (sécheresse — possible adjonction d'estrogènes).</w:t>
      </w:r>
    </w:p>
    <w:p>
      <w:r/>
      <w:r>
        <w:rPr>
          <w:b/>
        </w:rPr>
        <w:t>Prévention et Gestion des Effets Indésirables :</w:t>
      </w:r>
      <w:r/>
    </w:p>
    <w:p>
      <w:pPr>
        <w:pStyle w:val="ListBullet"/>
      </w:pPr>
      <w:r>
        <w:t>Mesures Préventives : échographie pelvienne pré-thérapeutique (J2-J3) pour exclure un kyste ovarien et évaluer la réserve antrale ; dosage estradiol, LH, FSH ; échographie de surveillance folliculaire à J10-J12 (follicule dominant ≥ 18 mm) ; dosage estradiol pré-ovulatoire (&lt; 1000 pg/ml pour limiter le risque d'hyperstimulation) ; déclenchement par hCG si follicule mature ; surveillance de la courbe thermique ou LH urinaire.</w:t>
      </w:r>
    </w:p>
    <w:p>
      <w:pPr>
        <w:pStyle w:val="ListBullet"/>
      </w:pPr>
      <w:r>
        <w:t>Conduite à Tenir : arrêt en cas de troubles visuels (CV immédiat) ; arrêt du cycle en cours si kyste &gt; 5 cm ; report du cycle suivant si estradiol &gt; 1500 pg/ml ; pas plus de 6 cycles cumulés au cours de la vie (risque théorique de cancer ovarien).</w:t>
      </w:r>
    </w:p>
    <w:p>
      <w:r/>
      <w:r>
        <w:rPr>
          <w:b/>
        </w:rPr>
        <w:t>Interactions Importantes :</w:t>
      </w:r>
      <w:r/>
    </w:p>
    <w:p>
      <w:pPr>
        <w:pStyle w:val="ListBullet"/>
      </w:pPr>
      <w:r>
        <w:t>Clomifène + millepertuis : induction enzymatique, possible baisse d'efficacité.</w:t>
      </w:r>
    </w:p>
    <w:p>
      <w:pPr>
        <w:pStyle w:val="ListBullet"/>
      </w:pPr>
      <w:r>
        <w:t>Clomifène + ŉurokinase antibiotiques ou antifongiques : pas d'interaction pertinente.</w:t>
      </w:r>
    </w:p>
    <w:p>
      <w:pPr>
        <w:pStyle w:val="ListBullet"/>
      </w:pPr>
      <w:r>
        <w:t>Clomifène + médicaments oestrogéniques : antagonisme d'effet.</w:t>
      </w:r>
    </w:p>
    <w:p>
      <w:r/>
      <w:r>
        <w:rPr>
          <w:b/>
        </w:rPr>
        <w:t>Grossesse et Allaitement :</w:t>
      </w:r>
      <w:r/>
    </w:p>
    <w:p>
      <w:pPr>
        <w:pStyle w:val="ListBullet"/>
      </w:pPr>
      <w:r>
        <w:t>Grossesse : CI en cas de grossesse débutante (s'assurer d'un test βhCG négatif avant chaque cycle).</w:t>
      </w:r>
    </w:p>
    <w:p>
      <w:pPr>
        <w:pStyle w:val="ListBullet"/>
      </w:pPr>
      <w:r>
        <w:t>Allaitement : à éviter (données limitées).</w:t>
      </w:r>
    </w:p>
    <w:p>
      <w:pPr>
        <w:pStyle w:val="ListBullet"/>
      </w:pPr>
      <w:r>
        <w:t>Précisions : risque accru de grossesses multiples (8–13 % de gémellité) — information éclairée de la patiente.</w:t>
      </w:r>
    </w:p>
    <w:p>
      <w:r/>
      <w:r>
        <w:rPr>
          <w:b/>
        </w:rPr>
        <w:t>Posologie et Mode d'administration (Standard) :</w:t>
      </w:r>
      <w:r/>
    </w:p>
    <w:p>
      <w:pPr>
        <w:pStyle w:val="ListBullet"/>
      </w:pPr>
      <w:r>
        <w:t>Femme (induction d'ovulation) : 50 mg/j du J2 (ou J3, J5) à J6 (ou J7, J9) du cycle, pendant 5 jours. Si absence d'ovulation à 50 mg, augmenter à 100 mg/j au cycle suivant, voire 150 mg/j max.</w:t>
      </w:r>
    </w:p>
    <w:p>
      <w:pPr>
        <w:pStyle w:val="ListBullet"/>
      </w:pPr>
      <w:r>
        <w:t>Test au clomifène (réserve ovarienne) : 100 mg/j de J5 à J9, dosage FSH à J10.</w:t>
      </w:r>
    </w:p>
    <w:p>
      <w:pPr>
        <w:pStyle w:val="ListBullet"/>
      </w:pPr>
      <w:r>
        <w:t>Homme (oligospermie hors AMM) : 25 à 50 mg/jour 3 semaines sur 4 ou en continu, pendant 3 à 6 mois.</w:t>
      </w:r>
    </w:p>
    <w:p>
      <w:pPr>
        <w:pStyle w:val="ListBullet"/>
      </w:pPr>
      <w:r>
        <w:t>Sujet âgé : non concerné (population féminine en âge de procréer).</w:t>
      </w:r>
    </w:p>
    <w:p>
      <w:pPr>
        <w:pStyle w:val="ListBullet"/>
      </w:pPr>
      <w:r>
        <w:t>Durée : 3 à 6 cycles maximum (au-delà, réorientation thérapeutique).</w:t>
      </w:r>
    </w:p>
    <w:p>
      <w:pPr>
        <w:pStyle w:val="ListBullet"/>
      </w:pPr>
      <w:r>
        <w:t>Moment de prise : à heure fixe, le soir de préférence (pour les troubles visuels nocturnes).</w:t>
      </w:r>
    </w:p>
    <w:p>
      <w:r/>
      <w:r>
        <w:rPr>
          <w:b/>
        </w:rPr>
        <w:t>Arbitrage et Bénéfices des Formes Galéniques :</w:t>
      </w:r>
      <w:r/>
    </w:p>
    <w:p>
      <w:r>
        <w:t>Le comprimé sécable 50 mg est la seule forme disponible. La sécabilité permet l'adaptation à 25 mg (utile chez la femme sensible ou SOPK avec réserve élevée). La multiplicité des génériques actifs en Algérie (Biomid BR, Clomid, Clomine, Crovifene) garantit l'accès thérapeutique.</w:t>
      </w:r>
    </w:p>
    <w:p>
      <w:r/>
      <w:r>
        <w:rPr>
          <w:b/>
        </w:rPr>
        <w:t>Instructions et Conseils au Patient :</w:t>
      </w:r>
      <w:r/>
    </w:p>
    <w:p>
      <w:pPr>
        <w:pStyle w:val="ListBullet"/>
      </w:pPr>
      <w:r>
        <w:t>Communication au comptoir : expliquer le schéma strict de prise (5 jours par cycle, à partir de J2-J5), l'importance de la surveillance échographique, le risque de grossesse gémellaire (8 %), les signes nécessitant un arrêt et une consultation (troubles visuels, douleurs pelviennes intenses signant une hyperstimulation).</w:t>
      </w:r>
    </w:p>
    <w:p>
      <w:pPr>
        <w:pStyle w:val="ListBullet"/>
      </w:pPr>
      <w:r>
        <w:t>Mode d'utilisation pratique : calendrier menstruel, prise à heure fixe le soir, échographie de contrôle à J10-J12, test de grossesse si retard de règles &gt; 14 jours.</w:t>
      </w:r>
    </w:p>
    <w:p>
      <w:r/>
      <w:r>
        <w:rPr>
          <w:b/>
        </w:rPr>
        <w:t>Notes, Règles d'Or &amp; Pièges au Comptoir :</w:t>
      </w:r>
      <w:r/>
    </w:p>
    <w:p>
      <w:pPr>
        <w:pStyle w:val="ListBullet"/>
      </w:pPr>
      <w:r>
        <w:t>Piège classique : délivrer un cycle supplémentaire sans vérification du βhCG du cycle précédent (risque de prescription chez une femme enceinte).</w:t>
      </w:r>
    </w:p>
    <w:p>
      <w:pPr>
        <w:pStyle w:val="ListBullet"/>
      </w:pPr>
      <w:r>
        <w:t>Règle de prise : 5 jours consécutifs à partir de J2-J5 — pas de prolongation.</w:t>
      </w:r>
    </w:p>
    <w:p>
      <w:pPr>
        <w:pStyle w:val="ListBullet"/>
      </w:pPr>
      <w:r>
        <w:t>Préparation et Conservation : à température &lt; 25 °C, à l'abri de la lumière.</w:t>
      </w:r>
    </w:p>
    <w:p>
      <w:pPr>
        <w:pStyle w:val="ListBullet"/>
      </w:pPr>
      <w:r>
        <w:t>Piège du surdosage / Substitution : ne pas confondre avec Clomidine (anti-hypertenseur alpha-2 central) — erreur de lecture fréquente à l'officine.</w:t>
      </w:r>
    </w:p>
    <w:p>
      <w:pPr>
        <w:pStyle w:val="Heading3"/>
      </w:pPr>
      <w:r>
        <w:t>6. DCI : Anastrozole (Seule)</w:t>
      </w:r>
    </w:p>
    <w:p>
      <w:r/>
      <w:r>
        <w:rPr>
          <w:b/>
        </w:rPr>
        <w:t>Liste des Catégories :</w:t>
      </w:r>
      <w:r>
        <w:t xml:space="preserve"> Inhibiteurs aromatase — Non stéroïdiens ; Liste I.</w:t>
      </w:r>
    </w:p>
    <w:p>
      <w:r>
        <w:t>L'anastrozole est un inhibiteur de l'aromatase de troisième génération non stéroïdien, indiqué en première ligne du cancer du sein hormono-dépendant chez la femme ménopausée. Sa demi-vie longue (40 à 50 heures) autorise une seule prise quotidienne. C'est l'un des médicaments anticancéreux les plus prescrits en Algérie, avec une large disponibilité sous plusieurs marques génériques (9 spécialités actives).</w:t>
      </w:r>
    </w:p>
    <w:p>
      <w:r/>
      <w:r>
        <w:rPr>
          <w:b/>
        </w:rPr>
        <w:t>Médicaments disponibles en Algérie (Marques, Laboratoires, Formes et Dosages) :</w:t>
      </w:r>
      <w:r/>
    </w:p>
    <w:p>
      <w:pPr>
        <w:pStyle w:val="ListBullet"/>
      </w:pPr>
      <w:r/>
      <w:r>
        <w:rPr>
          <w:b/>
        </w:rPr>
        <w:t>ANASTRODEX</w:t>
      </w:r>
      <w:r>
        <w:t xml:space="preserve"> (CONTINENTAL PHARM)</w:t>
      </w:r>
    </w:p>
    <w:p>
      <w:pPr>
        <w:pStyle w:val="ListBullet"/>
      </w:pPr>
      <w:r>
        <w:t>Formes et Dosages : Comprimé pelliculé 1 mg</w:t>
      </w:r>
    </w:p>
    <w:p>
      <w:pPr>
        <w:pStyle w:val="ListBullet"/>
      </w:pPr>
      <w:r>
        <w:t>Statut : Actif</w:t>
      </w:r>
    </w:p>
    <w:p>
      <w:pPr>
        <w:pStyle w:val="ListBullet"/>
      </w:pPr>
      <w:r/>
      <w:r>
        <w:rPr>
          <w:b/>
        </w:rPr>
        <w:t>ANASTROZOLE CINFA</w:t>
      </w:r>
      <w:r>
        <w:t xml:space="preserve"> (CINFA S.A.)</w:t>
      </w:r>
    </w:p>
    <w:p>
      <w:pPr>
        <w:pStyle w:val="ListBullet"/>
      </w:pPr>
      <w:r>
        <w:t>Formes et Dosages : Comprimé pelliculé 1 mg</w:t>
      </w:r>
    </w:p>
    <w:p>
      <w:pPr>
        <w:pStyle w:val="ListBullet"/>
      </w:pPr>
      <w:r>
        <w:t>Statut : Actif</w:t>
      </w:r>
    </w:p>
    <w:p>
      <w:pPr>
        <w:pStyle w:val="ListBullet"/>
      </w:pPr>
      <w:r/>
      <w:r>
        <w:rPr>
          <w:b/>
        </w:rPr>
        <w:t>SEROSOL</w:t>
      </w:r>
      <w:r>
        <w:t xml:space="preserve"> (EL KENDI INDUSTRIE DU MEDICAMENT)</w:t>
      </w:r>
    </w:p>
    <w:p>
      <w:pPr>
        <w:pStyle w:val="ListBullet"/>
      </w:pPr>
      <w:r>
        <w:t>Formes et Dosages : Comprimé pelliculé 1 mg</w:t>
      </w:r>
    </w:p>
    <w:p>
      <w:pPr>
        <w:pStyle w:val="ListBullet"/>
      </w:pPr>
      <w:r>
        <w:t>Statut : Actif</w:t>
      </w:r>
    </w:p>
    <w:p>
      <w:pPr>
        <w:pStyle w:val="ListBullet"/>
      </w:pPr>
      <w:r/>
      <w:r>
        <w:rPr>
          <w:b/>
        </w:rPr>
        <w:t>ANASTROZOLE DEMOCEDES</w:t>
      </w:r>
      <w:r>
        <w:t xml:space="preserve"> (DEMOCEDES PHARMA ALGERIE)</w:t>
      </w:r>
    </w:p>
    <w:p>
      <w:pPr>
        <w:pStyle w:val="ListBullet"/>
      </w:pPr>
      <w:r>
        <w:t>Formes et Dosages : Comprimé pelliculé 1 mg</w:t>
      </w:r>
    </w:p>
    <w:p>
      <w:pPr>
        <w:pStyle w:val="ListBullet"/>
      </w:pPr>
      <w:r>
        <w:t>Statut : Actif</w:t>
      </w:r>
    </w:p>
    <w:p>
      <w:pPr>
        <w:pStyle w:val="ListBullet"/>
      </w:pPr>
      <w:r/>
      <w:r>
        <w:rPr>
          <w:b/>
        </w:rPr>
        <w:t>ANASTROZOLE UPC</w:t>
      </w:r>
      <w:r>
        <w:t xml:space="preserve"> (SPA UNION PHARMACEUTIQUE CONSTANTINOISE PRODUCTION)</w:t>
      </w:r>
    </w:p>
    <w:p>
      <w:pPr>
        <w:pStyle w:val="ListBullet"/>
      </w:pPr>
      <w:r>
        <w:t>Formes et Dosages : Comprimé pelliculé 1 mg</w:t>
      </w:r>
    </w:p>
    <w:p>
      <w:pPr>
        <w:pStyle w:val="ListBullet"/>
      </w:pPr>
      <w:r>
        <w:t>Statut : Actif</w:t>
      </w:r>
    </w:p>
    <w:p>
      <w:pPr>
        <w:pStyle w:val="ListBullet"/>
      </w:pPr>
      <w:r/>
      <w:r>
        <w:rPr>
          <w:b/>
        </w:rPr>
        <w:t>ANATREX</w:t>
      </w:r>
      <w:r>
        <w:t xml:space="preserve"> (BIOPHARM)</w:t>
      </w:r>
    </w:p>
    <w:p>
      <w:pPr>
        <w:pStyle w:val="ListBullet"/>
      </w:pPr>
      <w:r>
        <w:t>Formes et Dosages : Comprimé pelliculé 1 mg</w:t>
      </w:r>
    </w:p>
    <w:p>
      <w:pPr>
        <w:pStyle w:val="ListBullet"/>
      </w:pPr>
      <w:r>
        <w:t>Statut : Actif</w:t>
      </w:r>
    </w:p>
    <w:p>
      <w:pPr>
        <w:pStyle w:val="ListBullet"/>
      </w:pPr>
      <w:r/>
      <w:r>
        <w:rPr>
          <w:b/>
        </w:rPr>
        <w:t>ARIMIDEX</w:t>
      </w:r>
      <w:r>
        <w:t xml:space="preserve"> (LABORATOIRE JUVISE PHARMACEUTICALS)</w:t>
      </w:r>
    </w:p>
    <w:p>
      <w:pPr>
        <w:pStyle w:val="ListBullet"/>
      </w:pPr>
      <w:r>
        <w:t>Formes et Dosages : Comprimé pelliculé 1 mg</w:t>
      </w:r>
    </w:p>
    <w:p>
      <w:pPr>
        <w:pStyle w:val="ListBullet"/>
      </w:pPr>
      <w:r>
        <w:t>Statut : Actif (originator)</w:t>
      </w:r>
    </w:p>
    <w:p>
      <w:pPr>
        <w:pStyle w:val="ListBullet"/>
      </w:pPr>
      <w:r/>
      <w:r>
        <w:rPr>
          <w:b/>
        </w:rPr>
        <w:t>GERDOL</w:t>
      </w:r>
      <w:r>
        <w:t xml:space="preserve"> (GERDA)</w:t>
      </w:r>
    </w:p>
    <w:p>
      <w:pPr>
        <w:pStyle w:val="ListBullet"/>
      </w:pPr>
      <w:r>
        <w:t>Formes et Dosages : Comprimé pelliculé 1 mg</w:t>
      </w:r>
    </w:p>
    <w:p>
      <w:pPr>
        <w:pStyle w:val="ListBullet"/>
      </w:pPr>
      <w:r>
        <w:t>Statut : Actif</w:t>
      </w:r>
    </w:p>
    <w:p>
      <w:pPr>
        <w:pStyle w:val="ListBullet"/>
      </w:pPr>
      <w:r/>
      <w:r>
        <w:rPr>
          <w:b/>
        </w:rPr>
        <w:t>NOSTROGENE</w:t>
      </w:r>
      <w:r>
        <w:t xml:space="preserve"> (HIKMA PHARMA ALGERIA)</w:t>
      </w:r>
    </w:p>
    <w:p>
      <w:pPr>
        <w:pStyle w:val="ListBullet"/>
      </w:pPr>
      <w:r>
        <w:t>Formes et Dosages : Comprimé pelliculé 1 mg</w:t>
      </w:r>
    </w:p>
    <w:p>
      <w:pPr>
        <w:pStyle w:val="ListBullet"/>
      </w:pPr>
      <w:r>
        <w:t>Statut : Actif</w:t>
      </w:r>
    </w:p>
    <w:p>
      <w:pPr>
        <w:pStyle w:val="ListBullet"/>
      </w:pPr>
      <w:r/>
      <w:r>
        <w:rPr>
          <w:b/>
        </w:rPr>
        <w:t>ARIMIDEX</w:t>
      </w:r>
      <w:r>
        <w:t xml:space="preserve"> (anciennes présentations) : Statut Actif ou Non Renouvelable selon lots</w:t>
      </w:r>
    </w:p>
    <w:p>
      <w:r/>
      <w:r>
        <w:rPr>
          <w:b/>
        </w:rPr>
        <w:t>Sous-classe et Mécanisme d'action :</w:t>
      </w:r>
      <w:r/>
    </w:p>
    <w:p>
      <w:pPr>
        <w:pStyle w:val="ListBullet"/>
      </w:pPr>
      <w:r>
        <w:t>Sous-classe : Inhibiteur de l'aromatase de 3e génération non stéroïdien (avec le létrozole).</w:t>
      </w:r>
    </w:p>
    <w:p>
      <w:pPr>
        <w:pStyle w:val="ListBullet"/>
      </w:pPr>
      <w:r>
        <w:t>Mécanisme d'action : l'anastrozole inhibe de manière compétitive et réversible l'aromatase (CYP19A1), enzyme responsable de la conversion des androgènes (androstènedione, testostérone) en estrogènes (estrone, estradiol) dans les tissus périphériques (tissu adipeux, foie, muscle) et tumoraux. Chez la femme ménopausée, l'aromatase périphérique est la source principale d'estrogènes (l'ovaire étant non fonctionnel). L'anastrozole réduit ainsi l'estrone et l'estradiol circulants de plus de 80 %, privant les cellules tumorales mammaires hormonosensibles (RE+) de leur facteur de croissance.</w:t>
      </w:r>
    </w:p>
    <w:p>
      <w:r/>
      <w:r>
        <w:rPr>
          <w:b/>
        </w:rPr>
        <w:t>Profil Pharmacologique :</w:t>
      </w:r>
      <w:r/>
    </w:p>
    <w:p>
      <w:pPr>
        <w:pStyle w:val="ListBullet"/>
      </w:pPr>
      <w:r>
        <w:t>Indications : adjuvant du cancer du sein invasif à récepteurs hormonaux positifs (RE/RP) chez la femme ménopausée (5 ans en première intention, ou 10 ans en extension) ; cancer du sein métastatique RE+ ménopausique (première ligne et lignes ultérieures) ; chimio-prévention du cancer du sein chez la femme à haut risque (indication moins répandue en Europe) ; traitement « switch » après 2-3 ans de tamoxifène.</w:t>
      </w:r>
    </w:p>
    <w:p>
      <w:pPr>
        <w:pStyle w:val="ListBullet"/>
      </w:pPr>
      <w:r>
        <w:t>Contre-indications : préménopause, grossesse et allaitement (toxicité fœtale), insuffisance hépatique sévère, ostéoporose sévère non traitée, hypersensibilité.</w:t>
      </w:r>
    </w:p>
    <w:p>
      <w:pPr>
        <w:pStyle w:val="ListBullet"/>
      </w:pPr>
      <w:r>
        <w:t>Effets Indésirables : bouffées de chaleur (35 %), arthralgies (30–40 %, parfois invalidantes), sécheresse vaginale, ostéoporose accélérée et fractures (10–15 % à 5 ans), hypercholestérolémie (10 %), troubles de l'humeur, céphalées, sécheresse cutanée, rare hépatotoxicité.</w:t>
      </w:r>
    </w:p>
    <w:p>
      <w:r/>
      <w:r>
        <w:rPr>
          <w:b/>
        </w:rPr>
        <w:t>Prévention et Gestion des Effets Indésirables :</w:t>
      </w:r>
      <w:r/>
    </w:p>
    <w:p>
      <w:pPr>
        <w:pStyle w:val="ListBullet"/>
      </w:pPr>
      <w:r>
        <w:t>Mesures Préventives : densitométrie osseuse pré-thérapeutique puis tous les 1 à 2 ans ; supplémentation vitaminocalcique (calcium 1–1,2 g/j, vitamine D 800 UI/j) ; prescription de bisphosphonate (acide zolédronique) ou dénosumab si T-score &lt; -2 ; activité physique régulière ; bilan lipidique annuel.</w:t>
      </w:r>
    </w:p>
    <w:p>
      <w:pPr>
        <w:pStyle w:val="ListBullet"/>
      </w:pPr>
      <w:r>
        <w:t>Conduite à Tenir : switch vers létrozole ou exemestane en cas d'arthralgies invalidantes ; arrêt temporaire si toxicité Grade ≥ 3 ; traitement antalgique de l'arthralgie (paracétamol, AINS courte durée) ; traitement de la sécheresse vaginale par lubrifiants locaux.</w:t>
      </w:r>
    </w:p>
    <w:p>
      <w:r/>
      <w:r>
        <w:rPr>
          <w:b/>
        </w:rPr>
        <w:t>Interactions Importantes :</w:t>
      </w:r>
      <w:r/>
    </w:p>
    <w:p>
      <w:pPr>
        <w:pStyle w:val="ListBullet"/>
      </w:pPr>
      <w:r>
        <w:t>Anastrozole + tamoxifène : antagonisme pharmacologique (ne pas associer).</w:t>
      </w:r>
    </w:p>
    <w:p>
      <w:pPr>
        <w:pStyle w:val="ListBullet"/>
      </w:pPr>
      <w:r>
        <w:t>Anastrozole + estrogènes (THM, contraceptifs oraux) : antagonisme d'efficacité.</w:t>
      </w:r>
    </w:p>
    <w:p>
      <w:pPr>
        <w:pStyle w:val="ListBullet"/>
      </w:pPr>
      <w:r>
        <w:t>Anastrozole + warfarine : pas d'interaction significative (contrairement aux anti-androgènes).</w:t>
      </w:r>
    </w:p>
    <w:p>
      <w:pPr>
        <w:pStyle w:val="ListBullet"/>
      </w:pPr>
      <w:r>
        <w:t>Anastrozole + inducteurs enzymatiques (rifampicine, phénytoïne) : possible baisse d'efficacité.</w:t>
      </w:r>
    </w:p>
    <w:p>
      <w:r/>
      <w:r>
        <w:rPr>
          <w:b/>
        </w:rPr>
        <w:t>Grossesse et Allaitement :</w:t>
      </w:r>
      <w:r/>
    </w:p>
    <w:p>
      <w:pPr>
        <w:pStyle w:val="ListBullet"/>
      </w:pPr>
      <w:r>
        <w:t>Grossesse : CI absolue (toxicité embryofœtale, tératogénicité chez l'animal). Contraception efficace obligatoire chez toute femme non ménopausée recevant le traitement.</w:t>
      </w:r>
    </w:p>
    <w:p>
      <w:pPr>
        <w:pStyle w:val="ListBullet"/>
      </w:pPr>
      <w:r>
        <w:t>Allaitement : CI.</w:t>
      </w:r>
    </w:p>
    <w:p>
      <w:pPr>
        <w:pStyle w:val="ListBullet"/>
      </w:pPr>
      <w:r>
        <w:t>Précisions : confirmation de la ménopause (dosage FSH/LH/estradiol) avant prescription chez femme jeune après chimiothérapie ou ovariotoxicité.</w:t>
      </w:r>
    </w:p>
    <w:p>
      <w:r/>
      <w:r>
        <w:rPr>
          <w:b/>
        </w:rPr>
        <w:t>Posologie et Mode d'administration (Standard) :</w:t>
      </w:r>
      <w:r/>
    </w:p>
    <w:p>
      <w:pPr>
        <w:pStyle w:val="ListBullet"/>
      </w:pPr>
      <w:r>
        <w:t>Femme ménopausée adjuvant : 1 mg × 1/j per os pendant 5 ans (jusqu'à 10 ans selon risque).</w:t>
      </w:r>
    </w:p>
    <w:p>
      <w:pPr>
        <w:pStyle w:val="ListBullet"/>
      </w:pPr>
      <w:r>
        <w:t>Femme métastatique : 1 mg × 1/j jusqu'à progression.</w:t>
      </w:r>
    </w:p>
    <w:p>
      <w:pPr>
        <w:pStyle w:val="ListBullet"/>
      </w:pPr>
      <w:r>
        <w:t>Sujet âgé : pas d'adaptation.</w:t>
      </w:r>
    </w:p>
    <w:p>
      <w:pPr>
        <w:pStyle w:val="ListBullet"/>
      </w:pPr>
      <w:r>
        <w:t>Insuffisance hépatique modérée : pas d'adaptation ; sévère : non recommandé.</w:t>
      </w:r>
    </w:p>
    <w:p>
      <w:pPr>
        <w:pStyle w:val="ListBullet"/>
      </w:pPr>
      <w:r>
        <w:t>Insuffisance rénale modérée à sévère : pas d'adaptation.</w:t>
      </w:r>
    </w:p>
    <w:p>
      <w:pPr>
        <w:pStyle w:val="ListBullet"/>
      </w:pPr>
      <w:r>
        <w:t>Durée : 5 ans standard en adjuvant, au long cours en métastatique.</w:t>
      </w:r>
    </w:p>
    <w:p>
      <w:pPr>
        <w:pStyle w:val="ListBullet"/>
      </w:pPr>
      <w:r>
        <w:t>Moment de prise : une prise par jour à heure fixe, indépendamment des repas.</w:t>
      </w:r>
    </w:p>
    <w:p>
      <w:r/>
      <w:r>
        <w:rPr>
          <w:b/>
        </w:rPr>
        <w:t>Arbitrage et Bénéfices des Formes Galéniques :</w:t>
      </w:r>
      <w:r/>
    </w:p>
    <w:p>
      <w:r>
        <w:t>Le comprimé pelliculé 1 mg est unique et standardisé. La multiplicité des génériques algériens (9 marques) garantit la disponibilité et la concurrence tarifaire. L'équivalence bio-pharmaceutique est validée pour tous les génériques commercialisés.</w:t>
      </w:r>
    </w:p>
    <w:p>
      <w:r/>
      <w:r>
        <w:rPr>
          <w:b/>
        </w:rPr>
        <w:t>Instructions et Conseils au Patient :</w:t>
      </w:r>
      <w:r/>
    </w:p>
    <w:p>
      <w:pPr>
        <w:pStyle w:val="ListBullet"/>
      </w:pPr>
      <w:r>
        <w:t>Communication au comptoir : informer sur la nécessité d'une prise quotidienne à vie pendant 5 ans (observance clé), prévenir les arthralgies (effet fréquent mais non dangereux), expliquer l'importance de l'ostéoporose préventive (densitométrie, calcium/vitamine D), signaler tout symptôme thromboembolique (bien que moins qu'avec tamoxifène).</w:t>
      </w:r>
    </w:p>
    <w:p>
      <w:pPr>
        <w:pStyle w:val="ListBullet"/>
      </w:pPr>
      <w:r>
        <w:t>Mode d'utilisation pratique : prise matinale à heure fixe, carnet de suivi des injections de bisphosphonate et des densitométries.</w:t>
      </w:r>
    </w:p>
    <w:p>
      <w:r/>
      <w:r>
        <w:rPr>
          <w:b/>
        </w:rPr>
        <w:t>Notes, Règles d'Or &amp; Pièges au Comptoir :</w:t>
      </w:r>
      <w:r/>
    </w:p>
    <w:p>
      <w:pPr>
        <w:pStyle w:val="ListBullet"/>
      </w:pPr>
      <w:r>
        <w:t>Piège classique : prescription chez une femme préménopausée (inefficace car l'aromatase périphérique ne suffit pas à compenser la production ovarienne) — la castration ovarienne (GnRH agoniste ou ovariolyse chirurgicale) est nécessaire en préménopause.</w:t>
      </w:r>
    </w:p>
    <w:p>
      <w:pPr>
        <w:pStyle w:val="ListBullet"/>
      </w:pPr>
      <w:r>
        <w:t>Règle de prise : une fois par jour à heure fixe, pendant 5 ans minimum.</w:t>
      </w:r>
    </w:p>
    <w:p>
      <w:pPr>
        <w:pStyle w:val="ListBullet"/>
      </w:pPr>
      <w:r>
        <w:t>Préparation et Conservation : à température &lt; 25 °C.</w:t>
      </w:r>
    </w:p>
    <w:p>
      <w:pPr>
        <w:pStyle w:val="ListBullet"/>
      </w:pPr>
      <w:r>
        <w:t>Piège du surdosage / Substitution : ne pas substituer par le létrozole (2,5 mg) sans avis médical — bien que proches, les molécules ont des profils de tolérance différents.</w:t>
      </w:r>
    </w:p>
    <w:p>
      <w:pPr>
        <w:pStyle w:val="Heading3"/>
      </w:pPr>
      <w:r>
        <w:t>7. DCI : Létrozole (Seule)</w:t>
      </w:r>
    </w:p>
    <w:p>
      <w:r/>
      <w:r>
        <w:rPr>
          <w:b/>
        </w:rPr>
        <w:t>Liste des Catégories :</w:t>
      </w:r>
      <w:r>
        <w:t xml:space="preserve"> Inhibiteurs aromatase — Non stéroïdiens ; Liste I.</w:t>
      </w:r>
    </w:p>
    <w:p>
      <w:r>
        <w:t>Le létrozole est le second inhibiteur de l'aromatase non stéroïdien de 3e génération, au profil pharmacologique proche de l'anastrozole mais avec une puissance d'inhibition supérieure (98 % vs 90 %). Sa demi-vie d'environ 42 heures autorise une seule prise quotidienne. C'est l'inhibiteur de l'aromatase le plus prescrit en Algérie, avec 7 spécialités génériques actives.</w:t>
      </w:r>
    </w:p>
    <w:p>
      <w:r/>
      <w:r>
        <w:rPr>
          <w:b/>
        </w:rPr>
        <w:t>Médicaments disponibles en Algérie (Marques, Laboratoires, Formes et Dosages) :</w:t>
      </w:r>
      <w:r/>
    </w:p>
    <w:p>
      <w:pPr>
        <w:pStyle w:val="ListBullet"/>
      </w:pPr>
      <w:r/>
      <w:r>
        <w:rPr>
          <w:b/>
        </w:rPr>
        <w:t>LENAZAX</w:t>
      </w:r>
      <w:r>
        <w:t xml:space="preserve"> (BIOPHARM)</w:t>
      </w:r>
    </w:p>
    <w:p>
      <w:pPr>
        <w:pStyle w:val="ListBullet"/>
      </w:pPr>
      <w:r>
        <w:t>Formes et Dosages : Comprimé pelliculé 2,5 mg</w:t>
      </w:r>
    </w:p>
    <w:p>
      <w:pPr>
        <w:pStyle w:val="ListBullet"/>
      </w:pPr>
      <w:r>
        <w:t>Statut : Actif</w:t>
      </w:r>
    </w:p>
    <w:p>
      <w:pPr>
        <w:pStyle w:val="ListBullet"/>
      </w:pPr>
      <w:r/>
      <w:r>
        <w:rPr>
          <w:b/>
        </w:rPr>
        <w:t>LETRODEX</w:t>
      </w:r>
      <w:r>
        <w:t xml:space="preserve"> (CONTINENTAL PHARM)</w:t>
      </w:r>
    </w:p>
    <w:p>
      <w:pPr>
        <w:pStyle w:val="ListBullet"/>
      </w:pPr>
      <w:r>
        <w:t>Formes et Dosages : Comprimé pelliculé 2,5 mg</w:t>
      </w:r>
    </w:p>
    <w:p>
      <w:pPr>
        <w:pStyle w:val="ListBullet"/>
      </w:pPr>
      <w:r>
        <w:t>Statut : Actif</w:t>
      </w:r>
    </w:p>
    <w:p>
      <w:pPr>
        <w:pStyle w:val="ListBullet"/>
      </w:pPr>
      <w:r/>
      <w:r>
        <w:rPr>
          <w:b/>
        </w:rPr>
        <w:t>LETROZOLE CINFA</w:t>
      </w:r>
      <w:r>
        <w:t xml:space="preserve"> (CINFA S.A.)</w:t>
      </w:r>
    </w:p>
    <w:p>
      <w:pPr>
        <w:pStyle w:val="ListBullet"/>
      </w:pPr>
      <w:r>
        <w:t>Formes et Dosages : Comprimé pelliculé 2,5 mg</w:t>
      </w:r>
    </w:p>
    <w:p>
      <w:pPr>
        <w:pStyle w:val="ListBullet"/>
      </w:pPr>
      <w:r>
        <w:t>Statut : Actif</w:t>
      </w:r>
    </w:p>
    <w:p>
      <w:pPr>
        <w:pStyle w:val="ListBullet"/>
      </w:pPr>
      <w:r/>
      <w:r>
        <w:rPr>
          <w:b/>
        </w:rPr>
        <w:t>MAMOZOL</w:t>
      </w:r>
      <w:r>
        <w:t xml:space="preserve"> (DEMOCEDES PHARMA ALGERIE)</w:t>
      </w:r>
    </w:p>
    <w:p>
      <w:pPr>
        <w:pStyle w:val="ListBullet"/>
      </w:pPr>
      <w:r>
        <w:t>Formes et Dosages : Comprimé pelliculé 2,5 mg</w:t>
      </w:r>
    </w:p>
    <w:p>
      <w:pPr>
        <w:pStyle w:val="ListBullet"/>
      </w:pPr>
      <w:r>
        <w:t>Statut : Actif</w:t>
      </w:r>
    </w:p>
    <w:p>
      <w:pPr>
        <w:pStyle w:val="ListBullet"/>
      </w:pPr>
      <w:r/>
      <w:r>
        <w:rPr>
          <w:b/>
        </w:rPr>
        <w:t>LETRAGEN</w:t>
      </w:r>
      <w:r>
        <w:t xml:space="preserve"> (EL KENDI INDUSTRIE DU MEDICAMENT)</w:t>
      </w:r>
    </w:p>
    <w:p>
      <w:pPr>
        <w:pStyle w:val="ListBullet"/>
      </w:pPr>
      <w:r>
        <w:t>Formes et Dosages : Comprimé pelliculé 2,5 mg</w:t>
      </w:r>
    </w:p>
    <w:p>
      <w:pPr>
        <w:pStyle w:val="ListBullet"/>
      </w:pPr>
      <w:r>
        <w:t>Statut : Actif</w:t>
      </w:r>
    </w:p>
    <w:p>
      <w:pPr>
        <w:pStyle w:val="ListBullet"/>
      </w:pPr>
      <w:r/>
      <w:r>
        <w:rPr>
          <w:b/>
        </w:rPr>
        <w:t>LETROZOLE UPC</w:t>
      </w:r>
      <w:r>
        <w:t xml:space="preserve"> (SPA UNION PHARMACEUTIQUE CONSTANTINOISE PRODUCTION)</w:t>
      </w:r>
    </w:p>
    <w:p>
      <w:pPr>
        <w:pStyle w:val="ListBullet"/>
      </w:pPr>
      <w:r>
        <w:t>Formes et Dosages : Comprimé pelliculé 2,5 mg</w:t>
      </w:r>
    </w:p>
    <w:p>
      <w:pPr>
        <w:pStyle w:val="ListBullet"/>
      </w:pPr>
      <w:r>
        <w:t>Statut : Actif</w:t>
      </w:r>
    </w:p>
    <w:p>
      <w:pPr>
        <w:pStyle w:val="ListBullet"/>
      </w:pPr>
      <w:r/>
      <w:r>
        <w:rPr>
          <w:b/>
        </w:rPr>
        <w:t>LIFUNOR</w:t>
      </w:r>
      <w:r>
        <w:t xml:space="preserve"> (HIKMA PHARMA ALGERIA)</w:t>
      </w:r>
    </w:p>
    <w:p>
      <w:pPr>
        <w:pStyle w:val="ListBullet"/>
      </w:pPr>
      <w:r>
        <w:t>Formes et Dosages : Comprimé pelliculé 2,5 mg</w:t>
      </w:r>
    </w:p>
    <w:p>
      <w:pPr>
        <w:pStyle w:val="ListBullet"/>
      </w:pPr>
      <w:r>
        <w:t>Statut : Actif</w:t>
      </w:r>
    </w:p>
    <w:p>
      <w:pPr>
        <w:pStyle w:val="ListBullet"/>
      </w:pPr>
      <w:r/>
      <w:r>
        <w:rPr>
          <w:b/>
        </w:rPr>
        <w:t>FEMARA</w:t>
      </w:r>
      <w:r>
        <w:t xml:space="preserve"> (NOVARTIS PHARMA S.A.)</w:t>
      </w:r>
    </w:p>
    <w:p>
      <w:pPr>
        <w:pStyle w:val="ListBullet"/>
      </w:pPr>
      <w:r>
        <w:t>Formes et Dosages : Comprimé pelliculé 2,5 mg</w:t>
      </w:r>
    </w:p>
    <w:p>
      <w:pPr>
        <w:pStyle w:val="ListBullet"/>
      </w:pPr>
      <w:r>
        <w:t>Statut : Non Renouvelable (originator)</w:t>
      </w:r>
    </w:p>
    <w:p>
      <w:pPr>
        <w:pStyle w:val="ListBullet"/>
      </w:pPr>
      <w:r/>
      <w:r>
        <w:rPr>
          <w:b/>
        </w:rPr>
        <w:t>FEMAZOL</w:t>
      </w:r>
      <w:r>
        <w:t xml:space="preserve"> (BIOVITAL)</w:t>
      </w:r>
    </w:p>
    <w:p>
      <w:pPr>
        <w:pStyle w:val="ListBullet"/>
      </w:pPr>
      <w:r>
        <w:t>Formes et Dosages : Comprimé pelliculé 2,5 mg</w:t>
      </w:r>
    </w:p>
    <w:p>
      <w:pPr>
        <w:pStyle w:val="ListBullet"/>
      </w:pPr>
      <w:r>
        <w:t>Statut : Non Renouvelable</w:t>
      </w:r>
    </w:p>
    <w:p>
      <w:r/>
      <w:r>
        <w:rPr>
          <w:b/>
        </w:rPr>
        <w:t>Sous-classe et Mécanisme d'action :</w:t>
      </w:r>
      <w:r/>
    </w:p>
    <w:p>
      <w:pPr>
        <w:pStyle w:val="ListBullet"/>
      </w:pPr>
      <w:r>
        <w:t>Sous-classe : Inhibiteur de l'aromatase de 3e génération non stéroïdien (avec l'anastrozole).</w:t>
      </w:r>
    </w:p>
    <w:p>
      <w:pPr>
        <w:pStyle w:val="ListBullet"/>
      </w:pPr>
      <w:r>
        <w:t>Mécanisme d'action : le létrozole inhibe de manière compétitive et réversible l'aromatase (CYP19A1), avec une puissance supérieure à l'anastrozole (inhibition de 98 % de la production estrogénique vs 90 % pour l'anastrozole). Il réduit les concentrations d'estrone, estradiol et estrone sulfate à des niveaux indétectables chez la femme ménopausée. Cette suppression estrogénique quasi totale explique son efficacité tumorale supérieure (notamment dans l'étude BIG 1-98 vs tamoxifène).</w:t>
      </w:r>
    </w:p>
    <w:p>
      <w:r/>
      <w:r>
        <w:rPr>
          <w:b/>
        </w:rPr>
        <w:t>Profil Pharmacologique :</w:t>
      </w:r>
      <w:r/>
    </w:p>
    <w:p>
      <w:pPr>
        <w:pStyle w:val="ListBullet"/>
      </w:pPr>
      <w:r>
        <w:t>Indications : adjuvant du cancer du sein invasif à récepteurs hormonaux positifs chez la femme ménopausée (5 ans en première intention, jusqu'à 10 ans en extension) ; switch après 2-3 ans de tamoxifène ; cancer du sein métastatique RE+ ménopausique en première ligne ; induction d'ovulation dans le SOPK résistant au clomifène (indication hors AMM mais validée par les recommandations internationales — protocole Letrozole Stimulation).</w:t>
      </w:r>
    </w:p>
    <w:p>
      <w:pPr>
        <w:pStyle w:val="ListBullet"/>
      </w:pPr>
      <w:r>
        <w:t>Contre-indications : préménopause (sans castration associée), grossesse et allaitement, insuffisance hépatique sévère, ostéoporose sévère non traitée, hypersensibilité.</w:t>
      </w:r>
    </w:p>
    <w:p>
      <w:pPr>
        <w:pStyle w:val="ListBullet"/>
      </w:pPr>
      <w:r>
        <w:t>Effets Indésirables : bouffées de chaleur (35–40 %), arthralgies (40 %, parfois invalidantes — syndrome « AI-induced arthralgia »), ostéoporose et fractures (taux supérieur au tamoxifène), hypercholestérolémie (fréquent — surveillance), sécheresse vaginale, troubles de l'humeur, céphalées, sueurs nocturnes, rare hépatotoxicité, exceptionnels événements thromboemboliques (moins fréquents qu'avec le tamoxifène).</w:t>
      </w:r>
    </w:p>
    <w:p>
      <w:r/>
      <w:r>
        <w:rPr>
          <w:b/>
        </w:rPr>
        <w:t>Prévention et Gestion des Effets Indésirables :</w:t>
      </w:r>
      <w:r/>
    </w:p>
    <w:p>
      <w:pPr>
        <w:pStyle w:val="ListBullet"/>
      </w:pPr>
      <w:r>
        <w:t>Mesures Préventives : densitométrie osseuse pré-thérapeutique puis tous les 1 à 2 ans ; supplémentation calcium-vitamine D ; activité physique ; bilan lipidique annuel (LDL, HDL, TG) ; prescription de bisphosphonate (acide zolédronique 4 mg/6 mois) ou dénosumab si ostéoporose avérée.</w:t>
      </w:r>
    </w:p>
    <w:p>
      <w:pPr>
        <w:pStyle w:val="ListBullet"/>
      </w:pPr>
      <w:r>
        <w:t>Conduite à Tenir : switch vers anastrozole ou exemestane en cas d'intolérance ; arrêt temporaire puis reprise à dose réduite en cas d'arthralgie Grade 3 ; traitement antalgique adapté ; arrêt en cas d'hypercholestérolémie sévère non contrôlée.</w:t>
      </w:r>
    </w:p>
    <w:p>
      <w:r/>
      <w:r>
        <w:rPr>
          <w:b/>
        </w:rPr>
        <w:t>Interactions Importantes :</w:t>
      </w:r>
      <w:r/>
    </w:p>
    <w:p>
      <w:pPr>
        <w:pStyle w:val="ListBullet"/>
      </w:pPr>
      <w:r>
        <w:t>Létrozole + tamoxifène : antagonisme pharmacologique (baisse de 38 % des concentrations de létrozole).</w:t>
      </w:r>
    </w:p>
    <w:p>
      <w:pPr>
        <w:pStyle w:val="ListBullet"/>
      </w:pPr>
      <w:r>
        <w:t>Létrozole + estrogènes : antagonisme d'efficacité.</w:t>
      </w:r>
    </w:p>
    <w:p>
      <w:pPr>
        <w:pStyle w:val="ListBullet"/>
      </w:pPr>
      <w:r>
        <w:t>Létrozole + warfarine : pas d'interaction cliniquement pertinente.</w:t>
      </w:r>
    </w:p>
    <w:p>
      <w:pPr>
        <w:pStyle w:val="ListBullet"/>
      </w:pPr>
      <w:r>
        <w:t>Létrozole + inducteurs CYP3A4 : possible baisse d'efficacité.</w:t>
      </w:r>
    </w:p>
    <w:p>
      <w:r/>
      <w:r>
        <w:rPr>
          <w:b/>
        </w:rPr>
        <w:t>Grossesse et Allaitement :</w:t>
      </w:r>
      <w:r/>
    </w:p>
    <w:p>
      <w:pPr>
        <w:pStyle w:val="ListBullet"/>
      </w:pPr>
      <w:r>
        <w:t>Grossesse : CI absolue (toxicité embryo-fœtale — tératogène chez l'animal). Toutefois, dans l'induction d'ovulation (SOPK), le létrozole est utilisé en début de cycle puis arrêté avant l'ovulation — pas de contre-indication à la conception dans ce cadre précis.</w:t>
      </w:r>
    </w:p>
    <w:p>
      <w:pPr>
        <w:pStyle w:val="ListBullet"/>
      </w:pPr>
      <w:r>
        <w:t>Allaitement : CI.</w:t>
      </w:r>
    </w:p>
    <w:p>
      <w:pPr>
        <w:pStyle w:val="ListBullet"/>
      </w:pPr>
      <w:r>
        <w:t>Précisions : dans l'induction d'ovulation SOPK, le létrozole (2,5–7,5 mg J3-J7) est aujourd'hui recommandé en première ligne avant le clomifène (meilleur profil de sécurité ovulaire).</w:t>
      </w:r>
    </w:p>
    <w:p>
      <w:r/>
      <w:r>
        <w:rPr>
          <w:b/>
        </w:rPr>
        <w:t>Posologie et Mode d'administration (Standard) :</w:t>
      </w:r>
      <w:r/>
    </w:p>
    <w:p>
      <w:pPr>
        <w:pStyle w:val="ListBullet"/>
      </w:pPr>
      <w:r>
        <w:t>Femme ménopausée adjuvant : 2,5 mg × 1/j per os pendant 5 ans (extension possible à 7-10 ans).</w:t>
      </w:r>
    </w:p>
    <w:p>
      <w:pPr>
        <w:pStyle w:val="ListBullet"/>
      </w:pPr>
      <w:r>
        <w:t>Femme métastatique : 2,5 mg × 1/j jusqu'à progression.</w:t>
      </w:r>
    </w:p>
    <w:p>
      <w:pPr>
        <w:pStyle w:val="ListBullet"/>
      </w:pPr>
      <w:r>
        <w:t>Induction d'ovulation SOPK (hors AMM) : 2,5 à 7,5 mg/j du J3 au J7, dose augmentée en cas d'échec.</w:t>
      </w:r>
    </w:p>
    <w:p>
      <w:pPr>
        <w:pStyle w:val="ListBullet"/>
      </w:pPr>
      <w:r>
        <w:t>Sujet âgé : pas d'adaptation.</w:t>
      </w:r>
    </w:p>
    <w:p>
      <w:pPr>
        <w:pStyle w:val="ListBullet"/>
      </w:pPr>
      <w:r>
        <w:t>Insuffisance hépatique modérée : pas d'adaptation (Child-Pugh B) ; sévère : non recommandé.</w:t>
      </w:r>
    </w:p>
    <w:p>
      <w:pPr>
        <w:pStyle w:val="ListBullet"/>
      </w:pPr>
      <w:r>
        <w:t>Insuffisance rénale : pas d'adaptation (Clcr &gt; 10 ml/min).</w:t>
      </w:r>
    </w:p>
    <w:p>
      <w:pPr>
        <w:pStyle w:val="ListBullet"/>
      </w:pPr>
      <w:r>
        <w:t>Durée : 5 ans standard en adjuvant, au long cours en métastatique.</w:t>
      </w:r>
    </w:p>
    <w:p>
      <w:pPr>
        <w:pStyle w:val="ListBullet"/>
      </w:pPr>
      <w:r>
        <w:t>Moment de prise : une prise par jour à heure fixe, indépendamment des repas.</w:t>
      </w:r>
    </w:p>
    <w:p>
      <w:r/>
      <w:r>
        <w:rPr>
          <w:b/>
        </w:rPr>
        <w:t>Arbitrage et Bénéfices des Formes Galéniques :</w:t>
      </w:r>
      <w:r/>
    </w:p>
    <w:p>
      <w:r>
        <w:t>Le comprimé pelliculé 2,5 mg est unique. La disponibilité de 7 génériques actifs (Lenazax, Letrodex, Letrozole Cinfa, Mamozol, Letragen, Letrozole UPC, Lifunor) assure une excellente accessibilité. L'originator Femara est en statut non renouvelable en Algérie mais les génériques sont équivalents en termes de biodisponibilité et d'efficacité.</w:t>
      </w:r>
    </w:p>
    <w:p>
      <w:r/>
      <w:r>
        <w:rPr>
          <w:b/>
        </w:rPr>
        <w:t>Instructions et Conseils au Patient :</w:t>
      </w:r>
      <w:r/>
    </w:p>
    <w:p>
      <w:pPr>
        <w:pStyle w:val="ListBullet"/>
      </w:pPr>
      <w:r>
        <w:t>Communication au comptoir : expliquer la prise unique quotidienne à vie pendant 5 ans, prévenir les arthralgies (effet fréquent et souvent transitoire les 6 premiers mois), l'importance de l'ostéoporose préventive (densitométrie), signaler toute douleur osseuse intense (recherche de métastase ou de fracture), surveillance du cholestérol.</w:t>
      </w:r>
    </w:p>
    <w:p>
      <w:pPr>
        <w:pStyle w:val="ListBullet"/>
      </w:pPr>
      <w:r>
        <w:t>Mode d'utilisation pratique : prise à heure fixe (matin par convention), carnet de suivi biologique (cholestérol, densitométrie, calcium).</w:t>
      </w:r>
    </w:p>
    <w:p>
      <w:r/>
      <w:r>
        <w:rPr>
          <w:b/>
        </w:rPr>
        <w:t>Notes, Règles d'Or &amp; Pièges au Comptoir :</w:t>
      </w:r>
      <w:r/>
    </w:p>
    <w:p>
      <w:pPr>
        <w:pStyle w:val="ListBullet"/>
      </w:pPr>
      <w:r>
        <w:t>Piège classique : délivrance chez une femme préménopausée sans castration associée (inefficace).</w:t>
      </w:r>
    </w:p>
    <w:p>
      <w:pPr>
        <w:pStyle w:val="ListBullet"/>
      </w:pPr>
      <w:r>
        <w:t>Règle de prise : une fois par jour à heure fixe, pendant 5 ans minimum.</w:t>
      </w:r>
    </w:p>
    <w:p>
      <w:pPr>
        <w:pStyle w:val="ListBullet"/>
      </w:pPr>
      <w:r>
        <w:t>Préparation et Conservation : à température &lt; 25 °C.</w:t>
      </w:r>
    </w:p>
    <w:p>
      <w:pPr>
        <w:pStyle w:val="ListBullet"/>
      </w:pPr>
      <w:r>
        <w:t>Piège du surdosage / Substitution : le létrozole et l'anastrozole ne sont pas substituables sans avis médical (bien que proches pharmacologiquement) ; bien vérifier la DCI prescrite.</w:t>
      </w:r>
    </w:p>
    <w:p>
      <w:pPr>
        <w:pStyle w:val="Heading3"/>
      </w:pPr>
      <w:r>
        <w:t>8. DCI : Exemestane (Seule)</w:t>
      </w:r>
    </w:p>
    <w:p>
      <w:r/>
      <w:r>
        <w:rPr>
          <w:b/>
        </w:rPr>
        <w:t>Liste des Catégories :</w:t>
      </w:r>
      <w:r>
        <w:t xml:space="preserve"> Inhibiteurs aromatase — Stéroïdiens ; Liste I.</w:t>
      </w:r>
    </w:p>
    <w:p>
      <w:r>
        <w:t>L'exemestane se distingue des autres inhibiteurs de l'aromatase (anastrozole, létrozole) par sa structure stéroïdienne (dérivé de l'androstènedione) et son mécanisme d'inhibition irréversible de l'aromatase (« inactivation suicidaire »). Sa demi-vie d'environ 24 heures autorise une seule prise quotidienne. Sa légère activité androgénique intrinsèque le distingue des inhibiteurs non stéroïdiens et pourrait expliquer un profil de tolérance articulaire et osseux différent.</w:t>
      </w:r>
    </w:p>
    <w:p>
      <w:r/>
      <w:r>
        <w:rPr>
          <w:b/>
        </w:rPr>
        <w:t>Médicaments disponibles en Algérie (Marques, Laboratoires, Formes et Dosages) :</w:t>
      </w:r>
      <w:r/>
    </w:p>
    <w:p>
      <w:pPr>
        <w:pStyle w:val="ListBullet"/>
      </w:pPr>
      <w:r/>
      <w:r>
        <w:rPr>
          <w:b/>
        </w:rPr>
        <w:t>AROMEX</w:t>
      </w:r>
      <w:r>
        <w:t xml:space="preserve"> (SPA UNION PHARMACEUTIQUE CONSTANTINOISE PRODUCTION)</w:t>
      </w:r>
    </w:p>
    <w:p>
      <w:pPr>
        <w:pStyle w:val="ListBullet"/>
      </w:pPr>
      <w:r>
        <w:t>Formes et Dosages : Comprimé pelliculé 25 mg</w:t>
      </w:r>
    </w:p>
    <w:p>
      <w:pPr>
        <w:pStyle w:val="ListBullet"/>
      </w:pPr>
      <w:r>
        <w:t>Statut : Actif</w:t>
      </w:r>
    </w:p>
    <w:p>
      <w:pPr>
        <w:pStyle w:val="ListBullet"/>
      </w:pPr>
      <w:r/>
      <w:r>
        <w:rPr>
          <w:b/>
        </w:rPr>
        <w:t>AROMASINE</w:t>
      </w:r>
      <w:r>
        <w:t xml:space="preserve"> (PFIZER HOLDING FRANCE)</w:t>
      </w:r>
    </w:p>
    <w:p>
      <w:pPr>
        <w:pStyle w:val="ListBullet"/>
      </w:pPr>
      <w:r>
        <w:t>Formes et Dosages : Comprimé pelliculé 25 mg</w:t>
      </w:r>
    </w:p>
    <w:p>
      <w:pPr>
        <w:pStyle w:val="ListBullet"/>
      </w:pPr>
      <w:r>
        <w:t>Statut : Non Renouvelable (originator)</w:t>
      </w:r>
    </w:p>
    <w:p>
      <w:r/>
      <w:r>
        <w:rPr>
          <w:b/>
        </w:rPr>
        <w:t>Sous-classe et Mécanisme d'action :</w:t>
      </w:r>
      <w:r/>
    </w:p>
    <w:p>
      <w:pPr>
        <w:pStyle w:val="ListBullet"/>
      </w:pPr>
      <w:r>
        <w:t>Sous-classe : Inhibiteur de l'aromatase de 3e génération stéroïdien (irréversible, inactivateur suicidaire).</w:t>
      </w:r>
    </w:p>
    <w:p>
      <w:pPr>
        <w:pStyle w:val="ListBullet"/>
      </w:pPr>
      <w:r>
        <w:t>Mécanisme d'action : l'exemestane est structurellement analogue de l'androstènedione, substrat naturel de l'aromatase. Il est métabolisé par l'enzyme en un intermédiaire réactif qui se lie covalentiellement au site actif de l'aromatase, entraînant une inactivation irréversible de l'enzyme (« suicide inhibitor »). La récupération de l'activité aromatase nécessite la synthèse de nouvelles molécules d'enzyme (demi-vie de récupération de plusieurs jours). L'exemestane possède également une légère activité androgénique intrinsèque (affinité faible pour le RA) qui pourrait expliquer une moindre incidence d'arthralgies et d'hypercholestérolémie comparativement aux non-stéroïdiens.</w:t>
      </w:r>
    </w:p>
    <w:p>
      <w:r/>
      <w:r>
        <w:rPr>
          <w:b/>
        </w:rPr>
        <w:t>Profil Pharmacologique :</w:t>
      </w:r>
      <w:r/>
    </w:p>
    <w:p>
      <w:pPr>
        <w:pStyle w:val="ListBullet"/>
      </w:pPr>
      <w:r>
        <w:t>Indications : adjuvant du cancer du sein invasif RE+ chez la femme ménopausée en switch après 2 à 3 ans de tamoxifène (durée totale 5 ans) ; cancer du sein métastatique RE+ ménopausique en première ligne ou en rechute après anti-estrogène ; traitement adjuvant extended après 5 ans de tamoxifène (5 ans supplémentaires).</w:t>
      </w:r>
    </w:p>
    <w:p>
      <w:pPr>
        <w:pStyle w:val="ListBullet"/>
      </w:pPr>
      <w:r>
        <w:t>Contre-indications : préménopause, grossesse et allaitement, insuffisance hépatique sévère, hypersensibilité.</w:t>
      </w:r>
    </w:p>
    <w:p>
      <w:pPr>
        <w:pStyle w:val="ListBullet"/>
      </w:pPr>
      <w:r>
        <w:t>Effets Indésirables : bouffées de chaleur (22 %), arthralgies (moins fréquentes qu'avec les non-stéroïdiens — 15 %), insomnie, céphalées, asthénie, ostéoporose et fractures (légèrement moindres qu'avec anastrozole/létrozole), hypercholestérolémie (10 %), sueurs nocturnes, dépression, rare hépatotoxicité, alopécie modérée.</w:t>
      </w:r>
    </w:p>
    <w:p>
      <w:r/>
      <w:r>
        <w:rPr>
          <w:b/>
        </w:rPr>
        <w:t>Prévention et Gestion des Effets Indésirables :</w:t>
      </w:r>
      <w:r/>
    </w:p>
    <w:p>
      <w:pPr>
        <w:pStyle w:val="ListBullet"/>
      </w:pPr>
      <w:r>
        <w:t>Mesures Préventives : densitométrie osseuse pré-thérapeutique puis tous les 2 ans ; supplémentation calcium-vitamine D ; bilan lipidique annuel ; activité physique.</w:t>
      </w:r>
    </w:p>
    <w:p>
      <w:pPr>
        <w:pStyle w:val="ListBullet"/>
      </w:pPr>
      <w:r>
        <w:t>Conduite à Tenir : switch vers anastrozole ou létrozole en cas d'intolérance ; arrêt temporaire si toxicité Grade ≥ 3.</w:t>
      </w:r>
    </w:p>
    <w:p>
      <w:r/>
      <w:r>
        <w:rPr>
          <w:b/>
        </w:rPr>
        <w:t>Interactions Importantes :</w:t>
      </w:r>
      <w:r/>
    </w:p>
    <w:p>
      <w:pPr>
        <w:pStyle w:val="ListBullet"/>
      </w:pPr>
      <w:r>
        <w:t>Exemestane + estrogènes : antagonisme d'efficacité.</w:t>
      </w:r>
    </w:p>
    <w:p>
      <w:pPr>
        <w:pStyle w:val="ListBullet"/>
      </w:pPr>
      <w:r>
        <w:t>Exemestane + inducteurs enzymatiques (rifampicine, phénytoïne, carbamazépine, millepertuis) : baisse significative des concentrations d'exemestane (à éviter).</w:t>
      </w:r>
    </w:p>
    <w:p>
      <w:pPr>
        <w:pStyle w:val="ListBullet"/>
      </w:pPr>
      <w:r>
        <w:t>Exemestane + inhibiteurs CYP3A4 puissants (kétoconazole, itraconazole, ritonavir) : augmentation modérée (non cliniquement pertinente).</w:t>
      </w:r>
    </w:p>
    <w:p>
      <w:pPr>
        <w:pStyle w:val="ListBullet"/>
      </w:pPr>
      <w:r>
        <w:t>Exemestane + tamoxifène : antagonisme pharmacologique.</w:t>
      </w:r>
    </w:p>
    <w:p>
      <w:r/>
      <w:r>
        <w:rPr>
          <w:b/>
        </w:rPr>
        <w:t>Grossesse et Allaitement :</w:t>
      </w:r>
      <w:r/>
    </w:p>
    <w:p>
      <w:pPr>
        <w:pStyle w:val="ListBullet"/>
      </w:pPr>
      <w:r>
        <w:t>Grossesse : CI absolue (toxicité embryo-fœtale — tératogène chez l'animal).</w:t>
      </w:r>
    </w:p>
    <w:p>
      <w:pPr>
        <w:pStyle w:val="ListBullet"/>
      </w:pPr>
      <w:r>
        <w:t>Allaitement : CI.</w:t>
      </w:r>
    </w:p>
    <w:p>
      <w:pPr>
        <w:pStyle w:val="ListBullet"/>
      </w:pPr>
      <w:r>
        <w:t>Précisions : confirmation de la ménopause avant prescription (FSH/LH/estradiol).</w:t>
      </w:r>
    </w:p>
    <w:p>
      <w:r/>
      <w:r>
        <w:rPr>
          <w:b/>
        </w:rPr>
        <w:t>Posologie et Mode d'administration (Standard) :</w:t>
      </w:r>
      <w:r/>
    </w:p>
    <w:p>
      <w:pPr>
        <w:pStyle w:val="ListBullet"/>
      </w:pPr>
      <w:r>
        <w:t>Femme ménopausée adjuvant (switch) : 25 mg × 1/j per os après 2-3 ans de tamoxifène, jusqu'à complétion des 5 ans (donc 2-3 ans d'exemestane).</w:t>
      </w:r>
    </w:p>
    <w:p>
      <w:pPr>
        <w:pStyle w:val="ListBullet"/>
      </w:pPr>
      <w:r>
        <w:t>Femme ménopausée adjuvant extended : 25 mg × 1/j pendant 5 ans après 5 ans de tamoxifène (soit 10 ans d'hormonothérapie totale).</w:t>
      </w:r>
    </w:p>
    <w:p>
      <w:pPr>
        <w:pStyle w:val="ListBullet"/>
      </w:pPr>
      <w:r>
        <w:t>Femme métastatique : 25 mg × 1/j jusqu'à progression.</w:t>
      </w:r>
    </w:p>
    <w:p>
      <w:pPr>
        <w:pStyle w:val="ListBullet"/>
      </w:pPr>
      <w:r>
        <w:t>Sujet âgé : pas d'adaptation.</w:t>
      </w:r>
    </w:p>
    <w:p>
      <w:pPr>
        <w:pStyle w:val="ListBullet"/>
      </w:pPr>
      <w:r>
        <w:t>Insuffisance hépatique modérée à sévère : augmentation de 2 à 3 fois les concentrations — surveillance mais pas d'adaptation posologique recommandée.</w:t>
      </w:r>
    </w:p>
    <w:p>
      <w:pPr>
        <w:pStyle w:val="ListBullet"/>
      </w:pPr>
      <w:r>
        <w:t>Insuffisance rénale sévère : pas d'adaptation (mais surveillance).</w:t>
      </w:r>
    </w:p>
    <w:p>
      <w:pPr>
        <w:pStyle w:val="ListBullet"/>
      </w:pPr>
      <w:r>
        <w:t>Durée : 2 à 5 ans en adjuvant selon schéma, au long cours en métastatique.</w:t>
      </w:r>
    </w:p>
    <w:p>
      <w:pPr>
        <w:pStyle w:val="ListBullet"/>
      </w:pPr>
      <w:r>
        <w:t>Moment de prise : une prise par jour après le repas (augmentation de 40 % de l'absorption).</w:t>
      </w:r>
    </w:p>
    <w:p>
      <w:r/>
      <w:r>
        <w:rPr>
          <w:b/>
        </w:rPr>
        <w:t>Arbitrage et Bénéfices des Formes Galéniques :</w:t>
      </w:r>
      <w:r/>
    </w:p>
    <w:p>
      <w:r>
        <w:t>Le comprimé pelliculé 25 mg est unique. La prise après repas améliore l'absorption. La disponibilité d'un générique algérien (Aromex) garantit l'accès thérapeutique malgré le statut non renouvelable de l'originator Aromasine.</w:t>
      </w:r>
    </w:p>
    <w:p>
      <w:r/>
      <w:r>
        <w:rPr>
          <w:b/>
        </w:rPr>
        <w:t>Instructions et Conseils au Patient :</w:t>
      </w:r>
      <w:r/>
    </w:p>
    <w:p>
      <w:pPr>
        <w:pStyle w:val="ListBullet"/>
      </w:pPr>
      <w:r>
        <w:t>Communication au comptoir : expliquer la prise unique quotidienne après repas, prévenir les bouffées de chaleur (effet attendu), l'importance de la surveillance osseuse (densitométrie) et lipidique, signaler toute douleur osseuse ou fracture.</w:t>
      </w:r>
    </w:p>
    <w:p>
      <w:pPr>
        <w:pStyle w:val="ListBullet"/>
      </w:pPr>
      <w:r>
        <w:t>Mode d'utilisation pratique : prise à heure fixe après le repas du midi par convention.</w:t>
      </w:r>
    </w:p>
    <w:p>
      <w:r/>
      <w:r>
        <w:rPr>
          <w:b/>
        </w:rPr>
        <w:t>Notes, Règles d'Or &amp; Pièges au Comptoir :</w:t>
      </w:r>
      <w:r/>
    </w:p>
    <w:p>
      <w:pPr>
        <w:pStyle w:val="ListBullet"/>
      </w:pPr>
      <w:r>
        <w:t>Piège classique : oublier de prendre après repas (baisse de biodisponibilité de 40 %).</w:t>
      </w:r>
    </w:p>
    <w:p>
      <w:pPr>
        <w:pStyle w:val="ListBullet"/>
      </w:pPr>
      <w:r>
        <w:t>Règle de prise : une fois par jour, après repas, à heure fixe.</w:t>
      </w:r>
    </w:p>
    <w:p>
      <w:pPr>
        <w:pStyle w:val="ListBullet"/>
      </w:pPr>
      <w:r>
        <w:t>Préparation et Conservation : à température &lt; 25 °C.</w:t>
      </w:r>
    </w:p>
    <w:p>
      <w:pPr>
        <w:pStyle w:val="ListBullet"/>
      </w:pPr>
      <w:r>
        <w:t>Piège du surdosage / Substitution : ne pas confondre avec l'anastrozole (1 mg) ou le létrozole (2,5 mg) — dosage spécifique à 25 mg.</w:t>
      </w:r>
    </w:p>
    <w:p>
      <w:pPr>
        <w:pStyle w:val="Heading3"/>
      </w:pPr>
      <w:r>
        <w:t>9. DCI : Follitropine / Ménotropine (FSH) (Seule)</w:t>
      </w:r>
    </w:p>
    <w:p>
      <w:r/>
      <w:r>
        <w:rPr>
          <w:b/>
        </w:rPr>
        <w:t>Liste des Catégories :</w:t>
      </w:r>
      <w:r>
        <w:t xml:space="preserve"> Gonadotrophines — FSH recombinante ou urinaire ; Liste I.</w:t>
      </w:r>
    </w:p>
    <w:p>
      <w:r>
        <w:t>Les gonadotrophines FSH regroupent la follitropine alfa (Gonal-F), la follitropine bêta (Puregon), la ménotropine/hMG (Menopur) et l'association follitropine alfa + lutropine alfa (Pergoveris). Elles stimulent la croissance folliculaire ovarienne et la spermatogenèse. Administration strictement spécialisée en AMP (assistance médicale à la procréation) ou en endocrinologie de la reproduction. Demi-vie d'environ 30 heures (administrations quotidiennes SC).</w:t>
      </w:r>
    </w:p>
    <w:p>
      <w:r/>
      <w:r>
        <w:rPr>
          <w:b/>
        </w:rPr>
        <w:t>Médicaments disponibles en Algérie (Marques, Laboratoires, Formes et Dosages) :</w:t>
      </w:r>
      <w:r/>
    </w:p>
    <w:p>
      <w:pPr>
        <w:pStyle w:val="ListBullet"/>
      </w:pPr>
      <w:r/>
      <w:r>
        <w:rPr>
          <w:b/>
        </w:rPr>
        <w:t>MENOPUR</w:t>
      </w:r>
      <w:r>
        <w:t xml:space="preserve"> (FERRING SAS)</w:t>
      </w:r>
    </w:p>
    <w:p>
      <w:pPr>
        <w:pStyle w:val="ListBullet"/>
      </w:pPr>
      <w:r>
        <w:t>Formes et Dosages : Poudre et solvant pour solution injectable SC — 75 UI FSH / 75 UI LH</w:t>
      </w:r>
    </w:p>
    <w:p>
      <w:pPr>
        <w:pStyle w:val="ListBullet"/>
      </w:pPr>
      <w:r>
        <w:t>Statut : Actif (ménotropine urinaire = hMG)</w:t>
      </w:r>
    </w:p>
    <w:p>
      <w:pPr>
        <w:pStyle w:val="ListBullet"/>
      </w:pPr>
      <w:r/>
      <w:r>
        <w:rPr>
          <w:b/>
        </w:rPr>
        <w:t>GONAL-F</w:t>
      </w:r>
      <w:r>
        <w:t xml:space="preserve"> (SERONO EUROPE LTD / MERCK SERONO EUROPE LIMITED)</w:t>
      </w:r>
    </w:p>
    <w:p>
      <w:pPr>
        <w:pStyle w:val="ListBullet"/>
      </w:pPr>
      <w:r>
        <w:t>Formes et Dosages :</w:t>
      </w:r>
    </w:p>
    <w:p>
      <w:pPr>
        <w:pStyle w:val="ListBullet"/>
      </w:pPr>
      <w:r>
        <w:t>Poudre + solvant solution injectable SC — 75 UI/ml (5,5 μg/ml)</w:t>
      </w:r>
    </w:p>
    <w:p>
      <w:pPr>
        <w:pStyle w:val="ListBullet"/>
      </w:pPr>
      <w:r>
        <w:t>Solution injectable SC multidose — 900 UI/1,5 ml (66 μg/1,5 ml)</w:t>
      </w:r>
    </w:p>
    <w:p>
      <w:pPr>
        <w:pStyle w:val="ListBullet"/>
      </w:pPr>
      <w:r>
        <w:t>Solution injectable SC multidose — 300 UI/0,5 ml (22 μg/0,5 ml) [Non Renouvelable]</w:t>
      </w:r>
    </w:p>
    <w:p>
      <w:pPr>
        <w:pStyle w:val="ListBullet"/>
      </w:pPr>
      <w:r>
        <w:t>Solution injectable SC multidose — 450 UI/0,75 ml (33 μg/0,75 ml) [Non Renouvelable]</w:t>
      </w:r>
    </w:p>
    <w:p>
      <w:pPr>
        <w:pStyle w:val="ListBullet"/>
      </w:pPr>
      <w:r>
        <w:t>Poudre lyophilisée + solvant solution injectable IM/SC — 150 UI/ml [Retiré]</w:t>
      </w:r>
    </w:p>
    <w:p>
      <w:pPr>
        <w:pStyle w:val="ListBullet"/>
      </w:pPr>
      <w:r>
        <w:t>Statut : Actif (originator)</w:t>
      </w:r>
    </w:p>
    <w:p>
      <w:pPr>
        <w:pStyle w:val="ListBullet"/>
      </w:pPr>
      <w:r/>
      <w:r>
        <w:rPr>
          <w:b/>
        </w:rPr>
        <w:t>PUREGON</w:t>
      </w:r>
      <w:r>
        <w:t xml:space="preserve"> (MERCK SHARP &amp; DHOME LIMITED / ORGANON N.V.)</w:t>
      </w:r>
    </w:p>
    <w:p>
      <w:pPr>
        <w:pStyle w:val="ListBullet"/>
      </w:pPr>
      <w:r>
        <w:t>Formes et Dosages :</w:t>
      </w:r>
    </w:p>
    <w:p>
      <w:pPr>
        <w:pStyle w:val="ListBullet"/>
      </w:pPr>
      <w:r>
        <w:t>Solution injectable en cartouche pour stylo — 300 UI/0,36 ml [Actif]</w:t>
      </w:r>
    </w:p>
    <w:p>
      <w:pPr>
        <w:pStyle w:val="ListBullet"/>
      </w:pPr>
      <w:r>
        <w:t>Solution injectable en cartouche pour stylo — 600 UI/0,72 ml [Actif]</w:t>
      </w:r>
    </w:p>
    <w:p>
      <w:pPr>
        <w:pStyle w:val="ListBullet"/>
      </w:pPr>
      <w:r>
        <w:t>Solution injectable SC — 100 UI/ml (50 UI/0,5 ml) [Non Renouvelable]</w:t>
      </w:r>
    </w:p>
    <w:p>
      <w:pPr>
        <w:pStyle w:val="ListBullet"/>
      </w:pPr>
      <w:r>
        <w:t>Solution injectable SC — 100 UI/ml (50 UI/0,5 ml) [Retiré]</w:t>
      </w:r>
    </w:p>
    <w:p>
      <w:pPr>
        <w:pStyle w:val="ListBullet"/>
      </w:pPr>
      <w:r>
        <w:t>Solution injectable SC — 200 UI/ml (100 UI/0,5 ml) [Retiré]</w:t>
      </w:r>
    </w:p>
    <w:p>
      <w:pPr>
        <w:pStyle w:val="ListBullet"/>
      </w:pPr>
      <w:r>
        <w:t>Statut : Actif</w:t>
      </w:r>
    </w:p>
    <w:p>
      <w:pPr>
        <w:pStyle w:val="ListBullet"/>
      </w:pPr>
      <w:r/>
      <w:r>
        <w:rPr>
          <w:b/>
        </w:rPr>
        <w:t>PERGOVERIS</w:t>
      </w:r>
      <w:r>
        <w:t xml:space="preserve"> (MERCK EUROPE B.V)</w:t>
      </w:r>
    </w:p>
    <w:p>
      <w:pPr>
        <w:pStyle w:val="ListBullet"/>
      </w:pPr>
      <w:r>
        <w:t>Formes et Dosages : Poudre et solvant pour solution injectable SC — Follitropine alfa 150 UI + Lutropine alfa 75 UI</w:t>
      </w:r>
    </w:p>
    <w:p>
      <w:pPr>
        <w:pStyle w:val="ListBullet"/>
      </w:pPr>
      <w:r>
        <w:t>Statut : Actif (association FSH + LH recombinantes)</w:t>
      </w:r>
    </w:p>
    <w:p>
      <w:pPr>
        <w:pStyle w:val="ListBullet"/>
      </w:pPr>
      <w:r/>
      <w:r>
        <w:rPr>
          <w:b/>
        </w:rPr>
        <w:t>HUMEGON 75</w:t>
      </w:r>
      <w:r>
        <w:t xml:space="preserve"> (ORGANON / AKZO NOBEL)</w:t>
      </w:r>
    </w:p>
    <w:p>
      <w:pPr>
        <w:pStyle w:val="ListBullet"/>
      </w:pPr>
      <w:r>
        <w:t>Formes et Dosages : Lyophilisat et solvant usage parentéral IM — 75 UI/ml</w:t>
      </w:r>
    </w:p>
    <w:p>
      <w:pPr>
        <w:pStyle w:val="ListBullet"/>
      </w:pPr>
      <w:r>
        <w:t>Statut : Retiré (R)</w:t>
      </w:r>
    </w:p>
    <w:p>
      <w:pPr>
        <w:pStyle w:val="ListBullet"/>
      </w:pPr>
      <w:r/>
      <w:r>
        <w:rPr>
          <w:b/>
        </w:rPr>
        <w:t>PERGONAL</w:t>
      </w:r>
      <w:r>
        <w:t xml:space="preserve"> (SERONO-ARES INTERNATIONAL)</w:t>
      </w:r>
    </w:p>
    <w:p>
      <w:pPr>
        <w:pStyle w:val="ListBullet"/>
      </w:pPr>
      <w:r>
        <w:t>Formes et Dosages : Poudre solution injectable IM — 75 UI</w:t>
      </w:r>
    </w:p>
    <w:p>
      <w:pPr>
        <w:pStyle w:val="ListBullet"/>
      </w:pPr>
      <w:r>
        <w:t>Statut : Retiré (R)</w:t>
      </w:r>
    </w:p>
    <w:p>
      <w:r/>
      <w:r>
        <w:rPr>
          <w:b/>
        </w:rPr>
        <w:t>Sous-classe et Mécanisme d'action :</w:t>
      </w:r>
      <w:r/>
    </w:p>
    <w:p>
      <w:pPr>
        <w:pStyle w:val="ListBullet"/>
      </w:pPr>
      <w:r>
        <w:t>Sous-classe : Gonadotrophines FSH — recombinantes (follitropine alfa, follitropine bêta), urinaires (ménotropine = hMG contenant FSH et LH), ou associées (Pergoveris = follitropine alfa + lutropine alfa).</w:t>
      </w:r>
    </w:p>
    <w:p>
      <w:pPr>
        <w:pStyle w:val="ListBullet"/>
      </w:pPr>
      <w:r>
        <w:t>Mécanisme d'action : la FSH se fixe sur les récepteurs FSH (FSHR) à la surface des cellules de la granulosa ovarienne (femme) et des cellules de Sertoli (homme), stimulant par la voie de l'adénylate cyclase/cAMP : (1) la croissance et la maturation des follicules ovariens (femme) ; (2) la spermatogenèse (homme). L'ajout de LH (ménotropine ou Pergoveris) est utile en cas de déficit LH associé (hypogonadisme hypogonadotrophique) ou pour optimiser la stéroïdogenèse folliculaire (femme âgée, réponse faible).</w:t>
      </w:r>
    </w:p>
    <w:p>
      <w:r/>
      <w:r>
        <w:rPr>
          <w:b/>
        </w:rPr>
        <w:t>Profil Pharmacologique :</w:t>
      </w:r>
      <w:r/>
    </w:p>
    <w:p>
      <w:pPr>
        <w:pStyle w:val="ListBullet"/>
      </w:pPr>
      <w:r>
        <w:t>Indications : stimulation ovarienne en AMP (FIV, ICSI, insémination) ; induction d'ovulation dans l'infertilité anovulatoire SOPK résistant au clomifène ; hypogonadisme hypogonadotrophique masculin (déficit FSH/LH — spermatogenèse) ; femmes déficientes en LH (syndrome de Kallmann, hypopituitarisme).</w:t>
      </w:r>
    </w:p>
    <w:p>
      <w:pPr>
        <w:pStyle w:val="ListBullet"/>
      </w:pPr>
      <w:r>
        <w:t>Contre-indications : hypersensibilité, grossesse, allaitement, tumeurs ovariens ou utérins, kystes ovariens non SOPK, insuffisance ovarienne primaire, malformations génitales incompatibles avec grossesse, fibromes utérins non compatibles avec grossesse.</w:t>
      </w:r>
    </w:p>
    <w:p>
      <w:pPr>
        <w:pStyle w:val="ListBullet"/>
      </w:pPr>
      <w:r>
        <w:t>Effets Indésirables : syndrome d'hyperstimulation ovarienne (SHSO — grave, potentiellement mortel par épanchements de troisième secteur et accidents thromboemboliques), grossesses multiples (réponse ovarienne excessive), douleurs pelviennes, kystes ovariens, nausées, céphalées, mastodynie, réactions locales au point d'injection (rougeur, douleur), exceptionnelles réactions anaphylactiques, accidents thromboemboliques (SHSO sévère).</w:t>
      </w:r>
    </w:p>
    <w:p>
      <w:r/>
      <w:r>
        <w:rPr>
          <w:b/>
        </w:rPr>
        <w:t>Prévention et Gestion des Effets Indésirables :</w:t>
      </w:r>
      <w:r/>
    </w:p>
    <w:p>
      <w:pPr>
        <w:pStyle w:val="ListBullet"/>
      </w:pPr>
      <w:r>
        <w:t>Mesures Préventives : échographie pelvienne pré-thérapeutique (J2) ; surveillance échographique folliculaire tous les 1 à 3 jours à partir de J6 (follicules ≥ 11 mm) ; dosage estradiol tous les 1 à 2 jours (seuil à ne pas dépasser : 3000–4000 pg/ml) ; ajustement posologique en fonction de la réponse ; annulation du cycle ou déclenchement par agoniste GnRH (au lieu de hCG) si estradiol &gt; 4000 pg/ml ; agoniste de la GnRH (cetrorelix) en protocole antagoniste pour prévenir l'ovulation prématurée et limiter le SHSO.</w:t>
      </w:r>
    </w:p>
    <w:p>
      <w:pPr>
        <w:pStyle w:val="ListBullet"/>
      </w:pPr>
      <w:r>
        <w:t>Conduite à Tenir : arrêt immédiat de la FSH si SHSO Grade ≥ 2 ; hospitalisation si SHSO sévère (ascite, épanchements, oligurie, hypercoagulabilité) ; prophylaxie anticoagulante par HBPM ; correction des troubles hydro-électrolytiques ; ponction d'ascite si détresse respiratoire.</w:t>
      </w:r>
    </w:p>
    <w:p>
      <w:r/>
      <w:r>
        <w:rPr>
          <w:b/>
        </w:rPr>
        <w:t>Interactions Importantes :</w:t>
      </w:r>
      <w:r/>
    </w:p>
    <w:p>
      <w:pPr>
        <w:pStyle w:val="ListBullet"/>
      </w:pPr>
      <w:r>
        <w:t>FSH + clomifène : protocole séquentiel possible (potentialisation).</w:t>
      </w:r>
    </w:p>
    <w:p>
      <w:pPr>
        <w:pStyle w:val="ListBullet"/>
      </w:pPr>
      <w:r>
        <w:t>FSH + agoniste GnRH (protocole long) : désensibilisation hypophysaire préalable.</w:t>
      </w:r>
    </w:p>
    <w:p>
      <w:pPr>
        <w:pStyle w:val="ListBullet"/>
      </w:pPr>
      <w:r>
        <w:t>FSH + antagoniste GnRH (cetrorelix) : prévention de l'ovulation prématurée.</w:t>
      </w:r>
    </w:p>
    <w:p>
      <w:pPr>
        <w:pStyle w:val="ListBullet"/>
      </w:pPr>
      <w:r>
        <w:t>FSH + hCG (Ovitrelle) : déclenchement de l'ovulation finale.</w:t>
      </w:r>
    </w:p>
    <w:p>
      <w:r/>
      <w:r>
        <w:rPr>
          <w:b/>
        </w:rPr>
        <w:t>Grossesse et Allaitement :</w:t>
      </w:r>
      <w:r/>
    </w:p>
    <w:p>
      <w:pPr>
        <w:pStyle w:val="ListBullet"/>
      </w:pPr>
      <w:r>
        <w:t>Grossesse : CI (la FSH vise à induire l'ovulation mais ne doit pas être poursuivie en cas de grossesse débutante).</w:t>
      </w:r>
    </w:p>
    <w:p>
      <w:pPr>
        <w:pStyle w:val="ListBullet"/>
      </w:pPr>
      <w:r>
        <w:t>Allaitement : CI.</w:t>
      </w:r>
    </w:p>
    <w:p>
      <w:pPr>
        <w:pStyle w:val="ListBullet"/>
      </w:pPr>
      <w:r>
        <w:t>Précisions : information de la patiente sur le risque de grossesse multiple (20 % en AMP, 5–8 % en induction simple) et de SHSO (0,5 à 5 %).</w:t>
      </w:r>
    </w:p>
    <w:p>
      <w:r/>
      <w:r>
        <w:rPr>
          <w:b/>
        </w:rPr>
        <w:t>Posologie et Mode d'administration (Standard) :</w:t>
      </w:r>
      <w:r/>
    </w:p>
    <w:p>
      <w:pPr>
        <w:pStyle w:val="ListBullet"/>
      </w:pPr>
      <w:r>
        <w:t>Femme AMP (FIV, ICSI) protocole long : 150–300 UI/j SC à partir de J2 du cycle (ou après down-regulation GnRH), ajustement selon la réponse à partir de J6 (dose quotidienne 75–450 UI), durée 9–14 jours.</w:t>
      </w:r>
    </w:p>
    <w:p>
      <w:pPr>
        <w:pStyle w:val="ListBullet"/>
      </w:pPr>
      <w:r>
        <w:t>Femme AMP protocole antagoniste : 150–225 UI/j SC + cetrorelix à partir de J6.</w:t>
      </w:r>
    </w:p>
    <w:p>
      <w:pPr>
        <w:pStyle w:val="ListBullet"/>
      </w:pPr>
      <w:r>
        <w:t>Femme induction simple (SOPK) : 50–75 UI/j SC à partir de J2-J7, ajustement hebdomadaire.</w:t>
      </w:r>
    </w:p>
    <w:p>
      <w:pPr>
        <w:pStyle w:val="ListBullet"/>
      </w:pPr>
      <w:r>
        <w:t>Homme hypogonadisme hypogonadotrophique : 75–150 UI/j SC × 3/semaine + hCG 1500–2500 UI × 2/semaine, pendant 6–18 mois.</w:t>
      </w:r>
    </w:p>
    <w:p>
      <w:pPr>
        <w:pStyle w:val="ListBullet"/>
      </w:pPr>
      <w:r>
        <w:t>Sujet âgé : non applicable (population en âge de procréer).</w:t>
      </w:r>
    </w:p>
    <w:p>
      <w:pPr>
        <w:pStyle w:val="ListBullet"/>
      </w:pPr>
      <w:r>
        <w:t>Durée : 9–14 jours en AMP ; 6–18 mois chez l'homme.</w:t>
      </w:r>
    </w:p>
    <w:p>
      <w:pPr>
        <w:pStyle w:val="ListBullet"/>
      </w:pPr>
      <w:r>
        <w:t>Moment de prise : injection SC quotidienne à heure fixe (idéalement le soir).</w:t>
      </w:r>
    </w:p>
    <w:p>
      <w:r/>
      <w:r>
        <w:rPr>
          <w:b/>
        </w:rPr>
        <w:t>Arbitrage et Bénéfices des Formes Galéniques :</w:t>
      </w:r>
      <w:r/>
    </w:p>
    <w:p>
      <w:r>
        <w:t>La follitropine alfa (Gonal-F) est disponible en multidose (300, 450, 900 UI) — pratique et économique. La follitropine bêta (Puregon) en cartouche stylo 300 et 600 UI. La ménotropine (Menopur) apporte LH + FSH (utile en cas de déficit LH). Pergoveris (150/75 UI) est l'association recombinante pour les patientes nécessitant LH exogène. Les formes multidose modernes (stylo injecteur) améliorent l'observance et la précision.</w:t>
      </w:r>
    </w:p>
    <w:p>
      <w:r/>
      <w:r>
        <w:rPr>
          <w:b/>
        </w:rPr>
        <w:t>Instructions et Conseils au Patient :</w:t>
      </w:r>
      <w:r/>
    </w:p>
    <w:p>
      <w:pPr>
        <w:pStyle w:val="ListBullet"/>
      </w:pPr>
      <w:r>
        <w:t>Communication au comptoir : enseignement à l'auto-injection SC (technique, rotation des sites, conservation au frigo) ; information sur les signes d'alerte du SHSO (douleur pelvienne, distension abdominale, nausées, vomissements, dyspnée — consulter en urgence) ; calendrier de surveillance échographique et biologique.</w:t>
      </w:r>
    </w:p>
    <w:p>
      <w:pPr>
        <w:pStyle w:val="ListBullet"/>
      </w:pPr>
      <w:r>
        <w:t>Mode d'utilisation pratique : reconstitution de la poudre avec le solvant (technique d'asepsie stricte) ; injection SC lente ; conservation à 2–8 °C (ne pas congeler) ; utilisation dans les 28 jours après reconstitution pour multidose.</w:t>
      </w:r>
    </w:p>
    <w:p>
      <w:r/>
      <w:r>
        <w:rPr>
          <w:b/>
        </w:rPr>
        <w:t>Notes, Règles d'Or &amp; Pièges au Comptoir :</w:t>
      </w:r>
      <w:r/>
    </w:p>
    <w:p>
      <w:pPr>
        <w:pStyle w:val="ListBullet"/>
      </w:pPr>
      <w:r>
        <w:t>Piège classique : délivrer follitropine alfa (Gonal-F) au lieu de follitropine bêta (Puregon) sans vérification — vérifier la prescription.</w:t>
      </w:r>
    </w:p>
    <w:p>
      <w:pPr>
        <w:pStyle w:val="ListBullet"/>
      </w:pPr>
      <w:r>
        <w:t>Règle de prise : injection SC quotidienne stricte à heure fixe, jamais en IM sauf prescription spécifique.</w:t>
      </w:r>
    </w:p>
    <w:p>
      <w:pPr>
        <w:pStyle w:val="ListBullet"/>
      </w:pPr>
      <w:r>
        <w:t>Préparation et Conservation : à 2–8 °C au réfrigérateur, à l'abri de la lumière ; en dehors du frigo (≤ 25 °C) max 3 mois.</w:t>
      </w:r>
    </w:p>
    <w:p>
      <w:pPr>
        <w:pStyle w:val="ListBullet"/>
      </w:pPr>
      <w:r>
        <w:t>Piège du surdosage / Substitution : risque majeur de SHSO en cas de surdosage ou de mauvaise surveillance.</w:t>
      </w:r>
    </w:p>
    <w:p>
      <w:pPr>
        <w:pStyle w:val="Heading3"/>
      </w:pPr>
      <w:r>
        <w:t>10. DCI : Choriogonadotropine alfa (hCG recombinante) (Seule)</w:t>
      </w:r>
    </w:p>
    <w:p>
      <w:r/>
      <w:r>
        <w:rPr>
          <w:b/>
        </w:rPr>
        <w:t>Liste des Catégories :</w:t>
      </w:r>
      <w:r>
        <w:t xml:space="preserve"> Gonadotrophines — hCG ; Liste I.</w:t>
      </w:r>
    </w:p>
    <w:p>
      <w:r>
        <w:t>La choriogonadotropine alfa est une hCG recombinante produite par génie génétique (cellules ovariennes de hamster CHO), qui mime l'activité de la LH naturelle pour déclencher l'ovulation finale. Sa demi-vie est d'environ 30 heures (vs 5–6 heures pour la LH endogène). Administration en une injection SC unique.</w:t>
      </w:r>
    </w:p>
    <w:p>
      <w:r/>
      <w:r>
        <w:rPr>
          <w:b/>
        </w:rPr>
        <w:t>Médicaments disponibles en Algérie (Marques, Laboratoires, Formes et Dosages) :</w:t>
      </w:r>
      <w:r/>
    </w:p>
    <w:p>
      <w:pPr>
        <w:pStyle w:val="ListBullet"/>
      </w:pPr>
      <w:r/>
      <w:r>
        <w:rPr>
          <w:b/>
        </w:rPr>
        <w:t>OVITRELLE</w:t>
      </w:r>
      <w:r>
        <w:t xml:space="preserve"> (MERCK SERONO EUROPE LIMITED)</w:t>
      </w:r>
    </w:p>
    <w:p>
      <w:pPr>
        <w:pStyle w:val="ListBullet"/>
      </w:pPr>
      <w:r>
        <w:t>Formes et Dosages : Solution injectable en seringue préremplie SC — 250 μg / 0,5 ml (équivalent à 6500 UI hCG)</w:t>
      </w:r>
    </w:p>
    <w:p>
      <w:pPr>
        <w:pStyle w:val="ListBullet"/>
      </w:pPr>
      <w:r>
        <w:t>Statut : Non Renouvelable (mais disponible — seul produit de sa classe en Algérie)</w:t>
      </w:r>
    </w:p>
    <w:p>
      <w:r/>
      <w:r>
        <w:rPr>
          <w:b/>
        </w:rPr>
        <w:t>Sous-classe et Mécanisme d'action :</w:t>
      </w:r>
      <w:r/>
    </w:p>
    <w:p>
      <w:pPr>
        <w:pStyle w:val="ListBullet"/>
      </w:pPr>
      <w:r>
        <w:t>Sous-classe : Gonadotrophine chorionique humaine recombinante (r-hCG).</w:t>
      </w:r>
    </w:p>
    <w:p>
      <w:pPr>
        <w:pStyle w:val="ListBullet"/>
      </w:pPr>
      <w:r>
        <w:t>Mécanisme d'action : la choriogonadotropine alfa se fixe sur le récepteur LH/hCG (LHCGR) à la surface des cellules de la thèque et de la granulosa, stimulant la voie cAMP/PKA. Elle mime le pic ovulant de LH naturel, induisant : (1) la reprise de la méiose ovocytaire ; (2) la rupture du follicule mur et l'ovulation (36 heures après injection) ; (3) la lutéinisation du follicule et la formation du corps jaune ; (4) la production de progestérone lutéale. Sa longue demi-vie assure une stimulation prolongée du corps jaune (effet lutéotrope).</w:t>
      </w:r>
    </w:p>
    <w:p>
      <w:r/>
      <w:r>
        <w:rPr>
          <w:b/>
        </w:rPr>
        <w:t>Profil Pharmacologique :</w:t>
      </w:r>
      <w:r/>
    </w:p>
    <w:p>
      <w:pPr>
        <w:pStyle w:val="ListBullet"/>
      </w:pPr>
      <w:r>
        <w:t>Indications : déclenchement de l'ovulation finale après stimulation folliculaire en AMP (FIV, ICSI, insémination) ; induction d'ovulation simple (SOPK résistant au clomifène) ; hypogonadisme hypogonadotrophique masculin (en complément de la FSH pour induire et maintenir la spermatogenèse).</w:t>
      </w:r>
    </w:p>
    <w:p>
      <w:pPr>
        <w:pStyle w:val="ListBullet"/>
      </w:pPr>
      <w:r>
        <w:t>Contre-indications : tumeurs ovariens ou utérins, hypersensibilité, grossesse (en cours), insuffisance ovarienne primaire, malformations génitales incompatibles avec grossesse.</w:t>
      </w:r>
    </w:p>
    <w:p>
      <w:pPr>
        <w:pStyle w:val="ListBullet"/>
      </w:pPr>
      <w:r>
        <w:t>Effets Indésirables : syndrome d'hyperstimulation ovarienne (SHSO — surtout si dose trop forte ou follicules multiples ≥ 20), douleurs pelviennes, nausées, vomissements, céphalées, asthénie, réactions locales au point d'injection, syndrome d'hyperstimulation sévère (rare, grave), accidents thromboemboliques (SHSO), grossesses multiples.</w:t>
      </w:r>
    </w:p>
    <w:p>
      <w:r/>
      <w:r>
        <w:rPr>
          <w:b/>
        </w:rPr>
        <w:t>Prévention et Gestion des Effets Indésirables :</w:t>
      </w:r>
      <w:r/>
    </w:p>
    <w:p>
      <w:pPr>
        <w:pStyle w:val="ListBullet"/>
      </w:pPr>
      <w:r>
        <w:t>Mesures Préventives : échographie de contrôle avant déclencheur (follicule dominant ≥ 18 mm, estradiol &lt; 3000 pg/ml) ; si estradiol &gt; 4000 pg/ml ou &gt; 20 follicules ≥ 11 mm : ne pas déclencher par hCG mais par agoniste GnRH (en protocole antagoniste) ou annuler le cycle ; information de la patiente sur les signes d'alerte (distension abdominale, douleurs, dyspnée, oligurie).</w:t>
      </w:r>
    </w:p>
    <w:p>
      <w:pPr>
        <w:pStyle w:val="ListBullet"/>
      </w:pPr>
      <w:r>
        <w:t>Conduite à Tenir : hospitalisation immédiate si SHSO Grade ≥ 2 ; surveillance hydro-électrolytique, hématocrite, coagulation ; prophylaxie anticoagulante (HBPM) ; ponction d'ascite si détresse respiratoire.</w:t>
      </w:r>
    </w:p>
    <w:p>
      <w:r/>
      <w:r>
        <w:rPr>
          <w:b/>
        </w:rPr>
        <w:t>Interactions Importantes :</w:t>
      </w:r>
      <w:r/>
    </w:p>
    <w:p>
      <w:pPr>
        <w:pStyle w:val="ListBullet"/>
      </w:pPr>
      <w:r>
        <w:t>hCG + FSH (follitropine) : protocole standard AMP.</w:t>
      </w:r>
    </w:p>
    <w:p>
      <w:pPr>
        <w:pStyle w:val="ListBullet"/>
      </w:pPr>
      <w:r>
        <w:t>hCG + antagoniste GnRH : utilisation combinée.</w:t>
      </w:r>
    </w:p>
    <w:p>
      <w:pPr>
        <w:pStyle w:val="ListBullet"/>
      </w:pPr>
      <w:r>
        <w:t>hCG + progestérone : soutien de phase lutéale post-déclenchement.</w:t>
      </w:r>
    </w:p>
    <w:p>
      <w:r/>
      <w:r>
        <w:rPr>
          <w:b/>
        </w:rPr>
        <w:t>Grossesse et Allaitement :</w:t>
      </w:r>
      <w:r/>
    </w:p>
    <w:p>
      <w:pPr>
        <w:pStyle w:val="ListBullet"/>
      </w:pPr>
      <w:r>
        <w:t>Grossesse : CI en cas de grossesse débutante (mais le but du déclenchement est d'obtenir une grossesse — après déclenchement, ne pas reprendre le traitement).</w:t>
      </w:r>
    </w:p>
    <w:p>
      <w:pPr>
        <w:pStyle w:val="ListBullet"/>
      </w:pPr>
      <w:r>
        <w:t>Allaitement : CI.</w:t>
      </w:r>
    </w:p>
    <w:p>
      <w:pPr>
        <w:pStyle w:val="ListBullet"/>
      </w:pPr>
      <w:r>
        <w:t>Précisions : information sur le risque de grossesse multiple (5–20 % selon protocole).</w:t>
      </w:r>
    </w:p>
    <w:p>
      <w:r/>
      <w:r>
        <w:rPr>
          <w:b/>
        </w:rPr>
        <w:t>Posologie et Mode d'administration (Standard) :</w:t>
      </w:r>
      <w:r/>
    </w:p>
    <w:p>
      <w:pPr>
        <w:pStyle w:val="ListBullet"/>
      </w:pPr>
      <w:r>
        <w:t>Femme AMP (déclenchement) : 250 μg (6500 UI) en une injection SC unique, 34–36 heures avant le recueil ovocytaire (FIV) ou 36–38 heures avant l'ovulation prévue (induction simple).</w:t>
      </w:r>
    </w:p>
    <w:p>
      <w:pPr>
        <w:pStyle w:val="ListBullet"/>
      </w:pPr>
      <w:r>
        <w:t>Femme induction simple : 250 μg en une injection SC unique après stimulation par FSH/clomifène.</w:t>
      </w:r>
    </w:p>
    <w:p>
      <w:pPr>
        <w:pStyle w:val="ListBullet"/>
      </w:pPr>
      <w:r>
        <w:t>Homme hypogonadisme hypogonadotrophique : 1500–2500 UI SC × 2/semaine + FSH 75–150 UI × 3/semaine.</w:t>
      </w:r>
    </w:p>
    <w:p>
      <w:pPr>
        <w:pStyle w:val="ListBullet"/>
      </w:pPr>
      <w:r>
        <w:t>Test de stimulation à l'hCG (exploration hypogonadisme) : 1500–5000 UI IM, dosage testostérone à J2, J4, J7.</w:t>
      </w:r>
    </w:p>
    <w:p>
      <w:pPr>
        <w:pStyle w:val="ListBullet"/>
      </w:pPr>
      <w:r>
        <w:t>Sujet âgé : non applicable.</w:t>
      </w:r>
    </w:p>
    <w:p>
      <w:pPr>
        <w:pStyle w:val="ListBullet"/>
      </w:pPr>
      <w:r>
        <w:t>Durée : injection unique dans l'induction d'ovulation ; protocole chronique chez l'homme.</w:t>
      </w:r>
    </w:p>
    <w:p>
      <w:pPr>
        <w:pStyle w:val="ListBullet"/>
      </w:pPr>
      <w:r>
        <w:t>Moment de prise : injection unique à heure précise (souvent le soir) 34–36 heures avant le recueil.</w:t>
      </w:r>
    </w:p>
    <w:p>
      <w:r/>
      <w:r>
        <w:rPr>
          <w:b/>
        </w:rPr>
        <w:t>Arbitrage et Bénéfices des Formes Galéniques :</w:t>
      </w:r>
      <w:r/>
    </w:p>
    <w:p>
      <w:r>
        <w:t>La seringue préremplie 250 μg/0,5 ml est unique et standardisée — pas de reconstitution nécessaire, facilité d'auto-administration. La précision du dosage (250 μg) garantit l'efficacité sans risque de surdosage.</w:t>
      </w:r>
    </w:p>
    <w:p>
      <w:r/>
      <w:r>
        <w:rPr>
          <w:b/>
        </w:rPr>
        <w:t>Instructions et Conseils au Patient :</w:t>
      </w:r>
      <w:r/>
    </w:p>
    <w:p>
      <w:pPr>
        <w:pStyle w:val="ListBullet"/>
      </w:pPr>
      <w:r>
        <w:t>Communication au comptoir : information précise sur l'heure d'injection (calculée à la minute près avec le médecin) ; conservation au frigo ; signes d'alerte du SHSO à connaître (consultation urgente si distension abdominale, douleurs pelviennes intenses, nausées, vomissements, dyspnée).</w:t>
      </w:r>
    </w:p>
    <w:p>
      <w:pPr>
        <w:pStyle w:val="ListBullet"/>
      </w:pPr>
      <w:r>
        <w:t>Mode d'utilisation pratique : injection SC (abdomen) à heure fixe ; la seringue est prête à l'emploi ; pas de reconstitution.</w:t>
      </w:r>
    </w:p>
    <w:p>
      <w:r/>
      <w:r>
        <w:rPr>
          <w:b/>
        </w:rPr>
        <w:t>Notes, Règles d'Or &amp; Pièges au Comptoir :</w:t>
      </w:r>
      <w:r/>
    </w:p>
    <w:p>
      <w:pPr>
        <w:pStyle w:val="ListBullet"/>
      </w:pPr>
      <w:r>
        <w:t>Piège classique : ne pas confondre Ovitrelle (hCG recombinante, déclenchement) avec Gonal-F (FSH, stimulation) — rôle distinct dans le protocole AMP.</w:t>
      </w:r>
    </w:p>
    <w:p>
      <w:pPr>
        <w:pStyle w:val="ListBullet"/>
      </w:pPr>
      <w:r>
        <w:t>Règle de prise : injection unique à heure précise calculée avec le gynécologue.</w:t>
      </w:r>
    </w:p>
    <w:p>
      <w:pPr>
        <w:pStyle w:val="ListBullet"/>
      </w:pPr>
      <w:r>
        <w:t>Préparation et Conservation : à 2–8 °C au frigo, à l'abri de la lumière ; hors frigo ≤ 30 jours à température &lt; 25 °C.</w:t>
      </w:r>
    </w:p>
    <w:p>
      <w:pPr>
        <w:pStyle w:val="ListBullet"/>
      </w:pPr>
      <w:r>
        <w:t>Piège du surdosage / Substitution : ne jamais réinjecter en cas de doute (consulter en urgence) — risque de SHSO sévère.</w:t>
      </w:r>
    </w:p>
    <w:p>
      <w:pPr>
        <w:pStyle w:val="Heading3"/>
      </w:pPr>
      <w:r>
        <w:t>11. DCI : Cetrorelix / Ganirelix (Seule)</w:t>
      </w:r>
    </w:p>
    <w:p>
      <w:r/>
      <w:r>
        <w:rPr>
          <w:b/>
        </w:rPr>
        <w:t>Liste des Catégories :</w:t>
      </w:r>
      <w:r>
        <w:t xml:space="preserve"> Antagonistes GnRH ; Liste I.</w:t>
      </w:r>
    </w:p>
    <w:p>
      <w:r>
        <w:t>Les antagonistes de la GnRH (cetrorelix, ganirelix) inhibent de façon immédiate et compétitive les récepteurs hypophysaires de la GnRH, supprimant la sécrétion de FSH et LH sans effet flare initial (contrairement aux agonistes). Utilisés en AMP en protocole court pour prévenir l'ovulation prématurée pendant la stimulation folliculaire. Demi-vie d'environ 30 heures (cetrorelix) et 13 heures (ganirelix).</w:t>
      </w:r>
    </w:p>
    <w:p>
      <w:r/>
      <w:r>
        <w:rPr>
          <w:b/>
        </w:rPr>
        <w:t>Médicaments disponibles en Algérie (Marques, Laboratoires, Formes et Dosages) :</w:t>
      </w:r>
      <w:r/>
    </w:p>
    <w:p>
      <w:pPr>
        <w:pStyle w:val="ListBullet"/>
      </w:pPr>
      <w:r/>
      <w:r>
        <w:rPr>
          <w:b/>
        </w:rPr>
        <w:t>CETROTIDE</w:t>
      </w:r>
      <w:r>
        <w:t xml:space="preserve"> (MERCK SERONO EUROPE LIMITED / SERONO EUROPE LIMITED)</w:t>
      </w:r>
    </w:p>
    <w:p>
      <w:pPr>
        <w:pStyle w:val="ListBullet"/>
      </w:pPr>
      <w:r>
        <w:t>Formes et Dosages : Poudre et solvant pour solution injectable SC — 0,25 mg/flacon de poudre [Actif]</w:t>
      </w:r>
    </w:p>
    <w:p>
      <w:pPr>
        <w:pStyle w:val="ListBullet"/>
      </w:pPr>
      <w:r>
        <w:t>Formes et Dosages : Poudre et solvant pour solution injectable SC — 3,00 mg/flacon de poudre [Non Renouvelable]</w:t>
      </w:r>
    </w:p>
    <w:p>
      <w:pPr>
        <w:pStyle w:val="ListBullet"/>
      </w:pPr>
      <w:r>
        <w:t>Statut : Actif (forme 0,25 mg)</w:t>
      </w:r>
    </w:p>
    <w:p>
      <w:pPr>
        <w:pStyle w:val="ListBullet"/>
      </w:pPr>
      <w:r/>
      <w:r>
        <w:rPr>
          <w:b/>
        </w:rPr>
        <w:t>ORGALUTRAN</w:t>
      </w:r>
      <w:r>
        <w:t xml:space="preserve"> (ORGANON N.V.)</w:t>
      </w:r>
    </w:p>
    <w:p>
      <w:pPr>
        <w:pStyle w:val="ListBullet"/>
      </w:pPr>
      <w:r>
        <w:t>Formes et Dosages : Solution injectable SC en seringue préremplie — 0,5 mg/ml (0,25 mg/0,5 ml)</w:t>
      </w:r>
    </w:p>
    <w:p>
      <w:pPr>
        <w:pStyle w:val="ListBullet"/>
      </w:pPr>
      <w:r>
        <w:t>Statut : Non Renouvelable (mais disponible sur ordonnat)</w:t>
      </w:r>
    </w:p>
    <w:p>
      <w:r/>
      <w:r>
        <w:rPr>
          <w:b/>
        </w:rPr>
        <w:t>Sous-classe et Mécanisme d'action :</w:t>
      </w:r>
      <w:r/>
    </w:p>
    <w:p>
      <w:pPr>
        <w:pStyle w:val="ListBullet"/>
      </w:pPr>
      <w:r>
        <w:t>Sous-classe : Antagonistes de la GnRH (3e génération, dérivés peptidiques modifiés).</w:t>
      </w:r>
    </w:p>
    <w:p>
      <w:pPr>
        <w:pStyle w:val="ListBullet"/>
      </w:pPr>
      <w:r>
        <w:t>Mécanisme d'action : le cetrorelix et le ganirelix sont des peptides de synthèse analogues dégradés de la GnRH naturelle, modifiés en positions 1, 2, 3, 6 et 10 pour conférer une affinité élevée et une stabilité accrue. Ils se lient de façon compétitive et immédiate aux récepteurs hypophysaires de la GnRH, bloquant l'action de la GnRH endogène. La suppression des gonadotrophines (LH principalement) est immédiate (sans effet flare initial contrairement aux agonistes). L'avantage majeur en AMP est la possibilité d'un protocole court (8–12 jours vs 3 semaines pour le protocole long agoniste) avec une réduction du risque de SHSO.</w:t>
      </w:r>
    </w:p>
    <w:p>
      <w:r/>
      <w:r>
        <w:rPr>
          <w:b/>
        </w:rPr>
        <w:t>Profil Pharmacologique :</w:t>
      </w:r>
      <w:r/>
    </w:p>
    <w:p>
      <w:pPr>
        <w:pStyle w:val="ListBullet"/>
      </w:pPr>
      <w:r>
        <w:t>Indications : prévention de la levée du pic ovulant de LH endogène pendant la stimulation ovarienne en AMP (protocole antagoniste) ; administration quotidienne à partir de J6 de stimulation (follicule ≥ 14 mm) jusqu'au déclencheur par hCG.</w:t>
      </w:r>
    </w:p>
    <w:p>
      <w:pPr>
        <w:pStyle w:val="ListBullet"/>
      </w:pPr>
      <w:r>
        <w:t>Contre-indications : hypersensibilité, insuffisance rénale sévère (cetrorelix), grossesse, allaitement, ménopause, tumeurs hypophysaires.</w:t>
      </w:r>
    </w:p>
    <w:p>
      <w:pPr>
        <w:pStyle w:val="ListBullet"/>
      </w:pPr>
      <w:r>
        <w:t>Effets Indésirables : réactions locales au point d'injection (rougeur, œdème, prurit — 10–20 %), céphalées, nausées, asthénie, rare syndrome d'hyperstimulation ovarienne résiduel (moins fréquent qu'en protocole agoniste), très rares réactions d'hypersensibilité (œdème de Quincke, choc anaphylactique).</w:t>
      </w:r>
    </w:p>
    <w:p>
      <w:r/>
      <w:r>
        <w:rPr>
          <w:b/>
        </w:rPr>
        <w:t>Prévention et Gestion des Effets Indésirables :</w:t>
      </w:r>
      <w:r/>
    </w:p>
    <w:p>
      <w:pPr>
        <w:pStyle w:val="ListBullet"/>
      </w:pPr>
      <w:r>
        <w:t>Mesures Préventives : respect strict du calendrier AMP, surveillance échographique et biologique (estradiol) ; information de la patiente sur les signes d'hypersensibilité.</w:t>
      </w:r>
    </w:p>
    <w:p>
      <w:pPr>
        <w:pStyle w:val="ListBullet"/>
      </w:pPr>
      <w:r>
        <w:t>Conduite à Tenir : arrêt immédiat en cas de réaction allergique systémique ; switch vers agoniste GnRH si intolérance locale sévère.</w:t>
      </w:r>
    </w:p>
    <w:p>
      <w:r/>
      <w:r>
        <w:rPr>
          <w:b/>
        </w:rPr>
        <w:t>Interactions Importantes :</w:t>
      </w:r>
      <w:r/>
    </w:p>
    <w:p>
      <w:pPr>
        <w:pStyle w:val="ListBullet"/>
      </w:pPr>
      <w:r>
        <w:t>Cetrorelix + FSH (follitropine) : protocole combiné standard.</w:t>
      </w:r>
    </w:p>
    <w:p>
      <w:pPr>
        <w:pStyle w:val="ListBullet"/>
      </w:pPr>
      <w:r>
        <w:t>Cetrorelix + hCG (déclencheur) : déclenchement de l'ovulation.</w:t>
      </w:r>
    </w:p>
    <w:p>
      <w:r/>
      <w:r>
        <w:rPr>
          <w:b/>
        </w:rPr>
        <w:t>Grossesse et Allaitement :</w:t>
      </w:r>
      <w:r/>
    </w:p>
    <w:p>
      <w:pPr>
        <w:pStyle w:val="ListBullet"/>
      </w:pPr>
      <w:r>
        <w:t>Grossesse : CI en cours (mais le but est de prévenir une ovulation prématurée — après déclenchement par hCG, le traitement est arrêté).</w:t>
      </w:r>
    </w:p>
    <w:p>
      <w:pPr>
        <w:pStyle w:val="ListBullet"/>
      </w:pPr>
      <w:r>
        <w:t>Allaitement : CI.</w:t>
      </w:r>
    </w:p>
    <w:p>
      <w:pPr>
        <w:pStyle w:val="ListBullet"/>
      </w:pPr>
      <w:r>
        <w:t>Précisions : information de la patiente sur le protocole court (8–12 jours).</w:t>
      </w:r>
    </w:p>
    <w:p>
      <w:r/>
      <w:r>
        <w:rPr>
          <w:b/>
        </w:rPr>
        <w:t>Posologie et Mode d'administration (Standard) :</w:t>
      </w:r>
      <w:r/>
    </w:p>
    <w:p>
      <w:pPr>
        <w:pStyle w:val="ListBullet"/>
      </w:pPr>
      <w:r>
        <w:t>Femme AMP protocole antagoniste (Cetrorelix) : 0,25 mg/j SC à partir de J5-J6 de stimulation (follicule ≥ 14 mm ou estradiol adéquat), jusqu'au jour du déclenchement par hCG (8–12 jours en moyenne).</w:t>
      </w:r>
    </w:p>
    <w:p>
      <w:pPr>
        <w:pStyle w:val="ListBullet"/>
      </w:pPr>
      <w:r>
        <w:t>Femme AMP protocole antagoniste dose unique (Cetrorelix 3 mg) : 1 injection SC unique de 3 mg à J7, couvrant 96 heures — si pas de déclencheur à J4, poursuivre par 0,25 mg/j.</w:t>
      </w:r>
    </w:p>
    <w:p>
      <w:pPr>
        <w:pStyle w:val="ListBullet"/>
      </w:pPr>
      <w:r>
        <w:t>Femme AMP protocole antagoniste (Ganirelix) : 0,25 mg/j SC à partir de J6 jusqu'au déclenchement.</w:t>
      </w:r>
    </w:p>
    <w:p>
      <w:pPr>
        <w:pStyle w:val="ListBullet"/>
      </w:pPr>
      <w:r>
        <w:t>Sujet âgé : non applicable.</w:t>
      </w:r>
    </w:p>
    <w:p>
      <w:pPr>
        <w:pStyle w:val="ListBullet"/>
      </w:pPr>
      <w:r>
        <w:t>Durée : 8–12 jours en moyenne.</w:t>
      </w:r>
    </w:p>
    <w:p>
      <w:pPr>
        <w:pStyle w:val="ListBullet"/>
      </w:pPr>
      <w:r>
        <w:t>Moment de prise : injection SC quotidienne à heure fixe (le matin pour le ganirelix, le soir pour le cetrorelix).</w:t>
      </w:r>
    </w:p>
    <w:p>
      <w:r/>
      <w:r>
        <w:rPr>
          <w:b/>
        </w:rPr>
        <w:t>Arbitrage et Bénéfices des Formes Galéniques :</w:t>
      </w:r>
      <w:r/>
    </w:p>
    <w:p>
      <w:r>
        <w:t>Cetrorelix 0,25 mg en flacon (reconstitution nécessaire) vs Ganirelix en seringue préremplie (plus pratique). La forme 3 mg dose unique de cetrorelix simplifie l'observance (1 injection au lieu de 5 à 8). Le protocole antagoniste est plus court, mieux toléré et comporte moins de risque de SHSO que le protocole long agoniste.</w:t>
      </w:r>
    </w:p>
    <w:p>
      <w:r/>
      <w:r>
        <w:rPr>
          <w:b/>
        </w:rPr>
        <w:t>Instructions et Conseils au Patient :</w:t>
      </w:r>
      <w:r/>
    </w:p>
    <w:p>
      <w:pPr>
        <w:pStyle w:val="ListBullet"/>
      </w:pPr>
      <w:r>
        <w:t>Communication au comptoir : enseignement à l'auto-injection SC (technique de reconstitution pour le cetrorelix flacon) ; information sur la rotation des sites d'injection (abdomen, cuisse) ; signes d'hypersensibilité à connaître (œdème, urticaire, dyspnée — arrêt et consultation urgente).</w:t>
      </w:r>
    </w:p>
    <w:p>
      <w:pPr>
        <w:pStyle w:val="ListBullet"/>
      </w:pPr>
      <w:r>
        <w:t>Mode d'utilisation pratique : reconstitution aseptique pour le cetrorelix ; seringue préremplie prête pour le ganirelix ; conservation au frigo.</w:t>
      </w:r>
    </w:p>
    <w:p>
      <w:r/>
      <w:r>
        <w:rPr>
          <w:b/>
        </w:rPr>
        <w:t>Notes, Règles d'Or &amp; Pièges au Comptoir :</w:t>
      </w:r>
      <w:r/>
    </w:p>
    <w:p>
      <w:pPr>
        <w:pStyle w:val="ListBullet"/>
      </w:pPr>
      <w:r>
        <w:t>Piège classique : oublier une injection (risque d'ovulation prématurée et de perte du cycle AMP) — information de la patiente sur l'importance de l'heure fixe.</w:t>
      </w:r>
    </w:p>
    <w:p>
      <w:pPr>
        <w:pStyle w:val="ListBullet"/>
      </w:pPr>
      <w:r>
        <w:t>Règle de prise : injection SC quotidienne stricte à heure fixe.</w:t>
      </w:r>
    </w:p>
    <w:p>
      <w:pPr>
        <w:pStyle w:val="ListBullet"/>
      </w:pPr>
      <w:r>
        <w:t>Préparation et Conservation : à 2–8 °C, à l'abri de la lumière.</w:t>
      </w:r>
    </w:p>
    <w:p>
      <w:pPr>
        <w:pStyle w:val="ListBullet"/>
      </w:pPr>
      <w:r>
        <w:t>Piège du surdosage / Substitution : ne pas confondre cetrorelix 0,25 mg et 3 mg — posologies différentes.</w:t>
      </w:r>
    </w:p>
    <w:p>
      <w:pPr>
        <w:pStyle w:val="Heading3"/>
      </w:pPr>
      <w:r>
        <w:t>12. DCI : Agonistes GnRH — Leuproréline, Goséréline, Triptoréline (Seule)</w:t>
      </w:r>
    </w:p>
    <w:p>
      <w:r/>
      <w:r>
        <w:rPr>
          <w:b/>
        </w:rPr>
        <w:t>Liste des Catégories :</w:t>
      </w:r>
      <w:r>
        <w:t xml:space="preserve"> Agonistes GnRH ; Liste I.</w:t>
      </w:r>
    </w:p>
    <w:p>
      <w:r>
        <w:t>Les agonistes de la GnRH (leuproréline, goséréline, triptoréline) sont des peptides de synthèse analogues de la GnRH naturelle modifiés en position 6 et 10 pour conférer une affinité élevée et une résistance à la dégradation enzymatique. Leur administration continue (forme LP) induit une désensibilisation hypophysaire (down-regulation) aboutissant à une castration chimique réversible. Les formes galéniques LP (1, 3, 6 mois) conditionnent la compliance.</w:t>
      </w:r>
    </w:p>
    <w:p>
      <w:r/>
      <w:r>
        <w:rPr>
          <w:b/>
        </w:rPr>
        <w:t>Médicaments disponibles en Algérie (Marques, Laboratoires, Formes et Dosages) :</w:t>
      </w:r>
      <w:r/>
    </w:p>
    <w:p>
      <w:pPr>
        <w:pStyle w:val="ListBullet"/>
      </w:pPr>
      <w:r/>
      <w:r>
        <w:rPr>
          <w:b/>
        </w:rPr>
        <w:t>DECAPEPTYL LP</w:t>
      </w:r>
      <w:r>
        <w:t xml:space="preserve"> (SPA IPSEN PHARMA ALGERIE) — Triptoréline pamoate</w:t>
      </w:r>
    </w:p>
    <w:p>
      <w:pPr>
        <w:pStyle w:val="ListBullet"/>
      </w:pPr>
      <w:r>
        <w:t>Formes et Dosages : Poudre + solvant suspension injectable IM et SC LP 3 mois — 11,25 mg/flacon</w:t>
      </w:r>
    </w:p>
    <w:p>
      <w:pPr>
        <w:pStyle w:val="ListBullet"/>
      </w:pPr>
      <w:r>
        <w:t>Formes et Dosages : Poudre + solvant suspension injectable IM et SC LP 1 mois — 3,75 mg/flacon</w:t>
      </w:r>
    </w:p>
    <w:p>
      <w:pPr>
        <w:pStyle w:val="ListBullet"/>
      </w:pPr>
      <w:r>
        <w:t>Statut : Actif</w:t>
      </w:r>
    </w:p>
    <w:p>
      <w:pPr>
        <w:pStyle w:val="ListBullet"/>
      </w:pPr>
      <w:r/>
      <w:r>
        <w:rPr>
          <w:b/>
        </w:rPr>
        <w:t>DECAPEPTYL</w:t>
      </w:r>
      <w:r>
        <w:t xml:space="preserve"> (LABORATOIRE IPSEN N.V) — Triptoréline</w:t>
      </w:r>
    </w:p>
    <w:p>
      <w:pPr>
        <w:pStyle w:val="ListBullet"/>
      </w:pPr>
      <w:r>
        <w:t>Formes et Dosages : Poudre + solvant solution injectable SC — 0,1 mg/ml</w:t>
      </w:r>
    </w:p>
    <w:p>
      <w:pPr>
        <w:pStyle w:val="ListBullet"/>
      </w:pPr>
      <w:r>
        <w:t>Statut : Actif (forme quotidienne pour AMP)</w:t>
      </w:r>
    </w:p>
    <w:p>
      <w:pPr>
        <w:pStyle w:val="ListBullet"/>
      </w:pPr>
      <w:r/>
      <w:r>
        <w:rPr>
          <w:b/>
        </w:rPr>
        <w:t>ELIGARD</w:t>
      </w:r>
      <w:r>
        <w:t xml:space="preserve"> (RACORDATI INDUSTRIA CHIMICA E FARMACEUTICA) — Leuproréline acétate</w:t>
      </w:r>
    </w:p>
    <w:p>
      <w:pPr>
        <w:pStyle w:val="ListBullet"/>
      </w:pPr>
      <w:r>
        <w:t>Formes et Dosages : Poudre + solvant solution injectable SC diffusion lente sur 3 mois — 22,5 mg</w:t>
      </w:r>
    </w:p>
    <w:p>
      <w:pPr>
        <w:pStyle w:val="ListBullet"/>
      </w:pPr>
      <w:r>
        <w:t>Formes et Dosages : Poudre + solvant solution injectable SC diffusion lente sur 6 mois — 45 mg</w:t>
      </w:r>
    </w:p>
    <w:p>
      <w:pPr>
        <w:pStyle w:val="ListBullet"/>
      </w:pPr>
      <w:r>
        <w:t>Statut : Actif</w:t>
      </w:r>
    </w:p>
    <w:p>
      <w:pPr>
        <w:pStyle w:val="ListBullet"/>
      </w:pPr>
      <w:r/>
      <w:r>
        <w:rPr>
          <w:b/>
        </w:rPr>
        <w:t>ZOLADEX</w:t>
      </w:r>
      <w:r>
        <w:t xml:space="preserve"> (ASTRA ZENECA) — Goséréline acétate</w:t>
      </w:r>
    </w:p>
    <w:p>
      <w:pPr>
        <w:pStyle w:val="ListBullet"/>
      </w:pPr>
      <w:r>
        <w:t>Formes et Dosages : Implant SC en seringue préremplie — 3,6 mg (LP 1 mois)</w:t>
      </w:r>
    </w:p>
    <w:p>
      <w:pPr>
        <w:pStyle w:val="ListBullet"/>
      </w:pPr>
      <w:r>
        <w:t>Formes et Dosages : Implant SC en seringue préremplie — 10,8 mg (LP 3 mois)</w:t>
      </w:r>
    </w:p>
    <w:p>
      <w:pPr>
        <w:pStyle w:val="ListBullet"/>
      </w:pPr>
      <w:r>
        <w:t>Statut : Actif</w:t>
      </w:r>
    </w:p>
    <w:p>
      <w:pPr>
        <w:pStyle w:val="ListBullet"/>
      </w:pPr>
      <w:r/>
      <w:r>
        <w:rPr>
          <w:b/>
        </w:rPr>
        <w:t>ENANTONE LP</w:t>
      </w:r>
      <w:r>
        <w:t xml:space="preserve"> (TAKEDA FRANCE SAS) — Leuproréline [3,75 mg/2 ml]</w:t>
      </w:r>
    </w:p>
    <w:p>
      <w:pPr>
        <w:pStyle w:val="ListBullet"/>
      </w:pPr>
      <w:r>
        <w:t>Statut : Retiré (R)</w:t>
      </w:r>
    </w:p>
    <w:p>
      <w:pPr>
        <w:pStyle w:val="ListBullet"/>
      </w:pPr>
      <w:r/>
      <w:r>
        <w:rPr>
          <w:b/>
        </w:rPr>
        <w:t>ENANTONE LP 11,25 MG</w:t>
      </w:r>
      <w:r>
        <w:t xml:space="preserve"> (TAKEDA FRANCE SAS) — Leuproréline acétate</w:t>
      </w:r>
    </w:p>
    <w:p>
      <w:pPr>
        <w:pStyle w:val="ListBullet"/>
      </w:pPr>
      <w:r>
        <w:t>Formes et Dosages : Microsphères + solvant usage parentéral SC/IM LP — 11,25 mg</w:t>
      </w:r>
    </w:p>
    <w:p>
      <w:pPr>
        <w:pStyle w:val="ListBullet"/>
      </w:pPr>
      <w:r>
        <w:t>Statut : Retiré (R)</w:t>
      </w:r>
    </w:p>
    <w:p>
      <w:r/>
      <w:r>
        <w:rPr>
          <w:b/>
        </w:rPr>
        <w:t>Sous-classe et Mécanisme d'action :</w:t>
      </w:r>
      <w:r/>
    </w:p>
    <w:p>
      <w:pPr>
        <w:pStyle w:val="ListBullet"/>
      </w:pPr>
      <w:r>
        <w:t>Sous-classe : Agonistes de la GnRH (3e génération — peptides modifiés).</w:t>
      </w:r>
    </w:p>
    <w:p>
      <w:pPr>
        <w:pStyle w:val="ListBullet"/>
      </w:pPr>
      <w:r>
        <w:t>Mécanisme d'action : les agonistes de la GnRH se lient au récepteur hypophysaire de la GnRH (GNRHR). En administration pulsatile physiologique, ils stimuleraient la sécrétion de FSH/LH. En administration continue (formes LP), ils induisent une désensibilisation du récepteur (down-regulation) par internalisation et perte de la signalisation. La conséquence biologique est un effondrement progressif (en 2–4 semaines) de la sécrétion de FSH et LH, puis de la testostérone (homme) et de l'estradiol (femme), aboutissant à une castration chimique réversible. Un effet « flare-up » initial survient dans les 7 à 10 premiers jours (pic de LH, FSH, testostérone/estradiol) imposant une couverture par anti-androgène dans le cancer de prostate.</w:t>
      </w:r>
    </w:p>
    <w:p>
      <w:r/>
      <w:r>
        <w:rPr>
          <w:b/>
        </w:rPr>
        <w:t>Profil Pharmacologique :</w:t>
      </w:r>
      <w:r/>
    </w:p>
    <w:p>
      <w:pPr>
        <w:pStyle w:val="ListBullet"/>
      </w:pPr>
      <w:r>
        <w:t>Indications : cancer de la prostate hormono-dépendant (forme métastatique, adjuvant radiothérapie, néo-adjuvant prostatectomie), endométriose pelvienne profonde (6 mois max), fibromes utérins symptomatiques avant chirurgie (3–6 mois), puberté précoce centrale (au long cours jusqu'à âge osseux souhaité), AMP protocole long (forme quotidienne SC — Decapeptyl 0,1 mg/ml), certaines hémopathies (lymphomes hormono-sensibles exceptionnels).</w:t>
      </w:r>
    </w:p>
    <w:p>
      <w:pPr>
        <w:pStyle w:val="ListBullet"/>
      </w:pPr>
      <w:r>
        <w:t>Contre-indications : hypersensibilité, grossesse et allaitement, saignements vaginaux inexpliqués, ostéoporose sévère non traitée (utilisation prolongée).</w:t>
      </w:r>
    </w:p>
    <w:p>
      <w:pPr>
        <w:pStyle w:val="ListBullet"/>
      </w:pPr>
      <w:r>
        <w:t>Effets Indésirables : bouffées de chaleur (60–80 %), baisse de libido et impuissance (effet attendu), sueurs nocturnes, ostéoporose accélérée (10–15 % de perte osseuse à 6 mois), troubles de l'humeur et dépression, fatigue, gynécomastie (rare), prise de poids, modification du métabolisme glucidique et lipidique, anémie modérée, flare-up tumoral initial (cancer prostate métastatique — risque d'obstruction urétrale, compression médullaire, hypercalcémie).</w:t>
      </w:r>
    </w:p>
    <w:p>
      <w:r/>
      <w:r>
        <w:rPr>
          <w:b/>
        </w:rPr>
        <w:t>Prévention et Gestion des Effets Indésirables :</w:t>
      </w:r>
      <w:r/>
    </w:p>
    <w:p>
      <w:pPr>
        <w:pStyle w:val="ListBullet"/>
      </w:pPr>
      <w:r>
        <w:t>Mesures Préventives : couverture anti-androgénique (bicalutamide 50 mg/j) pendant les 10–14 premiers jours du traitement par agoniste GnRH dans le cancer de prostate métastatique (prévention du flare) ; densitométrie osseuse pré-thérapeutique puis tous les 2 ans ; supplémentation calcium-vitamine D ; activité physique ; dépistage et traitement de l'ostéoporose (bisphosphonate, dénosumab) ; surveillance PSA et testostérone à M1, M3 puis semestriel ; soutien psychologique.</w:t>
      </w:r>
    </w:p>
    <w:p>
      <w:pPr>
        <w:pStyle w:val="ListBullet"/>
      </w:pPr>
      <w:r>
        <w:t>Conduite à Tenir : arrêt en cas de syndrome dépressif sévère ; switch vers antagoniste GnRH (dégarelix) en cas d'intolérance aux bouffées de chaleur ou d'échec du flare initial.</w:t>
      </w:r>
    </w:p>
    <w:p>
      <w:r/>
      <w:r>
        <w:rPr>
          <w:b/>
        </w:rPr>
        <w:t>Interactions Importantes :</w:t>
      </w:r>
      <w:r/>
    </w:p>
    <w:p>
      <w:pPr>
        <w:pStyle w:val="ListBullet"/>
      </w:pPr>
      <w:r>
        <w:t>Agonistes GnRH + anti-androgènes (bicalutamide, flutamide, enzalutamide) : protocole standard de bloc androgénique complet (cancer prostate).</w:t>
      </w:r>
    </w:p>
    <w:p>
      <w:pPr>
        <w:pStyle w:val="ListBullet"/>
      </w:pPr>
      <w:r>
        <w:t>Agonistes GnRH + médicaments allongeant QT : majoration du risque (effet androgéno-bloquant → hypogonadisme → allongement QT).</w:t>
      </w:r>
    </w:p>
    <w:p>
      <w:pPr>
        <w:pStyle w:val="ListBullet"/>
      </w:pPr>
      <w:r>
        <w:t>Agonistes GnRH + antidiabétiques : modification du métabolisme glucidique (hyperglycémie).</w:t>
      </w:r>
    </w:p>
    <w:p>
      <w:r/>
      <w:r>
        <w:rPr>
          <w:b/>
        </w:rPr>
        <w:t>Grossesse et Allaitement :</w:t>
      </w:r>
      <w:r/>
    </w:p>
    <w:p>
      <w:pPr>
        <w:pStyle w:val="ListBullet"/>
      </w:pPr>
      <w:r>
        <w:t>Grossesse : CI absolue (risque de fausse couche, malformations fœtales). Contraception mécanique obligatoire pendant traitement et 3 mois après l'arrêt.</w:t>
      </w:r>
    </w:p>
    <w:p>
      <w:pPr>
        <w:pStyle w:val="ListBullet"/>
      </w:pPr>
      <w:r>
        <w:t>Allaitement : CI.</w:t>
      </w:r>
    </w:p>
    <w:p>
      <w:pPr>
        <w:pStyle w:val="ListBullet"/>
      </w:pPr>
      <w:r>
        <w:t>Précisions : le risque de flare initial impose la couverture anti-androgène.</w:t>
      </w:r>
    </w:p>
    <w:p>
      <w:r/>
      <w:r>
        <w:rPr>
          <w:b/>
        </w:rPr>
        <w:t>Posologie et Mode d'administration (Standard) :</w:t>
      </w:r>
      <w:r/>
    </w:p>
    <w:p>
      <w:pPr>
        <w:pStyle w:val="ListBullet"/>
      </w:pPr>
      <w:r>
        <w:t>Cancer prostate (Decapeptyl LP 11,25 mg) : 1 injection IM ou SC toutes les 12 semaines (3 mois).</w:t>
      </w:r>
    </w:p>
    <w:p>
      <w:pPr>
        <w:pStyle w:val="ListBullet"/>
      </w:pPr>
      <w:r>
        <w:t>Cancer prostate (Decapeptyl LP 3,75 mg) : 1 injection IM ou SC toutes les 4 semaines.</w:t>
      </w:r>
    </w:p>
    <w:p>
      <w:pPr>
        <w:pStyle w:val="ListBullet"/>
      </w:pPr>
      <w:r>
        <w:t>Cancer prostate (Eligard 22,5 mg) : 1 injection SC toutes les 12 semaines.</w:t>
      </w:r>
    </w:p>
    <w:p>
      <w:pPr>
        <w:pStyle w:val="ListBullet"/>
      </w:pPr>
      <w:r>
        <w:t>Cancer prostate (Eligard 45 mg) : 1 injection SC toutes les 24 semaines (6 mois).</w:t>
      </w:r>
    </w:p>
    <w:p>
      <w:pPr>
        <w:pStyle w:val="ListBullet"/>
      </w:pPr>
      <w:r>
        <w:t>Cancer prostate (Zoladex 3,6 mg) : 1 implant SC toutes les 4 semaines.</w:t>
      </w:r>
    </w:p>
    <w:p>
      <w:pPr>
        <w:pStyle w:val="ListBullet"/>
      </w:pPr>
      <w:r>
        <w:t>Cancer prostate (Zoladex 10,8 mg) : 1 implant SC toutes les 12 semaines.</w:t>
      </w:r>
    </w:p>
    <w:p>
      <w:pPr>
        <w:pStyle w:val="ListBullet"/>
      </w:pPr>
      <w:r>
        <w:t>Endométriose/fibrome (Zoladex 3,6 mg ou Decapeptyl 3,75 mg) : 1 injection toutes les 4 semaines pendant 6 mois maximum.</w:t>
      </w:r>
    </w:p>
    <w:p>
      <w:pPr>
        <w:pStyle w:val="ListBullet"/>
      </w:pPr>
      <w:r>
        <w:t>Puberté précoce (Decapeptyl LP 3,75 mg ou 11,25 mg) : 1 injection toutes les 4 ou 12 semaines selon poids.</w:t>
      </w:r>
    </w:p>
    <w:p>
      <w:pPr>
        <w:pStyle w:val="ListBullet"/>
      </w:pPr>
      <w:r>
        <w:t>AMP protocole long (Decapeptyl 0,1 mg) : 1 injection SC/j à partir de J21 du cycle précédent, jusqu'à down-regulation puis maintien pendant stimulation (9–14 jours).</w:t>
      </w:r>
    </w:p>
    <w:p>
      <w:pPr>
        <w:pStyle w:val="ListBullet"/>
      </w:pPr>
      <w:r>
        <w:t>Sujet âgé : pas d'adaptation.</w:t>
      </w:r>
    </w:p>
    <w:p>
      <w:pPr>
        <w:pStyle w:val="ListBullet"/>
      </w:pPr>
      <w:r>
        <w:t>Durée : cancer prostate au long cours (à vie tant que réponse hormonale) ; endométriose 6 mois max ; puberté précoce jusqu'à âge osseux souhaité.</w:t>
      </w:r>
    </w:p>
    <w:p>
      <w:pPr>
        <w:pStyle w:val="ListBullet"/>
      </w:pPr>
      <w:r>
        <w:t>Moment de prise : injection unique à date fixe (respecter strictement l'intervalle 1, 3 ou 6 mois).</w:t>
      </w:r>
    </w:p>
    <w:p>
      <w:r/>
      <w:r>
        <w:rPr>
          <w:b/>
        </w:rPr>
        <w:t>Arbitrage et Bénéfices des Formes Galéniques :</w:t>
      </w:r>
      <w:r/>
    </w:p>
    <w:p>
      <w:r>
        <w:t>Les formes LP 1, 3, 6 mois conditionnent la compliance — la forme 6 mois (Eligard 45 mg) est la plus pratique mais plus coûteuse. Les formes SC (Zoladex implant, Decapeptyl LP, Eligard) sont plus pratiques que IM. Le protocole AMP impose la forme quotidienne SC (Decapeptyl 0,1 mg/ml). La diversité des disponibilités algériennes (Decapeptyl, Eligard, Zoladex actifs ; Enantone retiré) impose la maîtrise des équivalences.</w:t>
      </w:r>
    </w:p>
    <w:p>
      <w:r/>
      <w:r>
        <w:rPr>
          <w:b/>
        </w:rPr>
        <w:t>Instructions et Conseils au Patient :</w:t>
      </w:r>
      <w:r/>
    </w:p>
    <w:p>
      <w:pPr>
        <w:pStyle w:val="ListBullet"/>
      </w:pPr>
      <w:r>
        <w:t>Communication au comptoir : expliquer le caractère « castration chimique » réversible, prévenir les bouffées de chaleur (effet attendu, parfois soulagé par venlafaxine ou gabapentine — éviter THM), informer sur l'ostéoporose (densitométrie), l'importance du respect strict de l'intervalle d'injection (1, 3 ou 6 mois), signaler tout signe de flare initial (douleur osseuse accrue, troubles urinaires, céphalées — premier mois).</w:t>
      </w:r>
    </w:p>
    <w:p>
      <w:pPr>
        <w:pStyle w:val="ListBullet"/>
      </w:pPr>
      <w:r>
        <w:t>Mode d'utilisation pratique : injection à date fixe (noter sur calendrier) ; le délai d'injection ne doit pas dépasser ± 2 jours.</w:t>
      </w:r>
    </w:p>
    <w:p>
      <w:r/>
      <w:r>
        <w:rPr>
          <w:b/>
        </w:rPr>
        <w:t>Notes, Règles d'Or &amp; Pièges au Comptoir :</w:t>
      </w:r>
      <w:r/>
    </w:p>
    <w:p>
      <w:pPr>
        <w:pStyle w:val="ListBullet"/>
      </w:pPr>
      <w:r>
        <w:t>Piège classique : ne pas couvrir le flare initial du cancer prostate par anti-androgène (risque de compression médullaire, d'obstruction urétale).</w:t>
      </w:r>
    </w:p>
    <w:p>
      <w:pPr>
        <w:pStyle w:val="ListBullet"/>
      </w:pPr>
      <w:r>
        <w:t>Règle de prise : injection à date fixe (± 2 jours max) ; sinon consulter.</w:t>
      </w:r>
    </w:p>
    <w:p>
      <w:pPr>
        <w:pStyle w:val="ListBullet"/>
      </w:pPr>
      <w:r>
        <w:t>Préparation et Conservation : à 2–8 °C, ne pas congeler.</w:t>
      </w:r>
    </w:p>
    <w:p>
      <w:pPr>
        <w:pStyle w:val="ListBullet"/>
      </w:pPr>
      <w:r>
        <w:t>Piège du surdosage / Substitution : Decapeptyl 3,75 mg (1 mois) et 11,25 mg (3 mois) ne sont pas substituables — bien vérifier la posologie prescrite.</w:t>
      </w:r>
    </w:p>
    <w:p>
      <w:pPr>
        <w:pStyle w:val="Heading3"/>
      </w:pPr>
      <w:r>
        <w:t>13. DCI : Somatropine (hGH) (Seule)</w:t>
      </w:r>
    </w:p>
    <w:p>
      <w:r/>
      <w:r>
        <w:rPr>
          <w:b/>
        </w:rPr>
        <w:t>Liste des Catégories :</w:t>
      </w:r>
      <w:r>
        <w:t xml:space="preserve"> Hormone de croissance ; Liste I.</w:t>
      </w:r>
    </w:p>
    <w:p>
      <w:r>
        <w:t>La somatropine est l'hormone de croissance humaine recombinante (hGH), produite par génie génétique (E. coli ou cellules mammifères). Identique à la GH hypophysaire endogène (191 acides aminés), elle agit via le récepteur GHR hépatique en stimulant la production d'IGF-1. Administration SC quotidienne au coucher. Plusieurs dispositifs stylo injecteur disponibles (Genotropin GoQuick, Norditropine NordiFlex, Saizen, Omnitrope, Normotrope).</w:t>
      </w:r>
    </w:p>
    <w:p>
      <w:r/>
      <w:r>
        <w:rPr>
          <w:b/>
        </w:rPr>
        <w:t>Médicaments disponibles en Algérie (Marques, Laboratoires, Formes et Dosages) :</w:t>
      </w:r>
      <w:r/>
    </w:p>
    <w:p>
      <w:pPr>
        <w:pStyle w:val="ListBullet"/>
      </w:pPr>
      <w:r/>
      <w:r>
        <w:rPr>
          <w:b/>
        </w:rPr>
        <w:t>SAIZEN CLICKEASY</w:t>
      </w:r>
      <w:r>
        <w:t xml:space="preserve"> (MERCK SERONO SPA)</w:t>
      </w:r>
    </w:p>
    <w:p>
      <w:pPr>
        <w:pStyle w:val="ListBullet"/>
      </w:pPr>
      <w:r>
        <w:t>Formes et Dosages : Poudre + solvant solution injectable SC multidose — 8 mg/1,37 ml</w:t>
      </w:r>
    </w:p>
    <w:p>
      <w:pPr>
        <w:pStyle w:val="ListBullet"/>
      </w:pPr>
      <w:r>
        <w:t>Statut : Actif</w:t>
      </w:r>
    </w:p>
    <w:p>
      <w:pPr>
        <w:pStyle w:val="ListBullet"/>
      </w:pPr>
      <w:r/>
      <w:r>
        <w:rPr>
          <w:b/>
        </w:rPr>
        <w:t>NORDITROPINE NORDIFLEX</w:t>
      </w:r>
      <w:r>
        <w:t xml:space="preserve"> (NOVO NORDISK)</w:t>
      </w:r>
    </w:p>
    <w:p>
      <w:pPr>
        <w:pStyle w:val="ListBullet"/>
      </w:pPr>
      <w:r>
        <w:t>Formes et Dosages : Solution injectable SC en stylo prérempli — 5 mg/1,5 ml</w:t>
      </w:r>
    </w:p>
    <w:p>
      <w:pPr>
        <w:pStyle w:val="ListBullet"/>
      </w:pPr>
      <w:r>
        <w:t>Statut : Actif</w:t>
      </w:r>
    </w:p>
    <w:p>
      <w:pPr>
        <w:pStyle w:val="ListBullet"/>
      </w:pPr>
      <w:r/>
      <w:r>
        <w:rPr>
          <w:b/>
        </w:rPr>
        <w:t>NORMOTROPE</w:t>
      </w:r>
      <w:r>
        <w:t xml:space="preserve"> (BIOCARE BIOTECH)</w:t>
      </w:r>
    </w:p>
    <w:p>
      <w:pPr>
        <w:pStyle w:val="ListBullet"/>
      </w:pPr>
      <w:r>
        <w:t>Formes et Dosages : Solution injectable SC en stylo prérempli — 30 UI (10 mg/3 ml)</w:t>
      </w:r>
    </w:p>
    <w:p>
      <w:pPr>
        <w:pStyle w:val="ListBullet"/>
      </w:pPr>
      <w:r>
        <w:t>Statut : Actif</w:t>
      </w:r>
    </w:p>
    <w:p>
      <w:pPr>
        <w:pStyle w:val="ListBullet"/>
      </w:pPr>
      <w:r/>
      <w:r>
        <w:rPr>
          <w:b/>
        </w:rPr>
        <w:t>OMNITROPE</w:t>
      </w:r>
      <w:r>
        <w:t xml:space="preserve"> (SANDOZ GMBH AUTRICHE)</w:t>
      </w:r>
    </w:p>
    <w:p>
      <w:pPr>
        <w:pStyle w:val="ListBullet"/>
      </w:pPr>
      <w:r>
        <w:t>Formes et Dosages : Solution injectable SC en stylo prérempli — 5 mg/1,5 ml</w:t>
      </w:r>
    </w:p>
    <w:p>
      <w:pPr>
        <w:pStyle w:val="ListBullet"/>
      </w:pPr>
      <w:r>
        <w:t>Statut : Actif</w:t>
      </w:r>
    </w:p>
    <w:p>
      <w:pPr>
        <w:pStyle w:val="ListBullet"/>
      </w:pPr>
      <w:r/>
      <w:r>
        <w:rPr>
          <w:b/>
        </w:rPr>
        <w:t>SAIZEN</w:t>
      </w:r>
      <w:r>
        <w:t xml:space="preserve"> (MERCK SERONO SPA)</w:t>
      </w:r>
    </w:p>
    <w:p>
      <w:pPr>
        <w:pStyle w:val="ListBullet"/>
      </w:pPr>
      <w:r>
        <w:t>Formes et Dosages : Solution pour injection — 5,83 mg/ml</w:t>
      </w:r>
    </w:p>
    <w:p>
      <w:pPr>
        <w:pStyle w:val="ListBullet"/>
      </w:pPr>
      <w:r>
        <w:t>Statut : Actif</w:t>
      </w:r>
    </w:p>
    <w:p>
      <w:pPr>
        <w:pStyle w:val="ListBullet"/>
      </w:pPr>
      <w:r/>
      <w:r>
        <w:rPr>
          <w:b/>
        </w:rPr>
        <w:t>GENOTROPIN GOQUICK</w:t>
      </w:r>
      <w:r>
        <w:t xml:space="preserve"> (PFIZER EUROPE MA EEIG)</w:t>
      </w:r>
    </w:p>
    <w:p>
      <w:pPr>
        <w:pStyle w:val="ListBullet"/>
      </w:pPr>
      <w:r>
        <w:t>Formes et Dosages : Poudre + solvant pour solution injectable — 5,3 mg et 12 mg</w:t>
      </w:r>
    </w:p>
    <w:p>
      <w:pPr>
        <w:pStyle w:val="ListBullet"/>
      </w:pPr>
      <w:r>
        <w:t>Statut : Actif</w:t>
      </w:r>
    </w:p>
    <w:p>
      <w:pPr>
        <w:pStyle w:val="ListBullet"/>
      </w:pPr>
      <w:r/>
      <w:r>
        <w:rPr>
          <w:b/>
        </w:rPr>
        <w:t>NORDITROPINE</w:t>
      </w:r>
      <w:r>
        <w:t xml:space="preserve"> (NOVO NORDISK) — ancienne présentation</w:t>
      </w:r>
    </w:p>
    <w:p>
      <w:pPr>
        <w:pStyle w:val="ListBullet"/>
      </w:pPr>
      <w:r>
        <w:t>Formes et Dosages : Poudre solution injectable parentérale — 4 UI (1,3 mg)/ml</w:t>
      </w:r>
    </w:p>
    <w:p>
      <w:pPr>
        <w:pStyle w:val="ListBullet"/>
      </w:pPr>
      <w:r>
        <w:t>Statut : Retiré (R)</w:t>
      </w:r>
    </w:p>
    <w:p>
      <w:pPr>
        <w:pStyle w:val="ListBullet"/>
      </w:pPr>
      <w:r/>
      <w:r>
        <w:rPr>
          <w:b/>
        </w:rPr>
        <w:t>UMATROPE</w:t>
      </w:r>
      <w:r>
        <w:t xml:space="preserve"> (ELI LILLY)</w:t>
      </w:r>
    </w:p>
    <w:p>
      <w:pPr>
        <w:pStyle w:val="ListBullet"/>
      </w:pPr>
      <w:r>
        <w:t>Formes et Dosages : Poudre + solvant solution injectable SC/IM — 4 UI/2 ml (1,33 mg)</w:t>
      </w:r>
    </w:p>
    <w:p>
      <w:pPr>
        <w:pStyle w:val="ListBullet"/>
      </w:pPr>
      <w:r>
        <w:t>Statut : Retiré (R)</w:t>
      </w:r>
    </w:p>
    <w:p>
      <w:pPr>
        <w:pStyle w:val="ListBullet"/>
      </w:pPr>
      <w:r/>
      <w:r>
        <w:rPr>
          <w:b/>
        </w:rPr>
        <w:t>NORDITROPINE</w:t>
      </w:r>
      <w:r>
        <w:t xml:space="preserve"> (NOVO NORDISK) — autre présentation</w:t>
      </w:r>
    </w:p>
    <w:p>
      <w:pPr>
        <w:pStyle w:val="ListBullet"/>
      </w:pPr>
      <w:r>
        <w:t>Formes et Dosages : Poudre + solvant usage parentéral IM/SC — 12 UI</w:t>
      </w:r>
    </w:p>
    <w:p>
      <w:pPr>
        <w:pStyle w:val="ListBullet"/>
      </w:pPr>
      <w:r>
        <w:t>Statut : Retiré (R)</w:t>
      </w:r>
    </w:p>
    <w:p>
      <w:r/>
      <w:r>
        <w:rPr>
          <w:b/>
        </w:rPr>
        <w:t>Sous-classe et Mécanisme d'action :</w:t>
      </w:r>
      <w:r/>
    </w:p>
    <w:p>
      <w:pPr>
        <w:pStyle w:val="ListBullet"/>
      </w:pPr>
      <w:r>
        <w:t>Sous-classe : Hormone de croissance humaine recombinante (hGH, somatropine).</w:t>
      </w:r>
    </w:p>
    <w:p>
      <w:pPr>
        <w:pStyle w:val="ListBullet"/>
      </w:pPr>
      <w:r>
        <w:t>Mécanisme d'action : la somatropine se fixe sur le récepteur GHR (Growth Hormone Receptor) à la surface des cellules hépatiques et périphériques, déclenchant la cascade JAK2/STAT5. Au niveau hépatique, elle stimule la synthèse d'IGF-1 (Insulin-like Growth Factor 1), principal médiateur des effets de croissance et anabolisants. L'IGF-1 circule lié à IGFBP-3 et ALS (Complex Stabilizer). Les effets directs de la GH incluent : lipolyse (baisse masse grasse), rétention sodée, stimulation de la gluconéogenèse hépatique (effet diabétogène à haute dose), stimulation de la croissance osseuse et musculaire (via IGF-1). L'administration SC quotidienne mime la sécrétion physiologique pulsatile nocturne.</w:t>
      </w:r>
    </w:p>
    <w:p>
      <w:r/>
      <w:r>
        <w:rPr>
          <w:b/>
        </w:rPr>
        <w:t>Profil Pharmacologique :</w:t>
      </w:r>
      <w:r/>
    </w:p>
    <w:p>
      <w:pPr>
        <w:pStyle w:val="ListBullet"/>
      </w:pPr>
      <w:r>
        <w:t>Indications : retard de croissance par déficit en GH chez l'enfant ; syndrome de Turner ; syndrome de Prader-Willi ; retards de croissance chez l'enfant petit pour l'âge gestationnel (SGA) sans rattrapage à 4 ans ; syndrome de Noonan ; retard de croissance chronique d'origine rénale (pré-dialyse) ; déficit en GH chez l'adulte confirmé (hypopituitarisme) ; rarement, wasting syndrome HIV (indication retirée en Europe).</w:t>
      </w:r>
    </w:p>
    <w:p>
      <w:pPr>
        <w:pStyle w:val="ListBullet"/>
      </w:pPr>
      <w:r>
        <w:t>Contre-indications : néoplasie évolutive ou antécédent néoplasique (sauf en rémission complète après accord oncologique), transplantation rénale, rétinopathie diabétique proliférative sévère, syndrome de Prader-Willi avec obésité sévère et insuffisance respiratoire non contrôlée, hypertension intracrânienne non traitée, épiphysiolyse en cours.</w:t>
      </w:r>
    </w:p>
    <w:p>
      <w:pPr>
        <w:pStyle w:val="ListBullet"/>
      </w:pPr>
      <w:r>
        <w:t>Effets Indésirables : réactions locales au point d'injection (rougeur, prurit, lipodystrophie), hypertension intracrânienne bénigne (céphalées, troubles visuels), arthralgies, myalgies, œdèmes périphériques, syndrome du canal carpien, hyperglycémie et diabète de type 2 (surtout sujet à risque), hypothyroïdie (effet antithyroïdien), progression de scoliose, épiphysiolyse, pancréatite (rare), gynécomastie, anticorps anti-GH (rarement neutralisants).</w:t>
      </w:r>
    </w:p>
    <w:p>
      <w:r/>
      <w:r>
        <w:rPr>
          <w:b/>
        </w:rPr>
        <w:t>Prévention et Gestion des Effets Indésirables :</w:t>
      </w:r>
      <w:r/>
    </w:p>
    <w:p>
      <w:pPr>
        <w:pStyle w:val="ListBullet"/>
      </w:pPr>
      <w:r>
        <w:t>Mesures Préventives : dosage IGF-1 pré-thérapeutique puis trimestriel (cible : IGF-1 dans les limites de la normale pour l'âge, ajustement posologique pour IGF-1 &gt; +2 DS) ; examen ophtalmologique (fond d'œil) initial puis annuel ; surveillance glycémique (HbA1c, glycémie à jeun) ; dosage TSH/T4 libre à 3 et 6 mois puis semestriel (hypothyroïdie induite) ; radiographie rachis (scoliose) ; surveillance croissance et âge osseux semestrielle.</w:t>
      </w:r>
    </w:p>
    <w:p>
      <w:pPr>
        <w:pStyle w:val="ListBullet"/>
      </w:pPr>
      <w:r>
        <w:t>Conduite à Tenir : arrêt temporaire en cas d'hypertension intracrânienne (céphalées intenses, vomissements, troubles visuels) et reprise à dose réduite après acétazolamide ; substitution thyroïdienne par lévothyroxine si hypothyroïdie ; adaptation posologique pour IGF-1 &gt; +2 DS ; arrêt en cas de néoplasie.</w:t>
      </w:r>
    </w:p>
    <w:p>
      <w:r/>
      <w:r>
        <w:rPr>
          <w:b/>
        </w:rPr>
        <w:t>Interactions Importantes :</w:t>
      </w:r>
      <w:r/>
    </w:p>
    <w:p>
      <w:pPr>
        <w:pStyle w:val="ListBullet"/>
      </w:pPr>
      <w:r>
        <w:t>Somatropine + corticoïdes (glucocorticoïdes) : antagonisme d'effet (baisse de l'effet statural — administrer à des horaires décalés, surveiller la croissance).</w:t>
      </w:r>
    </w:p>
    <w:p>
      <w:pPr>
        <w:pStyle w:val="ListBullet"/>
      </w:pPr>
      <w:r>
        <w:t>Somatropine + lévothyroxine : potentialisation de la conversion T4→T3, nécessité d'augmenter la dose de lévothyroxine.</w:t>
      </w:r>
    </w:p>
    <w:p>
      <w:pPr>
        <w:pStyle w:val="ListBullet"/>
      </w:pPr>
      <w:r>
        <w:t>Somatropine + insuline : augmentation possible des besoins insuliniques (effet diabétogène).</w:t>
      </w:r>
    </w:p>
    <w:p>
      <w:pPr>
        <w:pStyle w:val="ListBullet"/>
      </w:pPr>
      <w:r>
        <w:t>Somatropine + estrogènes oraux : baisse de l'efficacité de la GH (estrogènes oraux → baisse de l'IGF-1 hépatique) — préférer estrogènes transdermiques.</w:t>
      </w:r>
    </w:p>
    <w:p>
      <w:pPr>
        <w:pStyle w:val="ListBullet"/>
      </w:pPr>
      <w:r>
        <w:t>Somatropine + analogue somatostatine (octréotide) : antagonisme pharmacologique.</w:t>
      </w:r>
    </w:p>
    <w:p>
      <w:r/>
      <w:r>
        <w:rPr>
          <w:b/>
        </w:rPr>
        <w:t>Grossesse et Allaitement :</w:t>
      </w:r>
      <w:r/>
    </w:p>
    <w:p>
      <w:pPr>
        <w:pStyle w:val="ListBullet"/>
      </w:pPr>
      <w:r>
        <w:t>Grossesse : non recommandée pendant traitement (données limitées), arrêt en cas de désir de grossesse.</w:t>
      </w:r>
    </w:p>
    <w:p>
      <w:pPr>
        <w:pStyle w:val="ListBullet"/>
      </w:pPr>
      <w:r>
        <w:t>Allaitement : à éviter (données limitées).</w:t>
      </w:r>
    </w:p>
    <w:p>
      <w:pPr>
        <w:pStyle w:val="ListBullet"/>
      </w:pPr>
      <w:r>
        <w:t>Précisions : chez la femme enceinte adulte déficitaire en GH, l'augmentation physiologique de la GH placentaire compense en partie.</w:t>
      </w:r>
    </w:p>
    <w:p>
      <w:r/>
      <w:r>
        <w:rPr>
          <w:b/>
        </w:rPr>
        <w:t>Posologie et Mode d'administration (Standard) :</w:t>
      </w:r>
      <w:r/>
    </w:p>
    <w:p>
      <w:pPr>
        <w:pStyle w:val="ListBullet"/>
      </w:pPr>
      <w:r>
        <w:t>Enfant déficit en GH : 0,025 à 0,035 mg/kg/semaine SC (soit 0,7 à 1,0 UI/kg/sem), répartis en 6 à 7 injections hebdomadaires (quotidiennes).</w:t>
      </w:r>
    </w:p>
    <w:p>
      <w:pPr>
        <w:pStyle w:val="ListBullet"/>
      </w:pPr>
      <w:r>
        <w:t>Enfant syndrome de Turner : 0,045 à 0,05 mg/kg/sem.</w:t>
      </w:r>
    </w:p>
    <w:p>
      <w:pPr>
        <w:pStyle w:val="ListBullet"/>
      </w:pPr>
      <w:r>
        <w:t>Enfant SGA : 0,035 à 0,07 mg/kg/sem.</w:t>
      </w:r>
    </w:p>
    <w:p>
      <w:pPr>
        <w:pStyle w:val="ListBullet"/>
      </w:pPr>
      <w:r>
        <w:t>Enfant Prader-Willi : 0,035 mg/kg/sem (CI si obésité sévère + insuffisance respiratoire).</w:t>
      </w:r>
    </w:p>
    <w:p>
      <w:pPr>
        <w:pStyle w:val="ListBullet"/>
      </w:pPr>
      <w:r>
        <w:t>Adulte déficit en GH : 0,15 à 0,30 mg/j SC (initiation progressive), dose d'entretien 0,1 à 0,5 mg/j selon IGF-1 et tolérance (sujet âgé : démarrer à dose très faible 0,1–0,2 mg/j).</w:t>
      </w:r>
    </w:p>
    <w:p>
      <w:pPr>
        <w:pStyle w:val="ListBullet"/>
      </w:pPr>
      <w:r>
        <w:t>Sujet âgé : initiation progressive, surveillance accrue (effets indésirables plus fréquents).</w:t>
      </w:r>
    </w:p>
    <w:p>
      <w:pPr>
        <w:pStyle w:val="ListBullet"/>
      </w:pPr>
      <w:r>
        <w:t>Durée : enfant jusqu'à fermeture des cartilages de conjugaison ou taille adulte satisfaisante ; adulte à vie.</w:t>
      </w:r>
    </w:p>
    <w:p>
      <w:pPr>
        <w:pStyle w:val="ListBullet"/>
      </w:pPr>
      <w:r>
        <w:t>Moment de prise : injection SC quotidienne au coucher (mime sécrétion physiologique nocturne), rotation des sites (abdomen, cuisse, fesse, bras).</w:t>
      </w:r>
    </w:p>
    <w:p>
      <w:r/>
      <w:r>
        <w:rPr>
          <w:b/>
        </w:rPr>
        <w:t>Arbitrage et Bénéfices des Formes Galéniques :</w:t>
      </w:r>
      <w:r/>
    </w:p>
    <w:p>
      <w:r>
        <w:t>Les dispositifs stylo injecteur modernes (Genotropin GoQuick, Norditropin NordiFlex, Saizen ClickEasy, Omnitrope, Normotrope) facilitent l'auto-administration quotidienne et la précision du dosage. Les formes en multidose (8 mg, 5 mg, 10 mg, 12 mg) permettent une adaptation posologique souple. Le choix entre spécialités dépend de l'expérience du patient et du médecin, du coût et de la disponibilité.</w:t>
      </w:r>
    </w:p>
    <w:p>
      <w:r/>
      <w:r>
        <w:rPr>
          <w:b/>
        </w:rPr>
        <w:t>Instructions et Conseils au Patient :</w:t>
      </w:r>
      <w:r/>
    </w:p>
    <w:p>
      <w:pPr>
        <w:pStyle w:val="ListBullet"/>
      </w:pPr>
      <w:r>
        <w:t>Communication au comptoir : enseignement à l'auto-injection SC quotidienne (technique, rotation des sites, asepsie) ; information sur les signes d'hypertension intracrânienne (céphalées intenses, vomissements, troubles visuels — arrêt et consultation) ; surveillance de la croissance (carnet de taille) ; surveillance glycémique ; conservation au frigo.</w:t>
      </w:r>
    </w:p>
    <w:p>
      <w:pPr>
        <w:pStyle w:val="ListBullet"/>
      </w:pPr>
      <w:r>
        <w:t>Mode d'utilisation pratique : injection SC au coucher, à heure fixe, rotation des sites pour éviter lipodystrophie ; conservation à 2–8 °C (ne pas congeler) ; en dehors du frigo ≤ 25 °C max 1 mois.</w:t>
      </w:r>
    </w:p>
    <w:p>
      <w:r/>
      <w:r>
        <w:rPr>
          <w:b/>
        </w:rPr>
        <w:t>Notes, Règles d'Or &amp; Pièges au Comptoir :</w:t>
      </w:r>
      <w:r/>
    </w:p>
    <w:p>
      <w:pPr>
        <w:pStyle w:val="ListBullet"/>
      </w:pPr>
      <w:r>
        <w:t>Piège classique : oublier la surveillance thyroïdienne (hypothyroïdie induite fréquente — nécessite substitution lévothyroxine).</w:t>
      </w:r>
    </w:p>
    <w:p>
      <w:pPr>
        <w:pStyle w:val="ListBullet"/>
      </w:pPr>
      <w:r>
        <w:t>Règle de prise : injection quotidienne au coucher, à heure fixe, rotation des sites.</w:t>
      </w:r>
    </w:p>
    <w:p>
      <w:pPr>
        <w:pStyle w:val="ListBullet"/>
      </w:pPr>
      <w:r>
        <w:t>Préparation et Conservation : à 2–8 °C au frigo ; ne pas congeler ; à l'abri de la lumière.</w:t>
      </w:r>
    </w:p>
    <w:p>
      <w:pPr>
        <w:pStyle w:val="ListBullet"/>
      </w:pPr>
      <w:r>
        <w:t>Piège du surdosage / Substitution : le surdosage chronique (IGF-1 &gt; +2 DS) expose à un risque accru d'acromégalie iatrogène, d'hypertension intracrânienne et de néoplasie — surveillance stricte de l'IGF-1.</w:t>
      </w:r>
    </w:p>
    <w:p>
      <w:pPr>
        <w:pStyle w:val="Heading3"/>
      </w:pPr>
      <w:r>
        <w:t>14. DCI : Octréotide (Seule)</w:t>
      </w:r>
    </w:p>
    <w:p>
      <w:r/>
      <w:r>
        <w:rPr>
          <w:b/>
        </w:rPr>
        <w:t>Liste des Catégories :</w:t>
      </w:r>
      <w:r>
        <w:t xml:space="preserve"> Analogues somatostatine ; Liste I.</w:t>
      </w:r>
    </w:p>
    <w:p>
      <w:r>
        <w:t>L'octréotide est un octapeptide synthétique analogue de la somatostatine naturelle, doté d'une affinité préférentielle pour les récepteurs SSTR-2 et SSTR-5. Sa demi-vie plasmatique (1,5 à 2 heures) est nettement supérieure à celle de la somatostatine naturelle (2–3 minutes), autorisant une administration SC toutes les 8 heures ou IV continue. Une forme LP mensuelle (Sandostatine LP) n'est pas disponible en Algérie actuellement.</w:t>
      </w:r>
    </w:p>
    <w:p>
      <w:r/>
      <w:r>
        <w:rPr>
          <w:b/>
        </w:rPr>
        <w:t>Médicaments disponibles en Algérie (Marques, Laboratoires, Formes et Dosages) :</w:t>
      </w:r>
      <w:r/>
    </w:p>
    <w:p>
      <w:pPr>
        <w:pStyle w:val="ListBullet"/>
      </w:pPr>
      <w:r/>
      <w:r>
        <w:rPr>
          <w:b/>
        </w:rPr>
        <w:t>OCTREOTIDE BIOINDUSTRIA L.I.M</w:t>
      </w:r>
      <w:r>
        <w:t xml:space="preserve"> (BIOINDUSTRIA LABORATORIO ITALIANO MEDICINALI SPA) — Octréotide acétate</w:t>
      </w:r>
    </w:p>
    <w:p>
      <w:pPr>
        <w:pStyle w:val="ListBullet"/>
      </w:pPr>
      <w:r>
        <w:t>Formes et Dosages : Solution injectable pour perfusion IV et SC — 0,1 mg/ml [Actif]</w:t>
      </w:r>
    </w:p>
    <w:p>
      <w:pPr>
        <w:pStyle w:val="ListBullet"/>
      </w:pPr>
      <w:r>
        <w:t>Formes et Dosages : Solution injectable pour perfusion IV et SC — 0,5 mg/ml [Actif]</w:t>
      </w:r>
    </w:p>
    <w:p>
      <w:pPr>
        <w:pStyle w:val="ListBullet"/>
      </w:pPr>
      <w:r>
        <w:t>Statut : Actif (forme générique disponible)</w:t>
      </w:r>
    </w:p>
    <w:p>
      <w:pPr>
        <w:pStyle w:val="ListBullet"/>
      </w:pPr>
      <w:r/>
      <w:r>
        <w:rPr>
          <w:b/>
        </w:rPr>
        <w:t>SANDOSTATINE</w:t>
      </w:r>
      <w:r>
        <w:t xml:space="preserve"> (NOVARTIS PHARMA S.A. / S.A.S) — Octréotide (originator)</w:t>
      </w:r>
    </w:p>
    <w:p>
      <w:pPr>
        <w:pStyle w:val="ListBullet"/>
      </w:pPr>
      <w:r>
        <w:t>Formes et Dosages : Solution injectable — 50 μg/ml [Non Renouvelable]</w:t>
      </w:r>
    </w:p>
    <w:p>
      <w:pPr>
        <w:pStyle w:val="ListBullet"/>
      </w:pPr>
      <w:r>
        <w:t>Formes et Dosages : Solution injectable — 100 μg/ml [Non Renouvelable]</w:t>
      </w:r>
    </w:p>
    <w:p>
      <w:pPr>
        <w:pStyle w:val="ListBullet"/>
      </w:pPr>
      <w:r>
        <w:t>Formes et Dosages : Solution injectable — 500 μg/ml [Non Renouvelable]</w:t>
      </w:r>
    </w:p>
    <w:p>
      <w:pPr>
        <w:pStyle w:val="ListBullet"/>
      </w:pPr>
      <w:r>
        <w:t>Statut : Non Renouvelable (originator)</w:t>
      </w:r>
    </w:p>
    <w:p>
      <w:r/>
      <w:r>
        <w:rPr>
          <w:b/>
        </w:rPr>
        <w:t>Sous-classe et Mécanisme d'action :</w:t>
      </w:r>
      <w:r/>
    </w:p>
    <w:p>
      <w:pPr>
        <w:pStyle w:val="ListBullet"/>
      </w:pPr>
      <w:r>
        <w:t>Sous-classe : Analogue de la somatostatine de première génération (avec le lanréotide).</w:t>
      </w:r>
    </w:p>
    <w:p>
      <w:pPr>
        <w:pStyle w:val="ListBullet"/>
      </w:pPr>
      <w:r>
        <w:t>Mécanisme d'action : l'octréotide se lie préférentiellement aux récepteurs SSTR-2 et SSTR-5 (de la famille des 5 récepteurs couplés aux protéines Gi/o). L'activation de ces récepteurs induit : (1) une inhibition de la libération de GH (croissance), d'insuline, de glucagon, de gastrine, de VIP, de sécrétine et de nombreuses hormones gastro-entéropancréatiques ; (2) une réduction du flux splanchnique (vasoconstriction splanchnique) ; (3) une inhibition de la sécrétion gastrique et pancréatique exocrine ; (4) une inhibition de la motilité intestinale. Ces propriétés expliquent son utilisation dans l'acromégalie (blocage GH), les tumeurs neuroendocrines fonctionnelles (blocage hormone spécifique) et les fistules digestives.</w:t>
      </w:r>
    </w:p>
    <w:p>
      <w:r/>
      <w:r>
        <w:rPr>
          <w:b/>
        </w:rPr>
        <w:t>Profil Pharmacologique :</w:t>
      </w:r>
      <w:r/>
    </w:p>
    <w:p>
      <w:pPr>
        <w:pStyle w:val="ListBullet"/>
      </w:pPr>
      <w:r>
        <w:t>Indications : acromégalie (forme courte SC en attente de forme LP ou en relais) ; tumeurs neuroendocrines fonctionnelles (gastrinomes, insulinomes, glucagonomes, VIPomes, syndrome de carcinoid) ; fistules et pancréatites aiguës sévères ; hypoglycémies réfractaires (insulinomes en attente chirurgicale, sulfamides hypoglycémiants) ; hémorragies digestives hautes par hypertension portale (en complément de l'endoscopie) ; diarrhées sécrétoires réfractaires (sida, grêle court).</w:t>
      </w:r>
    </w:p>
    <w:p>
      <w:pPr>
        <w:pStyle w:val="ListBullet"/>
      </w:pPr>
      <w:r>
        <w:t>Contre-indications : hypersensibilité, galactosémie/galactosidase (excipients) ; prudence en cas de diabète (risque hypo/hyperglycémie), lithiase biliaire, insuffisance rénale.</w:t>
      </w:r>
    </w:p>
    <w:p>
      <w:pPr>
        <w:pStyle w:val="ListBullet"/>
      </w:pPr>
      <w:r>
        <w:t>Effets Indésirables : troubles digestifs (douleurs abdominales, diarrhée, nausées, crampes — fréquents mais transitoires), stéatorrhée et insuffisance pancréatique exocrine (au long cours), lithiase biliaire et boue biliaire (30–50 % à 6 mois), trouble de la tolérance glucidique (hypo- ou hyperglycémie), bradycardie sinusale, allongement QT, réactions locales au point d'injection, rare hépatotoxicité (cytolyse), exceptionnels cas d'iléus.</w:t>
      </w:r>
    </w:p>
    <w:p>
      <w:r/>
      <w:r>
        <w:rPr>
          <w:b/>
        </w:rPr>
        <w:t>Prévention et Gestion des Effets Indésirables :</w:t>
      </w:r>
      <w:r/>
    </w:p>
    <w:p>
      <w:pPr>
        <w:pStyle w:val="ListBullet"/>
      </w:pPr>
      <w:r>
        <w:t>Mesures Préventives : échographie abdominale pré-thérapeutique puis tous les 6 mois (recherche lithiase) ; glycémie à jeun et HbA1c semestriel ; bilan pancréatique exocrine si diarrhée chronique (élastase fécale) ; supplémentation en enzymes pancréatiques si insuffisance exocrine.</w:t>
      </w:r>
    </w:p>
    <w:p>
      <w:pPr>
        <w:pStyle w:val="ListBullet"/>
      </w:pPr>
      <w:r>
        <w:t>Conduite à Tenir : adaptation posologique en cas de trouble digestif ; supplémentation enzymatique pancréatique (Créon) au long cours ; traitement chirurgical ou lithotripsie en cas de lithiase symptomatique.</w:t>
      </w:r>
    </w:p>
    <w:p>
      <w:r/>
      <w:r>
        <w:rPr>
          <w:b/>
        </w:rPr>
        <w:t>Interactions Importantes :</w:t>
      </w:r>
      <w:r/>
    </w:p>
    <w:p>
      <w:pPr>
        <w:pStyle w:val="ListBullet"/>
      </w:pPr>
      <w:r>
        <w:t>Octréotide + cyclosporine : baisse des concentrations de cyclosporine (risque de rejet) — surveillance et adaptation.</w:t>
      </w:r>
    </w:p>
    <w:p>
      <w:pPr>
        <w:pStyle w:val="ListBullet"/>
      </w:pPr>
      <w:r>
        <w:t>Octréotide + insuline / antidiabétiques : modification de la glycémie (adaptation des doses).</w:t>
      </w:r>
    </w:p>
    <w:p>
      <w:pPr>
        <w:pStyle w:val="ListBullet"/>
      </w:pPr>
      <w:r>
        <w:t>Octréotide + bêta-bloquants, calcium-bloquants : bradycardie additive (surveillance ECG).</w:t>
      </w:r>
    </w:p>
    <w:p>
      <w:pPr>
        <w:pStyle w:val="ListBullet"/>
      </w:pPr>
      <w:r>
        <w:t>Octréotide + bromocriptine : potentialisation de l'efficacité (acromégalie).</w:t>
      </w:r>
    </w:p>
    <w:p>
      <w:r/>
      <w:r>
        <w:rPr>
          <w:b/>
        </w:rPr>
        <w:t>Grossesse et Allaitement :</w:t>
      </w:r>
      <w:r/>
    </w:p>
    <w:p>
      <w:pPr>
        <w:pStyle w:val="ListBullet"/>
      </w:pPr>
      <w:r>
        <w:t>Grossesse : à éviter par principe (données limitées — utilisation seulement si bénéfice clair).</w:t>
      </w:r>
    </w:p>
    <w:p>
      <w:pPr>
        <w:pStyle w:val="ListBullet"/>
      </w:pPr>
      <w:r>
        <w:t>Allaitement : à éviter (inhibition de la lactation).</w:t>
      </w:r>
    </w:p>
    <w:p>
      <w:pPr>
        <w:pStyle w:val="ListBullet"/>
      </w:pPr>
      <w:r>
        <w:t>Précisions : surveillance accrue en cas de grossesse chez femme acromégale.</w:t>
      </w:r>
    </w:p>
    <w:p>
      <w:r/>
      <w:r>
        <w:rPr>
          <w:b/>
        </w:rPr>
        <w:t>Posologie et Mode d'administration (Standard) :</w:t>
      </w:r>
      <w:r/>
    </w:p>
    <w:p>
      <w:pPr>
        <w:pStyle w:val="ListBullet"/>
      </w:pPr>
      <w:r>
        <w:t>Acromégalie (forme courte SC) : 50–100 μg SC × 3/j à débuter progressivement, ajustement selon IGF-1 (cible : IGF-1 normale). En attente de forme LP ou en relais.</w:t>
      </w:r>
    </w:p>
    <w:p>
      <w:pPr>
        <w:pStyle w:val="ListBullet"/>
      </w:pPr>
      <w:r>
        <w:t>Tumeur neuroendocrine fonctionnelle : 100–200 μg SC × 3/j (jusqu'à 500 μg × 4/j dans VIPome).</w:t>
      </w:r>
    </w:p>
    <w:p>
      <w:pPr>
        <w:pStyle w:val="ListBullet"/>
      </w:pPr>
      <w:r>
        <w:t>Fistule digestive : 50–100 μg SC × 3/j ou perfusion IV continue 25 μg/h.</w:t>
      </w:r>
    </w:p>
    <w:p>
      <w:pPr>
        <w:pStyle w:val="ListBullet"/>
      </w:pPr>
      <w:r>
        <w:t>Hémorragie digestive portale : 50 μg IV bolus puis 25–50 μg/h IV continue pendant 3–5 jours.</w:t>
      </w:r>
    </w:p>
    <w:p>
      <w:pPr>
        <w:pStyle w:val="ListBullet"/>
      </w:pPr>
      <w:r>
        <w:t>Hypoglycémie réfractaire : 50–100 μg SC × 3/j ou perfusion continue.</w:t>
      </w:r>
    </w:p>
    <w:p>
      <w:pPr>
        <w:pStyle w:val="ListBullet"/>
      </w:pPr>
      <w:r>
        <w:t>Sujet âgé : pas d'adaptation posologique.</w:t>
      </w:r>
    </w:p>
    <w:p>
      <w:pPr>
        <w:pStyle w:val="ListBullet"/>
      </w:pPr>
      <w:r>
        <w:t>Insuffisance rénale : pas d'adaptation formelle mais prudence (surveillance).</w:t>
      </w:r>
    </w:p>
    <w:p>
      <w:pPr>
        <w:pStyle w:val="ListBullet"/>
      </w:pPr>
      <w:r>
        <w:t>Durée : acromégalie au long cours (forme LP préférentielle) ; fistule/hémorragie aiguë courte durée.</w:t>
      </w:r>
    </w:p>
    <w:p>
      <w:pPr>
        <w:pStyle w:val="ListBullet"/>
      </w:pPr>
      <w:r>
        <w:t>Moment de prise : injections SC à 8 heures d'intervalle (8h, 16h, 24h).</w:t>
      </w:r>
    </w:p>
    <w:p>
      <w:r/>
      <w:r>
        <w:rPr>
          <w:b/>
        </w:rPr>
        <w:t>Arbitrage et Bénéfices des Formes Galéniques :</w:t>
      </w:r>
      <w:r/>
    </w:p>
    <w:p>
      <w:r>
        <w:t>La solution injectable SC (0,1 et 0,5 mg/ml) permet l'administration 3 fois par jour. La disponibilité du générique (Octréotide Bioindustria) assure l'accès thérapeutique malgré le statut non renouvelable de l'originator Sandostatine. La forme LP mensuelle (Sandostatine LP) n'est pas disponible en Algérie — l'octréotide SC reste le seul option chronique avec une observance difficile (3 injections/jour).</w:t>
      </w:r>
    </w:p>
    <w:p>
      <w:r/>
      <w:r>
        <w:rPr>
          <w:b/>
        </w:rPr>
        <w:t>Instructions et Conseils au Patient :</w:t>
      </w:r>
      <w:r/>
    </w:p>
    <w:p>
      <w:pPr>
        <w:pStyle w:val="ListBullet"/>
      </w:pPr>
      <w:r>
        <w:t>Communication au comptoir : enseignement à l'auto-injection SC (technique, rotation des sites) ; information sur les troubles digestifs initiaux (transitoires, 1–2 semaines) ; importance du suivi échographique (lithiase) et glycémique ; signes d'hypoglycémie à connaître.</w:t>
      </w:r>
    </w:p>
    <w:p>
      <w:pPr>
        <w:pStyle w:val="ListBullet"/>
      </w:pPr>
      <w:r>
        <w:t>Mode d'utilisation pratique : injections SC à 8 heures d'intervalle ; conservation au frigo avant ouverture, à température ambiante après ouverture (max 14 jours).</w:t>
      </w:r>
    </w:p>
    <w:p>
      <w:r/>
      <w:r>
        <w:rPr>
          <w:b/>
        </w:rPr>
        <w:t>Notes, Règles d'Or &amp; Pièges au Comptoir :</w:t>
      </w:r>
      <w:r/>
    </w:p>
    <w:p>
      <w:pPr>
        <w:pStyle w:val="ListBullet"/>
      </w:pPr>
      <w:r>
        <w:t>Piège classique : oublier la surveillance glycémique (hypo- et hyperglycémie possibles selon dose et pathologie).</w:t>
      </w:r>
    </w:p>
    <w:p>
      <w:pPr>
        <w:pStyle w:val="ListBullet"/>
      </w:pPr>
      <w:r>
        <w:t>Règle de prise : 3 injections SC par jour à 8 heures d'intervalle, à heure fixe.</w:t>
      </w:r>
    </w:p>
    <w:p>
      <w:pPr>
        <w:pStyle w:val="ListBullet"/>
      </w:pPr>
      <w:r>
        <w:t>Préparation et Conservation : à 2–8 °C au frigo avant ouverture ; à température &lt; 25 °C après ouverture (max 14 jours).</w:t>
      </w:r>
    </w:p>
    <w:p>
      <w:pPr>
        <w:pStyle w:val="ListBullet"/>
      </w:pPr>
      <w:r>
        <w:t>Piège du surdosage / Substitution : ne pas confondre dosage 0,1 mg/ml (50 μg/0,5 ml) et 0,5 mg/ml (500 μg/ml) — vérifier la prescription.</w:t>
      </w:r>
    </w:p>
    <w:p>
      <w:pPr>
        <w:pStyle w:val="Heading3"/>
      </w:pPr>
      <w:r>
        <w:t>15. DCI : Lanréotide (Seule)</w:t>
      </w:r>
    </w:p>
    <w:p>
      <w:r/>
      <w:r>
        <w:rPr>
          <w:b/>
        </w:rPr>
        <w:t>Liste des Catégories :</w:t>
      </w:r>
      <w:r>
        <w:t xml:space="preserve"> Analogues somatostatine ; Liste I.</w:t>
      </w:r>
    </w:p>
    <w:p>
      <w:r>
        <w:t>Le lanréotide est un autre analogue de la somatostatine, octapeptide de synthèse proche de l'octréotide mais avec une affinité légèrement différente (SSTR-2 &gt; SSTR-5). Sa particularité est sa formulation en suspension aqueuse LP (Somatuline LP), autorisant une injection SC profonde mensuelle ou bimensuelle — bien plus pratique que l'octréotide SC 3 fois/jour. C'est le traitement de référence de l'acromégalie en Algérie.</w:t>
      </w:r>
    </w:p>
    <w:p>
      <w:r/>
      <w:r>
        <w:rPr>
          <w:b/>
        </w:rPr>
        <w:t>Médicaments disponibles en Algérie (Marques, Laboratoires, Formes et Dosages) :</w:t>
      </w:r>
      <w:r/>
    </w:p>
    <w:p>
      <w:pPr>
        <w:pStyle w:val="ListBullet"/>
      </w:pPr>
      <w:r/>
      <w:r>
        <w:rPr>
          <w:b/>
        </w:rPr>
        <w:t>SOMATULINE LP</w:t>
      </w:r>
      <w:r>
        <w:t xml:space="preserve"> (IPSEN PHARMA) — Lanréotide</w:t>
      </w:r>
    </w:p>
    <w:p>
      <w:pPr>
        <w:pStyle w:val="ListBullet"/>
      </w:pPr>
      <w:r>
        <w:t>Formes et Dosages : Solution injectable SC profonde LP — 60 mg/0,5 ml</w:t>
      </w:r>
    </w:p>
    <w:p>
      <w:pPr>
        <w:pStyle w:val="ListBullet"/>
      </w:pPr>
      <w:r>
        <w:t>Statut : Actif</w:t>
      </w:r>
    </w:p>
    <w:p>
      <w:pPr>
        <w:pStyle w:val="ListBullet"/>
      </w:pPr>
      <w:r/>
      <w:r>
        <w:rPr>
          <w:b/>
        </w:rPr>
        <w:t>SOMATULINE L.P 90</w:t>
      </w:r>
      <w:r>
        <w:t xml:space="preserve"> (IPSEN PHARMA) — Lanréotide acétate exprimé en lanréotide</w:t>
      </w:r>
    </w:p>
    <w:p>
      <w:pPr>
        <w:pStyle w:val="ListBullet"/>
      </w:pPr>
      <w:r>
        <w:t>Formes et Dosages : Solution injectable SC profonde LP — 90 mg/0,5 ml</w:t>
      </w:r>
    </w:p>
    <w:p>
      <w:pPr>
        <w:pStyle w:val="ListBullet"/>
      </w:pPr>
      <w:r>
        <w:t>Statut : Actif</w:t>
      </w:r>
    </w:p>
    <w:p>
      <w:pPr>
        <w:pStyle w:val="ListBullet"/>
      </w:pPr>
      <w:r/>
      <w:r>
        <w:rPr>
          <w:b/>
        </w:rPr>
        <w:t>SOMATULINE L.P 120</w:t>
      </w:r>
      <w:r>
        <w:t xml:space="preserve"> (IPSEN PHARMA) — Lanréotide acétate exprimé en lanréotide</w:t>
      </w:r>
    </w:p>
    <w:p>
      <w:pPr>
        <w:pStyle w:val="ListBullet"/>
      </w:pPr>
      <w:r>
        <w:t>Formes et Dosages : Solution injectable SC profonde LP — 120 mg/0,5 ml</w:t>
      </w:r>
    </w:p>
    <w:p>
      <w:pPr>
        <w:pStyle w:val="ListBullet"/>
      </w:pPr>
      <w:r>
        <w:t>Statut : Actif</w:t>
      </w:r>
    </w:p>
    <w:p>
      <w:pPr>
        <w:pStyle w:val="ListBullet"/>
      </w:pPr>
      <w:r/>
      <w:r>
        <w:rPr>
          <w:b/>
        </w:rPr>
        <w:t>SOMATULINE LP</w:t>
      </w:r>
      <w:r>
        <w:t xml:space="preserve"> (BEAUFOUR IPSEN PHARMA) — Lanréotide (ancienne présentation)</w:t>
      </w:r>
    </w:p>
    <w:p>
      <w:pPr>
        <w:pStyle w:val="ListBullet"/>
      </w:pPr>
      <w:r>
        <w:t>Formes et Dosages : Poudre solution injectable IM LP — 30 mg</w:t>
      </w:r>
    </w:p>
    <w:p>
      <w:pPr>
        <w:pStyle w:val="ListBullet"/>
      </w:pPr>
      <w:r>
        <w:t>Statut : Non Renouvelable</w:t>
      </w:r>
    </w:p>
    <w:p>
      <w:r/>
      <w:r>
        <w:rPr>
          <w:b/>
        </w:rPr>
        <w:t>Sous-classe et Mécanisme d'action :</w:t>
      </w:r>
      <w:r/>
    </w:p>
    <w:p>
      <w:pPr>
        <w:pStyle w:val="ListBullet"/>
      </w:pPr>
      <w:r>
        <w:t>Sous-classe : Analogue de la somatostatine de première génération (avec l'octréotide).</w:t>
      </w:r>
    </w:p>
    <w:p>
      <w:pPr>
        <w:pStyle w:val="ListBullet"/>
      </w:pPr>
      <w:r>
        <w:t>Mécanisme d'action : le lanréotide se lie préférentiellement aux récepteurs SSTR-2 (et dans une moindre mesure SSTR-5) couplés aux protéines Gi/o. L'activation inhibe l'adénylate cyclase, diminue le calcium intracellulaire et active les canaux potassiques. Les effets pharmacologiques sont : (1) inhibition de la sécrétion de GH et d'IGF-1 (effet antéhypophysaire) ; (2) inhibition de la sécrétion d'insuline et de glucagon ; (3) inhibition de nombreuses hormones gastro-entéropancréatiques (gastrine, VIP, sécrétine) ; (4) diminution du flux splanchnique. La formulation LP (autogel) permet une diffusion lente sur 28 jours, garantissant une observance mensuelle.</w:t>
      </w:r>
    </w:p>
    <w:p>
      <w:r/>
      <w:r>
        <w:rPr>
          <w:b/>
        </w:rPr>
        <w:t>Profil Pharmacologique :</w:t>
      </w:r>
      <w:r/>
    </w:p>
    <w:p>
      <w:pPr>
        <w:pStyle w:val="ListBullet"/>
      </w:pPr>
      <w:r>
        <w:t>Indications : acromégalie (traitement de première intention après échec ou impossibilité de chirurgie, ou en attente d'efficacité radiothérapique) ; tumeurs neuroendocrines fonctionnelles (gastrinomes, glucagonomes, insulinomes, VIPomes, syndrome de carcinoid) ; syndrome de carcinoid avec flush et diarrhée.</w:t>
      </w:r>
    </w:p>
    <w:p>
      <w:pPr>
        <w:pStyle w:val="ListBullet"/>
      </w:pPr>
      <w:r>
        <w:t>Contre-indications : hypersensibilité, galactosémie (excipients) ; prudence en cas de diabète, lithiase biliaire, insuffisance hépatique.</w:t>
      </w:r>
    </w:p>
    <w:p>
      <w:pPr>
        <w:pStyle w:val="ListBullet"/>
      </w:pPr>
      <w:r>
        <w:t>Effets Indésirables : troubles digestifs (douleurs abdominales, diarrhée, nausées — transitoires), stéatorrhée et insuffisance pancréatique exocrine chronique, lithiase biliaire et boue biliaire (30–50 % à 6 mois), trouble de la tolérance glucidique (hypo- ou hyperglycémie), bradycardie sinusale, réactions locales au point d'injection (nodules, douleur), rare hépatotoxicité.</w:t>
      </w:r>
    </w:p>
    <w:p>
      <w:r/>
      <w:r>
        <w:rPr>
          <w:b/>
        </w:rPr>
        <w:t>Prévention et Gestion des Effets Indésirables :</w:t>
      </w:r>
      <w:r/>
    </w:p>
    <w:p>
      <w:pPr>
        <w:pStyle w:val="ListBullet"/>
      </w:pPr>
      <w:r>
        <w:t>Mesures Préventives : échographie abdominale pré-thérapeutique puis tous les 6 mois (lithiase) ; glycémie à jeun et HbA1c semestriel ; dosage IGF-1 et GH trimestriel (efficacité) ; élastase fécale si diarrhée chronique.</w:t>
      </w:r>
    </w:p>
    <w:p>
      <w:pPr>
        <w:pStyle w:val="ListBullet"/>
      </w:pPr>
      <w:r>
        <w:t>Conduite à Tenir : adaptation posologique selon IGF-1 (60 mg → 90 mg → 120 mg) ; supplémentation enzymatique pancréatique si insuffisance exocrine ; traitement chirurgical de la lithiase si symptomatique.</w:t>
      </w:r>
    </w:p>
    <w:p>
      <w:r/>
      <w:r>
        <w:rPr>
          <w:b/>
        </w:rPr>
        <w:t>Interactions Importantes :</w:t>
      </w:r>
      <w:r/>
    </w:p>
    <w:p>
      <w:pPr>
        <w:pStyle w:val="ListBullet"/>
      </w:pPr>
      <w:r>
        <w:t>Lanréotide + cyclosporine : baisse des concentrations de cyclosporine.</w:t>
      </w:r>
    </w:p>
    <w:p>
      <w:pPr>
        <w:pStyle w:val="ListBullet"/>
      </w:pPr>
      <w:r>
        <w:t>Lanréotide + insuline / antidiabétiques : modification glycémique.</w:t>
      </w:r>
    </w:p>
    <w:p>
      <w:pPr>
        <w:pStyle w:val="ListBullet"/>
      </w:pPr>
      <w:r>
        <w:t>Lanréotide + bêta-bloquants / calcium-bloquants : bradycardie additive.</w:t>
      </w:r>
    </w:p>
    <w:p>
      <w:r/>
      <w:r>
        <w:rPr>
          <w:b/>
        </w:rPr>
        <w:t>Grossesse et Allaitement :</w:t>
      </w:r>
      <w:r/>
    </w:p>
    <w:p>
      <w:pPr>
        <w:pStyle w:val="ListBullet"/>
      </w:pPr>
      <w:r>
        <w:t>Grossesse : à éviter (données limitées).</w:t>
      </w:r>
    </w:p>
    <w:p>
      <w:pPr>
        <w:pStyle w:val="ListBullet"/>
      </w:pPr>
      <w:r>
        <w:t>Allaitement : à éviter (inhibition de la lactation).</w:t>
      </w:r>
    </w:p>
    <w:p>
      <w:pPr>
        <w:pStyle w:val="ListBullet"/>
      </w:pPr>
      <w:r>
        <w:t>Précisions : chez la femme acromégale enceinte, arrêt du lanréotide et surveillance rapprochée (acromégalie souvent améliorée pendant grossesse).</w:t>
      </w:r>
    </w:p>
    <w:p>
      <w:r/>
      <w:r>
        <w:rPr>
          <w:b/>
        </w:rPr>
        <w:t>Posologie et Mode d'administration (Standard) :</w:t>
      </w:r>
      <w:r/>
    </w:p>
    <w:p>
      <w:pPr>
        <w:pStyle w:val="ListBullet"/>
      </w:pPr>
      <w:r>
        <w:t>Acromégalie initiation : 60 mg SC profond toutes les 4 semaines pendant 3 mois, puis adaptation selon IGF-1 et GH.</w:t>
      </w:r>
    </w:p>
    <w:p>
      <w:pPr>
        <w:pStyle w:val="ListBullet"/>
      </w:pPr>
      <w:r>
        <w:t>Acromégalie entretien : 60, 90 ou 120 mg SC profond toutes les 4 semaines selon réponse.</w:t>
      </w:r>
    </w:p>
    <w:p>
      <w:pPr>
        <w:pStyle w:val="ListBullet"/>
      </w:pPr>
      <w:r>
        <w:t>Tumeurs neuroendocrines : 60–120 mg SC profond toutes les 4 semaines.</w:t>
      </w:r>
    </w:p>
    <w:p>
      <w:pPr>
        <w:pStyle w:val="ListBullet"/>
      </w:pPr>
      <w:r>
        <w:t>Sujet âgé : pas d'adaptation posologique mais surveillance accrue.</w:t>
      </w:r>
    </w:p>
    <w:p>
      <w:pPr>
        <w:pStyle w:val="ListBullet"/>
      </w:pPr>
      <w:r>
        <w:t>Insuffisance rénale sévère : prudence (diminution de la clairance).</w:t>
      </w:r>
    </w:p>
    <w:p>
      <w:pPr>
        <w:pStyle w:val="ListBullet"/>
      </w:pPr>
      <w:r>
        <w:t>Insuffisance hépatique sévère : prudence.</w:t>
      </w:r>
    </w:p>
    <w:p>
      <w:pPr>
        <w:pStyle w:val="ListBullet"/>
      </w:pPr>
      <w:r>
        <w:t>Durée : au long cours (à vie dans acromégalie non opérable).</w:t>
      </w:r>
    </w:p>
    <w:p>
      <w:pPr>
        <w:pStyle w:val="ListBullet"/>
      </w:pPr>
      <w:r>
        <w:t>Moment de prise : injection unique toutes les 4 semaines (à date fixe).</w:t>
      </w:r>
    </w:p>
    <w:p>
      <w:r/>
      <w:r>
        <w:rPr>
          <w:b/>
        </w:rPr>
        <w:t>Arbitrage et Bénéfices des Formes Galéniques :</w:t>
      </w:r>
      <w:r/>
    </w:p>
    <w:p>
      <w:r>
        <w:t>La formulation en autogel SC profond (60, 90, 120 mg en seringue préremplie) permet une injection unique mensuelle par un professionnel de santé — observance excellente. Comparée à l'octréotide SC 3 fois/jour, la galénique du lanréotide LP est nettement supérieure pour les traitements chroniques. L'injection SC profonde (et non IM comme l'ancienne forme 30 mg LP) est moins douloureuse et plus simple.</w:t>
      </w:r>
    </w:p>
    <w:p>
      <w:r/>
      <w:r>
        <w:rPr>
          <w:b/>
        </w:rPr>
        <w:t>Instructions et Conseils au Patient :</w:t>
      </w:r>
      <w:r/>
    </w:p>
    <w:p>
      <w:pPr>
        <w:pStyle w:val="ListBullet"/>
      </w:pPr>
      <w:r>
        <w:t>Communication au comptoir : informer sur l'injection mensuelle par un infirmier ou le médecin (pas d'auto-injection SC profonde) ; prévenir les troubles digestifs initiaux (transitoires) ; importance de l'échographie hépatique (lithiase) et de la surveillance glycémique ; signes d'hypoglycémie à connaître.</w:t>
      </w:r>
    </w:p>
    <w:p>
      <w:pPr>
        <w:pStyle w:val="ListBullet"/>
      </w:pPr>
      <w:r>
        <w:t>Mode d'utilisation pratique : la seringue préremplie doit être réchauffée à température ambiante 30 minutes avant injection ; injection SC profonde au niveau abdominal.</w:t>
      </w:r>
    </w:p>
    <w:p>
      <w:r/>
      <w:r>
        <w:rPr>
          <w:b/>
        </w:rPr>
        <w:t>Notes, Règles d'Or &amp; Pièges au Comptoir :</w:t>
      </w:r>
      <w:r/>
    </w:p>
    <w:p>
      <w:pPr>
        <w:pStyle w:val="ListBullet"/>
      </w:pPr>
      <w:r>
        <w:t>Piège classique : oublier la surveillance échographique (lithiase biliaire fréquente).</w:t>
      </w:r>
    </w:p>
    <w:p>
      <w:pPr>
        <w:pStyle w:val="ListBullet"/>
      </w:pPr>
      <w:r>
        <w:t>Règle de prise : injection mensuelle à date fixe (± 2 jours).</w:t>
      </w:r>
    </w:p>
    <w:p>
      <w:pPr>
        <w:pStyle w:val="ListBullet"/>
      </w:pPr>
      <w:r>
        <w:t>Préparation et Conservation : à 2–8 °C au frigo, à l'abri de la lumière ; réchauffer 30 minutes à température ambiante avant injection.</w:t>
      </w:r>
    </w:p>
    <w:p>
      <w:pPr>
        <w:pStyle w:val="ListBullet"/>
      </w:pPr>
      <w:r>
        <w:t>Piège du surdosage / Substitution : bien vérifier la dose prescrite (60, 90 ou 120 mg) — erreur de dosage possible à la dispensation.</w:t>
      </w:r>
    </w:p>
    <w:p>
      <w:pPr>
        <w:pStyle w:val="Heading3"/>
      </w:pPr>
      <w:r>
        <w:t>16. DCI : Bromocriptine (Seule)</w:t>
      </w:r>
    </w:p>
    <w:p>
      <w:r/>
      <w:r>
        <w:rPr>
          <w:b/>
        </w:rPr>
        <w:t>Liste des Catégories :</w:t>
      </w:r>
      <w:r>
        <w:t xml:space="preserve"> Agonistes dopaminergiques D2 — Antiprolactinémiques ; Liste I.</w:t>
      </w:r>
    </w:p>
    <w:p>
      <w:r>
        <w:t>La bromocriptine, agoniste dopaminergique D2 de première génération (dérivé de l'ergot de seigle), est le traitement historique des hyperprolactinémies. Sa demi-vie plasmatique est courte (6–8 heures) imposant 2 à 3 prises quotidiennes. Sa faible sélectivité pour les récepteurs D2 (avec affinité aussi pour D1, 5-HT, α-adrénergiques) explique son profil d'effets indésirables (digestifs, vasomoteurs, neuro-psychiatriques). Le Parodel reste l'originator actif en Algérie.</w:t>
      </w:r>
    </w:p>
    <w:p>
      <w:r/>
      <w:r>
        <w:rPr>
          <w:b/>
        </w:rPr>
        <w:t>Médicaments disponibles en Algérie (Marques, Laboratoires, Formes et Dosages) :</w:t>
      </w:r>
      <w:r/>
    </w:p>
    <w:p>
      <w:pPr>
        <w:pStyle w:val="ListBullet"/>
      </w:pPr>
      <w:r/>
      <w:r>
        <w:rPr>
          <w:b/>
        </w:rPr>
        <w:t>PARLODEL</w:t>
      </w:r>
      <w:r>
        <w:t xml:space="preserve"> (NOVARTIS PHARMA SCHWEIZ AG) — Bromocriptine</w:t>
      </w:r>
    </w:p>
    <w:p>
      <w:pPr>
        <w:pStyle w:val="ListBullet"/>
      </w:pPr>
      <w:r>
        <w:t>Formes et Dosages : Comprimé sécable 2,5 mg</w:t>
      </w:r>
    </w:p>
    <w:p>
      <w:pPr>
        <w:pStyle w:val="ListBullet"/>
      </w:pPr>
      <w:r>
        <w:t>Statut : Actif (originator)</w:t>
      </w:r>
    </w:p>
    <w:p>
      <w:pPr>
        <w:pStyle w:val="ListBullet"/>
      </w:pPr>
      <w:r/>
      <w:r>
        <w:rPr>
          <w:b/>
        </w:rPr>
        <w:t>MEDOCRIPTINE</w:t>
      </w:r>
      <w:r>
        <w:t xml:space="preserve"> (MEDOCHEMIE LTD) — Bromocriptine</w:t>
      </w:r>
    </w:p>
    <w:p>
      <w:pPr>
        <w:pStyle w:val="ListBullet"/>
      </w:pPr>
      <w:r>
        <w:t>Formes et Dosages : Comprimé 2,5 mg</w:t>
      </w:r>
    </w:p>
    <w:p>
      <w:pPr>
        <w:pStyle w:val="ListBullet"/>
      </w:pPr>
      <w:r>
        <w:t>Statut : Non Renouvelable</w:t>
      </w:r>
    </w:p>
    <w:p>
      <w:pPr>
        <w:pStyle w:val="ListBullet"/>
      </w:pPr>
      <w:r/>
      <w:r>
        <w:rPr>
          <w:b/>
        </w:rPr>
        <w:t>BRONOVA</w:t>
      </w:r>
      <w:r>
        <w:t xml:space="preserve"> (NOVA ARGENTIA) — Bromocriptine</w:t>
      </w:r>
    </w:p>
    <w:p>
      <w:pPr>
        <w:pStyle w:val="ListBullet"/>
      </w:pPr>
      <w:r>
        <w:t>Formes et Dosages : Gélule 10 mg</w:t>
      </w:r>
    </w:p>
    <w:p>
      <w:pPr>
        <w:pStyle w:val="ListBullet"/>
      </w:pPr>
      <w:r>
        <w:t>Statut : Non Renouvelable</w:t>
      </w:r>
    </w:p>
    <w:p>
      <w:pPr>
        <w:pStyle w:val="ListBullet"/>
      </w:pPr>
      <w:r/>
      <w:r>
        <w:rPr>
          <w:b/>
        </w:rPr>
        <w:t>SEROCRYPTIN</w:t>
      </w:r>
      <w:r>
        <w:t xml:space="preserve"> (SERONO) — Bromocriptine mesylate</w:t>
      </w:r>
    </w:p>
    <w:p>
      <w:pPr>
        <w:pStyle w:val="ListBullet"/>
      </w:pPr>
      <w:r>
        <w:t>Formes et Dosages : Comprimé 2,5 mg</w:t>
      </w:r>
    </w:p>
    <w:p>
      <w:pPr>
        <w:pStyle w:val="ListBullet"/>
      </w:pPr>
      <w:r>
        <w:t>Statut : Retiré (R)</w:t>
      </w:r>
    </w:p>
    <w:p>
      <w:pPr>
        <w:pStyle w:val="ListBullet"/>
      </w:pPr>
      <w:r/>
      <w:r>
        <w:rPr>
          <w:b/>
        </w:rPr>
        <w:t>PARLODEL</w:t>
      </w:r>
      <w:r>
        <w:t xml:space="preserve"> (NOVARTIS PHARMA S.A.) — Bromocriptine (forme 10 mg)</w:t>
      </w:r>
    </w:p>
    <w:p>
      <w:pPr>
        <w:pStyle w:val="ListBullet"/>
      </w:pPr>
      <w:r>
        <w:t>Formes et Dosages : Gélule 10 mg</w:t>
      </w:r>
    </w:p>
    <w:p>
      <w:pPr>
        <w:pStyle w:val="ListBullet"/>
      </w:pPr>
      <w:r>
        <w:t>Statut : Retiré (R)</w:t>
      </w:r>
    </w:p>
    <w:p>
      <w:r/>
      <w:r>
        <w:rPr>
          <w:b/>
        </w:rPr>
        <w:t>Sous-classe et Mécanisme d'action :</w:t>
      </w:r>
      <w:r/>
    </w:p>
    <w:p>
      <w:pPr>
        <w:pStyle w:val="ListBullet"/>
      </w:pPr>
      <w:r>
        <w:t>Sous-classe : Agoniste dopaminergique D2 dérivé de l'ergot de seigle (ergoline), antiprolactinémique de première génération.</w:t>
      </w:r>
    </w:p>
    <w:p>
      <w:pPr>
        <w:pStyle w:val="ListBullet"/>
      </w:pPr>
      <w:r>
        <w:t>Mécanisme d'action : la bromocriptine est un agoniste direct des récepteurs dopaminergiques D2 (et dans une moindre mesure D1, 5-HT1/2, α-adrénergiques). Au niveau des cellules lactotropes antéhypophysaires, la dopamine endogène est le principal inhibiteur physiologique de la sécrétion de prolactine (PRL). La bromocriptine mime cette action en se fixant sur les récepteurs D2 lactotropes : (1) inhibition de la transcription du gène de la PRL ; (2) inhibition de l'exocytose des granules de PRL ; (3) réduction du nombre et de la taille des cellules lactotropes (effet antitumoral sur les adénomes à prolactine). À forte dose, la bromocriptine exerce aussi un effet agoniste dopaminergique nigrostriatal (maladie de Parkinson).</w:t>
      </w:r>
    </w:p>
    <w:p>
      <w:r/>
      <w:r>
        <w:rPr>
          <w:b/>
        </w:rPr>
        <w:t>Profil Pharmacologique :</w:t>
      </w:r>
      <w:r/>
    </w:p>
    <w:p>
      <w:pPr>
        <w:pStyle w:val="ListBullet"/>
      </w:pPr>
      <w:r>
        <w:t>Indications : hyperprolactinémies (adénomes à prolactine micro et macroprolactinomes ; hyperprolactinémies médicamenteuses par neuroleptiques) ; inhibition de la lactation physiologique (post-partum en cas de non-allaitement) ; maladie de Parkinson (à forte dose, en association avec lévodopa) ; acromégalie (seconde intention, effets moindres que analogues somatostatine).</w:t>
      </w:r>
    </w:p>
    <w:p>
      <w:pPr>
        <w:pStyle w:val="ListBullet"/>
      </w:pPr>
      <w:r>
        <w:t>Contre-indications : hypertension artérielle sévère non contrôlée, hypertension gravidique pré-éclampsie, maladie de Raynaud, artérite oblitérante des membres inférieurs, syndrome de Buerger, antécédents de troubles psychiatriques sévères (psychose), grossesse (sauf hyperprolactinémie fertile en cours d'AVP), hypersensibilité.</w:t>
      </w:r>
    </w:p>
    <w:p>
      <w:pPr>
        <w:pStyle w:val="ListBullet"/>
      </w:pPr>
      <w:r>
        <w:t>Effets Indésirables : nausées et vomissements (50 % — dose-dépendants), hypotension orthostatique (surtout initiale), céphalées, vertiges, asthénie, sécheresse buccale, constipation, congestion nasale, troubles psychiatriques (idées délirantes, hypomanie, jeux pathologiques — rares mais graves), syndrome des jambes sans repos, fibrose rétro-péritonéale, pleuropulmonaire et valvulaire cardiaque (risque ergotique de classe), digitales blanches (phénomène de Raynaud induit), hallucinations et confusion (Parkinson).</w:t>
      </w:r>
    </w:p>
    <w:p>
      <w:r/>
      <w:r>
        <w:rPr>
          <w:b/>
        </w:rPr>
        <w:t>Prévention et Gestion des Effets Indésirables :</w:t>
      </w:r>
      <w:r/>
    </w:p>
    <w:p>
      <w:pPr>
        <w:pStyle w:val="ListBullet"/>
      </w:pPr>
      <w:r>
        <w:t>Mesures Préventives : initiation très progressive (1,25 mg/j au coucher pendant 1 semaine, puis 1,25 mg × 2/j pendant 1 semaine, puis 2,5 mg × 2/j) ; prise pendant les repas pour limiter les troubles digestifs ; surveillance tensionnelle initiale ; échocardiographie pré-thérapeutique puis tous les 2 ans (risque valvulaire) ; tomodensitométrie thoracique si symptomatologie respiratoire (fibrose).</w:t>
      </w:r>
    </w:p>
    <w:p>
      <w:pPr>
        <w:pStyle w:val="ListBullet"/>
      </w:pPr>
      <w:r>
        <w:t>Conduite à Tenir : switch vers cabergoline en cas d'intolérance digestive ou d'efficacité insuffisante ; arrêt en cas de trouble psychiatrique ; arrêt en cas de fibrose valvulaire ou pleuropulmonaire.</w:t>
      </w:r>
    </w:p>
    <w:p>
      <w:r/>
      <w:r>
        <w:rPr>
          <w:b/>
        </w:rPr>
        <w:t>Interactions Importantes :</w:t>
      </w:r>
      <w:r/>
    </w:p>
    <w:p>
      <w:pPr>
        <w:pStyle w:val="ListBullet"/>
      </w:pPr>
      <w:r>
        <w:t>Bromocriptine + macrolides (érythromycine, clarithromycine) : augmentation des concentrations de bromocriptine (CYP3A4) — risque de toxicité.</w:t>
      </w:r>
    </w:p>
    <w:p>
      <w:pPr>
        <w:pStyle w:val="ListBullet"/>
      </w:pPr>
      <w:r>
        <w:t>Bromocriptine + antihypertenseurs : majoration de l'hypotension orthostatique.</w:t>
      </w:r>
    </w:p>
    <w:p>
      <w:pPr>
        <w:pStyle w:val="ListBullet"/>
      </w:pPr>
      <w:r>
        <w:t>Bromocriptine + alcool : effet antabuse (nausées, vomissements, flush).</w:t>
      </w:r>
    </w:p>
    <w:p>
      <w:pPr>
        <w:pStyle w:val="ListBullet"/>
      </w:pPr>
      <w:r>
        <w:t>Bromocriptine + neuroleptiques (antipsychotiques) : antagonisme pharmacologique (baisse d'efficacité).</w:t>
      </w:r>
    </w:p>
    <w:p>
      <w:pPr>
        <w:pStyle w:val="ListBullet"/>
      </w:pPr>
      <w:r>
        <w:t>Bromocriptine + octréotide : potentialisation de l'efficacité (acromégalie).</w:t>
      </w:r>
    </w:p>
    <w:p>
      <w:r/>
      <w:r>
        <w:rPr>
          <w:b/>
        </w:rPr>
        <w:t>Grossesse et Allaitement :</w:t>
      </w:r>
      <w:r/>
    </w:p>
    <w:p>
      <w:pPr>
        <w:pStyle w:val="ListBullet"/>
      </w:pPr>
      <w:r>
        <w:t>Grossesse : à éviter par principe, mais autorisée en cas d'hyperprolactinémie fertile en cours de prise en charge (retrait dès grossesse confirmée pour surveillance visuelle du macroprolactinome). Selon le CRAT, exposition accidentelle non tératogène.</w:t>
      </w:r>
    </w:p>
    <w:p>
      <w:pPr>
        <w:pStyle w:val="ListBullet"/>
      </w:pPr>
      <w:r>
        <w:t>Allaitement : CI (la bromocriptine inhibe la lactation).</w:t>
      </w:r>
    </w:p>
    <w:p>
      <w:pPr>
        <w:pStyle w:val="ListBullet"/>
      </w:pPr>
      <w:r>
        <w:t>Précisions : la bromocriptine pour inhibition de lactation post-partum est contre-indiquée en France depuis 2012 (décès par AVC) — réservée aux hyperprolactinémies pathologiques.</w:t>
      </w:r>
    </w:p>
    <w:p>
      <w:r/>
      <w:r>
        <w:rPr>
          <w:b/>
        </w:rPr>
        <w:t>Posologie et Mode d'administration (Standard) :</w:t>
      </w:r>
      <w:r/>
    </w:p>
    <w:p>
      <w:pPr>
        <w:pStyle w:val="ListBullet"/>
      </w:pPr>
      <w:r>
        <w:t>Hyperprolactinémie (initiation) : 1,25 mg (1/2 cp) au coucher pendant 7 jours, puis 1,25 mg × 2/j pendant 7 jours, puis 2,5 mg × 2/j à 3/j (dose maximale 15 mg/j pour hyperprolactinémie, 30 mg/j pour Parkinson).</w:t>
      </w:r>
    </w:p>
    <w:p>
      <w:pPr>
        <w:pStyle w:val="ListBullet"/>
      </w:pPr>
      <w:r>
        <w:t>Maladie de Parkinson : 1,25 mg × 2/j, augmentation progressive jusqu'à 10–40 mg/j.</w:t>
      </w:r>
    </w:p>
    <w:p>
      <w:pPr>
        <w:pStyle w:val="ListBullet"/>
      </w:pPr>
      <w:r>
        <w:t>Inhibition lactation post-partum : 2,5 mg × 2/j pendant 14 jours (indication controversée en raison du risque vasculaire).</w:t>
      </w:r>
    </w:p>
    <w:p>
      <w:pPr>
        <w:pStyle w:val="ListBullet"/>
      </w:pPr>
      <w:r>
        <w:t>Acromégalie : 5–10 mg × 3/j (jusqu'à 30 mg/j).</w:t>
      </w:r>
    </w:p>
    <w:p>
      <w:pPr>
        <w:pStyle w:val="ListBullet"/>
      </w:pPr>
      <w:r>
        <w:t>Sujet âgé : initiation très progressive, surveillance tensionnelle.</w:t>
      </w:r>
    </w:p>
    <w:p>
      <w:pPr>
        <w:pStyle w:val="ListBullet"/>
      </w:pPr>
      <w:r>
        <w:t>Durée : hyperprolactinémie 6 mois à 2 ans (parfois au long cours) ; macroprolactinome au long cours.</w:t>
      </w:r>
    </w:p>
    <w:p>
      <w:pPr>
        <w:pStyle w:val="ListBullet"/>
      </w:pPr>
      <w:r>
        <w:t>Moment de prise : au coucher pour la première dose (limite hypotension orthostatique), puis 2 à 3 prises par jour pendant les repas.</w:t>
      </w:r>
    </w:p>
    <w:p>
      <w:r/>
      <w:r>
        <w:rPr>
          <w:b/>
        </w:rPr>
        <w:t>Arbitrage et Bénéfices des Formes Galéniques :</w:t>
      </w:r>
      <w:r/>
    </w:p>
    <w:p>
      <w:r>
        <w:t>Le comprimé sécable 2,5 mg permet une titration fine (1,25 mg pour initiation). La forme gélule 10 mg (Bronova) est plus pratique pour la maladie de Parkinson à forte dose mais non renouvelable. La bromocriptine reste disponible alors que la cabergoline (meilleure tolérance, demi-vie longue) est aujourd'hui préférée.</w:t>
      </w:r>
    </w:p>
    <w:p>
      <w:r/>
      <w:r>
        <w:rPr>
          <w:b/>
        </w:rPr>
        <w:t>Instructions et Conseils au Patient :</w:t>
      </w:r>
      <w:r/>
    </w:p>
    <w:p>
      <w:pPr>
        <w:pStyle w:val="ListBullet"/>
      </w:pPr>
      <w:r>
        <w:t>Communication au comptoir : expliquer l'initiation très progressive (1/2 comprimé au coucher), la prise pendant les repas, l'hypotension orthostatique initiale (se lever progressivement, éviter la conduite les premiers jours), prévenir les nausées (transitoires), signaler tout trouble psychiatrique (idées délirantes, jeux pathologiques) et tout symptôme respiratoire (dyspnée, toux — fibrose pleuropulmonaire).</w:t>
      </w:r>
    </w:p>
    <w:p>
      <w:pPr>
        <w:pStyle w:val="ListBullet"/>
      </w:pPr>
      <w:r>
        <w:t>Mode d'utilisation pratique : initiation au coucher, prises pendant les repas, surveillance tensionnelle à domicile.</w:t>
      </w:r>
    </w:p>
    <w:p>
      <w:r/>
      <w:r>
        <w:rPr>
          <w:b/>
        </w:rPr>
        <w:t>Notes, Règles d'Or &amp; Pièges au Comptoir :</w:t>
      </w:r>
      <w:r/>
    </w:p>
    <w:p>
      <w:pPr>
        <w:pStyle w:val="ListBullet"/>
      </w:pPr>
      <w:r>
        <w:t>Piège classique : oublier le risque de fibrose valvulaire et pleuropulmonaire (ergotique de classe) — surveillance échocardiographique systématique.</w:t>
      </w:r>
    </w:p>
    <w:p>
      <w:pPr>
        <w:pStyle w:val="ListBullet"/>
      </w:pPr>
      <w:r>
        <w:t>Règle de prise : initiation très progressive au coucher, prises pendant les repas.</w:t>
      </w:r>
    </w:p>
    <w:p>
      <w:pPr>
        <w:pStyle w:val="ListBullet"/>
      </w:pPr>
      <w:r>
        <w:t>Préparation et Conservation : à température &lt; 25 °C, à l'abri de la lumière et de l'humidité.</w:t>
      </w:r>
    </w:p>
    <w:p>
      <w:pPr>
        <w:pStyle w:val="ListBullet"/>
      </w:pPr>
      <w:r>
        <w:t>Piège du surdosage / Substitution : ne pas confondre avec la cabergoline (mêmes indications mais posologie très différente — bromocriptine en mg/jour, cabergoline en μg/semaine).</w:t>
      </w:r>
    </w:p>
    <w:p>
      <w:pPr>
        <w:pStyle w:val="Heading3"/>
      </w:pPr>
      <w:r>
        <w:t>17. DCI : Cabergoline (Seule)</w:t>
      </w:r>
    </w:p>
    <w:p>
      <w:r/>
      <w:r>
        <w:rPr>
          <w:b/>
        </w:rPr>
        <w:t>Liste des Catégories :</w:t>
      </w:r>
      <w:r>
        <w:t xml:space="preserve"> Agonistes dopaminergiques D2 — Antiprolactinémiques ; Liste I.</w:t>
      </w:r>
    </w:p>
    <w:p>
      <w:r>
        <w:t>La cabergoline, agoniste dopaminergique D2 de deuxième génération (dérivé ergoté), est le traitement de référence des hyperprolactinémies en raison de sa très longue demi-vie (65 heures) autorisant une à deux prises par semaine, de sa sélectivité élevée pour les récepteurs D2 et de son excellente tolérance digestive comparée à la bromocriptine. Sa limite est le risque de fibrose valvulaire cardiaque (ergotique de classe), imposant une surveillance échocardiographique systématique.</w:t>
      </w:r>
    </w:p>
    <w:p>
      <w:r/>
      <w:r>
        <w:rPr>
          <w:b/>
        </w:rPr>
        <w:t>Médicaments disponibles en Algérie (Marques, Laboratoires, Formes et Dosages) :</w:t>
      </w:r>
      <w:r/>
    </w:p>
    <w:p>
      <w:pPr>
        <w:pStyle w:val="ListBullet"/>
      </w:pPr>
      <w:r/>
      <w:r>
        <w:rPr>
          <w:b/>
        </w:rPr>
        <w:t>CABERGOLINE BR</w:t>
      </w:r>
      <w:r>
        <w:t xml:space="preserve"> (SARL BIOREM)</w:t>
      </w:r>
    </w:p>
    <w:p>
      <w:pPr>
        <w:pStyle w:val="ListBullet"/>
      </w:pPr>
      <w:r>
        <w:t>Formes et Dosages : Comprimé 0,5 mg</w:t>
      </w:r>
    </w:p>
    <w:p>
      <w:pPr>
        <w:pStyle w:val="ListBullet"/>
      </w:pPr>
      <w:r>
        <w:t>Statut : Actif</w:t>
      </w:r>
    </w:p>
    <w:p>
      <w:pPr>
        <w:pStyle w:val="ListBullet"/>
      </w:pPr>
      <w:r/>
      <w:r>
        <w:rPr>
          <w:b/>
        </w:rPr>
        <w:t>CABERNEX</w:t>
      </w:r>
      <w:r>
        <w:t xml:space="preserve"> (BIOCARE)</w:t>
      </w:r>
    </w:p>
    <w:p>
      <w:pPr>
        <w:pStyle w:val="ListBullet"/>
      </w:pPr>
      <w:r>
        <w:t>Formes et Dosages : Comprimé 0,5 mg</w:t>
      </w:r>
    </w:p>
    <w:p>
      <w:pPr>
        <w:pStyle w:val="ListBullet"/>
      </w:pPr>
      <w:r>
        <w:t>Statut : Actif</w:t>
      </w:r>
    </w:p>
    <w:p>
      <w:pPr>
        <w:pStyle w:val="ListBullet"/>
      </w:pPr>
      <w:r/>
      <w:r>
        <w:rPr>
          <w:b/>
        </w:rPr>
        <w:t>DONEX</w:t>
      </w:r>
      <w:r>
        <w:t xml:space="preserve"> (HUPP PHARMA)</w:t>
      </w:r>
    </w:p>
    <w:p>
      <w:pPr>
        <w:pStyle w:val="ListBullet"/>
      </w:pPr>
      <w:r>
        <w:t>Formes et Dosages : Comprimé 0,5 mg</w:t>
      </w:r>
    </w:p>
    <w:p>
      <w:pPr>
        <w:pStyle w:val="ListBullet"/>
      </w:pPr>
      <w:r>
        <w:t>Statut : Actif</w:t>
      </w:r>
    </w:p>
    <w:p>
      <w:pPr>
        <w:pStyle w:val="ListBullet"/>
      </w:pPr>
      <w:r/>
      <w:r>
        <w:rPr>
          <w:b/>
        </w:rPr>
        <w:t>DOSTINOVA</w:t>
      </w:r>
      <w:r>
        <w:t xml:space="preserve"> (NOVAPHARM TRADING)</w:t>
      </w:r>
    </w:p>
    <w:p>
      <w:pPr>
        <w:pStyle w:val="ListBullet"/>
      </w:pPr>
      <w:r>
        <w:t>Formes et Dosages : Comprimé 0,5 mg</w:t>
      </w:r>
    </w:p>
    <w:p>
      <w:pPr>
        <w:pStyle w:val="ListBullet"/>
      </w:pPr>
      <w:r>
        <w:t>Statut : Actif</w:t>
      </w:r>
    </w:p>
    <w:p>
      <w:pPr>
        <w:pStyle w:val="ListBullet"/>
      </w:pPr>
      <w:r/>
      <w:r>
        <w:rPr>
          <w:b/>
        </w:rPr>
        <w:t>PROLANEX</w:t>
      </w:r>
      <w:r>
        <w:t xml:space="preserve"> (LABORATOIRES DE DIAGNOSTIC MAGHREBINS-LDM)</w:t>
      </w:r>
    </w:p>
    <w:p>
      <w:pPr>
        <w:pStyle w:val="ListBullet"/>
      </w:pPr>
      <w:r>
        <w:t>Formes et Dosages : Comprimé 0,5 mg</w:t>
      </w:r>
    </w:p>
    <w:p>
      <w:pPr>
        <w:pStyle w:val="ListBullet"/>
      </w:pPr>
      <w:r>
        <w:t>Statut : Actif</w:t>
      </w:r>
    </w:p>
    <w:p>
      <w:pPr>
        <w:pStyle w:val="ListBullet"/>
      </w:pPr>
      <w:r/>
      <w:r>
        <w:rPr>
          <w:b/>
        </w:rPr>
        <w:t>PROLATINEX BGL</w:t>
      </w:r>
      <w:r>
        <w:t xml:space="preserve"> (BIOGALENIC)</w:t>
      </w:r>
    </w:p>
    <w:p>
      <w:pPr>
        <w:pStyle w:val="ListBullet"/>
      </w:pPr>
      <w:r>
        <w:t>Formes et Dosages : Comprimé 0,5 mg</w:t>
      </w:r>
    </w:p>
    <w:p>
      <w:pPr>
        <w:pStyle w:val="ListBullet"/>
      </w:pPr>
      <w:r>
        <w:t>Statut : Actif</w:t>
      </w:r>
    </w:p>
    <w:p>
      <w:pPr>
        <w:pStyle w:val="ListBullet"/>
      </w:pPr>
      <w:r/>
      <w:r>
        <w:rPr>
          <w:b/>
        </w:rPr>
        <w:t>DOSTINEX</w:t>
      </w:r>
      <w:r>
        <w:t xml:space="preserve"> (PFIZER HOLDING FRANCE) — originator</w:t>
      </w:r>
    </w:p>
    <w:p>
      <w:pPr>
        <w:pStyle w:val="ListBullet"/>
      </w:pPr>
      <w:r>
        <w:t>Formes et Dosages : Comprimé 0,5 mg</w:t>
      </w:r>
    </w:p>
    <w:p>
      <w:pPr>
        <w:pStyle w:val="ListBullet"/>
      </w:pPr>
      <w:r>
        <w:t>Statut : Retiré (R)</w:t>
      </w:r>
    </w:p>
    <w:p>
      <w:pPr>
        <w:pStyle w:val="ListBullet"/>
      </w:pPr>
      <w:r/>
      <w:r>
        <w:rPr>
          <w:b/>
        </w:rPr>
        <w:t>CABRELIN</w:t>
      </w:r>
      <w:r>
        <w:t xml:space="preserve"> (SOPRODIM SPA)</w:t>
      </w:r>
    </w:p>
    <w:p>
      <w:pPr>
        <w:pStyle w:val="ListBullet"/>
      </w:pPr>
      <w:r>
        <w:t>Formes et Dosages : Comprimé 0,5 mg</w:t>
      </w:r>
    </w:p>
    <w:p>
      <w:pPr>
        <w:pStyle w:val="ListBullet"/>
      </w:pPr>
      <w:r>
        <w:t>Statut : Retiré (R)</w:t>
      </w:r>
    </w:p>
    <w:p>
      <w:r/>
      <w:r>
        <w:rPr>
          <w:b/>
        </w:rPr>
        <w:t>Sous-classe et Mécanisme d'action :</w:t>
      </w:r>
      <w:r/>
    </w:p>
    <w:p>
      <w:pPr>
        <w:pStyle w:val="ListBullet"/>
      </w:pPr>
      <w:r>
        <w:t>Sous-classe : Agoniste dopaminergique D2 dérivé ergoté de deuxième génération, antiprolactinémique de première intention.</w:t>
      </w:r>
    </w:p>
    <w:p>
      <w:pPr>
        <w:pStyle w:val="ListBullet"/>
      </w:pPr>
      <w:r>
        <w:t>Mécanisme d'action : la cabergoline est un agoniste direct puissant et sélectif des récepteurs dopaminergiques D2 (affinité supérieure à la bromocriptine). Au niveau des cellules lactotropes antéhypophysaires, elle mime l'action inhibitrice de la dopamine endogène sur la sécrétion de prolactine : (1) inhibition de la transcription du gène PRL ; (2) inhibition de l'exocytose ; (3) réduction de la taille des adénomes à prolactine (effet cytostatique et parfois cytolytique). Sa très longue demi-vie (65 heures) reflète sa forte lipophilie et sa fixation tissulaire, autorisant une administration hebdomadaire ou bimensuelle. À forte dose (maladie de Parkinson), elle agonise aussi les récepteurs D2 striataux.</w:t>
      </w:r>
    </w:p>
    <w:p>
      <w:r/>
      <w:r>
        <w:rPr>
          <w:b/>
        </w:rPr>
        <w:t>Profil Pharmacologique :</w:t>
      </w:r>
      <w:r/>
    </w:p>
    <w:p>
      <w:pPr>
        <w:pStyle w:val="ListBullet"/>
      </w:pPr>
      <w:r>
        <w:t>Indications : hyperprolactinémies (microprolactinome, macroprolactinome, hyperprolactinémie médicamenteuse par neuroleptiques avec syndrome aménorrhée-galactorrhée-infertilité) ; maladie de Parkinson à forte dose (en association avec lévodopa, indication moins courante en raison du risque de fibrose valvulaire aux doses élevées) ; acromégalie (seconde intention).</w:t>
      </w:r>
    </w:p>
    <w:p>
      <w:pPr>
        <w:pStyle w:val="ListBullet"/>
      </w:pPr>
      <w:r>
        <w:t>Contre-indications : hypertension artérielle sévère non contrôlée, pré-éclampsie/post-partum HTA, antécédents de troubles psychiatriques (psychose), valvulopathie fibreuse, fibrose rétropéritonéale ou pleuropulmonaire, hypersensibilité.</w:t>
      </w:r>
    </w:p>
    <w:p>
      <w:pPr>
        <w:pStyle w:val="ListBullet"/>
      </w:pPr>
      <w:r>
        <w:t>Effets Indésirables : nausées et vomissements (moins fréquents et moins intenses qu'avec bromocriptine — 15–20 %), hypotension orthostatique (initiale), céphalées, asthénie, vertiges, somnolence (troubles du contrôle des impulsions — jeux pathologiques, hypersexualité), constipation, douleurs abdominales, bouffées de chaleur, fibrose valvulaire cardiaque (risque dose-dépendant — échocardiographie systématique), fibrose rétropéritonéale et pleuropulmonaire (rares), rares cas de troubles psychiatriques (idées délirantes, hypomanie), syndrome malin des neuroleptiques (à l'arrêt).</w:t>
      </w:r>
    </w:p>
    <w:p>
      <w:r/>
      <w:r>
        <w:rPr>
          <w:b/>
        </w:rPr>
        <w:t>Prévention et Gestion des Effets Indésirables :</w:t>
      </w:r>
      <w:r/>
    </w:p>
    <w:p>
      <w:pPr>
        <w:pStyle w:val="ListBullet"/>
      </w:pPr>
      <w:r>
        <w:t>Mesures Préventives : initiation progressive (0,25 mg = 1/2 cp une fois par semaine pendant 1 semaine, puis 0,5 mg/semaine en 1 ou 2 prises) ; échocardiographie pré-thérapeutique puis annuelle (et plus fréquente si dose cumulée &gt; 3 mg/jour Parkinson) ; surveillance tensionnelle initiale ; information sur les troubles du contrôle des impulsions.</w:t>
      </w:r>
    </w:p>
    <w:p>
      <w:pPr>
        <w:pStyle w:val="ListBullet"/>
      </w:pPr>
      <w:r>
        <w:t>Conduite à Tenir : switch vers quinagolide (non ergoté) en cas de fibrose valvulaire ; arrêt en cas de trouble psychiatrique ; arrêt en cas de fibrose pleuropulmonaire.</w:t>
      </w:r>
    </w:p>
    <w:p>
      <w:r/>
      <w:r>
        <w:rPr>
          <w:b/>
        </w:rPr>
        <w:t>Interactions Importantes :</w:t>
      </w:r>
      <w:r/>
    </w:p>
    <w:p>
      <w:pPr>
        <w:pStyle w:val="ListBullet"/>
      </w:pPr>
      <w:r>
        <w:t>Cabergoline + macrolides (érythromycine, clarithromycine) : augmentation majeure des concentrations (CYP3A4) — CI.</w:t>
      </w:r>
    </w:p>
    <w:p>
      <w:pPr>
        <w:pStyle w:val="ListBullet"/>
      </w:pPr>
      <w:r>
        <w:t>Cabergoline + antihypertenseurs : majoration hypotension orthostatique.</w:t>
      </w:r>
    </w:p>
    <w:p>
      <w:pPr>
        <w:pStyle w:val="ListBullet"/>
      </w:pPr>
      <w:r>
        <w:t>Cabergoline + alcool : effet antabuse.</w:t>
      </w:r>
    </w:p>
    <w:p>
      <w:pPr>
        <w:pStyle w:val="ListBullet"/>
      </w:pPr>
      <w:r>
        <w:t>Cabergoline + neuroleptiques : antagonisme pharmacologique (baisse d'efficacité).</w:t>
      </w:r>
    </w:p>
    <w:p>
      <w:pPr>
        <w:pStyle w:val="ListBullet"/>
      </w:pPr>
      <w:r>
        <w:t>Cabergoline + inhibiteurs puissants CYP3A4 (ritonavir, kétoconazole) : augmentation des concentrations.</w:t>
      </w:r>
    </w:p>
    <w:p>
      <w:r/>
      <w:r>
        <w:rPr>
          <w:b/>
        </w:rPr>
        <w:t>Grossesse et Allaitement :</w:t>
      </w:r>
      <w:r/>
    </w:p>
    <w:p>
      <w:pPr>
        <w:pStyle w:val="ListBullet"/>
      </w:pPr>
      <w:r>
        <w:t>Grossesse : à éviter par principe mais autorisée en cas de macroprolactinome compressif justifiant un maintien pendant la grossesse (selon CRAT). Retrait dès confirmation de grossesse en cas de microprolactinome (surveillance visuelle simple).</w:t>
      </w:r>
    </w:p>
    <w:p>
      <w:pPr>
        <w:pStyle w:val="ListBullet"/>
      </w:pPr>
      <w:r>
        <w:t>Allaitement : CI (inhibe la lactation).</w:t>
      </w:r>
    </w:p>
    <w:p>
      <w:pPr>
        <w:pStyle w:val="ListBullet"/>
      </w:pPr>
      <w:r>
        <w:t>Précisions : la cabergoline permet fréquemment une ovulation et une grossesse chez les patientes infertiles hyperprolactinémiques — information sur la contraception si grossesse non désirée.</w:t>
      </w:r>
    </w:p>
    <w:p>
      <w:r/>
      <w:r>
        <w:rPr>
          <w:b/>
        </w:rPr>
        <w:t>Posologie et Mode d'administration (Standard) :</w:t>
      </w:r>
      <w:r/>
    </w:p>
    <w:p>
      <w:pPr>
        <w:pStyle w:val="ListBullet"/>
      </w:pPr>
      <w:r>
        <w:t>Hyperprolactinémie initiation : 0,25 mg (1/2 cp) × 1/semaine pendant 1 semaine, puis 0,5 mg × 1 à 2/semaine (à répartir en 2 prises par exemple lundi/jeudi).</w:t>
      </w:r>
    </w:p>
    <w:p>
      <w:pPr>
        <w:pStyle w:val="ListBullet"/>
      </w:pPr>
      <w:r>
        <w:t>Hyperprolactinémie entretien : 0,5 à 3 mg/semaine (jusqu'à 4,5 mg/semaine en cas de macroprolactinome résistant).</w:t>
      </w:r>
    </w:p>
    <w:p>
      <w:pPr>
        <w:pStyle w:val="ListBullet"/>
      </w:pPr>
      <w:r>
        <w:t>Maladie de Parkinson : 1 à 6 mg/jour (à éviter si possible en raison du risque de fibrose valvaire).</w:t>
      </w:r>
    </w:p>
    <w:p>
      <w:pPr>
        <w:pStyle w:val="ListBullet"/>
      </w:pPr>
      <w:r>
        <w:t>Sujet âgé : initiation très progressive, surveillance tensionnelle et échocardiographique accrue.</w:t>
      </w:r>
    </w:p>
    <w:p>
      <w:pPr>
        <w:pStyle w:val="ListBullet"/>
      </w:pPr>
      <w:r>
        <w:t>Durée : hyperprolactinémie 6 mois à 2 ans (voire au long cours) ; macroprolactinome au long cours.</w:t>
      </w:r>
    </w:p>
    <w:p>
      <w:pPr>
        <w:pStyle w:val="ListBullet"/>
      </w:pPr>
      <w:r>
        <w:t>Moment de prise : prise pendant les repas (limitation des troubles digestifs), à jour fixe (par exemple lundi et jeudi).</w:t>
      </w:r>
    </w:p>
    <w:p>
      <w:r/>
      <w:r>
        <w:rPr>
          <w:b/>
        </w:rPr>
        <w:t>Arbitrage et Bénéfices des Formes Galéniques :</w:t>
      </w:r>
      <w:r/>
    </w:p>
    <w:p>
      <w:r>
        <w:t>Le comprimé 0,5 mg sécable implicitement (coupe possible) permet une titration facile (0,25 mg pour initiation). La multiplicité des génériques actifs algériens (Cabergoline BR, Cabernex, Donex, Dostinova, Prolanex, Prolatinex BGL) assure une excellente disponibilité malgré le retrait de l'originator Dostinex. La prise hebdomadaire ou bimensuelle facilite considérablement l'observance comparée à la bromocriptine (2 à 3 prises/jour).</w:t>
      </w:r>
    </w:p>
    <w:p>
      <w:r/>
      <w:r>
        <w:rPr>
          <w:b/>
        </w:rPr>
        <w:t>Instructions et Conseils au Patient :</w:t>
      </w:r>
      <w:r/>
    </w:p>
    <w:p>
      <w:pPr>
        <w:pStyle w:val="ListBullet"/>
      </w:pPr>
      <w:r>
        <w:t>Communication au comptoir : expliquer la prise hebdomadaire ou bimensuelle à jour fixe, l'initiation très progressive, la prise pendant les repas, prévenir l'hypotension orthostatique initiale, l'importance de l'échocardiographie annuelle (fibrose valvulaire), signaler tout trouble psychiatrique (idées délirantes, jeux pathologiques, hypersexualité) et tout symptôme respiratoire (dyspnée — fibrose pleuropulmonaire).</w:t>
      </w:r>
    </w:p>
    <w:p>
      <w:pPr>
        <w:pStyle w:val="ListBullet"/>
      </w:pPr>
      <w:r>
        <w:t>Mode d'utilisation pratique : carnet de suivi des prises hebdomadaires, surveillance tensionnelle à domicile, échocardiographie annuelle.</w:t>
      </w:r>
    </w:p>
    <w:p>
      <w:r/>
      <w:r>
        <w:rPr>
          <w:b/>
        </w:rPr>
        <w:t>Notes, Règles d'Or &amp; Pièges au Comptoir :</w:t>
      </w:r>
      <w:r/>
    </w:p>
    <w:p>
      <w:pPr>
        <w:pStyle w:val="ListBullet"/>
      </w:pPr>
      <w:r>
        <w:t>Piège classique : oublier l'échocardiographie annuelle de surveillance (risque de fibrose valvulaire dose-dépendant).</w:t>
      </w:r>
    </w:p>
    <w:p>
      <w:pPr>
        <w:pStyle w:val="ListBullet"/>
      </w:pPr>
      <w:r>
        <w:t>Règle de prise : 1 à 2 prises par semaine à jour fixe, pendant les repas.</w:t>
      </w:r>
    </w:p>
    <w:p>
      <w:pPr>
        <w:pStyle w:val="ListBullet"/>
      </w:pPr>
      <w:r>
        <w:t>Préparation et Conservation : à température &lt; 25 °C, à l'abri de la lumière et de l'humidité.</w:t>
      </w:r>
    </w:p>
    <w:p>
      <w:pPr>
        <w:pStyle w:val="ListBullet"/>
      </w:pPr>
      <w:r>
        <w:t>Piège du surdosage / Substitution : ne pas confondre avec la bromocriptine (posologie très différente — cabergoline en μg/semaine, bromocriptine en mg/jour).</w:t>
      </w:r>
    </w:p>
    <w:p>
      <w:pPr>
        <w:pStyle w:val="Heading3"/>
      </w:pPr>
      <w:r>
        <w:t>18. DCI : Quinagolide (Seule)</w:t>
      </w:r>
    </w:p>
    <w:p>
      <w:r/>
      <w:r>
        <w:rPr>
          <w:b/>
        </w:rPr>
        <w:t>Liste des Catégories :</w:t>
      </w:r>
      <w:r>
        <w:t xml:space="preserve"> Agonistes dopaminergiques D2 — Antiprolactinémiques ; Liste I.</w:t>
      </w:r>
    </w:p>
    <w:p>
      <w:r>
        <w:t>Le quinagolide est un agoniste dopaminergique D2 non ergoté de troisième génération, indiqué dans les hyperprolactinémies. Son intérêt principal réside dans l'absence du risque de fibrose valvulaire (contrairement aux dérivés ergotés bromocriptine et cabergoline). Sa demi-vie d'environ 12 heures autorise une prise quotidienne unique. Non disponible actuellement en Algérie (Norprolac retiré).</w:t>
      </w:r>
    </w:p>
    <w:p>
      <w:r/>
      <w:r>
        <w:rPr>
          <w:b/>
        </w:rPr>
        <w:t>Médicaments disponibles en Algérie (Marques, Laboratoires, Formes et Dosages) :</w:t>
      </w:r>
      <w:r/>
    </w:p>
    <w:p>
      <w:pPr>
        <w:pStyle w:val="ListBullet"/>
      </w:pPr>
      <w:r/>
      <w:r>
        <w:rPr>
          <w:b/>
        </w:rPr>
        <w:t>NORPROLAC</w:t>
      </w:r>
      <w:r>
        <w:t xml:space="preserve"> (NOVARTIS PHARMA S.A.) — Quinagolide chlorhydrate</w:t>
      </w:r>
    </w:p>
    <w:p>
      <w:pPr>
        <w:pStyle w:val="ListBullet"/>
      </w:pPr>
      <w:r>
        <w:t>Formes et Dosages : Comprimé — 25 μg (3 comprimés) et 50 μg (3 comprimés)</w:t>
      </w:r>
    </w:p>
    <w:p>
      <w:pPr>
        <w:pStyle w:val="ListBullet"/>
      </w:pPr>
      <w:r>
        <w:t>Statut : Retiré (R)</w:t>
      </w:r>
    </w:p>
    <w:p>
      <w:pPr>
        <w:pStyle w:val="ListBullet"/>
      </w:pPr>
      <w:r>
        <w:t>Formes et Dosages : Comprimé — 75 μg</w:t>
      </w:r>
    </w:p>
    <w:p>
      <w:pPr>
        <w:pStyle w:val="ListBullet"/>
      </w:pPr>
      <w:r>
        <w:t>Statut : Retiré (R)</w:t>
      </w:r>
    </w:p>
    <w:p>
      <w:pPr>
        <w:pStyle w:val="ListBullet"/>
      </w:pPr>
      <w:r>
        <w:t>Formes et Dosages : Comprimé — 150 μg</w:t>
      </w:r>
    </w:p>
    <w:p>
      <w:pPr>
        <w:pStyle w:val="ListBullet"/>
      </w:pPr>
      <w:r>
        <w:t>Statut : Retiré (R)</w:t>
      </w:r>
    </w:p>
    <w:p>
      <w:r/>
      <w:r>
        <w:rPr>
          <w:b/>
        </w:rPr>
        <w:t>Sous-classe et Mécanisme d'action :</w:t>
      </w:r>
      <w:r/>
    </w:p>
    <w:p>
      <w:pPr>
        <w:pStyle w:val="ListBullet"/>
      </w:pPr>
      <w:r>
        <w:t>Sous-classe : Agoniste dopaminergique D2 non ergoté de troisième génération, antiprolactinémique.</w:t>
      </w:r>
    </w:p>
    <w:p>
      <w:pPr>
        <w:pStyle w:val="ListBullet"/>
      </w:pPr>
      <w:r>
        <w:t>Mécanisme d'action : le quinagolide est un agoniste direct sélectif des récepteurs dopaminergiques D2 lactotropes, sans structure ergotée (dérivé de la naphthalénone). Il mime l'action inhibitrice de la dopamine endogène sur la sécrétion de prolactine : (1) inhibition de la transcription du gène PRL ; (2) inhibition de l'exocytose ; (3) cytostaticité sur les adénomes à prolactine. L'absence de structure ergotée élimine le risque de fibrose valvulaire, rétropéritonéale et pleuropulmonaire (avantage majeur vs cabergoline et bromocriptine).</w:t>
      </w:r>
    </w:p>
    <w:p>
      <w:r/>
      <w:r>
        <w:rPr>
          <w:b/>
        </w:rPr>
        <w:t>Profil Pharmacologique :</w:t>
      </w:r>
      <w:r/>
    </w:p>
    <w:p>
      <w:pPr>
        <w:pStyle w:val="ListBullet"/>
      </w:pPr>
      <w:r>
        <w:t>Indications : hyperprolactinémies (microprolactinome, macroprolactinome, hyperprolactinémie médicamenteuse) — indiqué en cas d'intolérance ou de contre-indication aux dérivés ergotés (valvulopathie, fibrose).</w:t>
      </w:r>
    </w:p>
    <w:p>
      <w:pPr>
        <w:pStyle w:val="ListBullet"/>
      </w:pPr>
      <w:r>
        <w:t>Contre-indications : hypersensibilité, grossesse et allaitement (selon AMM), insuffisance hépatique sévère, antécédents psychiatriques graves.</w:t>
      </w:r>
    </w:p>
    <w:p>
      <w:pPr>
        <w:pStyle w:val="ListBullet"/>
      </w:pPr>
      <w:r>
        <w:t>Effets Indésirables : nausées et vomissements (10–15 %, transitoires), hypotension orthostatique initiale, céphalées, asthénie, vertiges, somnolence, troubles du contrôle des impulsions (jeux pathologiques, hypersexualité), constipation, douleurs abdominales, exceptionnels cas de troubles psychiatriques (idées délirantes, hypomanie).</w:t>
      </w:r>
    </w:p>
    <w:p>
      <w:r/>
      <w:r>
        <w:rPr>
          <w:b/>
        </w:rPr>
        <w:t>Prévention et Gestion des Effets Indésirables :</w:t>
      </w:r>
      <w:r/>
    </w:p>
    <w:p>
      <w:pPr>
        <w:pStyle w:val="ListBullet"/>
      </w:pPr>
      <w:r>
        <w:t>Mesures Préventives : initiation très progressive (25 μg/j pendant 4 jours, puis 50 μg/j pendant 4 jours, puis 75 μg/j) ; prise au coucher (limite hypotension orthostatique) ; surveillance tensionnelle initiale ; information sur les troubles du contrôle des impulsions.</w:t>
      </w:r>
    </w:p>
    <w:p>
      <w:pPr>
        <w:pStyle w:val="ListBullet"/>
      </w:pPr>
      <w:r>
        <w:t>Conduite à Tenir : réduction posologique en cas d'effet indésirable ; arrêt en cas de trouble psychiatrique.</w:t>
      </w:r>
    </w:p>
    <w:p>
      <w:r/>
      <w:r>
        <w:rPr>
          <w:b/>
        </w:rPr>
        <w:t>Interactions Importantes :</w:t>
      </w:r>
      <w:r/>
    </w:p>
    <w:p>
      <w:pPr>
        <w:pStyle w:val="ListBullet"/>
      </w:pPr>
      <w:r>
        <w:t>Quinagolide + macrolides : augmentation des concentrations (modérée).</w:t>
      </w:r>
    </w:p>
    <w:p>
      <w:pPr>
        <w:pStyle w:val="ListBullet"/>
      </w:pPr>
      <w:r>
        <w:t>Quinagolide + antihypertenseurs : majoration hypotension orthostatique.</w:t>
      </w:r>
    </w:p>
    <w:p>
      <w:pPr>
        <w:pStyle w:val="ListBullet"/>
      </w:pPr>
      <w:r>
        <w:t>Quinagolide + neuroleptiques : antagonisme pharmacologique (baisse d'efficacité).</w:t>
      </w:r>
    </w:p>
    <w:p>
      <w:pPr>
        <w:pStyle w:val="ListBullet"/>
      </w:pPr>
      <w:r>
        <w:t>Quinagolide + alcool : effet antabuse possible.</w:t>
      </w:r>
    </w:p>
    <w:p>
      <w:r/>
      <w:r>
        <w:rPr>
          <w:b/>
        </w:rPr>
        <w:t>Grossesse et Allaitement :</w:t>
      </w:r>
      <w:r/>
    </w:p>
    <w:p>
      <w:pPr>
        <w:pStyle w:val="ListBullet"/>
      </w:pPr>
      <w:r>
        <w:t>Grossesse : à éviter (données limitées), retrait dès confirmation de grossesse en cas de microprolactinome.</w:t>
      </w:r>
    </w:p>
    <w:p>
      <w:pPr>
        <w:pStyle w:val="ListBullet"/>
      </w:pPr>
      <w:r>
        <w:t>Allaitement : CI.</w:t>
      </w:r>
    </w:p>
    <w:p>
      <w:pPr>
        <w:pStyle w:val="ListBullet"/>
      </w:pPr>
      <w:r>
        <w:t>Précisions : alternative non ergotée utile chez la femme envisageant une grossesse.</w:t>
      </w:r>
    </w:p>
    <w:p>
      <w:r/>
      <w:r>
        <w:rPr>
          <w:b/>
        </w:rPr>
        <w:t>Posologie et Mode d'administration (Standard) :</w:t>
      </w:r>
      <w:r/>
    </w:p>
    <w:p>
      <w:pPr>
        <w:pStyle w:val="ListBullet"/>
      </w:pPr>
      <w:r>
        <w:t>Initiation : 25 μg/j pendant 4 jours, puis 50 μg/j pendant 4 jours, puis 75 μg/j (dose d'entretien standard).</w:t>
      </w:r>
    </w:p>
    <w:p>
      <w:pPr>
        <w:pStyle w:val="ListBullet"/>
      </w:pPr>
      <w:r>
        <w:t>Adaptation : 75 μg/j à 150 μg/j selon prolactinémie cible.</w:t>
      </w:r>
    </w:p>
    <w:p>
      <w:pPr>
        <w:pStyle w:val="ListBullet"/>
      </w:pPr>
      <w:r>
        <w:t>Sujet âgé : initiation très progressive.</w:t>
      </w:r>
    </w:p>
    <w:p>
      <w:pPr>
        <w:pStyle w:val="ListBullet"/>
      </w:pPr>
      <w:r>
        <w:t>Durée : hyperprolactinémie 6 mois à 2 ans (voire au long cours) ; macroprolactinome au long cours.</w:t>
      </w:r>
    </w:p>
    <w:p>
      <w:pPr>
        <w:pStyle w:val="ListBullet"/>
      </w:pPr>
      <w:r>
        <w:t>Moment de prise : prise unique quotidienne au coucher (limite hypotension orthostatique).</w:t>
      </w:r>
    </w:p>
    <w:p>
      <w:r/>
      <w:r>
        <w:rPr>
          <w:b/>
        </w:rPr>
        <w:t>Arbitrage et Bénéfices des Formes Galéniques :</w:t>
      </w:r>
      <w:r/>
    </w:p>
    <w:p>
      <w:r>
        <w:t>Les comprimés à 25, 50, 75 et 150 μg permettent une titration progressive. La dose unique quotidienne au coucher améliore l'observance comparée à la bromocriptine (2 à 3 prises/jour). L'absence de structure ergotée est l'avantage majeur (pas de surveillance échocardiographique). Le retrait de Norprolac du marché algérien limite malheureusement l'accès à cette alternative non ergotée.</w:t>
      </w:r>
    </w:p>
    <w:p>
      <w:r/>
      <w:r>
        <w:rPr>
          <w:b/>
        </w:rPr>
        <w:t>Instructions et Conseils au Patient :</w:t>
      </w:r>
      <w:r/>
    </w:p>
    <w:p>
      <w:pPr>
        <w:pStyle w:val="ListBullet"/>
      </w:pPr>
      <w:r>
        <w:t>Communication au comptoir : expliquer la prise quotidienne unique au coucher, l'initiation très progressive, prévenir l'hypotension orthostatique initiale, signaler tout trouble psychiatrique et tout symptôme évocateur de fibrose (bien que moins probable qu'avec les ergotés).</w:t>
      </w:r>
    </w:p>
    <w:p>
      <w:pPr>
        <w:pStyle w:val="ListBullet"/>
      </w:pPr>
      <w:r>
        <w:t>Mode d'utilisation pratique : prise au coucher, surveillance tensionnelle à domicile.</w:t>
      </w:r>
    </w:p>
    <w:p>
      <w:r/>
      <w:r>
        <w:rPr>
          <w:b/>
        </w:rPr>
        <w:t>Notes, Règles d'Or &amp; Pièges au Comptoir :</w:t>
      </w:r>
      <w:r/>
    </w:p>
    <w:p>
      <w:pPr>
        <w:pStyle w:val="ListBullet"/>
      </w:pPr>
      <w:r>
        <w:t>Piège classique : oublier que le quinagolide est dosé en microgrammes (et non en milligrammes comme la cabergoline ou la bromocriptine) — erreur de dosage potentiellement grave.</w:t>
      </w:r>
    </w:p>
    <w:p>
      <w:pPr>
        <w:pStyle w:val="ListBullet"/>
      </w:pPr>
      <w:r>
        <w:t>Règle de prise : une fois par jour au coucher, pendant le repas du soir.</w:t>
      </w:r>
    </w:p>
    <w:p>
      <w:pPr>
        <w:pStyle w:val="ListBullet"/>
      </w:pPr>
      <w:r>
        <w:t>Préparation et Conservation : à température &lt; 25 °C.</w:t>
      </w:r>
    </w:p>
    <w:p>
      <w:pPr>
        <w:pStyle w:val="ListBullet"/>
      </w:pPr>
      <w:r>
        <w:t>Piège du surdosage / Substitution : étant retiré du marché algérien, ne pas délivrer — signaler au prescripteur la nécessité de substituer par cabergoline (0,5 mg/semaine) en surveillant l'échocardiographie annuelle.</w:t>
      </w:r>
    </w:p>
    <w:p>
      <w:pPr>
        <w:pStyle w:val="Heading3"/>
      </w:pPr>
      <w:r>
        <w:t>19. DCI : Testostérone (énanthate, heptylate, undécanoate) (Seule)</w:t>
      </w:r>
    </w:p>
    <w:p>
      <w:r/>
      <w:r>
        <w:rPr>
          <w:b/>
        </w:rPr>
        <w:t>Liste des Catégories :</w:t>
      </w:r>
      <w:r>
        <w:t xml:space="preserve"> Androgènes ; Liste I.</w:t>
      </w:r>
    </w:p>
    <w:p>
      <w:r>
        <w:t>La testostérone est l'androgène de référence utilisé dans l'hypogonadisme masculin primaire (hypergonadotrope) ou secondaire (hypogonadotrope). Plusieurs esters sont disponibles, conditionnant la durée d'action : courte (testostérone base), intermédiaire (énanthate, heptylate : 2–4 semaines) et longue (undécanoate oral, mixed esters Sustanon). En Algérie, les spécialités injectables dominent le marché mais sont en statut non renouvelable ou retiré.</w:t>
      </w:r>
    </w:p>
    <w:p>
      <w:r/>
      <w:r>
        <w:rPr>
          <w:b/>
        </w:rPr>
        <w:t>Médicaments disponibles en Algérie (Marques, Laboratoires, Formes et Dosages) :</w:t>
      </w:r>
      <w:r/>
    </w:p>
    <w:p>
      <w:pPr>
        <w:pStyle w:val="ListBullet"/>
      </w:pPr>
      <w:r/>
      <w:r>
        <w:rPr>
          <w:b/>
        </w:rPr>
        <w:t>ANDROTARDYL</w:t>
      </w:r>
      <w:r>
        <w:t xml:space="preserve"> (SCHERING SA) — Testostérone (énanthate)</w:t>
      </w:r>
    </w:p>
    <w:p>
      <w:pPr>
        <w:pStyle w:val="ListBullet"/>
      </w:pPr>
      <w:r>
        <w:t>Formes et Dosages : Solution injectable IM huileuse — 250 mg/ml</w:t>
      </w:r>
    </w:p>
    <w:p>
      <w:pPr>
        <w:pStyle w:val="ListBullet"/>
      </w:pPr>
      <w:r>
        <w:t>Statut : Non Renouvelable</w:t>
      </w:r>
    </w:p>
    <w:p>
      <w:pPr>
        <w:pStyle w:val="ListBullet"/>
      </w:pPr>
      <w:r/>
      <w:r>
        <w:rPr>
          <w:b/>
        </w:rPr>
        <w:t>TESTO ENANT</w:t>
      </w:r>
      <w:r>
        <w:t xml:space="preserve"> (GEYMONAT S.P.A) — Testostérone (énanthate)</w:t>
      </w:r>
    </w:p>
    <w:p>
      <w:pPr>
        <w:pStyle w:val="ListBullet"/>
      </w:pPr>
      <w:r>
        <w:t>Formes et Dosages : Solution injectable — 250 mg/ml</w:t>
      </w:r>
    </w:p>
    <w:p>
      <w:pPr>
        <w:pStyle w:val="ListBullet"/>
      </w:pPr>
      <w:r>
        <w:t>Statut : Non Renouvelable</w:t>
      </w:r>
    </w:p>
    <w:p>
      <w:pPr>
        <w:pStyle w:val="ListBullet"/>
      </w:pPr>
      <w:r/>
      <w:r>
        <w:rPr>
          <w:b/>
        </w:rPr>
        <w:t>TESTOSTERONE</w:t>
      </w:r>
      <w:r>
        <w:t xml:space="preserve"> (RENAUDIN) — Testostérone (énanthate)</w:t>
      </w:r>
    </w:p>
    <w:p>
      <w:pPr>
        <w:pStyle w:val="ListBullet"/>
      </w:pPr>
      <w:r>
        <w:t>Formes et Dosages : Solution injectable — 250 mg/ml</w:t>
      </w:r>
    </w:p>
    <w:p>
      <w:pPr>
        <w:pStyle w:val="ListBullet"/>
      </w:pPr>
      <w:r>
        <w:t>Statut : Non Renouvelable</w:t>
      </w:r>
    </w:p>
    <w:p>
      <w:pPr>
        <w:pStyle w:val="ListBullet"/>
      </w:pPr>
      <w:r/>
      <w:r>
        <w:rPr>
          <w:b/>
        </w:rPr>
        <w:t>WERATESTONE 250</w:t>
      </w:r>
      <w:r>
        <w:t xml:space="preserve"> (WEIMER PHARMA) — Testostérone (énanthate)</w:t>
      </w:r>
    </w:p>
    <w:p>
      <w:pPr>
        <w:pStyle w:val="ListBullet"/>
      </w:pPr>
      <w:r>
        <w:t>Formes et Dosages : Solution injectable — 250 mg/ml</w:t>
      </w:r>
    </w:p>
    <w:p>
      <w:pPr>
        <w:pStyle w:val="ListBullet"/>
      </w:pPr>
      <w:r>
        <w:t>Statut : Retiré (R)</w:t>
      </w:r>
    </w:p>
    <w:p>
      <w:pPr>
        <w:pStyle w:val="ListBullet"/>
      </w:pPr>
      <w:r/>
      <w:r>
        <w:rPr>
          <w:b/>
        </w:rPr>
        <w:t>TESTOSTERONE HEPTILATE</w:t>
      </w:r>
      <w:r>
        <w:t xml:space="preserve"> (THERAMEX) — Testostérone (heptylate)</w:t>
      </w:r>
    </w:p>
    <w:p>
      <w:pPr>
        <w:pStyle w:val="ListBullet"/>
      </w:pPr>
      <w:r>
        <w:t>Formes et Dosages : Solution injectable IM — 250 mg/ml</w:t>
      </w:r>
    </w:p>
    <w:p>
      <w:pPr>
        <w:pStyle w:val="ListBullet"/>
      </w:pPr>
      <w:r>
        <w:t>Statut : Retiré (R)</w:t>
      </w:r>
    </w:p>
    <w:p>
      <w:pPr>
        <w:pStyle w:val="ListBullet"/>
      </w:pPr>
      <w:r/>
      <w:r>
        <w:rPr>
          <w:b/>
        </w:rPr>
        <w:t>ANDRIOL TESTOCAPS</w:t>
      </w:r>
      <w:r>
        <w:t xml:space="preserve"> (ORGANON N.V.) — Testostérone undécanoate</w:t>
      </w:r>
    </w:p>
    <w:p>
      <w:pPr>
        <w:pStyle w:val="ListBullet"/>
      </w:pPr>
      <w:r>
        <w:t>Formes et Dosages : Capsule orale — 40 mg</w:t>
      </w:r>
    </w:p>
    <w:p>
      <w:pPr>
        <w:pStyle w:val="ListBullet"/>
      </w:pPr>
      <w:r>
        <w:t>Statut : Retiré (R)</w:t>
      </w:r>
    </w:p>
    <w:p>
      <w:r/>
      <w:r>
        <w:rPr>
          <w:b/>
        </w:rPr>
        <w:t>Sous-classe et Mécanisme d'action :</w:t>
      </w:r>
      <w:r/>
    </w:p>
    <w:p>
      <w:pPr>
        <w:pStyle w:val="ListBullet"/>
      </w:pPr>
      <w:r>
        <w:t>Sous-classe : Androgène naturel (testostérone) sous forme estérifiée pour prolongation d'action.</w:t>
      </w:r>
    </w:p>
    <w:p>
      <w:pPr>
        <w:pStyle w:val="ListBullet"/>
      </w:pPr>
      <w:r>
        <w:t>Mécanisme d'action : la testostérone est l'androgène naturel majeur sécrété par les cellules de Leydig testiculaires sous contrôle de la LH. Elle agit via : (1) le récepteur androgénique nucléaire (récepteur stéroïdien — complexe testostérone-RA → translocation nucléaire → modulation transcriptionnelle des gènes cibles) ; (2) la conversion en dihydrotestostérone (DHT) par la 5α-réductase dans les tissus cibles (prostate, peau, follicules pilo-sébacés) — la DHT a une affinité 10 fois supérieure pour le RA ; (3) la conversion en estradiol par l'aromatase (CYP19A1) dans les tissus périphériques (os, cerveau, foie, tissu adipeux) — l'estradiol est responsable des effets sur l'os et la libido. Les esters (énanthate, heptylate, undécanoate) sont hydrolysés in vivo en testostérone active ; ils prolongent la demi-vie d'action (2–4 semaines pour énanthate/heptylate IM, 2–3 mois pour undécanoate IM, absorption lymphatique pour undécanoate oral).</w:t>
      </w:r>
    </w:p>
    <w:p>
      <w:r/>
      <w:r>
        <w:rPr>
          <w:b/>
        </w:rPr>
        <w:t>Profil Pharmacologique :</w:t>
      </w:r>
      <w:r/>
    </w:p>
    <w:p>
      <w:pPr>
        <w:pStyle w:val="ListBullet"/>
      </w:pPr>
      <w:r>
        <w:t>Indications : hypogonadisme masculin primaire (syndrome de Klinefelter, anorchidie) ou secondaire (adénome hypophysaire, syndrome de Kallmann) confirmé par dosage bas de testostérone totale (2 dosages matinaux) ; retard pubertaire masculin ; micropénis ; transidentité féminine vers masculine (hors AMM stricte) ; ostéoporose masculine hypogonadique ; rarement, anémie aplasique ou angioœdème héréditaire.</w:t>
      </w:r>
    </w:p>
    <w:p>
      <w:pPr>
        <w:pStyle w:val="ListBullet"/>
      </w:pPr>
      <w:r>
        <w:t>Contre-indications : cancer de la prostate (RE+), cancer du sein masculin, gynécomastie réfractaire, hypercalcémie, hypersensibilité ; prudence chez le patient âgé avec hypertrophie bénigne de prostate (surveillance PSA et TR), insuffisance cardiaque sévère, néphrose, apnée du sommeil.</w:t>
      </w:r>
    </w:p>
    <w:p>
      <w:pPr>
        <w:pStyle w:val="ListBullet"/>
      </w:pPr>
      <w:r>
        <w:t>Effets Indésirables : prise de poids et rétention hydrosodée, gynécomastie (conversion en estradiol), acné et hyperséborrhée, alopécie androgénique, hypertrophie bénigne de prostate (HBP) et majoration du PSA, polyglobulie (hématocrite &gt; 54 % — surveillance), modification lipidique (baisse HDL, hausse LDL), apnée du sommeil, irritabilité et agressivité (particulièrement aux doses supra-physiologiques), hypertension artérielle, réactions locales au point d'injection (douleur, induration, abcès),exceptionnels cas de cancer de prostate démasqué.</w:t>
      </w:r>
    </w:p>
    <w:p>
      <w:r/>
      <w:r>
        <w:rPr>
          <w:b/>
        </w:rPr>
        <w:t>Prévention et Gestion des Effets Indésirables :</w:t>
      </w:r>
      <w:r/>
    </w:p>
    <w:p>
      <w:pPr>
        <w:pStyle w:val="ListBullet"/>
      </w:pPr>
      <w:r>
        <w:t>Mesures Préventives : bilan pré-thérapeutique complet (testostérone totale et libre, LH, FSH, estradiol, PSA, toucher rectal, hématocrite, bilan lipidique, glycémie à jeun, échographie prostatique si âge &gt; 50 ans, densitométrie osseuse) ; surveillance semestrielle (testostérone résiduelle pré-injection, PSA, hématocrite, examen prostatique) ; saignée si hématocrite &gt; 54 %.</w:t>
      </w:r>
    </w:p>
    <w:p>
      <w:pPr>
        <w:pStyle w:val="ListBullet"/>
      </w:pPr>
      <w:r>
        <w:t>Conduite à Tenir : ajustement posologique selon testostérone résiduelle (cible : testostérone nadir dans zone normale basse, pic dans zone normale haute) ; arrêt temporaire si hématocrite &gt; 56 % ; biopsie prostatique si PSA &gt; 4 ng/ml ou élévation &gt; 0,75 ng/ml/an.</w:t>
      </w:r>
    </w:p>
    <w:p>
      <w:r/>
      <w:r>
        <w:rPr>
          <w:b/>
        </w:rPr>
        <w:t>Interactions Importantes :</w:t>
      </w:r>
      <w:r/>
    </w:p>
    <w:p>
      <w:pPr>
        <w:pStyle w:val="ListBullet"/>
      </w:pPr>
      <w:r>
        <w:t>Testostérone + anticoagulants oraux (AVK, AOD) : potentialisation de l'effet anticoagulant (modification de la synthèse hépatique des facteurs) — surveillance INR.</w:t>
      </w:r>
    </w:p>
    <w:p>
      <w:pPr>
        <w:pStyle w:val="ListBullet"/>
      </w:pPr>
      <w:r>
        <w:t>Testostérone + corticoïdes : augmentation de l'œdème.</w:t>
      </w:r>
    </w:p>
    <w:p>
      <w:pPr>
        <w:pStyle w:val="ListBullet"/>
      </w:pPr>
      <w:r>
        <w:t>Testostérone + insuline : modification de la sensibilité à l'insuline (adaptation des doses).</w:t>
      </w:r>
    </w:p>
    <w:p>
      <w:pPr>
        <w:pStyle w:val="ListBullet"/>
      </w:pPr>
      <w:r>
        <w:t>Testostérone + cyclosporine : néphrotoxicité additive.</w:t>
      </w:r>
    </w:p>
    <w:p>
      <w:r/>
      <w:r>
        <w:rPr>
          <w:b/>
        </w:rPr>
        <w:t>Grossesse et Allaitement :</w:t>
      </w:r>
      <w:r/>
    </w:p>
    <w:p>
      <w:pPr>
        <w:pStyle w:val="ListBullet"/>
      </w:pPr>
      <w:r>
        <w:t>Grossesse : CI chez la femme enceinte (risque de virilisation fœtus féminin). Chez la femme transgenre avant chirurgie de réassignation, contraception obligatoire.</w:t>
      </w:r>
    </w:p>
    <w:p>
      <w:pPr>
        <w:pStyle w:val="ListBullet"/>
      </w:pPr>
      <w:r>
        <w:t>Allaitement : CI (passage dans le lait, virilisation de l'enfant allaité).</w:t>
      </w:r>
    </w:p>
    <w:p>
      <w:pPr>
        <w:pStyle w:val="ListBullet"/>
      </w:pPr>
      <w:r>
        <w:t>Précisions : chez l'homme traité, utilisation d'un préservatif pendant traitement et 3 mois après l'arrêt si la partenaire est en âge de procréer (rare transmission par voie spermatozoïdales des résidus).</w:t>
      </w:r>
    </w:p>
    <w:p>
      <w:r/>
      <w:r>
        <w:rPr>
          <w:b/>
        </w:rPr>
        <w:t>Posologie et Mode d'administration (Standard) :</w:t>
      </w:r>
      <w:r/>
    </w:p>
    <w:p>
      <w:pPr>
        <w:pStyle w:val="ListBullet"/>
      </w:pPr>
      <w:r>
        <w:t>Adulte hypogonadisme (énanthate/heptylate IM) : 250 mg IM toutes les 2–3 semaines (à adapter selon testostérone résiduelle pré-injection suivante).</w:t>
      </w:r>
    </w:p>
    <w:p>
      <w:pPr>
        <w:pStyle w:val="ListBullet"/>
      </w:pPr>
      <w:r>
        <w:t>Adulte hypogonadisme (undécanoate oral) : 40 mg × 3 à 4/jour en deux prises (120–160 mg/j) — faible biodisponibilité (lymphatique), prise pendant repas lipidiques.</w:t>
      </w:r>
    </w:p>
    <w:p>
      <w:pPr>
        <w:pStyle w:val="ListBullet"/>
      </w:pPr>
      <w:r>
        <w:t>Adolescent retard pubertaire : 50–100 mg IM toutes les 4 semaines pendant 6 mois (induction pubertaire progressive).</w:t>
      </w:r>
    </w:p>
    <w:p>
      <w:pPr>
        <w:pStyle w:val="ListBullet"/>
      </w:pPr>
      <w:r>
        <w:t>Sujet âgé : initiation très progressive (100 mg/3 sem), surveillance accrue (PSA, hématocrite, prostate).</w:t>
      </w:r>
    </w:p>
    <w:p>
      <w:pPr>
        <w:pStyle w:val="ListBullet"/>
      </w:pPr>
      <w:r>
        <w:t>Durée : au long cours (à vie si hypogonadisme définitif).</w:t>
      </w:r>
    </w:p>
    <w:p>
      <w:pPr>
        <w:pStyle w:val="ListBullet"/>
      </w:pPr>
      <w:r>
        <w:t>Moment de prise : injection IM profonde (muscle fessier) à date fixe ; pour la forme orale, prises pendant les repas lipidiques.</w:t>
      </w:r>
    </w:p>
    <w:p>
      <w:r/>
      <w:r>
        <w:rPr>
          <w:b/>
        </w:rPr>
        <w:t>Arbitrage et Bénéfices des Formes Galéniques :</w:t>
      </w:r>
      <w:r/>
    </w:p>
    <w:p>
      <w:r>
        <w:t>La forme injectable IM huileuse (250 mg/ml, 1 ampoule toutes les 2–3 semaines) assure une couverture prolongée mais avec un pic initial non physiologique (surdose les 3–5 premiers jours). La forme orale undécanoate (40 mg capsule, 3–4 prises/jour) est plus pratique mais sa biodisponibilité est faible et lymphatique (dépend de l'ingestion lipidique). En Algérie, les spécialités sont en statut non renouvelable ou retiré — la disponibilité effective reste problématique, imposant parfois le recours à l'importation.</w:t>
      </w:r>
    </w:p>
    <w:p>
      <w:r/>
      <w:r>
        <w:rPr>
          <w:b/>
        </w:rPr>
        <w:t>Instructions et Conseils au Patient :</w:t>
      </w:r>
      <w:r/>
    </w:p>
    <w:p>
      <w:pPr>
        <w:pStyle w:val="ListBullet"/>
      </w:pPr>
      <w:r>
        <w:t>Communication au comptoir : informer sur le caractère chronique du traitement, l'importance de la surveillance prostatique (PSA, toucher rectal annuel si &gt; 50 ans), hématocrite (semestriel), lipidique ; prévenir les effets androgéniques (acné, alopécie, irritabilité), la possible gynécomastie ; signaler tout symptôme d'hypertrophie prostatique (pollakiurie, dysurie).</w:t>
      </w:r>
    </w:p>
    <w:p>
      <w:pPr>
        <w:pStyle w:val="ListBullet"/>
      </w:pPr>
      <w:r>
        <w:t>Mode d'utilisation pratique : injection IM profonde (muscle fessier supéro-externe) par un professionnel ; conservation à température ambiante, à l'abri de la lumière.</w:t>
      </w:r>
    </w:p>
    <w:p>
      <w:r/>
      <w:r>
        <w:rPr>
          <w:b/>
        </w:rPr>
        <w:t>Notes, Règles d'Or &amp; Pièges au Comptoir :</w:t>
      </w:r>
      <w:r/>
    </w:p>
    <w:p>
      <w:pPr>
        <w:pStyle w:val="ListBullet"/>
      </w:pPr>
      <w:r>
        <w:t>Piège classique : oublier le dépistage du cancer de prostate avant et pendant traitement (PSA + toucher rectal).</w:t>
      </w:r>
    </w:p>
    <w:p>
      <w:pPr>
        <w:pStyle w:val="ListBullet"/>
      </w:pPr>
      <w:r>
        <w:t>Règle de prise : injection IM profonde toutes les 2–3 semaines (énanthate/heptylate) à date fixe.</w:t>
      </w:r>
    </w:p>
    <w:p>
      <w:pPr>
        <w:pStyle w:val="ListBullet"/>
      </w:pPr>
      <w:r>
        <w:t>Préparation et Conservation : à température &lt; 25 °C, à l'abri de la lumière (ne pas congeler).</w:t>
      </w:r>
    </w:p>
    <w:p>
      <w:pPr>
        <w:pStyle w:val="ListBullet"/>
      </w:pPr>
      <w:r>
        <w:t>Piège du surdosage / Substitution : la substitution entre esters (énanthate vs heptylate vs undécanoate) n'est pas directe — adapter la posologie et l'intervalle d'injection selon la demi-vie.</w:t>
      </w:r>
    </w:p>
    <w:p>
      <w:pPr>
        <w:pStyle w:val="Heading3"/>
      </w:pPr>
      <w:r>
        <w:t>20. DCI : Mestérolone (Seule)</w:t>
      </w:r>
    </w:p>
    <w:p>
      <w:r/>
      <w:r>
        <w:rPr>
          <w:b/>
        </w:rPr>
        <w:t>Liste des Catégories :</w:t>
      </w:r>
      <w:r>
        <w:t xml:space="preserve"> Androgènes — Dérivés DHT ; Liste I.</w:t>
      </w:r>
    </w:p>
    <w:p>
      <w:r>
        <w:t>La mestérolone est un dérivé 1α-méthylé de la dihydrotestostérone (DHT), non aromatisable en estrogènes. Elle conserve une activité androgénique modérée sans effet antigonadotrope marqué et sans rétention hydrosodée majeure. Indiquée historiquement dans l'hypogonadisme masculin modéré et la fertilité masculine (oligospermie idiopathique), elle est aujourd'hui d'usage marginal.</w:t>
      </w:r>
    </w:p>
    <w:p>
      <w:r/>
      <w:r>
        <w:rPr>
          <w:b/>
        </w:rPr>
        <w:t>Médicaments disponibles en Algérie (Marques, Laboratoires, Formes et Dosages) :</w:t>
      </w:r>
      <w:r/>
    </w:p>
    <w:p>
      <w:pPr>
        <w:pStyle w:val="ListBullet"/>
      </w:pPr>
      <w:r/>
      <w:r>
        <w:rPr>
          <w:b/>
        </w:rPr>
        <w:t>PROVIRON</w:t>
      </w:r>
      <w:r>
        <w:t xml:space="preserve"> (SCHERING SA) — Mestérolone</w:t>
      </w:r>
    </w:p>
    <w:p>
      <w:pPr>
        <w:pStyle w:val="ListBullet"/>
      </w:pPr>
      <w:r>
        <w:t>Formes et Dosages : Comprimé sécable 25 mg</w:t>
      </w:r>
    </w:p>
    <w:p>
      <w:pPr>
        <w:pStyle w:val="ListBullet"/>
      </w:pPr>
      <w:r>
        <w:t>Statut : Actif (originator historique)</w:t>
      </w:r>
    </w:p>
    <w:p>
      <w:pPr>
        <w:pStyle w:val="ListBullet"/>
      </w:pPr>
      <w:r/>
      <w:r>
        <w:rPr>
          <w:b/>
        </w:rPr>
        <w:t>ROVERON</w:t>
      </w:r>
      <w:r>
        <w:t xml:space="preserve"> (ASIA PHARMACEUTICALS) — Mestérolone</w:t>
      </w:r>
    </w:p>
    <w:p>
      <w:pPr>
        <w:pStyle w:val="ListBullet"/>
      </w:pPr>
      <w:r>
        <w:t>Formes et Dosages : Comprimé sécable 25 mg</w:t>
      </w:r>
    </w:p>
    <w:p>
      <w:pPr>
        <w:pStyle w:val="ListBullet"/>
      </w:pPr>
      <w:r>
        <w:t>Statut : Actif (générique)</w:t>
      </w:r>
    </w:p>
    <w:p>
      <w:r/>
      <w:r>
        <w:rPr>
          <w:b/>
        </w:rPr>
        <w:t>Sous-classe et Mécanisme d'action :</w:t>
      </w:r>
      <w:r/>
    </w:p>
    <w:p>
      <w:pPr>
        <w:pStyle w:val="ListBullet"/>
      </w:pPr>
      <w:r>
        <w:t>Sous-classe : Dérivé 1α-méthylé de la DHT (dihydrotestostérone), androgène non aromatisable.</w:t>
      </w:r>
    </w:p>
    <w:p>
      <w:pPr>
        <w:pStyle w:val="ListBullet"/>
      </w:pPr>
      <w:r>
        <w:t>Mécanisme d'action : la mestérolone se lie au récepteur androgénique nucléaire (RA) avec une affinité comparable à celle de la DHT endogène. Sa particularité structurelle (méthylation en position 1α) lui confère : (1) une résistance à la 5α-réductase (déjà réduite en 5α) ; (2) une résistance à l'aromatase (CYP19A1) — pas de conversion en estradiol, donc pas de gynécomastie, pas de rétention hydrosodée ; (3) une activité androgénique modérée (inférieure à la testostérone mais supérieure aux anabolisants) ; (4) une faible activité antigonadotrope (ne supprime pas fortement l'axe hypothalamo-hypophysaire). Son effet sur la spermatogenèse est paradoxal : à faible dose, elle peut améliorer la qualité du sperme en stimulant la spermatogenèse (effet direct sur cellules de Sertoli), à forte dose elle l'inhibe (effet antigonadotrope).</w:t>
      </w:r>
    </w:p>
    <w:p>
      <w:r/>
      <w:r>
        <w:rPr>
          <w:b/>
        </w:rPr>
        <w:t>Profil Pharmacologique :</w:t>
      </w:r>
      <w:r/>
    </w:p>
    <w:p>
      <w:pPr>
        <w:pStyle w:val="ListBullet"/>
      </w:pPr>
      <w:r>
        <w:t>Indications : hypogonadisme masculin modéré (insuffisance androgénique fonctionnelle, andropause) ; oligospermie idiopathique (induction de spermatogenèse) ; impuissance psychogène avec composante androgénodéficitaire ; traitement adjuvant de la fertilité masculine (en association avec d'autres traitements).</w:t>
      </w:r>
    </w:p>
    <w:p>
      <w:pPr>
        <w:pStyle w:val="ListBullet"/>
      </w:pPr>
      <w:r>
        <w:t>Contre-indications : cancer de la prostate, cancer du sein masculin, hypertrophie bénigne de prostate sévère, hépatopathies sévères (risque cholestase), hypersensibilité, grossesse de la partenaire (préservatif obligatoire), pédiatrie (avant la fin de la puberté).</w:t>
      </w:r>
    </w:p>
    <w:p>
      <w:pPr>
        <w:pStyle w:val="ListBullet"/>
      </w:pPr>
      <w:r>
        <w:t>Effets Indésirables : acné et hyperséborrhée, alopécie androgénique, gynécomastie (rare — pas d'aromatisation), priapisme (rare), hypertrophie prostatique (surveillance PSA), modifications lipidiques (baisse HDL), hépatotoxicité rare (cholestase), irritabilité, prise de poids modérée, rétention hydrosodée minime, rare hypertension artérielle.</w:t>
      </w:r>
    </w:p>
    <w:p>
      <w:r/>
      <w:r>
        <w:rPr>
          <w:b/>
        </w:rPr>
        <w:t>Prévention et Gestion des Effets Indésirables :</w:t>
      </w:r>
      <w:r/>
    </w:p>
    <w:p>
      <w:pPr>
        <w:pStyle w:val="ListBullet"/>
      </w:pPr>
      <w:r>
        <w:t>Mesures Préventives : bilan pré-thérapeutique (testostérone totale et libre, LH, FSH, PSA, toucher rectal si &gt; 50 ans, bilan hépatique, lipidique, hématocrite) ; surveillance semestrielle (PSA, hématocrite, lipidique) ; chez l'homme infertile, spermogramme à 3 et 6 mois.</w:t>
      </w:r>
    </w:p>
    <w:p>
      <w:pPr>
        <w:pStyle w:val="ListBullet"/>
      </w:pPr>
      <w:r>
        <w:t>Conduite à Tenir : arrêt si hépatotoxicité ou priapisme ; ajustement posologique si acné ou alopécie invalidante.</w:t>
      </w:r>
    </w:p>
    <w:p>
      <w:r/>
      <w:r>
        <w:rPr>
          <w:b/>
        </w:rPr>
        <w:t>Interactions Importantes :</w:t>
      </w:r>
      <w:r/>
    </w:p>
    <w:p>
      <w:pPr>
        <w:pStyle w:val="ListBullet"/>
      </w:pPr>
      <w:r>
        <w:t>Mestérolone + anticoagulants oraux : potentialisation de l'effet anticoagulant — surveillance INR.</w:t>
      </w:r>
    </w:p>
    <w:p>
      <w:pPr>
        <w:pStyle w:val="ListBullet"/>
      </w:pPr>
      <w:r>
        <w:t>Mestérolone + oxyphénbutazone : augmentation des concentrations.</w:t>
      </w:r>
    </w:p>
    <w:p>
      <w:pPr>
        <w:pStyle w:val="ListBullet"/>
      </w:pPr>
      <w:r>
        <w:t>Mestérolone + barbituriques : possible induction enzymatique.</w:t>
      </w:r>
    </w:p>
    <w:p>
      <w:r/>
      <w:r>
        <w:rPr>
          <w:b/>
        </w:rPr>
        <w:t>Grossesse et Allaitement :</w:t>
      </w:r>
      <w:r/>
    </w:p>
    <w:p>
      <w:pPr>
        <w:pStyle w:val="ListBullet"/>
      </w:pPr>
      <w:r>
        <w:t>Grossesse : CI absolue chez la femme enceinte (virilisation fœtus féminin). Préservatif obligatoire du patient pendant traitement et 3 mois après l'arrêt.</w:t>
      </w:r>
    </w:p>
    <w:p>
      <w:pPr>
        <w:pStyle w:val="ListBullet"/>
      </w:pPr>
      <w:r>
        <w:t>Allaitement : CI.</w:t>
      </w:r>
    </w:p>
    <w:p>
      <w:pPr>
        <w:pStyle w:val="ListBullet"/>
      </w:pPr>
      <w:r>
        <w:t>Précisions : ne pas utiliser chez la femme, même pour indications androgéniques (acné, hirsutisme).</w:t>
      </w:r>
    </w:p>
    <w:p>
      <w:r/>
      <w:r>
        <w:rPr>
          <w:b/>
        </w:rPr>
        <w:t>Posologie et Mode d'administration (Standard) :</w:t>
      </w:r>
      <w:r/>
    </w:p>
    <w:p>
      <w:pPr>
        <w:pStyle w:val="ListBullet"/>
      </w:pPr>
      <w:r>
        <w:t>Hypogonadisme modéré : 25 mg × 1 à 2/jour per os (25–50 mg/j).</w:t>
      </w:r>
    </w:p>
    <w:p>
      <w:pPr>
        <w:pStyle w:val="ListBullet"/>
      </w:pPr>
      <w:r>
        <w:t>Oligospermie idiopathique : 25 mg × 2 à 3/jour pendant 90 jours (un cycle), puis spermogramme de contrôle à 3 mois. Si amélioration, prolonger ; sinon arrêt.</w:t>
      </w:r>
    </w:p>
    <w:p>
      <w:pPr>
        <w:pStyle w:val="ListBullet"/>
      </w:pPr>
      <w:r>
        <w:t>Impuissance androgénodéficitaire : 25 mg × 2/jour pendant 8 semaines.</w:t>
      </w:r>
    </w:p>
    <w:p>
      <w:pPr>
        <w:pStyle w:val="ListBullet"/>
      </w:pPr>
      <w:r>
        <w:t>Sujet âgé : surveillance accrue (PSA, prostate, hématocrite).</w:t>
      </w:r>
    </w:p>
    <w:p>
      <w:pPr>
        <w:pStyle w:val="ListBullet"/>
      </w:pPr>
      <w:r>
        <w:t>Durée : 3 à 6 mois pour l'oligospermie ; au long cours pour hypogonadisme modéré.</w:t>
      </w:r>
    </w:p>
    <w:p>
      <w:pPr>
        <w:pStyle w:val="ListBullet"/>
      </w:pPr>
      <w:r>
        <w:t>Moment de prise : 1 à 3 prises par jour après les repas, à heure fixe.</w:t>
      </w:r>
    </w:p>
    <w:p>
      <w:r/>
      <w:r>
        <w:rPr>
          <w:b/>
        </w:rPr>
        <w:t>Arbitrage et Bénéfices des Formes Galéniques :</w:t>
      </w:r>
      <w:r/>
    </w:p>
    <w:p>
      <w:r>
        <w:t>Le comprimé sécable 25 mg permet une titration fine (12,5 mg pour initiation). La forme orale est pratique comparée aux injections IM de testostérone. La disponibilité simultanée de l'originator (Proviron) et d'un générique (Roveron) assure l'accès thérapeutique.</w:t>
      </w:r>
    </w:p>
    <w:p>
      <w:r/>
      <w:r>
        <w:rPr>
          <w:b/>
        </w:rPr>
        <w:t>Instructions et Conseils au Patient :</w:t>
      </w:r>
      <w:r/>
    </w:p>
    <w:p>
      <w:pPr>
        <w:pStyle w:val="ListBullet"/>
      </w:pPr>
      <w:r>
        <w:t>Communication au comptoir : informer sur le caractère non aromatisable (pas de gynécomastie, pas de rétention hydrosodée majeure — avantage vs testostérone), la surveillance prostatique (PSA, toucher rectal annuel si &gt; 50 ans) et hématocrite, l'obligation de préservatif pendant traitement (3 mois après arrêt) ; signaler tout signe d'hypertrophie prostatique ou de priapisme.</w:t>
      </w:r>
    </w:p>
    <w:p>
      <w:pPr>
        <w:pStyle w:val="ListBullet"/>
      </w:pPr>
      <w:r>
        <w:t>Mode d'utilisation pratique : 1 à 3 prises par jour après les repas, à heure fixe.</w:t>
      </w:r>
    </w:p>
    <w:p>
      <w:r/>
      <w:r>
        <w:rPr>
          <w:b/>
        </w:rPr>
        <w:t>Notes, Règles d'Or &amp; Pièges au Comptoir :</w:t>
      </w:r>
      <w:r/>
    </w:p>
    <w:p>
      <w:pPr>
        <w:pStyle w:val="ListBullet"/>
      </w:pPr>
      <w:r>
        <w:t>Piège classique : oublier le dépistage du cancer de prostate (PSA + toucher rectal) avant et pendant traitement.</w:t>
      </w:r>
    </w:p>
    <w:p>
      <w:pPr>
        <w:pStyle w:val="ListBullet"/>
      </w:pPr>
      <w:r>
        <w:t>Règle de prise : après les repas, à heure fixe.</w:t>
      </w:r>
    </w:p>
    <w:p>
      <w:pPr>
        <w:pStyle w:val="ListBullet"/>
      </w:pPr>
      <w:r>
        <w:t>Préparation et Conservation : à température &lt; 25 °C, à l'abri de la lumière.</w:t>
      </w:r>
    </w:p>
    <w:p>
      <w:pPr>
        <w:pStyle w:val="ListBullet"/>
      </w:pPr>
      <w:r>
        <w:t>Piège du surdosage / Substitution : ne pas confondre avec la testostérone (la mestérolone n'est pas aromatisable, dosage différent).</w:t>
      </w:r>
    </w:p>
    <w:p>
      <w:pPr>
        <w:pStyle w:val="Heading3"/>
      </w:pPr>
      <w:r>
        <w:t>21. DCI : Danazol (Seule)</w:t>
      </w:r>
    </w:p>
    <w:p>
      <w:r/>
      <w:r>
        <w:rPr>
          <w:b/>
        </w:rPr>
        <w:t>Liste des Catégories :</w:t>
      </w:r>
      <w:r>
        <w:t xml:space="preserve"> Androgènes faibles — Antigonadotropes ; Liste I.</w:t>
      </w:r>
    </w:p>
    <w:p>
      <w:r>
        <w:t>Le danazol est un stéroïde synthétique 2,4-isoxazol dérivé de l'éthistérone (17α-éthynyltestostérone), possédant une activité androgénique faible, anti-estrogénique et antigonadotrope. Il induit une aménorrhée hypothalamique et une atrophie endométriale. Historiquement indiqué dans l'endométriose, la maladie fibrokystique du sein et l'angiœdème héréditaire, il est aujourd'hui largement supplanté par les agonistes GnRH dans l'endométriose.</w:t>
      </w:r>
    </w:p>
    <w:p>
      <w:r/>
      <w:r>
        <w:rPr>
          <w:b/>
        </w:rPr>
        <w:t>Médicaments disponibles en Algérie (Marques, Laboratoires, Formes et Dosages) :</w:t>
      </w:r>
      <w:r/>
    </w:p>
    <w:p>
      <w:pPr>
        <w:pStyle w:val="ListBullet"/>
      </w:pPr>
      <w:r/>
      <w:r>
        <w:rPr>
          <w:b/>
        </w:rPr>
        <w:t>DANATROL</w:t>
      </w:r>
      <w:r>
        <w:t xml:space="preserve"> (SANOFI SYNTHELABO FRANCE) — Danazol</w:t>
      </w:r>
    </w:p>
    <w:p>
      <w:pPr>
        <w:pStyle w:val="ListBullet"/>
      </w:pPr>
      <w:r>
        <w:t>Formes et Dosages : Gélule 200 mg</w:t>
      </w:r>
    </w:p>
    <w:p>
      <w:pPr>
        <w:pStyle w:val="ListBullet"/>
      </w:pPr>
      <w:r>
        <w:t>Statut : Actif (originator)</w:t>
      </w:r>
    </w:p>
    <w:p>
      <w:pPr>
        <w:pStyle w:val="ListBullet"/>
      </w:pPr>
      <w:r/>
      <w:r>
        <w:rPr>
          <w:b/>
        </w:rPr>
        <w:t>ANARGIL</w:t>
      </w:r>
      <w:r>
        <w:t xml:space="preserve"> (MEDOCHEMIE LTD) — Danazol</w:t>
      </w:r>
    </w:p>
    <w:p>
      <w:pPr>
        <w:pStyle w:val="ListBullet"/>
      </w:pPr>
      <w:r>
        <w:t>Formes et Dosages : Gélule 200 mg</w:t>
      </w:r>
    </w:p>
    <w:p>
      <w:pPr>
        <w:pStyle w:val="ListBullet"/>
      </w:pPr>
      <w:r>
        <w:t>Statut : Retiré (R)</w:t>
      </w:r>
    </w:p>
    <w:p>
      <w:r/>
      <w:r>
        <w:rPr>
          <w:b/>
        </w:rPr>
        <w:t>Sous-classe et Mécanisme d'action :</w:t>
      </w:r>
      <w:r/>
    </w:p>
    <w:p>
      <w:pPr>
        <w:pStyle w:val="ListBullet"/>
      </w:pPr>
      <w:r>
        <w:t>Sous-classe : Androgène faible stéroïdien, antigonadotrope, anti-estrogénique.</w:t>
      </w:r>
    </w:p>
    <w:p>
      <w:pPr>
        <w:pStyle w:val="ListBullet"/>
      </w:pPr>
      <w:r>
        <w:t>Mécanisme d'action : le danazol exerce une triple action pharmacologique : (1) activité androgénique faible (affinité modérée pour le récepteur androgénique) — responsable des effets indésirables androgéniques ; (2) activité anti-estrogénique indirecte : inhibition de la stéroïdogenèse ovarienne et de la libération de LH/FSH (effet antigonadotrope au niveau hypothalamo-hypophysaire) — aboutissant à une aménorrhée hypothalamique ; (3) activité anti-progestative modérée (compétition avec le récepteur progestatif) — aboutissant à une atrophie endométriale. Le résultat est une aménorrhée avec atrophie des lésions d'endométriose et des foyers ectopiques. Le danazol a aussi une activité sur le complément sérique (C1-INH) — effet bénéfique dans l'angiœdème héréditaire par augmentation de la synthèse hépatique de C1-inhibiteur.</w:t>
      </w:r>
    </w:p>
    <w:p>
      <w:r/>
      <w:r>
        <w:rPr>
          <w:b/>
        </w:rPr>
        <w:t>Profil Pharmacologique :</w:t>
      </w:r>
      <w:r/>
    </w:p>
    <w:p>
      <w:pPr>
        <w:pStyle w:val="ListBullet"/>
      </w:pPr>
      <w:r>
        <w:t>Indications : endométriose pelvienne symptomatique (douleurs, infertilité) en cas d'échec ou de contre-indication des agonistes GnRH ; maladie fibrokystique du sein sévère réfractaire ; angiœdème héréditaire (déficit en C1-INH) — prévention des attaques ; purpura thrombopénique idiopathique (ITP) réfractaire (indication rare) ; anémie hémolytique auto-immune (indication rare).</w:t>
      </w:r>
    </w:p>
    <w:p>
      <w:pPr>
        <w:pStyle w:val="ListBullet"/>
      </w:pPr>
      <w:r>
        <w:t>Contre-indications : grossesse et allaitement (risque de virilisation fœtus féminin), insuffisance hépatique sévère, hépatite active, antécédent de thrombose, cancer androgéno-dépendant (prostate, sein masculin), hypertension artérielle non contrôlée, néphropathie sévère, hypersensibilité.</w:t>
      </w:r>
    </w:p>
    <w:p>
      <w:pPr>
        <w:pStyle w:val="ListBullet"/>
      </w:pPr>
      <w:r>
        <w:t>Effets Indésirables : androgéniques (acné, hirsutisme, séborrhée, voix plus grave parfois irréversible, prise de poids, alopécie androgénique), bouffées de chaleur, modification de la libido, troubles menstruels (aménorrhée attendue), hépatotoxicité (cytolyse, cholestase, rares hépatomes), événements thromboemboliques (risque majoré), modifications lipidiques (baisse HDL, hausse LDL), hypertension artérielle, œdèmes, rarement crampes musculaires, irritabilité, changements d'humeur.</w:t>
      </w:r>
    </w:p>
    <w:p>
      <w:r/>
      <w:r>
        <w:rPr>
          <w:b/>
        </w:rPr>
        <w:t>Prévention et Gestion des Effets Indésirables :</w:t>
      </w:r>
      <w:r/>
    </w:p>
    <w:p>
      <w:pPr>
        <w:pStyle w:val="ListBullet"/>
      </w:pPr>
      <w:r>
        <w:t>Mesures Préventives : bilan pré-thérapeutique (hépatique complet, lipidique, tension artériel, βhCG pour exclure une grossesse, hématocrite) ; surveillance hépatique mensuelle 3 mois puis trimestriel ; bilan lipidique semestriel ; contraception mécanique obligatoire (préservatif) — pas d'estroprogestatifs (antagonisme d'efficacité).</w:t>
      </w:r>
    </w:p>
    <w:p>
      <w:pPr>
        <w:pStyle w:val="ListBullet"/>
      </w:pPr>
      <w:r>
        <w:t>Conduite à Tenir : arrêt en cas de virilisation importante (voix surtout — souvent irréversible) ; arrêt en cas de cytolyse &gt; 3× LSN ; switch vers agoniste GnRH en cas d'intolérance androgénique.</w:t>
      </w:r>
    </w:p>
    <w:p>
      <w:r/>
      <w:r>
        <w:rPr>
          <w:b/>
        </w:rPr>
        <w:t>Interactions Importantes :</w:t>
      </w:r>
      <w:r/>
    </w:p>
    <w:p>
      <w:pPr>
        <w:pStyle w:val="ListBullet"/>
      </w:pPr>
      <w:r>
        <w:t>Danazol + anticoagulants oraux (warfarine, acénocoumarol) : potentialisation majeure de l'effet anticoagulant (compétition métabolique) — surveillance INR étroite, réduction posologique.</w:t>
      </w:r>
    </w:p>
    <w:p>
      <w:pPr>
        <w:pStyle w:val="ListBullet"/>
      </w:pPr>
      <w:r>
        <w:t>Danazol + carbamazépine, phénytoine, rifampicine : induction enzymatique — possible baisse d'efficacité du danazol.</w:t>
      </w:r>
    </w:p>
    <w:p>
      <w:pPr>
        <w:pStyle w:val="ListBullet"/>
      </w:pPr>
      <w:r>
        <w:t>Danazol + cyclosporine, tacrolimus : augmentation des concentrations (compétition CYP3A4).</w:t>
      </w:r>
    </w:p>
    <w:p>
      <w:pPr>
        <w:pStyle w:val="ListBullet"/>
      </w:pPr>
      <w:r>
        <w:t>Danazol + statines : majoration du risque de rhabdomyolyse.</w:t>
      </w:r>
    </w:p>
    <w:p>
      <w:pPr>
        <w:pStyle w:val="ListBullet"/>
      </w:pPr>
      <w:r>
        <w:t>Danazol + estroprogestatifs : antagonisme pharmacologique.</w:t>
      </w:r>
    </w:p>
    <w:p>
      <w:r/>
      <w:r>
        <w:rPr>
          <w:b/>
        </w:rPr>
        <w:t>Grossesse et Allaitement :</w:t>
      </w:r>
      <w:r/>
    </w:p>
    <w:p>
      <w:pPr>
        <w:pStyle w:val="ListBullet"/>
      </w:pPr>
      <w:r>
        <w:t>Grossesse : CI absolue (virilisation fœtus féminin — pseudo-hermaphrodisme). Test βhCG pré-thérapeutique obligatoire. Contraception mécanique obligatoire (préservatif) pendant traitement et 1 mois après l'arrêt.</w:t>
      </w:r>
    </w:p>
    <w:p>
      <w:pPr>
        <w:pStyle w:val="ListBullet"/>
      </w:pPr>
      <w:r>
        <w:t>Allaitement : CI (passage dans le lait, virilisation de l'enfant).</w:t>
      </w:r>
    </w:p>
    <w:p>
      <w:pPr>
        <w:pStyle w:val="ListBullet"/>
      </w:pPr>
      <w:r>
        <w:t>Précisions : information de la patiente sur l'obligation de préservatif (les estroprogestatifs sont inefficaces et antagonistes).</w:t>
      </w:r>
    </w:p>
    <w:p>
      <w:r/>
      <w:r>
        <w:rPr>
          <w:b/>
        </w:rPr>
        <w:t>Posologie et Mode d'administration (Standard) :</w:t>
      </w:r>
      <w:r/>
    </w:p>
    <w:p>
      <w:pPr>
        <w:pStyle w:val="ListBullet"/>
      </w:pPr>
      <w:r>
        <w:t>Endométriose : 200 mg × 2/jour per os (400–800 mg/jour) pendant 6 mois maximum. Initiation à J1 du cycle.</w:t>
      </w:r>
    </w:p>
    <w:p>
      <w:pPr>
        <w:pStyle w:val="ListBullet"/>
      </w:pPr>
      <w:r>
        <w:t>Maladie fibrokystique du sein : 100–200 mg × 2/jour pendant 3–6 mois.</w:t>
      </w:r>
    </w:p>
    <w:p>
      <w:pPr>
        <w:pStyle w:val="ListBullet"/>
      </w:pPr>
      <w:r>
        <w:t>Angiœdème héréditaire : 200 mg × 2 à 3/jour (jusqu'à 600 mg/jour), dose minimale efficace à vie.</w:t>
      </w:r>
    </w:p>
    <w:p>
      <w:pPr>
        <w:pStyle w:val="ListBullet"/>
      </w:pPr>
      <w:r>
        <w:t>ITP réfractaire : 200 mg × 2 à 4/jour (400–800 mg/j).</w:t>
      </w:r>
    </w:p>
    <w:p>
      <w:pPr>
        <w:pStyle w:val="ListBullet"/>
      </w:pPr>
      <w:r>
        <w:t>Sujet âgé : pas d'adaptation mais surveillance hépatique accrue.</w:t>
      </w:r>
    </w:p>
    <w:p>
      <w:pPr>
        <w:pStyle w:val="ListBullet"/>
      </w:pPr>
      <w:r>
        <w:t>Insuffisance hépatique modérée à sévère : CI.</w:t>
      </w:r>
    </w:p>
    <w:p>
      <w:pPr>
        <w:pStyle w:val="ListBullet"/>
      </w:pPr>
      <w:r>
        <w:t>Durée : endométriose 6 mois max ; angiœdème héréditaire au long cours (à vie) ; ITP jusqu'à réponse.</w:t>
      </w:r>
    </w:p>
    <w:p>
      <w:pPr>
        <w:pStyle w:val="ListBullet"/>
      </w:pPr>
      <w:r>
        <w:t>Moment de prise : 2 à 3 prises par jour après les repas, à heure fixe.</w:t>
      </w:r>
    </w:p>
    <w:p>
      <w:r/>
      <w:r>
        <w:rPr>
          <w:b/>
        </w:rPr>
        <w:t>Arbitrage et Bénéfices des Formes Galéniques :</w:t>
      </w:r>
      <w:r/>
    </w:p>
    <w:p>
      <w:r>
        <w:t>La gélule 200 mg est la seule forme disponible. La dose quotidienne standard (400–800 mg/j) impose 2 à 4 gélules par jour — observance difficile au long cours (angiœdème héréditaire à vie). Comparé aux agonistes GnRH (1 injection mensuelle), le danazol impose une observance quotidienne stricte et expose à plus d'effets indésirables — d'où sa position de seconde ligne dans l'endométriose.</w:t>
      </w:r>
    </w:p>
    <w:p>
      <w:r/>
      <w:r>
        <w:rPr>
          <w:b/>
        </w:rPr>
        <w:t>Instructions et Conseils au Patient :</w:t>
      </w:r>
      <w:r/>
    </w:p>
    <w:p>
      <w:pPr>
        <w:pStyle w:val="ListBullet"/>
      </w:pPr>
      <w:r>
        <w:t>Communication au comptoir : informer sur les effets androgéniques possibles (acné, hirsutisme, voix plus grave — parfois irréversible), la surveillance hépatique (mensuelle initiale), l'obligation de préservatif (et non d'estroprogestatif) pour la contraception, le risque thromboembolique (bouger les jambes, éviter l'immobilité prolongée), signaler tout signe d'hépatotoxicité (ictère, urines foncées, asthénie).</w:t>
      </w:r>
    </w:p>
    <w:p>
      <w:pPr>
        <w:pStyle w:val="ListBullet"/>
      </w:pPr>
      <w:r>
        <w:t>Mode d'utilisation pratique : 2 à 3 prises par jour après les repas à heure fixe, contraception mécanique obligatoire, surveillance hépatique et tensionnelle régulière.</w:t>
      </w:r>
    </w:p>
    <w:p>
      <w:r/>
      <w:r>
        <w:rPr>
          <w:b/>
        </w:rPr>
        <w:t>Notes, Règles d'Or &amp; Pièges au Comptoir :</w:t>
      </w:r>
      <w:r/>
    </w:p>
    <w:p>
      <w:pPr>
        <w:pStyle w:val="ListBullet"/>
      </w:pPr>
      <w:r>
        <w:t>Piège classique : oublier la surveillance de la voix (effet androgénique parfois irréversible) — information de la patiente.</w:t>
      </w:r>
    </w:p>
    <w:p>
      <w:pPr>
        <w:pStyle w:val="ListBullet"/>
      </w:pPr>
      <w:r>
        <w:t>Règle de prise : 2 à 3 prises par jour après les repas, à heure fixe.</w:t>
      </w:r>
    </w:p>
    <w:p>
      <w:pPr>
        <w:pStyle w:val="ListBullet"/>
      </w:pPr>
      <w:r>
        <w:t>Préparation et Conservation : à température &lt; 25 °C, à l'abri de la lumière et de l'humidité.</w:t>
      </w:r>
    </w:p>
    <w:p>
      <w:pPr>
        <w:pStyle w:val="ListBullet"/>
      </w:pPr>
      <w:r>
        <w:t>Piège du surdosage / Substitution : ne pas substituer par agoniste GnRH sans avis médical — le danazol reste le traitement de référence de l'angiœdème héréditaire.</w:t>
      </w:r>
    </w:p>
    <w:p>
      <w:pPr>
        <w:pStyle w:val="Heading2"/>
      </w:pPr>
      <w:r>
        <w:t>Tableau Comparatif Synthétique</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w:t>
            </w:r>
          </w:p>
        </w:tc>
        <w:tc>
          <w:tcPr>
            <w:tcW w:type="dxa" w:w="1336"/>
          </w:tcPr>
          <w:p>
            <w:r>
              <w:rPr>
                <w:b/>
                <w:sz w:val="20"/>
              </w:rPr>
              <w:t>Posologie type</w:t>
            </w:r>
          </w:p>
        </w:tc>
        <w:tc>
          <w:tcPr>
            <w:tcW w:type="dxa" w:w="1336"/>
          </w:tcPr>
          <w:p>
            <w:r>
              <w:rPr>
                <w:b/>
                <w:sz w:val="20"/>
              </w:rPr>
              <w:t>EI majeur</w:t>
            </w:r>
          </w:p>
        </w:tc>
        <w:tc>
          <w:tcPr>
            <w:tcW w:type="dxa" w:w="1336"/>
          </w:tcPr>
          <w:p>
            <w:r>
              <w:rPr>
                <w:b/>
                <w:sz w:val="20"/>
              </w:rPr>
              <w:t>CI principale</w:t>
            </w:r>
          </w:p>
        </w:tc>
        <w:tc>
          <w:tcPr>
            <w:tcW w:type="dxa" w:w="1336"/>
          </w:tcPr>
          <w:p>
            <w:r>
              <w:rPr>
                <w:b/>
                <w:sz w:val="20"/>
              </w:rPr>
              <w:t>Grossesse</w:t>
            </w:r>
          </w:p>
        </w:tc>
      </w:tr>
      <w:tr>
        <w:tc>
          <w:tcPr>
            <w:tcW w:type="dxa" w:w="1336"/>
          </w:tcPr>
          <w:p>
            <w:r>
              <w:rPr>
                <w:sz w:val="20"/>
              </w:rPr>
              <w:t>Cyprotérone (acétate)</w:t>
            </w:r>
          </w:p>
        </w:tc>
        <w:tc>
          <w:tcPr>
            <w:tcW w:type="dxa" w:w="1336"/>
          </w:tcPr>
          <w:p>
            <w:r>
              <w:rPr>
                <w:sz w:val="20"/>
              </w:rPr>
              <w:t>Anti-androgène stéroïdien</w:t>
            </w:r>
          </w:p>
        </w:tc>
        <w:tc>
          <w:tcPr>
            <w:tcW w:type="dxa" w:w="1336"/>
          </w:tcPr>
          <w:p>
            <w:r>
              <w:rPr>
                <w:sz w:val="20"/>
              </w:rPr>
              <w:t>Bloc RA + progestatif + ↓LH</w:t>
            </w:r>
          </w:p>
        </w:tc>
        <w:tc>
          <w:tcPr>
            <w:tcW w:type="dxa" w:w="1336"/>
          </w:tcPr>
          <w:p>
            <w:r>
              <w:rPr>
                <w:sz w:val="20"/>
              </w:rPr>
              <w:t>50–100 mg × 2–3/j per os</w:t>
            </w:r>
          </w:p>
        </w:tc>
        <w:tc>
          <w:tcPr>
            <w:tcW w:type="dxa" w:w="1336"/>
          </w:tcPr>
          <w:p>
            <w:r>
              <w:rPr>
                <w:sz w:val="20"/>
              </w:rPr>
              <w:t>Hépatotoxicité, méningiome</w:t>
            </w:r>
          </w:p>
        </w:tc>
        <w:tc>
          <w:tcPr>
            <w:tcW w:type="dxa" w:w="1336"/>
          </w:tcPr>
          <w:p>
            <w:r>
              <w:rPr>
                <w:sz w:val="20"/>
              </w:rPr>
              <w:t>Hépatopathie, grossesse</w:t>
            </w:r>
          </w:p>
        </w:tc>
        <w:tc>
          <w:tcPr>
            <w:tcW w:type="dxa" w:w="1336"/>
          </w:tcPr>
          <w:p>
            <w:r>
              <w:rPr>
                <w:sz w:val="20"/>
              </w:rPr>
              <w:t>CI absolue</w:t>
            </w:r>
          </w:p>
        </w:tc>
      </w:tr>
      <w:tr>
        <w:tc>
          <w:tcPr>
            <w:tcW w:type="dxa" w:w="1336"/>
          </w:tcPr>
          <w:p>
            <w:r>
              <w:rPr>
                <w:sz w:val="20"/>
              </w:rPr>
              <w:t>Flutamide</w:t>
            </w:r>
          </w:p>
        </w:tc>
        <w:tc>
          <w:tcPr>
            <w:tcW w:type="dxa" w:w="1336"/>
          </w:tcPr>
          <w:p>
            <w:r>
              <w:rPr>
                <w:sz w:val="20"/>
              </w:rPr>
              <w:t>Anti-androgène non stéroïdien 1G</w:t>
            </w:r>
          </w:p>
        </w:tc>
        <w:tc>
          <w:tcPr>
            <w:tcW w:type="dxa" w:w="1336"/>
          </w:tcPr>
          <w:p>
            <w:r>
              <w:rPr>
                <w:sz w:val="20"/>
              </w:rPr>
              <w:t>Antagoniste RA</w:t>
            </w:r>
          </w:p>
        </w:tc>
        <w:tc>
          <w:tcPr>
            <w:tcW w:type="dxa" w:w="1336"/>
          </w:tcPr>
          <w:p>
            <w:r>
              <w:rPr>
                <w:sz w:val="20"/>
              </w:rPr>
              <w:t>250 mg × 3/j per os</w:t>
            </w:r>
          </w:p>
        </w:tc>
        <w:tc>
          <w:tcPr>
            <w:tcW w:type="dxa" w:w="1336"/>
          </w:tcPr>
          <w:p>
            <w:r>
              <w:rPr>
                <w:sz w:val="20"/>
              </w:rPr>
              <w:t>Hépatotoxicité, diarrhée</w:t>
            </w:r>
          </w:p>
        </w:tc>
        <w:tc>
          <w:tcPr>
            <w:tcW w:type="dxa" w:w="1336"/>
          </w:tcPr>
          <w:p>
            <w:r>
              <w:rPr>
                <w:sz w:val="20"/>
              </w:rPr>
              <w:t>Hépatopathie</w:t>
            </w:r>
          </w:p>
        </w:tc>
        <w:tc>
          <w:tcPr>
            <w:tcW w:type="dxa" w:w="1336"/>
          </w:tcPr>
          <w:p>
            <w:r>
              <w:rPr>
                <w:sz w:val="20"/>
              </w:rPr>
              <w:t>CI partenaire</w:t>
            </w:r>
          </w:p>
        </w:tc>
      </w:tr>
      <w:tr>
        <w:tc>
          <w:tcPr>
            <w:tcW w:type="dxa" w:w="1336"/>
          </w:tcPr>
          <w:p>
            <w:r>
              <w:rPr>
                <w:sz w:val="20"/>
              </w:rPr>
              <w:t>Bicalutamide</w:t>
            </w:r>
          </w:p>
        </w:tc>
        <w:tc>
          <w:tcPr>
            <w:tcW w:type="dxa" w:w="1336"/>
          </w:tcPr>
          <w:p>
            <w:r>
              <w:rPr>
                <w:sz w:val="20"/>
              </w:rPr>
              <w:t>Anti-androgène non stéroïdien 1G</w:t>
            </w:r>
          </w:p>
        </w:tc>
        <w:tc>
          <w:tcPr>
            <w:tcW w:type="dxa" w:w="1336"/>
          </w:tcPr>
          <w:p>
            <w:r>
              <w:rPr>
                <w:sz w:val="20"/>
              </w:rPr>
              <w:t>Antagoniste RA</w:t>
            </w:r>
          </w:p>
        </w:tc>
        <w:tc>
          <w:tcPr>
            <w:tcW w:type="dxa" w:w="1336"/>
          </w:tcPr>
          <w:p>
            <w:r>
              <w:rPr>
                <w:sz w:val="20"/>
              </w:rPr>
              <w:t>50 mg/j (assoc.) à 150 mg/j (mono)</w:t>
            </w:r>
          </w:p>
        </w:tc>
        <w:tc>
          <w:tcPr>
            <w:tcW w:type="dxa" w:w="1336"/>
          </w:tcPr>
          <w:p>
            <w:r>
              <w:rPr>
                <w:sz w:val="20"/>
              </w:rPr>
              <w:t>Bouffées chaleur, gynécomastie</w:t>
            </w:r>
          </w:p>
        </w:tc>
        <w:tc>
          <w:tcPr>
            <w:tcW w:type="dxa" w:w="1336"/>
          </w:tcPr>
          <w:p>
            <w:r>
              <w:rPr>
                <w:sz w:val="20"/>
              </w:rPr>
              <w:t>Hépatopathie, grossesse partenaire</w:t>
            </w:r>
          </w:p>
        </w:tc>
        <w:tc>
          <w:tcPr>
            <w:tcW w:type="dxa" w:w="1336"/>
          </w:tcPr>
          <w:p>
            <w:r>
              <w:rPr>
                <w:sz w:val="20"/>
              </w:rPr>
              <w:t>CI partenaire</w:t>
            </w:r>
          </w:p>
        </w:tc>
      </w:tr>
      <w:tr>
        <w:tc>
          <w:tcPr>
            <w:tcW w:type="dxa" w:w="1336"/>
          </w:tcPr>
          <w:p>
            <w:r>
              <w:rPr>
                <w:sz w:val="20"/>
              </w:rPr>
              <w:t>Enzalutamide</w:t>
            </w:r>
          </w:p>
        </w:tc>
        <w:tc>
          <w:tcPr>
            <w:tcW w:type="dxa" w:w="1336"/>
          </w:tcPr>
          <w:p>
            <w:r>
              <w:rPr>
                <w:sz w:val="20"/>
              </w:rPr>
              <w:t>Anti-androgène 2e génération</w:t>
            </w:r>
          </w:p>
        </w:tc>
        <w:tc>
          <w:tcPr>
            <w:tcW w:type="dxa" w:w="1336"/>
          </w:tcPr>
          <w:p>
            <w:r>
              <w:rPr>
                <w:sz w:val="20"/>
              </w:rPr>
              <w:t>Antagoniste RA + down-reg transcription</w:t>
            </w:r>
          </w:p>
        </w:tc>
        <w:tc>
          <w:tcPr>
            <w:tcW w:type="dxa" w:w="1336"/>
          </w:tcPr>
          <w:p>
            <w:r>
              <w:rPr>
                <w:sz w:val="20"/>
              </w:rPr>
              <w:t>160 mg/j per os (4 cp 40 mg ou 2 cp 80 mg)</w:t>
            </w:r>
          </w:p>
        </w:tc>
        <w:tc>
          <w:tcPr>
            <w:tcW w:type="dxa" w:w="1336"/>
          </w:tcPr>
          <w:p>
            <w:r>
              <w:rPr>
                <w:sz w:val="20"/>
              </w:rPr>
              <w:t>Convulsions, fatigue, interactions</w:t>
            </w:r>
          </w:p>
        </w:tc>
        <w:tc>
          <w:tcPr>
            <w:tcW w:type="dxa" w:w="1336"/>
          </w:tcPr>
          <w:p>
            <w:r>
              <w:rPr>
                <w:sz w:val="20"/>
              </w:rPr>
              <w:t>ATCD épilepsie, grossesse partenaire</w:t>
            </w:r>
          </w:p>
        </w:tc>
        <w:tc>
          <w:tcPr>
            <w:tcW w:type="dxa" w:w="1336"/>
          </w:tcPr>
          <w:p>
            <w:r>
              <w:rPr>
                <w:sz w:val="20"/>
              </w:rPr>
              <w:t>CI partenaire</w:t>
            </w:r>
          </w:p>
        </w:tc>
      </w:tr>
      <w:tr>
        <w:tc>
          <w:tcPr>
            <w:tcW w:type="dxa" w:w="1336"/>
          </w:tcPr>
          <w:p>
            <w:r>
              <w:rPr>
                <w:sz w:val="20"/>
              </w:rPr>
              <w:t>Clomifène</w:t>
            </w:r>
          </w:p>
        </w:tc>
        <w:tc>
          <w:tcPr>
            <w:tcW w:type="dxa" w:w="1336"/>
          </w:tcPr>
          <w:p>
            <w:r>
              <w:rPr>
                <w:sz w:val="20"/>
              </w:rPr>
              <w:t>SERM anti-estrogénique</w:t>
            </w:r>
          </w:p>
        </w:tc>
        <w:tc>
          <w:tcPr>
            <w:tcW w:type="dxa" w:w="1336"/>
          </w:tcPr>
          <w:p>
            <w:r>
              <w:rPr>
                <w:sz w:val="20"/>
              </w:rPr>
              <w:t>Antagoniste RE hypothalamique → ↑GnRH/FSH/LH</w:t>
            </w:r>
          </w:p>
        </w:tc>
        <w:tc>
          <w:tcPr>
            <w:tcW w:type="dxa" w:w="1336"/>
          </w:tcPr>
          <w:p>
            <w:r>
              <w:rPr>
                <w:sz w:val="20"/>
              </w:rPr>
              <w:t>50 mg/j J2-J6 (5 jours/cycle)</w:t>
            </w:r>
          </w:p>
        </w:tc>
        <w:tc>
          <w:tcPr>
            <w:tcW w:type="dxa" w:w="1336"/>
          </w:tcPr>
          <w:p>
            <w:r>
              <w:rPr>
                <w:sz w:val="20"/>
              </w:rPr>
              <w:t>SHSO, grossesses multiples, kystes ovariens</w:t>
            </w:r>
          </w:p>
        </w:tc>
        <w:tc>
          <w:tcPr>
            <w:tcW w:type="dxa" w:w="1336"/>
          </w:tcPr>
          <w:p>
            <w:r>
              <w:rPr>
                <w:sz w:val="20"/>
              </w:rPr>
              <w:t>Grossesse, kyste ovarien</w:t>
            </w:r>
          </w:p>
        </w:tc>
        <w:tc>
          <w:tcPr>
            <w:tcW w:type="dxa" w:w="1336"/>
          </w:tcPr>
          <w:p>
            <w:r>
              <w:rPr>
                <w:sz w:val="20"/>
              </w:rPr>
              <w:t>CI grossesse débutante</w:t>
            </w:r>
          </w:p>
        </w:tc>
      </w:tr>
      <w:tr>
        <w:tc>
          <w:tcPr>
            <w:tcW w:type="dxa" w:w="1336"/>
          </w:tcPr>
          <w:p>
            <w:r>
              <w:rPr>
                <w:sz w:val="20"/>
              </w:rPr>
              <w:t>Anastrozole</w:t>
            </w:r>
          </w:p>
        </w:tc>
        <w:tc>
          <w:tcPr>
            <w:tcW w:type="dxa" w:w="1336"/>
          </w:tcPr>
          <w:p>
            <w:r>
              <w:rPr>
                <w:sz w:val="20"/>
              </w:rPr>
              <w:t>Inhibiteur aromatase non stéroïdien</w:t>
            </w:r>
          </w:p>
        </w:tc>
        <w:tc>
          <w:tcPr>
            <w:tcW w:type="dxa" w:w="1336"/>
          </w:tcPr>
          <w:p>
            <w:r>
              <w:rPr>
                <w:sz w:val="20"/>
              </w:rPr>
              <w:t>Inhibition compétitive CYP19A1</w:t>
            </w:r>
          </w:p>
        </w:tc>
        <w:tc>
          <w:tcPr>
            <w:tcW w:type="dxa" w:w="1336"/>
          </w:tcPr>
          <w:p>
            <w:r>
              <w:rPr>
                <w:sz w:val="20"/>
              </w:rPr>
              <w:t>1 mg/j per os 5 ans</w:t>
            </w:r>
          </w:p>
        </w:tc>
        <w:tc>
          <w:tcPr>
            <w:tcW w:type="dxa" w:w="1336"/>
          </w:tcPr>
          <w:p>
            <w:r>
              <w:rPr>
                <w:sz w:val="20"/>
              </w:rPr>
              <w:t>Arthralgies, ostéoporose</w:t>
            </w:r>
          </w:p>
        </w:tc>
        <w:tc>
          <w:tcPr>
            <w:tcW w:type="dxa" w:w="1336"/>
          </w:tcPr>
          <w:p>
            <w:r>
              <w:rPr>
                <w:sz w:val="20"/>
              </w:rPr>
              <w:t>Préménopause, grossesse</w:t>
            </w:r>
          </w:p>
        </w:tc>
        <w:tc>
          <w:tcPr>
            <w:tcW w:type="dxa" w:w="1336"/>
          </w:tcPr>
          <w:p>
            <w:r>
              <w:rPr>
                <w:sz w:val="20"/>
              </w:rPr>
              <w:t>CI absolue</w:t>
            </w:r>
          </w:p>
        </w:tc>
      </w:tr>
      <w:tr>
        <w:tc>
          <w:tcPr>
            <w:tcW w:type="dxa" w:w="1336"/>
          </w:tcPr>
          <w:p>
            <w:r>
              <w:rPr>
                <w:sz w:val="20"/>
              </w:rPr>
              <w:t>Létrozole</w:t>
            </w:r>
          </w:p>
        </w:tc>
        <w:tc>
          <w:tcPr>
            <w:tcW w:type="dxa" w:w="1336"/>
          </w:tcPr>
          <w:p>
            <w:r>
              <w:rPr>
                <w:sz w:val="20"/>
              </w:rPr>
              <w:t>Inhibiteur aromatase non stéroïdien</w:t>
            </w:r>
          </w:p>
        </w:tc>
        <w:tc>
          <w:tcPr>
            <w:tcW w:type="dxa" w:w="1336"/>
          </w:tcPr>
          <w:p>
            <w:r>
              <w:rPr>
                <w:sz w:val="20"/>
              </w:rPr>
              <w:t>Inhibition compétitive CYP19A1 (puissance supérieure)</w:t>
            </w:r>
          </w:p>
        </w:tc>
        <w:tc>
          <w:tcPr>
            <w:tcW w:type="dxa" w:w="1336"/>
          </w:tcPr>
          <w:p>
            <w:r>
              <w:rPr>
                <w:sz w:val="20"/>
              </w:rPr>
              <w:t>2,5 mg/j per os 5 ans</w:t>
            </w:r>
          </w:p>
        </w:tc>
        <w:tc>
          <w:tcPr>
            <w:tcW w:type="dxa" w:w="1336"/>
          </w:tcPr>
          <w:p>
            <w:r>
              <w:rPr>
                <w:sz w:val="20"/>
              </w:rPr>
              <w:t>Arthralgies, ostéoporose, hypercholestérolémie</w:t>
            </w:r>
          </w:p>
        </w:tc>
        <w:tc>
          <w:tcPr>
            <w:tcW w:type="dxa" w:w="1336"/>
          </w:tcPr>
          <w:p>
            <w:r>
              <w:rPr>
                <w:sz w:val="20"/>
              </w:rPr>
              <w:t>Préménopause, grossesse</w:t>
            </w:r>
          </w:p>
        </w:tc>
        <w:tc>
          <w:tcPr>
            <w:tcW w:type="dxa" w:w="1336"/>
          </w:tcPr>
          <w:p>
            <w:r>
              <w:rPr>
                <w:sz w:val="20"/>
              </w:rPr>
              <w:t>CI absolue</w:t>
            </w:r>
          </w:p>
        </w:tc>
      </w:tr>
      <w:tr>
        <w:tc>
          <w:tcPr>
            <w:tcW w:type="dxa" w:w="1336"/>
          </w:tcPr>
          <w:p>
            <w:r>
              <w:rPr>
                <w:sz w:val="20"/>
              </w:rPr>
              <w:t>Exemestane</w:t>
            </w:r>
          </w:p>
        </w:tc>
        <w:tc>
          <w:tcPr>
            <w:tcW w:type="dxa" w:w="1336"/>
          </w:tcPr>
          <w:p>
            <w:r>
              <w:rPr>
                <w:sz w:val="20"/>
              </w:rPr>
              <w:t>Inhibiteur aromatase stéroïdien</w:t>
            </w:r>
          </w:p>
        </w:tc>
        <w:tc>
          <w:tcPr>
            <w:tcW w:type="dxa" w:w="1336"/>
          </w:tcPr>
          <w:p>
            <w:r>
              <w:rPr>
                <w:sz w:val="20"/>
              </w:rPr>
              <w:t>Inhibition irréversible (suicide) CYP19A1</w:t>
            </w:r>
          </w:p>
        </w:tc>
        <w:tc>
          <w:tcPr>
            <w:tcW w:type="dxa" w:w="1336"/>
          </w:tcPr>
          <w:p>
            <w:r>
              <w:rPr>
                <w:sz w:val="20"/>
              </w:rPr>
              <w:t>25 mg/j per os après repas</w:t>
            </w:r>
          </w:p>
        </w:tc>
        <w:tc>
          <w:tcPr>
            <w:tcW w:type="dxa" w:w="1336"/>
          </w:tcPr>
          <w:p>
            <w:r>
              <w:rPr>
                <w:sz w:val="20"/>
              </w:rPr>
              <w:t>Bouffées chaleur, arthralgies</w:t>
            </w:r>
          </w:p>
        </w:tc>
        <w:tc>
          <w:tcPr>
            <w:tcW w:type="dxa" w:w="1336"/>
          </w:tcPr>
          <w:p>
            <w:r>
              <w:rPr>
                <w:sz w:val="20"/>
              </w:rPr>
              <w:t>Préménopause, grossesse</w:t>
            </w:r>
          </w:p>
        </w:tc>
        <w:tc>
          <w:tcPr>
            <w:tcW w:type="dxa" w:w="1336"/>
          </w:tcPr>
          <w:p>
            <w:r>
              <w:rPr>
                <w:sz w:val="20"/>
              </w:rPr>
              <w:t>CI absolue</w:t>
            </w:r>
          </w:p>
        </w:tc>
      </w:tr>
      <w:tr>
        <w:tc>
          <w:tcPr>
            <w:tcW w:type="dxa" w:w="1336"/>
          </w:tcPr>
          <w:p>
            <w:r>
              <w:rPr>
                <w:sz w:val="20"/>
              </w:rPr>
              <w:t>Follitropine/Ménotropine</w:t>
            </w:r>
          </w:p>
        </w:tc>
        <w:tc>
          <w:tcPr>
            <w:tcW w:type="dxa" w:w="1336"/>
          </w:tcPr>
          <w:p>
            <w:r>
              <w:rPr>
                <w:sz w:val="20"/>
              </w:rPr>
              <w:t>Gonadotrophine FSH recombinante/urinaire</w:t>
            </w:r>
          </w:p>
        </w:tc>
        <w:tc>
          <w:tcPr>
            <w:tcW w:type="dxa" w:w="1336"/>
          </w:tcPr>
          <w:p>
            <w:r>
              <w:rPr>
                <w:sz w:val="20"/>
              </w:rPr>
              <w:t>Agoniste FSHR → croissance folliculaire</w:t>
            </w:r>
          </w:p>
        </w:tc>
        <w:tc>
          <w:tcPr>
            <w:tcW w:type="dxa" w:w="1336"/>
          </w:tcPr>
          <w:p>
            <w:r>
              <w:rPr>
                <w:sz w:val="20"/>
              </w:rPr>
              <w:t>75–450 UI/j SC 9–14 jours</w:t>
            </w:r>
          </w:p>
        </w:tc>
        <w:tc>
          <w:tcPr>
            <w:tcW w:type="dxa" w:w="1336"/>
          </w:tcPr>
          <w:p>
            <w:r>
              <w:rPr>
                <w:sz w:val="20"/>
              </w:rPr>
              <w:t>SHSO, grossesses multiples</w:t>
            </w:r>
          </w:p>
        </w:tc>
        <w:tc>
          <w:tcPr>
            <w:tcW w:type="dxa" w:w="1336"/>
          </w:tcPr>
          <w:p>
            <w:r>
              <w:rPr>
                <w:sz w:val="20"/>
              </w:rPr>
              <w:t>Insuffisance ovarienne, grossesse</w:t>
            </w:r>
          </w:p>
        </w:tc>
        <w:tc>
          <w:tcPr>
            <w:tcW w:type="dxa" w:w="1336"/>
          </w:tcPr>
          <w:p>
            <w:r>
              <w:rPr>
                <w:sz w:val="20"/>
              </w:rPr>
              <w:t>CI grossesse</w:t>
            </w:r>
          </w:p>
        </w:tc>
      </w:tr>
      <w:tr>
        <w:tc>
          <w:tcPr>
            <w:tcW w:type="dxa" w:w="1336"/>
          </w:tcPr>
          <w:p>
            <w:r>
              <w:rPr>
                <w:sz w:val="20"/>
              </w:rPr>
              <w:t>Choriogonadotropine alfa</w:t>
            </w:r>
          </w:p>
        </w:tc>
        <w:tc>
          <w:tcPr>
            <w:tcW w:type="dxa" w:w="1336"/>
          </w:tcPr>
          <w:p>
            <w:r>
              <w:rPr>
                <w:sz w:val="20"/>
              </w:rPr>
              <w:t>hCG recombinante</w:t>
            </w:r>
          </w:p>
        </w:tc>
        <w:tc>
          <w:tcPr>
            <w:tcW w:type="dxa" w:w="1336"/>
          </w:tcPr>
          <w:p>
            <w:r>
              <w:rPr>
                <w:sz w:val="20"/>
              </w:rPr>
              <w:t>Agoniste LHCGR → ovulation</w:t>
            </w:r>
          </w:p>
        </w:tc>
        <w:tc>
          <w:tcPr>
            <w:tcW w:type="dxa" w:w="1336"/>
          </w:tcPr>
          <w:p>
            <w:r>
              <w:rPr>
                <w:sz w:val="20"/>
              </w:rPr>
              <w:t>250 μg SC unique (34–36 h avant recueil)</w:t>
            </w:r>
          </w:p>
        </w:tc>
        <w:tc>
          <w:tcPr>
            <w:tcW w:type="dxa" w:w="1336"/>
          </w:tcPr>
          <w:p>
            <w:r>
              <w:rPr>
                <w:sz w:val="20"/>
              </w:rPr>
              <w:t>SHSO</w:t>
            </w:r>
          </w:p>
        </w:tc>
        <w:tc>
          <w:tcPr>
            <w:tcW w:type="dxa" w:w="1336"/>
          </w:tcPr>
          <w:p>
            <w:r>
              <w:rPr>
                <w:sz w:val="20"/>
              </w:rPr>
              <w:t>Tumeur ovarien, grossesse</w:t>
            </w:r>
          </w:p>
        </w:tc>
        <w:tc>
          <w:tcPr>
            <w:tcW w:type="dxa" w:w="1336"/>
          </w:tcPr>
          <w:p>
            <w:r>
              <w:rPr>
                <w:sz w:val="20"/>
              </w:rPr>
              <w:t>CI grossesse</w:t>
            </w:r>
          </w:p>
        </w:tc>
      </w:tr>
      <w:tr>
        <w:tc>
          <w:tcPr>
            <w:tcW w:type="dxa" w:w="1336"/>
          </w:tcPr>
          <w:p>
            <w:r>
              <w:rPr>
                <w:sz w:val="20"/>
              </w:rPr>
              <w:t>Cetrorelix / Ganirelix</w:t>
            </w:r>
          </w:p>
        </w:tc>
        <w:tc>
          <w:tcPr>
            <w:tcW w:type="dxa" w:w="1336"/>
          </w:tcPr>
          <w:p>
            <w:r>
              <w:rPr>
                <w:sz w:val="20"/>
              </w:rPr>
              <w:t>Antagoniste GnRH</w:t>
            </w:r>
          </w:p>
        </w:tc>
        <w:tc>
          <w:tcPr>
            <w:tcW w:type="dxa" w:w="1336"/>
          </w:tcPr>
          <w:p>
            <w:r>
              <w:rPr>
                <w:sz w:val="20"/>
              </w:rPr>
              <w:t>Antagoniste compétitif GNRHR</w:t>
            </w:r>
          </w:p>
        </w:tc>
        <w:tc>
          <w:tcPr>
            <w:tcW w:type="dxa" w:w="1336"/>
          </w:tcPr>
          <w:p>
            <w:r>
              <w:rPr>
                <w:sz w:val="20"/>
              </w:rPr>
              <w:t>0,25 mg/j SC 8–12 jours</w:t>
            </w:r>
          </w:p>
        </w:tc>
        <w:tc>
          <w:tcPr>
            <w:tcW w:type="dxa" w:w="1336"/>
          </w:tcPr>
          <w:p>
            <w:r>
              <w:rPr>
                <w:sz w:val="20"/>
              </w:rPr>
              <w:t>Réactions locales, hypersensibilité</w:t>
            </w:r>
          </w:p>
        </w:tc>
        <w:tc>
          <w:tcPr>
            <w:tcW w:type="dxa" w:w="1336"/>
          </w:tcPr>
          <w:p>
            <w:r>
              <w:rPr>
                <w:sz w:val="20"/>
              </w:rPr>
              <w:t>Grossesse, insuffisance rénale sévère</w:t>
            </w:r>
          </w:p>
        </w:tc>
        <w:tc>
          <w:tcPr>
            <w:tcW w:type="dxa" w:w="1336"/>
          </w:tcPr>
          <w:p>
            <w:r>
              <w:rPr>
                <w:sz w:val="20"/>
              </w:rPr>
              <w:t>CI grossesse</w:t>
            </w:r>
          </w:p>
        </w:tc>
      </w:tr>
      <w:tr>
        <w:tc>
          <w:tcPr>
            <w:tcW w:type="dxa" w:w="1336"/>
          </w:tcPr>
          <w:p>
            <w:r>
              <w:rPr>
                <w:sz w:val="20"/>
              </w:rPr>
              <w:t>Agonistes GnRH (Leuproréline, Goséréline, Triptoréline)</w:t>
            </w:r>
          </w:p>
        </w:tc>
        <w:tc>
          <w:tcPr>
            <w:tcW w:type="dxa" w:w="1336"/>
          </w:tcPr>
          <w:p>
            <w:r>
              <w:rPr>
                <w:sz w:val="20"/>
              </w:rPr>
              <w:t>Agoniste GnRH</w:t>
            </w:r>
          </w:p>
        </w:tc>
        <w:tc>
          <w:tcPr>
            <w:tcW w:type="dxa" w:w="1336"/>
          </w:tcPr>
          <w:p>
            <w:r>
              <w:rPr>
                <w:sz w:val="20"/>
              </w:rPr>
              <w:t>Down-regulation GNRHR → castration chimique</w:t>
            </w:r>
          </w:p>
        </w:tc>
        <w:tc>
          <w:tcPr>
            <w:tcW w:type="dxa" w:w="1336"/>
          </w:tcPr>
          <w:p>
            <w:r>
              <w:rPr>
                <w:sz w:val="20"/>
              </w:rPr>
              <w:t>1 injection SC/IM LP toutes les 1–6 mois</w:t>
            </w:r>
          </w:p>
        </w:tc>
        <w:tc>
          <w:tcPr>
            <w:tcW w:type="dxa" w:w="1336"/>
          </w:tcPr>
          <w:p>
            <w:r>
              <w:rPr>
                <w:sz w:val="20"/>
              </w:rPr>
              <w:t>Bouffées chaleur, ostéoporose, flare</w:t>
            </w:r>
          </w:p>
        </w:tc>
        <w:tc>
          <w:tcPr>
            <w:tcW w:type="dxa" w:w="1336"/>
          </w:tcPr>
          <w:p>
            <w:r>
              <w:rPr>
                <w:sz w:val="20"/>
              </w:rPr>
              <w:t>Grossesse, ostéoporose sévère</w:t>
            </w:r>
          </w:p>
        </w:tc>
        <w:tc>
          <w:tcPr>
            <w:tcW w:type="dxa" w:w="1336"/>
          </w:tcPr>
          <w:p>
            <w:r>
              <w:rPr>
                <w:sz w:val="20"/>
              </w:rPr>
              <w:t>CI absolue</w:t>
            </w:r>
          </w:p>
        </w:tc>
      </w:tr>
      <w:tr>
        <w:tc>
          <w:tcPr>
            <w:tcW w:type="dxa" w:w="1336"/>
          </w:tcPr>
          <w:p>
            <w:r>
              <w:rPr>
                <w:sz w:val="20"/>
              </w:rPr>
              <w:t>Somatropine (hGH)</w:t>
            </w:r>
          </w:p>
        </w:tc>
        <w:tc>
          <w:tcPr>
            <w:tcW w:type="dxa" w:w="1336"/>
          </w:tcPr>
          <w:p>
            <w:r>
              <w:rPr>
                <w:sz w:val="20"/>
              </w:rPr>
              <w:t>Hormone de croissance recombinante</w:t>
            </w:r>
          </w:p>
        </w:tc>
        <w:tc>
          <w:tcPr>
            <w:tcW w:type="dxa" w:w="1336"/>
          </w:tcPr>
          <w:p>
            <w:r>
              <w:rPr>
                <w:sz w:val="20"/>
              </w:rPr>
              <w:t>Agoniste GHR → IGF-1 → anabolisme</w:t>
            </w:r>
          </w:p>
        </w:tc>
        <w:tc>
          <w:tcPr>
            <w:tcW w:type="dxa" w:w="1336"/>
          </w:tcPr>
          <w:p>
            <w:r>
              <w:rPr>
                <w:sz w:val="20"/>
              </w:rPr>
              <w:t>0,025–0,05 mg/kg/sem SC quotidien</w:t>
            </w:r>
          </w:p>
        </w:tc>
        <w:tc>
          <w:tcPr>
            <w:tcW w:type="dxa" w:w="1336"/>
          </w:tcPr>
          <w:p>
            <w:r>
              <w:rPr>
                <w:sz w:val="20"/>
              </w:rPr>
              <w:t>HTIC bénigne, hypothyroïdie, hyperglycémie</w:t>
            </w:r>
          </w:p>
        </w:tc>
        <w:tc>
          <w:tcPr>
            <w:tcW w:type="dxa" w:w="1336"/>
          </w:tcPr>
          <w:p>
            <w:r>
              <w:rPr>
                <w:sz w:val="20"/>
              </w:rPr>
              <w:t>Cancer actif, rétinopathie proliférative</w:t>
            </w:r>
          </w:p>
        </w:tc>
        <w:tc>
          <w:tcPr>
            <w:tcW w:type="dxa" w:w="1336"/>
          </w:tcPr>
          <w:p>
            <w:r>
              <w:rPr>
                <w:sz w:val="20"/>
              </w:rPr>
              <w:t>À éviter</w:t>
            </w:r>
          </w:p>
        </w:tc>
      </w:tr>
      <w:tr>
        <w:tc>
          <w:tcPr>
            <w:tcW w:type="dxa" w:w="1336"/>
          </w:tcPr>
          <w:p>
            <w:r>
              <w:rPr>
                <w:sz w:val="20"/>
              </w:rPr>
              <w:t>Octréotide</w:t>
            </w:r>
          </w:p>
        </w:tc>
        <w:tc>
          <w:tcPr>
            <w:tcW w:type="dxa" w:w="1336"/>
          </w:tcPr>
          <w:p>
            <w:r>
              <w:rPr>
                <w:sz w:val="20"/>
              </w:rPr>
              <w:t>Analogue somatostatine</w:t>
            </w:r>
          </w:p>
        </w:tc>
        <w:tc>
          <w:tcPr>
            <w:tcW w:type="dxa" w:w="1336"/>
          </w:tcPr>
          <w:p>
            <w:r>
              <w:rPr>
                <w:sz w:val="20"/>
              </w:rPr>
              <w:t>Agoniste SSTR-2/5 → ↓GH/insuline/glucagon</w:t>
            </w:r>
          </w:p>
        </w:tc>
        <w:tc>
          <w:tcPr>
            <w:tcW w:type="dxa" w:w="1336"/>
          </w:tcPr>
          <w:p>
            <w:r>
              <w:rPr>
                <w:sz w:val="20"/>
              </w:rPr>
              <w:t>50–200 μg SC × 3/j</w:t>
            </w:r>
          </w:p>
        </w:tc>
        <w:tc>
          <w:tcPr>
            <w:tcW w:type="dxa" w:w="1336"/>
          </w:tcPr>
          <w:p>
            <w:r>
              <w:rPr>
                <w:sz w:val="20"/>
              </w:rPr>
              <w:t>Lithiase biliaire, troubles digestifs, hyperglycémie</w:t>
            </w:r>
          </w:p>
        </w:tc>
        <w:tc>
          <w:tcPr>
            <w:tcW w:type="dxa" w:w="1336"/>
          </w:tcPr>
          <w:p>
            <w:r>
              <w:rPr>
                <w:sz w:val="20"/>
              </w:rPr>
              <w:t>Hypersensibilité, allaitement</w:t>
            </w:r>
          </w:p>
        </w:tc>
        <w:tc>
          <w:tcPr>
            <w:tcW w:type="dxa" w:w="1336"/>
          </w:tcPr>
          <w:p>
            <w:r>
              <w:rPr>
                <w:sz w:val="20"/>
              </w:rPr>
              <w:t>À éviter</w:t>
            </w:r>
          </w:p>
        </w:tc>
      </w:tr>
      <w:tr>
        <w:tc>
          <w:tcPr>
            <w:tcW w:type="dxa" w:w="1336"/>
          </w:tcPr>
          <w:p>
            <w:r>
              <w:rPr>
                <w:sz w:val="20"/>
              </w:rPr>
              <w:t>Lanréotide</w:t>
            </w:r>
          </w:p>
        </w:tc>
        <w:tc>
          <w:tcPr>
            <w:tcW w:type="dxa" w:w="1336"/>
          </w:tcPr>
          <w:p>
            <w:r>
              <w:rPr>
                <w:sz w:val="20"/>
              </w:rPr>
              <w:t>Analogue somatostatine LP</w:t>
            </w:r>
          </w:p>
        </w:tc>
        <w:tc>
          <w:tcPr>
            <w:tcW w:type="dxa" w:w="1336"/>
          </w:tcPr>
          <w:p>
            <w:r>
              <w:rPr>
                <w:sz w:val="20"/>
              </w:rPr>
              <w:t>Agoniste SSTR-2/5 → ↓GH</w:t>
            </w:r>
          </w:p>
        </w:tc>
        <w:tc>
          <w:tcPr>
            <w:tcW w:type="dxa" w:w="1336"/>
          </w:tcPr>
          <w:p>
            <w:r>
              <w:rPr>
                <w:sz w:val="20"/>
              </w:rPr>
              <w:t>60–120 mg SC profond toutes les 4 sem</w:t>
            </w:r>
          </w:p>
        </w:tc>
        <w:tc>
          <w:tcPr>
            <w:tcW w:type="dxa" w:w="1336"/>
          </w:tcPr>
          <w:p>
            <w:r>
              <w:rPr>
                <w:sz w:val="20"/>
              </w:rPr>
              <w:t>Lithiase biliaire, hyperglycémie</w:t>
            </w:r>
          </w:p>
        </w:tc>
        <w:tc>
          <w:tcPr>
            <w:tcW w:type="dxa" w:w="1336"/>
          </w:tcPr>
          <w:p>
            <w:r>
              <w:rPr>
                <w:sz w:val="20"/>
              </w:rPr>
              <w:t>Hypersensibilité</w:t>
            </w:r>
          </w:p>
        </w:tc>
        <w:tc>
          <w:tcPr>
            <w:tcW w:type="dxa" w:w="1336"/>
          </w:tcPr>
          <w:p>
            <w:r>
              <w:rPr>
                <w:sz w:val="20"/>
              </w:rPr>
              <w:t>À éviter</w:t>
            </w:r>
          </w:p>
        </w:tc>
      </w:tr>
      <w:tr>
        <w:tc>
          <w:tcPr>
            <w:tcW w:type="dxa" w:w="1336"/>
          </w:tcPr>
          <w:p>
            <w:r>
              <w:rPr>
                <w:sz w:val="20"/>
              </w:rPr>
              <w:t>Bromocriptine</w:t>
            </w:r>
          </w:p>
        </w:tc>
        <w:tc>
          <w:tcPr>
            <w:tcW w:type="dxa" w:w="1336"/>
          </w:tcPr>
          <w:p>
            <w:r>
              <w:rPr>
                <w:sz w:val="20"/>
              </w:rPr>
              <w:t>Agoniste D2 ergoté 1G</w:t>
            </w:r>
          </w:p>
        </w:tc>
        <w:tc>
          <w:tcPr>
            <w:tcW w:type="dxa" w:w="1336"/>
          </w:tcPr>
          <w:p>
            <w:r>
              <w:rPr>
                <w:sz w:val="20"/>
              </w:rPr>
              <w:t>Agoniste D2 lactotrope → ↓PRL</w:t>
            </w:r>
          </w:p>
        </w:tc>
        <w:tc>
          <w:tcPr>
            <w:tcW w:type="dxa" w:w="1336"/>
          </w:tcPr>
          <w:p>
            <w:r>
              <w:rPr>
                <w:sz w:val="20"/>
              </w:rPr>
              <w:t>1,25–2,5 mg × 2–3/j per os</w:t>
            </w:r>
          </w:p>
        </w:tc>
        <w:tc>
          <w:tcPr>
            <w:tcW w:type="dxa" w:w="1336"/>
          </w:tcPr>
          <w:p>
            <w:r>
              <w:rPr>
                <w:sz w:val="20"/>
              </w:rPr>
              <w:t>Nausées, hypotension, fibrose valvulaire</w:t>
            </w:r>
          </w:p>
        </w:tc>
        <w:tc>
          <w:tcPr>
            <w:tcW w:type="dxa" w:w="1336"/>
          </w:tcPr>
          <w:p>
            <w:r>
              <w:rPr>
                <w:sz w:val="20"/>
              </w:rPr>
              <w:t>HTA gravidique, psychose</w:t>
            </w:r>
          </w:p>
        </w:tc>
        <w:tc>
          <w:tcPr>
            <w:tcW w:type="dxa" w:w="1336"/>
          </w:tcPr>
          <w:p>
            <w:r>
              <w:rPr>
                <w:sz w:val="20"/>
              </w:rPr>
              <w:t>À éviter</w:t>
            </w:r>
          </w:p>
        </w:tc>
      </w:tr>
      <w:tr>
        <w:tc>
          <w:tcPr>
            <w:tcW w:type="dxa" w:w="1336"/>
          </w:tcPr>
          <w:p>
            <w:r>
              <w:rPr>
                <w:sz w:val="20"/>
              </w:rPr>
              <w:t>Cabergoline</w:t>
            </w:r>
          </w:p>
        </w:tc>
        <w:tc>
          <w:tcPr>
            <w:tcW w:type="dxa" w:w="1336"/>
          </w:tcPr>
          <w:p>
            <w:r>
              <w:rPr>
                <w:sz w:val="20"/>
              </w:rPr>
              <w:t>Agoniste D2 ergoté 2G</w:t>
            </w:r>
          </w:p>
        </w:tc>
        <w:tc>
          <w:tcPr>
            <w:tcW w:type="dxa" w:w="1336"/>
          </w:tcPr>
          <w:p>
            <w:r>
              <w:rPr>
                <w:sz w:val="20"/>
              </w:rPr>
              <w:t>Agoniste D2 lactotrope → ↓PRL (longue durée)</w:t>
            </w:r>
          </w:p>
        </w:tc>
        <w:tc>
          <w:tcPr>
            <w:tcW w:type="dxa" w:w="1336"/>
          </w:tcPr>
          <w:p>
            <w:r>
              <w:rPr>
                <w:sz w:val="20"/>
              </w:rPr>
              <w:t>0,5–3 mg/sem per os</w:t>
            </w:r>
          </w:p>
        </w:tc>
        <w:tc>
          <w:tcPr>
            <w:tcW w:type="dxa" w:w="1336"/>
          </w:tcPr>
          <w:p>
            <w:r>
              <w:rPr>
                <w:sz w:val="20"/>
              </w:rPr>
              <w:t>Fibrose valvulaire, nausées</w:t>
            </w:r>
          </w:p>
        </w:tc>
        <w:tc>
          <w:tcPr>
            <w:tcW w:type="dxa" w:w="1336"/>
          </w:tcPr>
          <w:p>
            <w:r>
              <w:rPr>
                <w:sz w:val="20"/>
              </w:rPr>
              <w:t>Valvulopathie, psychose</w:t>
            </w:r>
          </w:p>
        </w:tc>
        <w:tc>
          <w:tcPr>
            <w:tcW w:type="dxa" w:w="1336"/>
          </w:tcPr>
          <w:p>
            <w:r>
              <w:rPr>
                <w:sz w:val="20"/>
              </w:rPr>
              <w:t>À éviter (retrait si microPRL)</w:t>
            </w:r>
          </w:p>
        </w:tc>
      </w:tr>
      <w:tr>
        <w:tc>
          <w:tcPr>
            <w:tcW w:type="dxa" w:w="1336"/>
          </w:tcPr>
          <w:p>
            <w:r>
              <w:rPr>
                <w:sz w:val="20"/>
              </w:rPr>
              <w:t>Quinagolide</w:t>
            </w:r>
          </w:p>
        </w:tc>
        <w:tc>
          <w:tcPr>
            <w:tcW w:type="dxa" w:w="1336"/>
          </w:tcPr>
          <w:p>
            <w:r>
              <w:rPr>
                <w:sz w:val="20"/>
              </w:rPr>
              <w:t>Agoniste D2 non ergoté 3G</w:t>
            </w:r>
          </w:p>
        </w:tc>
        <w:tc>
          <w:tcPr>
            <w:tcW w:type="dxa" w:w="1336"/>
          </w:tcPr>
          <w:p>
            <w:r>
              <w:rPr>
                <w:sz w:val="20"/>
              </w:rPr>
              <w:t>Agoniste D2 lactotrope → ↓PRL</w:t>
            </w:r>
          </w:p>
        </w:tc>
        <w:tc>
          <w:tcPr>
            <w:tcW w:type="dxa" w:w="1336"/>
          </w:tcPr>
          <w:p>
            <w:r>
              <w:rPr>
                <w:sz w:val="20"/>
              </w:rPr>
              <w:t>75–150 μg/j per os au coucher</w:t>
            </w:r>
          </w:p>
        </w:tc>
        <w:tc>
          <w:tcPr>
            <w:tcW w:type="dxa" w:w="1336"/>
          </w:tcPr>
          <w:p>
            <w:r>
              <w:rPr>
                <w:sz w:val="20"/>
              </w:rPr>
              <w:t>Nausées, hypotension, troubles impulsions</w:t>
            </w:r>
          </w:p>
        </w:tc>
        <w:tc>
          <w:tcPr>
            <w:tcW w:type="dxa" w:w="1336"/>
          </w:tcPr>
          <w:p>
            <w:r>
              <w:rPr>
                <w:sz w:val="20"/>
              </w:rPr>
              <w:t>Psychose, grossesse</w:t>
            </w:r>
          </w:p>
        </w:tc>
        <w:tc>
          <w:tcPr>
            <w:tcW w:type="dxa" w:w="1336"/>
          </w:tcPr>
          <w:p>
            <w:r>
              <w:rPr>
                <w:sz w:val="20"/>
              </w:rPr>
              <w:t>À éviter</w:t>
            </w:r>
          </w:p>
        </w:tc>
      </w:tr>
      <w:tr>
        <w:tc>
          <w:tcPr>
            <w:tcW w:type="dxa" w:w="1336"/>
          </w:tcPr>
          <w:p>
            <w:r>
              <w:rPr>
                <w:sz w:val="20"/>
              </w:rPr>
              <w:t>Testostérone (énanthate, heptylate, undécanoate)</w:t>
            </w:r>
          </w:p>
        </w:tc>
        <w:tc>
          <w:tcPr>
            <w:tcW w:type="dxa" w:w="1336"/>
          </w:tcPr>
          <w:p>
            <w:r>
              <w:rPr>
                <w:sz w:val="20"/>
              </w:rPr>
              <w:t>Androgène naturel</w:t>
            </w:r>
          </w:p>
        </w:tc>
        <w:tc>
          <w:tcPr>
            <w:tcW w:type="dxa" w:w="1336"/>
          </w:tcPr>
          <w:p>
            <w:r>
              <w:rPr>
                <w:sz w:val="20"/>
              </w:rPr>
              <w:t>Agoniste RA + conversion DHT + estradiol</w:t>
            </w:r>
          </w:p>
        </w:tc>
        <w:tc>
          <w:tcPr>
            <w:tcW w:type="dxa" w:w="1336"/>
          </w:tcPr>
          <w:p>
            <w:r>
              <w:rPr>
                <w:sz w:val="20"/>
              </w:rPr>
              <w:t>250 mg IM toutes les 2–3 sem</w:t>
            </w:r>
          </w:p>
        </w:tc>
        <w:tc>
          <w:tcPr>
            <w:tcW w:type="dxa" w:w="1336"/>
          </w:tcPr>
          <w:p>
            <w:r>
              <w:rPr>
                <w:sz w:val="20"/>
              </w:rPr>
              <w:t>HBP, polyglobulie, acné</w:t>
            </w:r>
          </w:p>
        </w:tc>
        <w:tc>
          <w:tcPr>
            <w:tcW w:type="dxa" w:w="1336"/>
          </w:tcPr>
          <w:p>
            <w:r>
              <w:rPr>
                <w:sz w:val="20"/>
              </w:rPr>
              <w:t>Cancer prostate, grossesse partenaire</w:t>
            </w:r>
          </w:p>
        </w:tc>
        <w:tc>
          <w:tcPr>
            <w:tcW w:type="dxa" w:w="1336"/>
          </w:tcPr>
          <w:p>
            <w:r>
              <w:rPr>
                <w:sz w:val="20"/>
              </w:rPr>
              <w:t>CI absolue</w:t>
            </w:r>
          </w:p>
        </w:tc>
      </w:tr>
      <w:tr>
        <w:tc>
          <w:tcPr>
            <w:tcW w:type="dxa" w:w="1336"/>
          </w:tcPr>
          <w:p>
            <w:r>
              <w:rPr>
                <w:sz w:val="20"/>
              </w:rPr>
              <w:t>Mestérolone</w:t>
            </w:r>
          </w:p>
        </w:tc>
        <w:tc>
          <w:tcPr>
            <w:tcW w:type="dxa" w:w="1336"/>
          </w:tcPr>
          <w:p>
            <w:r>
              <w:rPr>
                <w:sz w:val="20"/>
              </w:rPr>
              <w:t>Androgène dérivé DHT</w:t>
            </w:r>
          </w:p>
        </w:tc>
        <w:tc>
          <w:tcPr>
            <w:tcW w:type="dxa" w:w="1336"/>
          </w:tcPr>
          <w:p>
            <w:r>
              <w:rPr>
                <w:sz w:val="20"/>
              </w:rPr>
              <w:t>Agoniste RA (non aromatisable)</w:t>
            </w:r>
          </w:p>
        </w:tc>
        <w:tc>
          <w:tcPr>
            <w:tcW w:type="dxa" w:w="1336"/>
          </w:tcPr>
          <w:p>
            <w:r>
              <w:rPr>
                <w:sz w:val="20"/>
              </w:rPr>
              <w:t>25 mg × 1–3/j per os</w:t>
            </w:r>
          </w:p>
        </w:tc>
        <w:tc>
          <w:tcPr>
            <w:tcW w:type="dxa" w:w="1336"/>
          </w:tcPr>
          <w:p>
            <w:r>
              <w:rPr>
                <w:sz w:val="20"/>
              </w:rPr>
              <w:t>Acné, alopécie, HBP</w:t>
            </w:r>
          </w:p>
        </w:tc>
        <w:tc>
          <w:tcPr>
            <w:tcW w:type="dxa" w:w="1336"/>
          </w:tcPr>
          <w:p>
            <w:r>
              <w:rPr>
                <w:sz w:val="20"/>
              </w:rPr>
              <w:t>Cancer prostate, grossesse partenaire</w:t>
            </w:r>
          </w:p>
        </w:tc>
        <w:tc>
          <w:tcPr>
            <w:tcW w:type="dxa" w:w="1336"/>
          </w:tcPr>
          <w:p>
            <w:r>
              <w:rPr>
                <w:sz w:val="20"/>
              </w:rPr>
              <w:t>CI absolue</w:t>
            </w:r>
          </w:p>
        </w:tc>
      </w:tr>
      <w:tr>
        <w:tc>
          <w:tcPr>
            <w:tcW w:type="dxa" w:w="1336"/>
          </w:tcPr>
          <w:p>
            <w:r>
              <w:rPr>
                <w:sz w:val="20"/>
              </w:rPr>
              <w:t>Danazol</w:t>
            </w:r>
          </w:p>
        </w:tc>
        <w:tc>
          <w:tcPr>
            <w:tcW w:type="dxa" w:w="1336"/>
          </w:tcPr>
          <w:p>
            <w:r>
              <w:rPr>
                <w:sz w:val="20"/>
              </w:rPr>
              <w:t>Androgène faible antigonadotrope</w:t>
            </w:r>
          </w:p>
        </w:tc>
        <w:tc>
          <w:tcPr>
            <w:tcW w:type="dxa" w:w="1336"/>
          </w:tcPr>
          <w:p>
            <w:r>
              <w:rPr>
                <w:sz w:val="20"/>
              </w:rPr>
              <w:t>Antigonadotrope + anti-estrogénique + androgénique faible</w:t>
            </w:r>
          </w:p>
        </w:tc>
        <w:tc>
          <w:tcPr>
            <w:tcW w:type="dxa" w:w="1336"/>
          </w:tcPr>
          <w:p>
            <w:r>
              <w:rPr>
                <w:sz w:val="20"/>
              </w:rPr>
              <w:t>200 mg × 2/j per os (6 mois max)</w:t>
            </w:r>
          </w:p>
        </w:tc>
        <w:tc>
          <w:tcPr>
            <w:tcW w:type="dxa" w:w="1336"/>
          </w:tcPr>
          <w:p>
            <w:r>
              <w:rPr>
                <w:sz w:val="20"/>
              </w:rPr>
              <w:t>Androgéniques (voix irréversible), hépatotoxicité</w:t>
            </w:r>
          </w:p>
        </w:tc>
        <w:tc>
          <w:tcPr>
            <w:tcW w:type="dxa" w:w="1336"/>
          </w:tcPr>
          <w:p>
            <w:r>
              <w:rPr>
                <w:sz w:val="20"/>
              </w:rPr>
              <w:t>Grossesse, hépatopathie, thrombose</w:t>
            </w:r>
          </w:p>
        </w:tc>
        <w:tc>
          <w:tcPr>
            <w:tcW w:type="dxa" w:w="1336"/>
          </w:tcPr>
          <w:p>
            <w:r>
              <w:rPr>
                <w:sz w:val="20"/>
              </w:rPr>
              <w:t>CI absolue</w:t>
            </w:r>
          </w:p>
        </w:tc>
      </w:tr>
    </w:tbl>
    <w:p/>
    <w:p>
      <w:pPr>
        <w:pStyle w:val="Heading2"/>
      </w:pPr>
      <w:r>
        <w:t>Conclusion générale</w:t>
      </w:r>
    </w:p>
    <w:p>
      <w:r>
        <w:t>Cette section a présenté vingt et une DCI couvrant l'essentiel de la pharmacologie endocrinienne reproductive et hypophysaire disponible en Algérie. Le pharmacien d'officina algérien joue un rôle crucial dans l'identification des équivalents thérapeutiques (notamment entre génériques disponibles et originators retirés/non renouvelables), la détection des interactions médicamenteuses majeures (enzalutamide inducteur CYP, cabergoline + macrolides, anti-androgènes + AVK), et la prévention des effets indésirables graves (hépatotoxicité, fibrose valvulaire, SHSO, syndrome de flare initial des agonistes GnRH). Les points clés à retenir sont :</w:t>
      </w:r>
    </w:p>
    <w:p>
      <w:pPr>
        <w:pStyle w:val="ListNumber"/>
      </w:pPr>
      <w:r/>
      <w:r>
        <w:rPr>
          <w:b/>
        </w:rPr>
        <w:t>Anti-androgènes et cancer de prostate</w:t>
      </w:r>
      <w:r>
        <w:t xml:space="preserve"> : la couverture du flare initial par bicalutamide est systématique au démarrage d'un agoniste GnRH ; l'enzalutamide impose une recherche systématique d'interactions enzymatiques.</w:t>
      </w:r>
    </w:p>
    <w:p>
      <w:pPr>
        <w:pStyle w:val="ListNumber"/>
      </w:pPr>
      <w:r/>
      <w:r>
        <w:rPr>
          <w:b/>
        </w:rPr>
        <w:t>Induction d'ovulation et AMP</w:t>
      </w:r>
      <w:r>
        <w:t xml:space="preserve"> : la surveillance échographique et biologique est essentielle pour prévenir le SHSO ; information de la patiente sur les signes d'alerte (distension abdominale, douleurs pelviennes, dyspnée).</w:t>
      </w:r>
    </w:p>
    <w:p>
      <w:pPr>
        <w:pStyle w:val="ListNumber"/>
      </w:pPr>
      <w:r/>
      <w:r>
        <w:rPr>
          <w:b/>
        </w:rPr>
        <w:t>Hormones hypophysaires</w:t>
      </w:r>
      <w:r>
        <w:t xml:space="preserve"> : la somatropine impose une surveillance de l'IGF-1 (cible dans la normale pour l'âge) ; les analogues de la somatostatine nécessitent une surveillance de la lithiase biliaire et de la glycémie.</w:t>
      </w:r>
    </w:p>
    <w:p>
      <w:pPr>
        <w:pStyle w:val="ListNumber"/>
      </w:pPr>
      <w:r/>
      <w:r>
        <w:rPr>
          <w:b/>
        </w:rPr>
        <w:t>Antiprolactinémiques</w:t>
      </w:r>
      <w:r>
        <w:t xml:space="preserve"> : la cabergoline est aujourd'hui le traitement de référence mais impose une échocardiographie annuelle (fibrose valvulaire) ; le quinagolide (non ergoté) est une alternative mais n'est plus disponible en Algérie.</w:t>
      </w:r>
    </w:p>
    <w:p>
      <w:pPr>
        <w:pStyle w:val="ListNumber"/>
      </w:pPr>
      <w:r/>
      <w:r>
        <w:rPr>
          <w:b/>
        </w:rPr>
        <w:t>Androgènes</w:t>
      </w:r>
      <w:r>
        <w:t xml:space="preserve"> : la testostérone impose un dépistage systématique du cancer de prostate (PSA + toucher rectal) avant et pendant traitement ; la mestérolone et le danazol sont des alternatives plus anciennes.</w:t>
      </w:r>
    </w:p>
    <w:p>
      <w:r>
        <w:t>La prescription et la dispensation de ces médicaments relèvent souvent du spécialiste (endocrinologue, gynécologue médical, urologue-oncologue, pédiatre endocrinologue), mais le pharmacien d'officina doit savoir identifier les pièges (substitution, interactions, surveillance) et orienter le patient vers son médecin en cas d'effet indésirable suspecté.</w:t>
      </w:r>
    </w:p>
    <w:p>
      <w:pPr>
        <w:pStyle w:val="Heading2"/>
      </w:pPr>
      <w:r>
        <w:t>Fascicule V — Section 46 : Vitamine D, Calcium, Bisphosphonates et Anti-ostéoporotiques</w:t>
      </w:r>
    </w:p>
    <w:p>
      <w:pPr>
        <w:pStyle w:val="Heading2"/>
      </w:pPr>
      <w:r>
        <w:t>Avant-propos et méthodologie de la Section 46</w:t>
      </w:r>
    </w:p>
    <w:p>
      <w:pPr>
        <w:pStyle w:val="Heading3"/>
      </w:pPr>
      <w:r>
        <w:t>1. Objet de la section</w:t>
      </w:r>
    </w:p>
    <w:p>
      <w:r>
        <w:t>Le présent chapitre constitue la sixième section thématique du Fascicule V (Diabétologie/Endocrinologie) du traité technique de pharmacologie clinique destiné aux étudiants en pharmacie d'officine et aux praticiens du territoire algérien. Il traite de manière exhaustive les classes thérapeutiques de l'homéostasie phosphocalcique, de la supplémentation vitaminique D et du métabolisme osseux : vitamines D native et de ses métabolites actifs (alfacalcidol, calcifédiol, et référence au calcitriol non commercialisé), suppléments calciques (carbonate, pidolate, gluconate, chlorure), associations Calcium + Vitamine D3, bisphosphonates de première, deuxième et troisième générations (alendronate, clodronate, risédronate, pamidronate, zolédronate), anabolisants osseux recombinants (tériparatide PTH 1-34), anti-ostéoporotiques divers (ranélate de strontium) et mention de l'orlistat (anti-obésité — inhibiteur de lipase) absent de la nomenclature.</w:t>
      </w:r>
    </w:p>
    <w:p>
      <w:r>
        <w:t xml:space="preserve">La base réglementaire de référence est, comme pour les fascicules précédents, le fichier officiel </w:t>
      </w:r>
      <w:r>
        <w:rPr>
          <w:b/>
        </w:rPr>
        <w:t>« COMPLETE LISTE.xlsx »</w:t>
      </w:r>
      <w:r>
        <w:t xml:space="preserve"> compilant la nomenclature des médicaments à l'avril 2026 (spécialités actives, non renouvelables et retirées du marché). Le fichier d'extraction JSON mobilisé est `group6_vitamineD_calcium_bisphosphonates.json`.</w:t>
      </w:r>
    </w:p>
    <w:p>
      <w:pPr>
        <w:pStyle w:val="Heading3"/>
      </w:pPr>
      <w:r>
        <w:t>2. Contexte épidémiologique algérien</w:t>
      </w:r>
    </w:p>
    <w:p>
      <w:r>
        <w:t>La pathologie osseuse et le métabolisme phosphocalcique représentent un enjeu de santé publique sous-estimé en Algérie. Plusieurs particularités justifient une formation pharmaceutique renforcée dans ce domaine :</w:t>
      </w:r>
    </w:p>
    <w:p>
      <w:pPr>
        <w:pStyle w:val="ListBullet"/>
      </w:pPr>
      <w:r/>
      <w:r>
        <w:rPr>
          <w:b/>
        </w:rPr>
        <w:t>Carence en vitamine D</w:t>
      </w:r>
      <w:r>
        <w:t xml:space="preserve"> : malgré un ensoleillement exceptionnel (plus de 3 000 heures/an sur la majeure partie du territoire), la carence en vitamine D est paradoxalement quasi-constante dans la population algérienne, en particulier chez la femme voilée, le sujet âgé en institution, le nourrisson allaité et l'adolescent urbain sédentaire. Les enquêtes algériennes (Tunisie, Maroc, Algérie voisines) retrouvent des taux de 25-OH-vitamine D &lt; 20 ng/mL chez plus de 60–80 % de la population adulte, justifiant une supplémentation quasi-systématique.</w:t>
      </w:r>
    </w:p>
    <w:p>
      <w:pPr>
        <w:pStyle w:val="ListBullet"/>
      </w:pPr>
      <w:r/>
      <w:r>
        <w:rPr>
          <w:b/>
        </w:rPr>
        <w:t>Ostéoporose post-ménopausique</w:t>
      </w:r>
      <w:r>
        <w:t xml:space="preserve"> : prévalence estimée à 30–40 % des femmes ménopausées algériennes, avec un risque de fracture du col fémoral en hausse constante, lié à l'allongement de l'espérance de vie (78 ans chez la femme). Le coût direct et indirect des fractures ostéoporotiques justifie une prévention primaire et secondaire structurée.</w:t>
      </w:r>
    </w:p>
    <w:p>
      <w:pPr>
        <w:pStyle w:val="ListBullet"/>
      </w:pPr>
      <w:r/>
      <w:r>
        <w:rPr>
          <w:b/>
        </w:rPr>
        <w:t>Ostéoporose cortisonique</w:t>
      </w:r>
      <w:r>
        <w:t xml:space="preserve"> : fréquente chez les patients traités au long cours par corticoïdes pour pathologies inflammatoires chroniques (BPCO asthmatique, polyarthrite, lupus) — surveillance systématique de la densitométrie osseuse.</w:t>
      </w:r>
    </w:p>
    <w:p>
      <w:pPr>
        <w:pStyle w:val="ListBullet"/>
      </w:pPr>
      <w:r/>
      <w:r>
        <w:rPr>
          <w:b/>
        </w:rPr>
        <w:t>Maladie de Paget</w:t>
      </w:r>
      <w:r>
        <w:t xml:space="preserve"> : pathologie rare, mais des formes familiales et algériennes sporadiques sont diagnostiquées, justifiant l'accès aux bisphosphonates efficaces (zolédronate en première intention).</w:t>
      </w:r>
    </w:p>
    <w:p>
      <w:pPr>
        <w:pStyle w:val="ListBullet"/>
      </w:pPr>
      <w:r/>
      <w:r>
        <w:rPr>
          <w:b/>
        </w:rPr>
        <w:t>Hypercalcémies malignes</w:t>
      </w:r>
      <w:r>
        <w:t xml:space="preserve"> : urgence métabolique oncologique, accessibles aux bisphosphonates IV (pamidronate, zolédronate).</w:t>
      </w:r>
    </w:p>
    <w:p>
      <w:pPr>
        <w:pStyle w:val="ListBullet"/>
      </w:pPr>
      <w:r/>
      <w:r>
        <w:rPr>
          <w:b/>
        </w:rPr>
        <w:t>Rachitisme carentiel</w:t>
      </w:r>
      <w:r>
        <w:t xml:space="preserve"> : encore observé chez le nourrisson dans les régions défavorisées, justifiant la supplémentation systématique par vitamine D.</w:t>
      </w:r>
    </w:p>
    <w:p>
      <w:pPr>
        <w:pStyle w:val="ListBullet"/>
      </w:pPr>
      <w:r/>
      <w:r>
        <w:rPr>
          <w:b/>
        </w:rPr>
        <w:t>Obésité morbide</w:t>
      </w:r>
      <w:r>
        <w:t xml:space="preserve"> : prévalence en hausse (20–30 % des femmes urbaines), mais l'orlistat n'est pas commercialisé en Algérie, ce qui prive les prescripteurs d'une option pharmacologique et limite l'arsenal thérapeutique à la chirurgie bariatrique et aux mesures hygiéno-diététiques.</w:t>
      </w:r>
    </w:p>
    <w:p>
      <w:pPr>
        <w:pStyle w:val="Heading3"/>
      </w:pPr>
      <w:r>
        <w:t>3. Architecture de la section</w:t>
      </w:r>
    </w:p>
    <w:p>
      <w:r>
        <w:t xml:space="preserve">La section regroupe </w:t>
      </w:r>
      <w:r>
        <w:rPr>
          <w:b/>
        </w:rPr>
        <w:t>13 DCIs</w:t>
      </w:r>
      <w:r>
        <w:t xml:space="preserve"> effectivement commercialisées (actives ou ayant été commercialisées en Algérie à des périodes récentes) réparties sur </w:t>
      </w:r>
      <w:r>
        <w:rPr>
          <w:b/>
        </w:rPr>
        <w:t>13 sous-classes</w:t>
      </w:r>
      <w:r>
        <w:t xml:space="preserve"> :</w:t>
      </w:r>
    </w:p>
    <w:p>
      <w:pPr>
        <w:pStyle w:val="ListNumber"/>
      </w:pPr>
      <w:r/>
      <w:r>
        <w:rPr>
          <w:b/>
        </w:rPr>
        <w:t>Vitamine D</w:t>
      </w:r>
      <w:r>
        <w:t xml:space="preserve"> — Colecalciferol (D3), Ergocalciférol (D2)</w:t>
      </w:r>
    </w:p>
    <w:p>
      <w:pPr>
        <w:pStyle w:val="ListNumber"/>
      </w:pPr>
      <w:r/>
      <w:r>
        <w:rPr>
          <w:b/>
        </w:rPr>
        <w:t>Vitamine D — Métabolite actif (prodrogue)</w:t>
      </w:r>
      <w:r>
        <w:t xml:space="preserve"> — Alfacalcidol (1α-OH-D3)</w:t>
      </w:r>
    </w:p>
    <w:p>
      <w:pPr>
        <w:pStyle w:val="ListNumber"/>
      </w:pPr>
      <w:r/>
      <w:r>
        <w:rPr>
          <w:b/>
        </w:rPr>
        <w:t>Vitamine D — Métabolite 25-OH</w:t>
      </w:r>
      <w:r>
        <w:t xml:space="preserve"> — Calcifédiol (25-OH-D3)</w:t>
      </w:r>
    </w:p>
    <w:p>
      <w:pPr>
        <w:pStyle w:val="ListNumber"/>
      </w:pPr>
      <w:r/>
      <w:r>
        <w:rPr>
          <w:b/>
        </w:rPr>
        <w:t>Vitamine D — Métabolite actif 1,25-(OH)2</w:t>
      </w:r>
      <w:r>
        <w:t xml:space="preserve"> — Calcitriol *(non commercialisé en Algérie — mention théorique)*</w:t>
      </w:r>
    </w:p>
    <w:p>
      <w:pPr>
        <w:pStyle w:val="ListNumber"/>
      </w:pPr>
      <w:r/>
      <w:r>
        <w:rPr>
          <w:b/>
        </w:rPr>
        <w:t>Suppléments — Calcium + Vitamine D3</w:t>
      </w:r>
      <w:r>
        <w:t xml:space="preserve"> — Association fixe</w:t>
      </w:r>
    </w:p>
    <w:p>
      <w:pPr>
        <w:pStyle w:val="ListNumber"/>
      </w:pPr>
      <w:r/>
      <w:r>
        <w:rPr>
          <w:b/>
        </w:rPr>
        <w:t>Suppléments calciques</w:t>
      </w:r>
      <w:r>
        <w:t xml:space="preserve"> — Calcium (carbonate, pidolate, gluconate, chlorure)</w:t>
      </w:r>
    </w:p>
    <w:p>
      <w:pPr>
        <w:pStyle w:val="ListNumber"/>
      </w:pPr>
      <w:r/>
      <w:r>
        <w:rPr>
          <w:b/>
        </w:rPr>
        <w:t>Bisphosphonates 1re génération</w:t>
      </w:r>
      <w:r>
        <w:t xml:space="preserve"> — Alendronate (acide alendronique), Clodronate</w:t>
      </w:r>
    </w:p>
    <w:p>
      <w:pPr>
        <w:pStyle w:val="ListNumber"/>
      </w:pPr>
      <w:r/>
      <w:r>
        <w:rPr>
          <w:b/>
        </w:rPr>
        <w:t>Bisphosphonates 2e génération (per os)</w:t>
      </w:r>
      <w:r>
        <w:t xml:space="preserve"> — Risédronate (acide risédronique)</w:t>
      </w:r>
    </w:p>
    <w:p>
      <w:pPr>
        <w:pStyle w:val="ListNumber"/>
      </w:pPr>
      <w:r/>
      <w:r>
        <w:rPr>
          <w:b/>
        </w:rPr>
        <w:t>Bisphosphonates 2e génération (IV)</w:t>
      </w:r>
      <w:r>
        <w:t xml:space="preserve"> — Pamidronate (acide pamidronique)</w:t>
      </w:r>
    </w:p>
    <w:p>
      <w:pPr>
        <w:pStyle w:val="ListNumber"/>
      </w:pPr>
      <w:r/>
      <w:r>
        <w:rPr>
          <w:b/>
        </w:rPr>
        <w:t>Bisphosphonates 3e génération (IV)</w:t>
      </w:r>
      <w:r>
        <w:t xml:space="preserve"> — Zolédronate (acide zolédronique)</w:t>
      </w:r>
    </w:p>
    <w:p>
      <w:pPr>
        <w:pStyle w:val="ListNumber"/>
      </w:pPr>
      <w:r/>
      <w:r>
        <w:rPr>
          <w:b/>
        </w:rPr>
        <w:t>Anabolisants osseux — PTH recombinante</w:t>
      </w:r>
      <w:r>
        <w:t xml:space="preserve"> — Tériparatide (PTH 1-34)</w:t>
      </w:r>
    </w:p>
    <w:p>
      <w:pPr>
        <w:pStyle w:val="ListNumber"/>
      </w:pPr>
      <w:r/>
      <w:r>
        <w:rPr>
          <w:b/>
        </w:rPr>
        <w:t>Anti-ostéoporotiques divers</w:t>
      </w:r>
      <w:r>
        <w:t xml:space="preserve"> — Ranélate de strontium</w:t>
      </w:r>
    </w:p>
    <w:p>
      <w:pPr>
        <w:pStyle w:val="ListNumber"/>
      </w:pPr>
      <w:r/>
      <w:r>
        <w:rPr>
          <w:b/>
        </w:rPr>
        <w:t>Anti-obésité — Inhibiteurs de lipase</w:t>
      </w:r>
      <w:r>
        <w:t xml:space="preserve"> — Orlistat *(non commercialisé en Algérie — mention théorique)*</w:t>
      </w:r>
    </w:p>
    <w:p>
      <w:r/>
      <w:r>
        <w:rPr>
          <w:b/>
        </w:rPr>
        <w:t>Physiologie de l'homéostasie phosphocalcique — rappel structurant :</w:t>
      </w:r>
      <w:r/>
    </w:p>
    <w:p>
      <w:r>
        <w:t xml:space="preserve">La vitamine D, quelle que soit son origine (endogène par synthèse cutanée UV-B à partir du 7-déhydrocholestérol, ou exogène alimentaire D3/D2), subit deux hydroxylations successives : une </w:t>
      </w:r>
      <w:r>
        <w:rPr>
          <w:b/>
        </w:rPr>
        <w:t>25-hydroxylation hépatique</w:t>
      </w:r>
      <w:r>
        <w:t xml:space="preserve"> (CYP2R1, CYP27A1) en 25-OH-vitamine D (calcifédiol) — forme de stockage et de transport dont le dosage sérique reflète le statut vitaminique D — puis une </w:t>
      </w:r>
      <w:r>
        <w:rPr>
          <w:b/>
        </w:rPr>
        <w:t>1α-hydroxylation rénale</w:t>
      </w:r>
      <w:r>
        <w:t xml:space="preserve"> (CYP27B1) en 1,25-(OH)2-vitamine D (calcitriol), forme biologiquement active. Cette 1α-hydroxylation est </w:t>
      </w:r>
      <w:r>
        <w:rPr>
          <w:b/>
        </w:rPr>
        <w:t>étroitement régulée</w:t>
      </w:r>
      <w:r>
        <w:t xml:space="preserve"> : stimulée par la PTH (hypocalcémie) et le FGF23 (en fait réprimée), réprimée par l'hyperphosphatémie et le calcitriol lui-même (rétrocontrôle négatif). Le calcitriol se fixe sur le </w:t>
      </w:r>
      <w:r>
        <w:rPr>
          <w:b/>
        </w:rPr>
        <w:t>VDR (Vitamin D Receptor)</w:t>
      </w:r>
      <w:r>
        <w:t xml:space="preserve"> nucléaire, qui hétérodimérise avec le RXR (Récepteur X des Rétinoïdes) et se lie aux éléments de réponse VDRE pour activer la transcription des gènes de transport intestinal du calcium (CALB1 calbindine, TRPV6 channel) et du phosphore (NaPi-IIb), augmentant ainsi l'absorption intestinale active.</w:t>
      </w:r>
    </w:p>
    <w:p>
      <w:r>
        <w:t xml:space="preserve">Le calcium ionisé (Ca²⁺) est régulé par trois hormones : PTH (hypercalcémiante, ostéoclastogénique indirecte via RANKL, phosphaturiante), calcitriol (hypercalcémiant, hyperphosphatémiant), calcitonine (hypocalcémiante physiologique mineure). Les bisphosphonates agissent comme </w:t>
      </w:r>
      <w:r>
        <w:rPr>
          <w:b/>
        </w:rPr>
        <w:t>analogues structuraux du pyrophosphate</w:t>
      </w:r>
      <w:r>
        <w:t xml:space="preserve"> : ils se fixent à l'hydroxyapatite osseuse et inhibent sélectivement la </w:t>
      </w:r>
      <w:r>
        <w:rPr>
          <w:b/>
        </w:rPr>
        <w:t>farnésyl pyrophosphate synthase (FPPS)</w:t>
      </w:r>
      <w:r>
        <w:t xml:space="preserve"> dans les ostéoclastes — enzyme de la voie du mévalonate indispensable à la prénylation des petites GTPases (Ras, Rho, Rac), entraînant leur inactivation, leur apoptose et la suppression de la résorption. La génération (1re, 2e, 3e) reflète la puissance de cette inhibition : clodronate/alendronate (1re, sans atome d'azote, métabolisé en ATP-analogues toxiques), risédronate/pamidronate (2e, atome d'azote simple), zolédronate (3e, groupement imidazole-nitrogéné, le plus puissant, action à dose unique annuelle).</w:t>
      </w:r>
    </w:p>
    <w:p>
      <w:pPr>
        <w:pStyle w:val="Heading3"/>
      </w:pPr>
      <w:r>
        <w:t>4. Sources académiques mobilisées</w:t>
      </w:r>
    </w:p>
    <w:p>
      <w:pPr>
        <w:pStyle w:val="ListBullet"/>
      </w:pPr>
      <w:r/>
      <w:r>
        <w:rPr>
          <w:b/>
        </w:rPr>
        <w:t>VIDAL</w:t>
      </w:r>
      <w:r>
        <w:t xml:space="preserve"> et </w:t>
      </w:r>
      <w:r>
        <w:rPr>
          <w:b/>
        </w:rPr>
        <w:t>Thériaque</w:t>
      </w:r>
      <w:r>
        <w:t xml:space="preserve"> : Résumés des Caractéristiques du Produit (RCP), posologies, interactions.</w:t>
      </w:r>
    </w:p>
    <w:p>
      <w:pPr>
        <w:pStyle w:val="ListBullet"/>
      </w:pPr>
      <w:r/>
      <w:r>
        <w:rPr>
          <w:b/>
        </w:rPr>
        <w:t>ANSM (Agence Nationale de Sécurité du Médicament)</w:t>
      </w:r>
      <w:r>
        <w:t xml:space="preserve"> : mises en garde sur les bisphosphonates (ostéonécrose de la mâchoire, fractures fémorales atypiques), retraits et suspensions.</w:t>
      </w:r>
    </w:p>
    <w:p>
      <w:pPr>
        <w:pStyle w:val="ListBullet"/>
      </w:pPr>
      <w:r/>
      <w:r>
        <w:rPr>
          <w:b/>
        </w:rPr>
        <w:t>CRAT (Centre de Référence sur les Agents Tératogènes)</w:t>
      </w:r>
      <w:r>
        <w:t xml:space="preserve"> : compatibilité des bisphosphonates, vitamine D et tériparatide en cours de grossesse et d'allaitement.</w:t>
      </w:r>
    </w:p>
    <w:p>
      <w:pPr>
        <w:pStyle w:val="ListBullet"/>
      </w:pPr>
      <w:r/>
      <w:r>
        <w:rPr>
          <w:b/>
        </w:rPr>
        <w:t>HAS (Haute Autorité de Santé)</w:t>
      </w:r>
      <w:r>
        <w:t xml:space="preserve"> : référentiel "Ostéoporose post-ménopausique" (2018, en cours de mise à jour) ; "Traitements médicamenteux de l'ostéoporose post-ménopausique".</w:t>
      </w:r>
    </w:p>
    <w:p>
      <w:pPr>
        <w:pStyle w:val="ListBullet"/>
      </w:pPr>
      <w:r/>
      <w:r>
        <w:rPr>
          <w:b/>
        </w:rPr>
        <w:t>IOF (International Osteoporosis Foundation)</w:t>
      </w:r>
      <w:r>
        <w:t xml:space="preserve"> : recommandations sur la supplémentation en vitamine D et calcium (apport quotidien recommandé 800–1000 UI/j en préventif, 1000–2000 UI/j en curatif ; calcium 1000–1200 mg/j).</w:t>
      </w:r>
    </w:p>
    <w:p>
      <w:pPr>
        <w:pStyle w:val="ListBullet"/>
      </w:pPr>
      <w:r/>
      <w:r>
        <w:rPr>
          <w:b/>
        </w:rPr>
        <w:t>Endocrine Society Clinical Practice Guideline</w:t>
      </w:r>
      <w:r>
        <w:t xml:space="preserve"> (Demay 2011, Holick 2011) : vitamine D ; (Cosman 2014) : thérapie de l'ostéoporose.</w:t>
      </w:r>
    </w:p>
    <w:p>
      <w:pPr>
        <w:pStyle w:val="ListBullet"/>
      </w:pPr>
      <w:r/>
      <w:r>
        <w:rPr>
          <w:b/>
        </w:rPr>
        <w:t>EMEA / EMA</w:t>
      </w:r>
      <w:r>
        <w:t xml:space="preserve"> : registre des AMM pour le zolédronate, pamidronate, tériparatide.</w:t>
      </w:r>
    </w:p>
    <w:p>
      <w:pPr>
        <w:pStyle w:val="Heading2"/>
      </w:pPr>
      <w:r>
        <w:t>I. Sous-classe : Vitamine D (prodrogue naturelle)</w:t>
      </w:r>
    </w:p>
    <w:p>
      <w:pPr>
        <w:pStyle w:val="Heading3"/>
      </w:pPr>
      <w:r>
        <w:t>Introduction à la sous-classe</w:t>
      </w:r>
    </w:p>
    <w:p>
      <w:r>
        <w:t xml:space="preserve">La vitamine D est une hormone stéroïde synthétisée à 80–90 % par la peau sous l'action des UV-B (290–315 nm) sur le 7-déhydrocholestérol, produisant la </w:t>
      </w:r>
      <w:r>
        <w:rPr>
          <w:b/>
        </w:rPr>
        <w:t>vitamine D3 (cholécalciférol)</w:t>
      </w:r>
      <w:r>
        <w:t xml:space="preserve">. Les 10–20 % restants proviennent de l'alimentation (poissons gras, jaune d'œuf, foie) sous forme de </w:t>
      </w:r>
      <w:r>
        <w:rPr>
          <w:b/>
        </w:rPr>
        <w:t>vitamine D3 (cholécalciférol, d'origine animale)</w:t>
      </w:r>
      <w:r>
        <w:t xml:space="preserve"> ou </w:t>
      </w:r>
      <w:r>
        <w:rPr>
          <w:b/>
        </w:rPr>
        <w:t>vitamine D2 (ergocalciférol, d'origine fongique)</w:t>
      </w:r>
      <w:r>
        <w:t>. Toutes deux sont des prodrogues inactives nécessitant deux hydroxylations successives pour devenir biologiquement actives.</w:t>
      </w:r>
    </w:p>
    <w:p>
      <w:r/>
      <w:r>
        <w:rPr>
          <w:b/>
        </w:rPr>
        <w:t>Mécanisme d'action moléculaire :</w:t>
      </w:r>
      <w:r>
        <w:t xml:space="preserve"> après 25-hydroxylation hépatique (CYP2R1) en </w:t>
      </w:r>
      <w:r>
        <w:rPr>
          <w:b/>
        </w:rPr>
        <w:t>calcifédiol</w:t>
      </w:r>
      <w:r>
        <w:t xml:space="preserve"> (25-OH-D, forme circulante dont le dosage reflète le statut), une 1α-hydroxylation rénale (CYP27B1) produit le </w:t>
      </w:r>
      <w:r>
        <w:rPr>
          <w:b/>
        </w:rPr>
        <w:t>calcitriol</w:t>
      </w:r>
      <w:r>
        <w:t xml:space="preserve"> (1,25-(OH)2-D), ligand du récepteur nucléaire VDR. Le complexe calcitriol-VDR hétérodimérise avec le RXR, transloque au noyau et active la transcription de gènes-cibles (CALB1 calbindine-D9k, TRPV6 channel apical, Ca-ATPase PMCA1b basolatérale), augmentant l'absorption intestinale active du calcium et du phosphore. Le calcitriol exerce aussi un </w:t>
      </w:r>
      <w:r>
        <w:rPr>
          <w:b/>
        </w:rPr>
        <w:t>rétrocontrôle négatif</w:t>
      </w:r>
      <w:r>
        <w:t xml:space="preserve"> sur sa propre synthèse (répression de CYP27B1, induction de CYP24A1 qui le dégrade) et sur la </w:t>
      </w:r>
      <w:r>
        <w:rPr>
          <w:b/>
        </w:rPr>
        <w:t>parathormone (PTH)</w:t>
      </w:r>
      <w:r>
        <w:t xml:space="preserve"> au niveau des cellules parathyroïdiennes.</w:t>
      </w:r>
    </w:p>
    <w:p>
      <w:r/>
      <w:r>
        <w:rPr>
          <w:b/>
        </w:rPr>
        <w:t>Indications principales :</w:t>
      </w:r>
      <w:r>
        <w:t xml:space="preserve"> prévention et traitement curatif de la carence en vitamine D (rachitisme, ostéomalacie), supplémentation de la femme enceinte au 3e trimestre et du nourrisson, ostéoporose post-ménopausique et cortisonique (en association au calcium), hypoparathyroïdie, prévention des chutes du sujet âgé. Les doses prophylactiques varient de 400 à 2000 UI/j ; les doses de charge (bolus) sont de 50 000 à 200 000 UI (ampoules IM ou per os), suivies d'un traitement d'entretien mensuel.</w:t>
      </w:r>
    </w:p>
    <w:p>
      <w:r/>
      <w:r>
        <w:rPr>
          <w:b/>
        </w:rPr>
        <w:t>Particularités du marché algérien :</w:t>
      </w:r>
      <w:r>
        <w:t xml:space="preserve"> le colecalciferol (D3) pur est rarement disponible en spécialité monothérapie (uniquement Renaudin 200 000 UI/mL, non renouvelée à date), et la supplémentation orale quotidienne ou mensuelle fait largement appel aux </w:t>
      </w:r>
      <w:r>
        <w:rPr>
          <w:b/>
        </w:rPr>
        <w:t>ampoules buvables de Frubial / Frubiose</w:t>
      </w:r>
      <w:r>
        <w:t xml:space="preserve"> (ergocalciférol D2 associé à du fructose et du calcium) très populaires en Algérie. La vitamine D3 est par ailleurs intégrée dans de nombreuses associations Calcium + Vitamine D3 (cf. section V) pour le traitement de fond de l'ostéoporose.</w:t>
      </w:r>
    </w:p>
    <w:p>
      <w:pPr>
        <w:pStyle w:val="Heading3"/>
      </w:pPr>
      <w:r>
        <w:t>1. DCI : Colecalciferol (Vitamine D3) (Seule)</w:t>
      </w:r>
    </w:p>
    <w:p>
      <w:r/>
      <w:r>
        <w:rPr>
          <w:b/>
        </w:rPr>
        <w:t>Liste des Catégories :</w:t>
      </w:r>
      <w:r>
        <w:t xml:space="preserve"> Liste II (spécialité Renaudin — non renouvelée).</w:t>
      </w:r>
    </w:p>
    <w:p>
      <w:r>
        <w:t xml:space="preserve">Le cholécalciférol (colecalciferol) est la forme animale de la vitamine D, produite naturellement chez l'Homme par photoconversion cutanée du 7-déhydrocholestérol sous l'effet des UV-B (290–315 nm). Sa structure stéroïdique (squelette cyclopentanoperhydrophénanthrénique, dérivé du cholestérol avec ouverture du cycle B) en fait une prodrogue liposoluble, absorbée par voie lymphatique avec les chylomicrons, stockée dans le tissu adipeux et le muscle (demi-vie de plusieurs semaines), et lentement libérée. Cette particularité pharmacocinétique autorise des </w:t>
      </w:r>
      <w:r>
        <w:rPr>
          <w:b/>
        </w:rPr>
        <w:t>administrations intermittentes</w:t>
      </w:r>
      <w:r>
        <w:t xml:space="preserve"> (mensuelles, trimestrielles ou en bolus annuel) capables de maintenir un statut vitaminique stable sans fluctuations quotidiennes.</w:t>
      </w:r>
    </w:p>
    <w:p>
      <w:r/>
      <w:r>
        <w:rPr>
          <w:b/>
        </w:rPr>
        <w:t>Médicaments disponibles en Algérie (Marques, Laboratoires, Formes et Dosages) :</w:t>
      </w:r>
      <w:r/>
    </w:p>
    <w:p>
      <w:pPr>
        <w:pStyle w:val="ListBullet"/>
      </w:pPr>
      <w:r/>
      <w:r>
        <w:rPr>
          <w:b/>
        </w:rPr>
        <w:t>COLECALCIFEROL</w:t>
      </w:r>
      <w:r>
        <w:t xml:space="preserve"> (RENAUDIN)</w:t>
      </w:r>
    </w:p>
    <w:p>
      <w:pPr>
        <w:pStyle w:val="ListBullet"/>
      </w:pPr>
      <w:r>
        <w:t>Formes et Dosages : Solution buvable 200 000 UI/mL, B/1 ampoule.</w:t>
      </w:r>
    </w:p>
    <w:p>
      <w:pPr>
        <w:pStyle w:val="ListBullet"/>
      </w:pPr>
      <w:r>
        <w:t>Statut : Non Renouvelable (plus disponible à la distribution, mais mentionnée dans la nomenclature historique — conservation du code DCI).</w:t>
      </w:r>
    </w:p>
    <w:p>
      <w:r>
        <w:t xml:space="preserve">À noter : la vitamine D3 « pure » (colecalciferol seul) est donc </w:t>
      </w:r>
      <w:r>
        <w:rPr>
          <w:b/>
        </w:rPr>
        <w:t>extrêmement rare en spécialité isolée</w:t>
      </w:r>
      <w:r>
        <w:t xml:space="preserve"> sur le marché algérien à date. La majorité de la supplémentation vitaminique D quotidienne se fait via la vitamine D2 (ergocalciférol — Frubial, Frubiose — voir fiche suivante) ou via les </w:t>
      </w:r>
      <w:r>
        <w:rPr>
          <w:b/>
        </w:rPr>
        <w:t>associations fixes Calcium + Vitamine D3</w:t>
      </w:r>
      <w:r>
        <w:t xml:space="preserve"> (cf. section V — IDEOS, KINADYN-OS, OSSE D3, etc.). Cette rareté est paradoxale au regard du statut carenciel quasi-général de la population et mérite d'être signalée aux étudiants comme un fait structurant de la pratique officinale algérienne. Le pharmacien doit orienter le patient vers les spécialités disponibles (D2 essentiellement) et les associations si la prescription portait sur du colecalciferol pur.</w:t>
      </w:r>
    </w:p>
    <w:p>
      <w:r/>
      <w:r>
        <w:rPr>
          <w:b/>
        </w:rPr>
        <w:t>Sous-classe et Mécanisme d'action :</w:t>
      </w:r>
      <w:r/>
    </w:p>
    <w:p>
      <w:pPr>
        <w:pStyle w:val="ListBullet"/>
      </w:pPr>
      <w:r/>
      <w:r>
        <w:rPr>
          <w:b/>
        </w:rPr>
        <w:t>Sous-classe :</w:t>
      </w:r>
      <w:r>
        <w:t xml:space="preserve"> Vitamine D native (prodrogue), forme animale (D3) — Liste II selon le tableau algérien des substances vénéneuses. Conversion hépatique et rénale nécessaire à l'activité.</w:t>
      </w:r>
    </w:p>
    <w:p>
      <w:pPr>
        <w:pStyle w:val="ListBullet"/>
      </w:pPr>
      <w:r/>
      <w:r>
        <w:rPr>
          <w:b/>
        </w:rPr>
        <w:t>Mécanisme d'action :</w:t>
      </w:r>
      <w:r>
        <w:t xml:space="preserve"> Le cholécalciférol subit une 25-hydroxylation hépatique (CYP2R1, CYP27A1) en </w:t>
      </w:r>
      <w:r>
        <w:rPr>
          <w:b/>
        </w:rPr>
        <w:t>calcifédiol</w:t>
      </w:r>
      <w:r>
        <w:t xml:space="preserve"> (25-OH-D3) — métabolite de stockage et de transport dont le dosage sérique (normale 30–60 ng/mL) reflète le statut vitaminique. Le calcifédiol subit ensuite une 1α-hydroxylation rénale (CYP27B1) en </w:t>
      </w:r>
      <w:r>
        <w:rPr>
          <w:b/>
        </w:rPr>
        <w:t>calcitriol</w:t>
      </w:r>
      <w:r>
        <w:t xml:space="preserve"> (1,25-(OH)2-D3), ligand du récepteur nucléaire </w:t>
      </w:r>
      <w:r>
        <w:rPr>
          <w:b/>
        </w:rPr>
        <w:t>VDR (Vitamin D Receptor)</w:t>
      </w:r>
      <w:r>
        <w:t xml:space="preserve">. Le complexe VDR-calcitriol hétérodimérise avec le RXR (récepteur des rétinoïdes) et se fixe sur les </w:t>
      </w:r>
      <w:r>
        <w:rPr>
          <w:b/>
        </w:rPr>
        <w:t>Vitamin D Response Elements (VDRE)</w:t>
      </w:r>
      <w:r>
        <w:t xml:space="preserve"> des gènes-cibles : activation transcriptionnelle de </w:t>
      </w:r>
      <w:r>
        <w:rPr>
          <w:b/>
        </w:rPr>
        <w:t>CALB1</w:t>
      </w:r>
      <w:r>
        <w:t xml:space="preserve"> (calbindine-D9k), </w:t>
      </w:r>
      <w:r>
        <w:rPr>
          <w:b/>
        </w:rPr>
        <w:t>TRPV6</w:t>
      </w:r>
      <w:r>
        <w:t xml:space="preserve"> (channel apical entérocytaire), </w:t>
      </w:r>
      <w:r>
        <w:rPr>
          <w:b/>
        </w:rPr>
        <w:t>ATP2B1</w:t>
      </w:r>
      <w:r>
        <w:t xml:space="preserve"> (PMCA1b Ca-ATPase basolatérale), et </w:t>
      </w:r>
      <w:r>
        <w:rPr>
          <w:b/>
        </w:rPr>
        <w:t>SLC34A1</w:t>
      </w:r>
      <w:r>
        <w:t xml:space="preserve"> (NaPi-IIa phosphore). Au niveau rénal, le calcitriol stimule la réabsorption distale du calcium via TRPV5. Au niveau parathyroïdien, il exerce un </w:t>
      </w:r>
      <w:r>
        <w:rPr>
          <w:b/>
        </w:rPr>
        <w:t>rétrocontrôle négatif</w:t>
      </w:r>
      <w:r>
        <w:t xml:space="preserve"> sur la transcription du gène PTH, prévenant l'hyperparathyroïdie secondaire. Au niveau osseux, il favorise la minéralisation de la matrice ostéoïde en maintenant une calcémie et une phosphatémie adéquates.</w:t>
      </w:r>
    </w:p>
    <w:p>
      <w:r/>
      <w:r>
        <w:rPr>
          <w:b/>
        </w:rPr>
        <w:t>Profil Pharmacologique :</w:t>
      </w:r>
      <w:r/>
    </w:p>
    <w:p>
      <w:pPr>
        <w:pStyle w:val="ListBullet"/>
      </w:pPr>
      <w:r/>
      <w:r>
        <w:rPr>
          <w:b/>
        </w:rPr>
        <w:t>Indications :</w:t>
      </w:r>
      <w:r>
        <w:t xml:space="preserve"> (i) Prévention et traitement de la carence en vitamine D (rachitisme carentiel, ostéomalacie) chez le nourrisson, l'enfant, la femme enceinte (3e trimestre), le sujet âgé institutionnalisé, la femme voilée, l'obèse (séquestration adipeuse) ; (ii) Ostéoporose post-ménopausique et cortisonique (en association au calcium, traitement adjuvant des bisphosphonates) ; (iii) Hypoparathyroïdie (en complément, car l'hydroxylation rénale est dépendante de la PTH — mieux vaut utiliser le calcitriol actif) ; (iv) Prévention des chutes du sujet âgé (effet musculaire et neuroprotecteur reconnu à doses ≥ 800 UI/j) ; (v) TUBULOPATHIES, néphropathies chroniques (prévention de l'ostéodystrophie rénale — préférence pour le calcitriol ou l'alfacalcidol, mais doses prophylactiques de D3 utiles).</w:t>
      </w:r>
    </w:p>
    <w:p>
      <w:pPr>
        <w:pStyle w:val="ListBullet"/>
      </w:pPr>
      <w:r/>
      <w:r>
        <w:rPr>
          <w:b/>
        </w:rPr>
        <w:t>Contre-indications :</w:t>
      </w:r>
      <w:r>
        <w:t xml:space="preserve"> (i) Hypercalcémie, hypercalciurie, lithiase calcique récidivante ; (ii) Hypervitaminose D avérée ; (iii) Néphrocalcinose, insuffisance rénale sévère avec hyperphosphatémie (sans contrôle phosphoré) ; (iv) Sarcoidose, lymphome, granulomatoses (synthèse ectopique incontrôlée de calcitriol par les macrophages activés) ; (v) Allergie aux excipients (rare).</w:t>
      </w:r>
    </w:p>
    <w:p>
      <w:pPr>
        <w:pStyle w:val="ListBullet"/>
      </w:pPr>
      <w:r/>
      <w:r>
        <w:rPr>
          <w:b/>
        </w:rPr>
        <w:t>Effets Indésirables :</w:t>
      </w:r>
      <w:r/>
    </w:p>
    <w:p>
      <w:pPr>
        <w:pStyle w:val="ListBullet"/>
      </w:pPr>
      <w:r/>
      <w:r>
        <w:rPr>
          <w:b/>
        </w:rPr>
        <w:t>Hypercalcémie</w:t>
      </w:r>
      <w:r>
        <w:t xml:space="preserve"> (surdosage) : anorexie, nausées, vomissements, polyurie-polydipsie, asthénie, constipation, troubles du rythme (allongement QTc, calculs rénaux). À doses prophylactiques (≤ 2000 UI/j), l'intoxication est exceptionnelle.</w:t>
      </w:r>
    </w:p>
    <w:p>
      <w:pPr>
        <w:pStyle w:val="ListBullet"/>
      </w:pPr>
      <w:r/>
      <w:r>
        <w:rPr>
          <w:b/>
        </w:rPr>
        <w:t>Hypercalciurie</w:t>
      </w:r>
      <w:r>
        <w:t xml:space="preserve"> et lithiase calcique : surveillance utile chez les lithiasiques.</w:t>
      </w:r>
    </w:p>
    <w:p>
      <w:pPr>
        <w:pStyle w:val="ListBullet"/>
      </w:pPr>
      <w:r/>
      <w:r>
        <w:rPr>
          <w:b/>
        </w:rPr>
        <w:t>Hyperphosphatémie</w:t>
      </w:r>
      <w:r>
        <w:t xml:space="preserve"> et néphrocalcinose en cas de surdosage massif.</w:t>
      </w:r>
    </w:p>
    <w:p>
      <w:pPr>
        <w:pStyle w:val="ListBullet"/>
      </w:pPr>
      <w:r/>
      <w:r>
        <w:rPr>
          <w:b/>
        </w:rPr>
        <w:t>Doses massives</w:t>
      </w:r>
      <w:r>
        <w:t xml:space="preserve"> (bolus &gt; 300 000 UI) : risque transient d'hypercalcémie, et débats sur un possible effet paradoxal de </w:t>
      </w:r>
      <w:r>
        <w:rPr>
          <w:b/>
        </w:rPr>
        <w:t>chute du 25-OH-D</w:t>
      </w:r>
      <w:r>
        <w:t xml:space="preserve"> après bolus mensuel (Bernstein et al., JAMA 2012) — tendance actuelle à privilégier la supplémentation quotidienne ou hebdomadaire.</w:t>
      </w:r>
    </w:p>
    <w:p>
      <w:pPr>
        <w:pStyle w:val="ListBullet"/>
      </w:pPr>
      <w:r/>
      <w:r>
        <w:rPr>
          <w:b/>
        </w:rPr>
        <w:t>Interactions</w:t>
      </w:r>
      <w:r>
        <w:t xml:space="preserve"> : thiazidiques (potentialisation de l'hypercalcémie), anticonvulsivants inducteurs (rifampicine, phénobarbital, phénytoïne, carbamazépine — accélération du catabolisme), digitaliques (sensibilisation à l'hypercalcémie → trouble du rythme).</w:t>
      </w:r>
    </w:p>
    <w:p>
      <w:r/>
      <w:r>
        <w:rPr>
          <w:b/>
        </w:rPr>
        <w:t>Prévention et Gestion des Effets Indésirables :</w:t>
      </w:r>
      <w:r/>
    </w:p>
    <w:p>
      <w:pPr>
        <w:pStyle w:val="ListBullet"/>
      </w:pPr>
      <w:r/>
      <w:r>
        <w:rPr>
          <w:b/>
        </w:rPr>
        <w:t>Mesures Préventives :</w:t>
      </w:r>
      <w:r>
        <w:t xml:space="preserve"> dosage initial de la 25-OH-vitamine D sérique chez les patients à risque (femme enceinte, sujet âgé, ostéoporotique, obèse, insuffisant rénal) ; adaptation de la posologie au poids (les obèses nécessitent 2 à 3 fois la dose standard en raison de la dilution adipeuse) ; surveillance annuelle de la calcémie et calciurie si traitement prolongé à forte dose ; association systématique à une hydratation suffisante (1,5 L/j) pour prévenir la lithiase.</w:t>
      </w:r>
    </w:p>
    <w:p>
      <w:pPr>
        <w:pStyle w:val="ListBullet"/>
      </w:pPr>
      <w:r/>
      <w:r>
        <w:rPr>
          <w:b/>
        </w:rPr>
        <w:t>Conduite à Tenir :</w:t>
      </w:r>
      <w:r>
        <w:t xml:space="preserve"> en cas d'hypercalcémie symptomatique : arrêt de la vitamine D et du calcium, hydratation IV abondante (sérum physiologique 3–4 L/24 h), furosémide IV (à l'ancienne, désormais remplacé par les bisphosphonates IV en oncologie), pamidronate ou zolédronate IV dans les hypercalcémies sévères. En cas de surdosage massif aigu (enfant ayant bu une ampoule) : lavage gastrique si récent, charbon activé, surveillance calcémie/calciurie/créatinine 48–72 h.</w:t>
      </w:r>
    </w:p>
    <w:p>
      <w:r/>
      <w:r>
        <w:rPr>
          <w:b/>
        </w:rPr>
        <w:t>Interactions Importantes :</w:t>
      </w:r>
      <w:r/>
    </w:p>
    <w:p>
      <w:pPr>
        <w:pStyle w:val="ListBullet"/>
      </w:pPr>
      <w:r/>
      <w:r>
        <w:rPr>
          <w:b/>
        </w:rPr>
        <w:t>Vitamine D + Diurétiques thiazidiques</w:t>
      </w:r>
      <w:r>
        <w:t xml:space="preserve"> : potentialisation de l'hypercalcémie (réduction de l'excrétion urinaire de calcium) — surveillance renforcée, surtout si association à un supplément calcique.</w:t>
      </w:r>
    </w:p>
    <w:p>
      <w:pPr>
        <w:pStyle w:val="ListBullet"/>
      </w:pPr>
      <w:r/>
      <w:r>
        <w:rPr>
          <w:b/>
        </w:rPr>
        <w:t>Vitamine D + Digitaliques (digoxine)</w:t>
      </w:r>
      <w:r>
        <w:t xml:space="preserve"> : hypercalcémie → sensibilisation du myocarde à la digoxine (risque de trouble du rythme ventriculaire grave) — surveillance ECG et digoxinémie.</w:t>
      </w:r>
    </w:p>
    <w:p>
      <w:pPr>
        <w:pStyle w:val="ListBullet"/>
      </w:pPr>
      <w:r/>
      <w:r>
        <w:rPr>
          <w:b/>
        </w:rPr>
        <w:t>Vitamine D + Inducteurs enzymatiques (rifampicine, phénytoïne, carbamazépine, phénobarbital)</w:t>
      </w:r>
      <w:r>
        <w:t xml:space="preserve"> : accélération du catabolisme hépatique par CYP24A1 induit — diminution d'efficacité, nécessité d'augmenter les doses (jusqu'à 2–3×).</w:t>
      </w:r>
    </w:p>
    <w:p>
      <w:pPr>
        <w:pStyle w:val="ListBullet"/>
      </w:pPr>
      <w:r/>
      <w:r>
        <w:rPr>
          <w:b/>
        </w:rPr>
        <w:t>Vitamine D + Anti-acides à base de magnésium</w:t>
      </w:r>
      <w:r>
        <w:t xml:space="preserve"> : risque d'hypermagnésémie, surtout chez l'insuffisant rénal.</w:t>
      </w:r>
    </w:p>
    <w:p>
      <w:pPr>
        <w:pStyle w:val="ListBullet"/>
      </w:pPr>
      <w:r/>
      <w:r>
        <w:rPr>
          <w:b/>
        </w:rPr>
        <w:t>Vitamine D + Orlistat, cholestyramine, huile de paraffine</w:t>
      </w:r>
      <w:r>
        <w:t xml:space="preserve"> : malabsorption de la vitamine D liposoluble — espacer la prise d'au moins 2 h.</w:t>
      </w:r>
    </w:p>
    <w:p>
      <w:r/>
      <w:r>
        <w:rPr>
          <w:b/>
        </w:rPr>
        <w:t>Grossesse et Allaitement :</w:t>
      </w:r>
      <w:r/>
    </w:p>
    <w:p>
      <w:pPr>
        <w:pStyle w:val="ListBullet"/>
      </w:pPr>
      <w:r/>
      <w:r>
        <w:rPr>
          <w:b/>
        </w:rPr>
        <w:t>Grossesse :</w:t>
      </w:r>
      <w:r>
        <w:t xml:space="preserve"> Compatible (CRAT). La supplémentation en vitamine D (400–2000 UI/j selon les recommandations algériennes, françaises et OMS) est </w:t>
      </w:r>
      <w:r>
        <w:rPr>
          <w:b/>
        </w:rPr>
        <w:t>recommandée</w:t>
      </w:r>
      <w:r>
        <w:t xml:space="preserve"> pendant toute la grossesse, particulièrement au 3e trimestre, pour prévenir le rachitisme néonatal et l'hypocalcémie néonatale. Les ampoules de charge (100 000–200 000 UI) peuvent être administrées en 6e–7e mois en cas de carence avérée. À éviter toutefois les surdosages massifs (&gt; 100 000 UI/sem) qui pourraient être associés (données controversées) à un sur-risque d'atopie chez l'enfant.</w:t>
      </w:r>
    </w:p>
    <w:p>
      <w:pPr>
        <w:pStyle w:val="ListBullet"/>
      </w:pPr>
      <w:r/>
      <w:r>
        <w:rPr>
          <w:b/>
        </w:rPr>
        <w:t>Allaitement :</w:t>
      </w:r>
      <w:r>
        <w:t xml:space="preserve"> Compatible. La vitamine D passe dans le lait maternel, mais en quantité insuffisante pour couvrir les besoins du nourrisson (≈ 20–70 UI/L) — d'où la </w:t>
      </w:r>
      <w:r>
        <w:rPr>
          <w:b/>
        </w:rPr>
        <w:t>supplémentation systématique du nourrisson allaité</w:t>
      </w:r>
      <w:r>
        <w:t xml:space="preserve"> (200 000 UI au 10e–15e jour en Algérie selon le schéma traditionnel, ou 400–800 UI/j selon les recommandations européennes récentes).</w:t>
      </w:r>
    </w:p>
    <w:p>
      <w:pPr>
        <w:pStyle w:val="ListBullet"/>
      </w:pPr>
      <w:r/>
      <w:r>
        <w:rPr>
          <w:b/>
        </w:rPr>
        <w:t>Précisions :</w:t>
      </w:r>
      <w:r>
        <w:t xml:space="preserve"> pas de risque tératogène décrit aux doses recommandées ; la carence maternelle est, à l'inverse, associée à un risque accru de prééclampsie, diabète gestationnel et petit poids de naissance.</w:t>
      </w:r>
    </w:p>
    <w:p>
      <w:r/>
      <w:r>
        <w:rPr>
          <w:b/>
        </w:rPr>
        <w:t>Posologie et Mode d'administration (Standard) :</w:t>
      </w:r>
      <w:r/>
    </w:p>
    <w:p>
      <w:pPr>
        <w:pStyle w:val="ListBullet"/>
      </w:pPr>
      <w:r/>
      <w:r>
        <w:rPr>
          <w:b/>
        </w:rPr>
        <w:t>Adulte — Prévention :</w:t>
      </w:r>
      <w:r>
        <w:t xml:space="preserve"> 800–2000 UI/j per os (soit 1 à 2 gouttes de solution selon le conditionnement) ; ou 25 000–50 000 UI/mois.</w:t>
      </w:r>
    </w:p>
    <w:p>
      <w:pPr>
        <w:pStyle w:val="ListBullet"/>
      </w:pPr>
      <w:r/>
      <w:r>
        <w:rPr>
          <w:b/>
        </w:rPr>
        <w:t>Adulte — Traitement curatif de carence :</w:t>
      </w:r>
      <w:r>
        <w:t xml:space="preserve"> dose de charge 50 000–200 000 UI (1 ampoule Renaudin en IM ou per os), suivie d'un traitement d'entretien de 800–2000 UI/j.</w:t>
      </w:r>
    </w:p>
    <w:p>
      <w:pPr>
        <w:pStyle w:val="ListBullet"/>
      </w:pPr>
      <w:r/>
      <w:r>
        <w:rPr>
          <w:b/>
        </w:rPr>
        <w:t>Sujet âgé :</w:t>
      </w:r>
      <w:r>
        <w:t xml:space="preserve"> 800–2000 UI/j en continu, à vie. Adapter à la fonction rénale et au poids.</w:t>
      </w:r>
    </w:p>
    <w:p>
      <w:pPr>
        <w:pStyle w:val="ListBullet"/>
      </w:pPr>
      <w:r/>
      <w:r>
        <w:rPr>
          <w:b/>
        </w:rPr>
        <w:t>Femme enceinte :</w:t>
      </w:r>
      <w:r>
        <w:t xml:space="preserve"> 400–2000 UI/j en continu, ou ampoule de 100 000 UI à 6e et 7e mois.</w:t>
      </w:r>
    </w:p>
    <w:p>
      <w:pPr>
        <w:pStyle w:val="ListBullet"/>
      </w:pPr>
      <w:r/>
      <w:r>
        <w:rPr>
          <w:b/>
        </w:rPr>
        <w:t>Nourrisson :</w:t>
      </w:r>
      <w:r>
        <w:t xml:space="preserve"> 400–800 UI/j en continu (recommandations européennes 2018), ou ampoule unique de 200 000 UI à J10–J15 (schéma algérien traditionnel — débat actuel sur la pertinence du bolus massif).</w:t>
      </w:r>
    </w:p>
    <w:p>
      <w:pPr>
        <w:pStyle w:val="ListBullet"/>
      </w:pPr>
      <w:r/>
      <w:r>
        <w:rPr>
          <w:b/>
        </w:rPr>
        <w:t>Enfant &gt; 1 an :</w:t>
      </w:r>
      <w:r>
        <w:t xml:space="preserve"> 600–1000 UI/j en hiver ou en cas d'exposition solaire insuffisante.</w:t>
      </w:r>
    </w:p>
    <w:p>
      <w:pPr>
        <w:pStyle w:val="ListBullet"/>
      </w:pPr>
      <w:r/>
      <w:r>
        <w:rPr>
          <w:b/>
        </w:rPr>
        <w:t>Durée :</w:t>
      </w:r>
      <w:r>
        <w:t xml:space="preserve"> au long cours, à vie pour les patients à risque (femme ménopausée, sujet âgé, obèse, femme voilée, insuffisant rénal).</w:t>
      </w:r>
    </w:p>
    <w:p>
      <w:pPr>
        <w:pStyle w:val="ListBullet"/>
      </w:pPr>
      <w:r/>
      <w:r>
        <w:rPr>
          <w:b/>
        </w:rPr>
        <w:t>Moment de prise :</w:t>
      </w:r>
      <w:r>
        <w:t xml:space="preserve"> pendant ou après le repas (la vitamine D est liposoluble, son absorption est facilitée par les lipides alimentaires). En cas d'ampoule buvable, à diluer dans un peu d'eau ou de lait.</w:t>
      </w:r>
    </w:p>
    <w:p>
      <w:r/>
      <w:r>
        <w:rPr>
          <w:b/>
        </w:rPr>
        <w:t>Arbitrage et Bénéfices des Formes Galéniques :</w:t>
      </w:r>
      <w:r/>
    </w:p>
    <w:p>
      <w:pPr>
        <w:pStyle w:val="ListBullet"/>
      </w:pPr>
      <w:r/>
      <w:r>
        <w:rPr>
          <w:b/>
        </w:rPr>
        <w:t>Solution buvable / ampoule buvable :</w:t>
      </w:r>
      <w:r>
        <w:t xml:space="preserve"> référence pour les doses massives (bolus mensuel, trimestriel, semestriel) et chez l'enfant (granulés, gouttes). Facilité d'administration mais risque d'erreur de dose (confusion UI/mL).</w:t>
      </w:r>
    </w:p>
    <w:p>
      <w:pPr>
        <w:pStyle w:val="ListBullet"/>
      </w:pPr>
      <w:r/>
      <w:r>
        <w:rPr>
          <w:b/>
        </w:rPr>
        <w:t>Ampoule IM :</w:t>
      </w:r>
      <w:r>
        <w:t xml:space="preserve"> réservée aux patients avec malabsorption sévère (résection intestinale, mucoviscidose, by-pass gastrique) — voie d'administration rapide avec pic de 25-OH-D à 2–4 semaines.</w:t>
      </w:r>
    </w:p>
    <w:p>
      <w:pPr>
        <w:pStyle w:val="ListBullet"/>
      </w:pPr>
      <w:r/>
      <w:r>
        <w:rPr>
          <w:b/>
        </w:rPr>
        <w:t>Comprimés / gélules :</w:t>
      </w:r>
      <w:r>
        <w:t xml:space="preserve"> forme la plus pratique pour le traitement d'entretien quotidien.</w:t>
      </w:r>
    </w:p>
    <w:p>
      <w:pPr>
        <w:pStyle w:val="ListBullet"/>
      </w:pPr>
      <w:r/>
      <w:r>
        <w:rPr>
          <w:b/>
        </w:rPr>
        <w:t>Associations fixes Ca + Vitamine D3</w:t>
      </w:r>
      <w:r>
        <w:t xml:space="preserve"> : à privilégier dans l'ostéoporose post-ménopausique (cf. fiche Calcium + Vitamine D3) — amélioration de l'observance.</w:t>
      </w:r>
    </w:p>
    <w:p>
      <w:r/>
      <w:r>
        <w:rPr>
          <w:b/>
        </w:rPr>
        <w:t>Instructions et Conseils au Patient :</w:t>
      </w:r>
      <w:r/>
    </w:p>
    <w:p>
      <w:pPr>
        <w:pStyle w:val="ListBullet"/>
      </w:pPr>
      <w:r/>
      <w:r>
        <w:rPr>
          <w:b/>
        </w:rPr>
        <w:t>Communication au comptoir :</w:t>
      </w:r>
      <w:r>
        <w:t xml:space="preserve"> « La vitamine D est une hormone essentielle pour fixer le calcium sur l'os. L'Algérie a beau être ensoleillée, la majorité des Algériens sont carencés (voile, vie en intérieur, peau pigmentée nécessitant une exposition plus longue). Une supplémentation est quasi indispensable chez la femme enceinte, le nourrisson, le sujet âgé et la femme voilée. »</w:t>
      </w:r>
    </w:p>
    <w:p>
      <w:pPr>
        <w:pStyle w:val="ListBullet"/>
      </w:pPr>
      <w:r/>
      <w:r>
        <w:rPr>
          <w:b/>
        </w:rPr>
        <w:t>Mode d'utilisation pratique :</w:t>
      </w:r>
      <w:r>
        <w:t xml:space="preserve"> à prendre pendant un repas (meilleure absorption) ; respecter la posologie prescrite (ne pas doubler la dose en cas d'oubli) ; pour les ampoules buvables, diluer dans un demi-verre d'eau ou de lait ; pour les ampoules IM, assurer la chaîne du froid et l'administration par un professionnel de santé.</w:t>
      </w:r>
    </w:p>
    <w:p>
      <w:r/>
      <w:r>
        <w:rPr>
          <w:b/>
        </w:rPr>
        <w:t>Notes, Règles d'Or &amp; Pièges au Comptoir :</w:t>
      </w:r>
      <w:r/>
    </w:p>
    <w:p>
      <w:pPr>
        <w:pStyle w:val="ListBullet"/>
      </w:pPr>
      <w:r/>
      <w:r>
        <w:rPr>
          <w:b/>
        </w:rPr>
        <w:t>Piège classique :</w:t>
      </w:r>
      <w:r>
        <w:t xml:space="preserve"> (i) Confusion entre unités — UI (internationales), µg (1 µg colecalciferol = 40 UI), mg ; (ii) Surdosage massif chez l'enfant ayant bu une ampoule entière (risque d'hypercalcémie aiguë) — garder hors de portée des enfants ; (iii) Carence persistante malgré la supplémentation — suspecter une malabsorption, une obésité (séquestration adipeuse), une insuffisance hépatique, ou un échec d'observance.</w:t>
      </w:r>
    </w:p>
    <w:p>
      <w:pPr>
        <w:pStyle w:val="ListBullet"/>
      </w:pPr>
      <w:r/>
      <w:r>
        <w:rPr>
          <w:b/>
        </w:rPr>
        <w:t>Règle de prise :</w:t>
      </w:r>
      <w:r>
        <w:t xml:space="preserve"> pendant un repas riche en lipides (lait, beurre, huile d'olive) ; pas d'absorption en même temps que l'orlistat, la cholestyramine ou l'huile de paraffine.</w:t>
      </w:r>
    </w:p>
    <w:p>
      <w:pPr>
        <w:pStyle w:val="ListBullet"/>
      </w:pPr>
      <w:r/>
      <w:r>
        <w:rPr>
          <w:b/>
        </w:rPr>
        <w:t>Préparation et Conservation :</w:t>
      </w:r>
      <w:r>
        <w:t xml:space="preserve"> à température ambiante (15–25 °C), à l'abri de la lumière et de l'humidité. Les ampoules buvables se conservent plusieurs années en l'absence de conservateur alcoolique ; après ouverture, usage immédiat.</w:t>
      </w:r>
    </w:p>
    <w:p>
      <w:pPr>
        <w:pStyle w:val="ListBullet"/>
      </w:pPr>
      <w:r/>
      <w:r>
        <w:rPr>
          <w:b/>
        </w:rPr>
        <w:t>Piège du surdosage / Substitution :</w:t>
      </w:r>
      <w:r>
        <w:t xml:space="preserve"> ne pas substituer une spécialité D3 par une D2 sans recalcul (équivalence en UI mais cinétique différente — la D3 a une demi-vie plus longue et élève plus durablement la 25-OH-D). Vérifier la prescription d'une ampoule de 200 000 UI (1 mL) — erreur fréquente de lecture de l'unité (200 000 UI vs 200 UI).</w:t>
      </w:r>
    </w:p>
    <w:p>
      <w:pPr>
        <w:pStyle w:val="Heading3"/>
      </w:pPr>
      <w:r>
        <w:t>2. DCI : Ergocalciférol (Vitamine D2) (Seule et en Association)</w:t>
      </w:r>
    </w:p>
    <w:p>
      <w:r/>
      <w:r>
        <w:rPr>
          <w:b/>
        </w:rPr>
        <w:t>Liste des Catégories :</w:t>
      </w:r>
      <w:r>
        <w:t xml:space="preserve"> Hors liste (supplémentation vitaminique D2 associée au fructose et calcium).</w:t>
      </w:r>
    </w:p>
    <w:p>
      <w:r>
        <w:t>L'ergocalciférol, ou vitamine D2, est la forme fongique et végétale de la vitamine D, produite par photolyse UV de l'ergostérol dans les levures et champignons. Historiquement, elle fut la première vitamine D disponible commercialement et reste très utilisée en Algérie sous forme d'ampoules buvables (Frubial, Frubiose) souvent associées au fructose (stabilisant et édulcorant) et parfois au calcium. Comparativement à la D3 (cholécalciférol), la D2 a une efficacité légèrement inférieure sur le maintien du taux de 25-OH-D plasmatique (demi-vie plus courte, baisse plus rapide après administration), mais elle reste parfaitement valide pour la supplémentation courante et prophylactique.</w:t>
      </w:r>
    </w:p>
    <w:p>
      <w:r/>
      <w:r>
        <w:rPr>
          <w:b/>
        </w:rPr>
        <w:t>Médicaments disponibles en Algérie (Marques, Laboratoires, Formes et Dosages) :</w:t>
      </w:r>
      <w:r/>
    </w:p>
    <w:p>
      <w:pPr>
        <w:pStyle w:val="ListBullet"/>
      </w:pPr>
      <w:r/>
      <w:r>
        <w:rPr>
          <w:b/>
        </w:rPr>
        <w:t>FRUBIOSE VIT D 1000 U.I</w:t>
      </w:r>
      <w:r>
        <w:t xml:space="preserve"> (BOEHRINGER INGELHEIM FRANCE)</w:t>
      </w:r>
    </w:p>
    <w:p>
      <w:pPr>
        <w:pStyle w:val="ListBullet"/>
      </w:pPr>
      <w:r>
        <w:t>Formes et Dosages : Suspension buvable 1000 UI/5 mL, B/20 ampoules.</w:t>
      </w:r>
    </w:p>
    <w:p>
      <w:pPr>
        <w:pStyle w:val="ListBullet"/>
      </w:pPr>
      <w:r>
        <w:t>Statut : Actif.</w:t>
      </w:r>
    </w:p>
    <w:p>
      <w:pPr>
        <w:pStyle w:val="ListBullet"/>
      </w:pPr>
      <w:r/>
      <w:r>
        <w:rPr>
          <w:b/>
        </w:rPr>
        <w:t>FRUBIOSE VIT D 5000 U.I</w:t>
      </w:r>
      <w:r>
        <w:t xml:space="preserve"> (BOEHRINGER INGELHEIM FRANCE)</w:t>
      </w:r>
    </w:p>
    <w:p>
      <w:pPr>
        <w:pStyle w:val="ListBullet"/>
      </w:pPr>
      <w:r>
        <w:t>Formes et Dosages : Suspension buvable 5000 UI/5 mL, B/20 ampoules.</w:t>
      </w:r>
    </w:p>
    <w:p>
      <w:pPr>
        <w:pStyle w:val="ListBullet"/>
      </w:pPr>
      <w:r>
        <w:t>Statut : Actif.</w:t>
      </w:r>
    </w:p>
    <w:p>
      <w:pPr>
        <w:pStyle w:val="ListBullet"/>
      </w:pPr>
      <w:r/>
      <w:r>
        <w:rPr>
          <w:b/>
        </w:rPr>
        <w:t>FRUBIAL FAIBLE</w:t>
      </w:r>
      <w:r>
        <w:t xml:space="preserve"> (GROUPE SAIDAL — production locale algérienne)</w:t>
      </w:r>
    </w:p>
    <w:p>
      <w:pPr>
        <w:pStyle w:val="ListBullet"/>
      </w:pPr>
      <w:r>
        <w:t>Formes et Dosages : Solution buvable 1500 UI/5 mL (avec calcium et fructose), B/20 ampoules de 5 mL.</w:t>
      </w:r>
    </w:p>
    <w:p>
      <w:pPr>
        <w:pStyle w:val="ListBullet"/>
      </w:pPr>
      <w:r>
        <w:t>Statut : Actif.</w:t>
      </w:r>
    </w:p>
    <w:p>
      <w:pPr>
        <w:pStyle w:val="ListBullet"/>
      </w:pPr>
      <w:r/>
      <w:r>
        <w:rPr>
          <w:b/>
        </w:rPr>
        <w:t>FRUBIAL FORTE</w:t>
      </w:r>
      <w:r>
        <w:t xml:space="preserve"> (SAIDAL)</w:t>
      </w:r>
    </w:p>
    <w:p>
      <w:pPr>
        <w:pStyle w:val="ListBullet"/>
      </w:pPr>
      <w:r>
        <w:t>Formes et Dosages : Suspension buvable 5000 UI/5 mL (avec calcium et fructose), B/20 ampoules.</w:t>
      </w:r>
    </w:p>
    <w:p>
      <w:pPr>
        <w:pStyle w:val="ListBullet"/>
      </w:pPr>
      <w:r>
        <w:t>Statut : Retiré (R).</w:t>
      </w:r>
    </w:p>
    <w:p>
      <w:pPr>
        <w:pStyle w:val="ListBullet"/>
      </w:pPr>
      <w:r/>
      <w:r>
        <w:rPr>
          <w:b/>
        </w:rPr>
        <w:t>VICALCIC</w:t>
      </w:r>
      <w:r>
        <w:t xml:space="preserve"> (KRG PHARMA)</w:t>
      </w:r>
    </w:p>
    <w:p>
      <w:pPr>
        <w:pStyle w:val="ListBullet"/>
      </w:pPr>
      <w:r>
        <w:t>Formes et Dosages : Sachet 5000 UI/120 mg/500 mg (Vitamine D2 + calcium), B/20 sachets de 5 mL.</w:t>
      </w:r>
    </w:p>
    <w:p>
      <w:pPr>
        <w:pStyle w:val="ListBullet"/>
      </w:pPr>
      <w:r>
        <w:t>Statut : Retiré (R).</w:t>
      </w:r>
    </w:p>
    <w:p>
      <w:r>
        <w:t xml:space="preserve">À noter : </w:t>
      </w:r>
      <w:r>
        <w:rPr>
          <w:b/>
        </w:rPr>
        <w:t>Frubial</w:t>
      </w:r>
      <w:r>
        <w:t xml:space="preserve"> et </w:t>
      </w:r>
      <w:r>
        <w:rPr>
          <w:b/>
        </w:rPr>
        <w:t>Frubiose</w:t>
      </w:r>
      <w:r>
        <w:t xml:space="preserve"> sont les spécialités les plus prescrites en Algérie pour la supplémentation vitaminique D quotidienne de l'enfant et de l'adulte, en raison de leur présentation en ampoules buvables à avaler ou diluer, pratiques pour la pédiatrie. Le nom "FRUBIAL" est emblématique (Frubi = fructose + bi-, le préfixe rappelant la double supplémentation vitamine D + calcium). Le produit est principalement destiné à l'enfant et à la grossesse.</w:t>
      </w:r>
    </w:p>
    <w:p>
      <w:r/>
      <w:r>
        <w:rPr>
          <w:b/>
        </w:rPr>
        <w:t>Sous-classe et Mécanisme d'action :</w:t>
      </w:r>
      <w:r/>
    </w:p>
    <w:p>
      <w:pPr>
        <w:pStyle w:val="ListBullet"/>
      </w:pPr>
      <w:r/>
      <w:r>
        <w:rPr>
          <w:b/>
        </w:rPr>
        <w:t>Sous-classe :</w:t>
      </w:r>
      <w:r>
        <w:t xml:space="preserve"> Vitamine D native (prodrogue), forme végétale/fongique (D2). Statut réglementaire : Hors liste (supplémentation vitaminique OTC).</w:t>
      </w:r>
    </w:p>
    <w:p>
      <w:pPr>
        <w:pStyle w:val="ListBullet"/>
      </w:pPr>
      <w:r/>
      <w:r>
        <w:rPr>
          <w:b/>
        </w:rPr>
        <w:t>Mécanisme d'action :</w:t>
      </w:r>
      <w:r>
        <w:t xml:space="preserve"> identique à la vitamine D3 : 25-hydroxylation hépatique (CYP2R1) en </w:t>
      </w:r>
      <w:r>
        <w:rPr>
          <w:b/>
        </w:rPr>
        <w:t>ercalcidiol</w:t>
      </w:r>
      <w:r>
        <w:t xml:space="preserve"> (25-OH-D2), puis 1α-hydroxylation rénale (CYP27B1) en </w:t>
      </w:r>
      <w:r>
        <w:rPr>
          <w:b/>
        </w:rPr>
        <w:t>ercalcitriol</w:t>
      </w:r>
      <w:r>
        <w:t xml:space="preserve"> (1,25-(OH)2-D2). Le ercalcitriol se fixe au récepteur VDR avec une affinité comparable au calcitriol, active la transcription des gènes-cibles (CALB1, TRPV6, PMCA1b) et augmente l'absorption intestinale du calcium et du phosphore. Différences pharmacocinétiques D2 vs D3 : la D2 a une demi-vie plasmatique plus courte (≈ 19 jours vs 30+ jours pour la D3), une liaison à la VDBP (Vitamin D Binding Protein) de moindre affinité, et un effet à long terme sur la 25-OH-D sérique de 20–30 % inférieur à dose équivalente (étude Armas et al., J Clin Endocrinol Metab 2004).</w:t>
      </w:r>
    </w:p>
    <w:p>
      <w:r/>
      <w:r>
        <w:rPr>
          <w:b/>
        </w:rPr>
        <w:t>Profil Pharmacologique :</w:t>
      </w:r>
      <w:r/>
    </w:p>
    <w:p>
      <w:pPr>
        <w:pStyle w:val="ListBullet"/>
      </w:pPr>
      <w:r/>
      <w:r>
        <w:rPr>
          <w:b/>
        </w:rPr>
        <w:t>Indications :</w:t>
      </w:r>
      <w:r>
        <w:t xml:space="preserve"> (i) Prévention et traitement de la carence en vitamine D chez le nourrisson, l'enfant, l'adolescent, la femme enceinte et allaitante, le sujet âgé ; (ii) Rachitisme carentiel ; (iii) Ostéomalacie ; (iv) Supplémentation adjuvante de l'ostéoporose (en association au calcium). En Algérie, le Frubial est l'un des médicaments les plus prescrits en pédiatrie préventive.</w:t>
      </w:r>
    </w:p>
    <w:p>
      <w:pPr>
        <w:pStyle w:val="ListBullet"/>
      </w:pPr>
      <w:r/>
      <w:r>
        <w:rPr>
          <w:b/>
        </w:rPr>
        <w:t>Contre-indications :</w:t>
      </w:r>
      <w:r>
        <w:t xml:space="preserve"> identiques à la vitamine D3 : hypercalcémie, hypercalciurie, lithiase calcique récidivante, hypervitaminose D, sarcoidose, granulomatoses, néphrocalcinose, hypersensibilité au fructose (rare, intolérance héréditaire au fructose — contre-indication absolue chez le nourrisson suspect).</w:t>
      </w:r>
    </w:p>
    <w:p>
      <w:pPr>
        <w:pStyle w:val="ListBullet"/>
      </w:pPr>
      <w:r/>
      <w:r>
        <w:rPr>
          <w:b/>
        </w:rPr>
        <w:t>Effets Indésirables :</w:t>
      </w:r>
      <w:r>
        <w:t xml:space="preserve"> identiques à la vitamine D3 (hypercalcémie à doses massives, hypercalciurie, constipation, troubles digestifs). Spécifique aux associations Frubial/Frubiose : effet laxatif osmotique du fructose à forte dose, diarrhée ; risque de caries dentaires en cas d'administration prolongée (sucre du fructose).</w:t>
      </w:r>
    </w:p>
    <w:p>
      <w:r/>
      <w:r>
        <w:rPr>
          <w:b/>
        </w:rPr>
        <w:t>Prévention et Gestion des Effets Indésirables :</w:t>
      </w:r>
      <w:r/>
    </w:p>
    <w:p>
      <w:pPr>
        <w:pStyle w:val="ListBullet"/>
      </w:pPr>
      <w:r/>
      <w:r>
        <w:rPr>
          <w:b/>
        </w:rPr>
        <w:t>Mesures Préventives :</w:t>
      </w:r>
      <w:r>
        <w:t xml:space="preserve"> vérifier l'absence d'intolérance héréditaire au fructose (IHF) avant prescription chez le nourrisson (rare mais possible) ; brossage des dents après prise d'ampoule buvable (sucre du fructose) ; ne pas dépasser la dose prescrite (1 ampoule = dose journalière ou hebdomadaire selon le dosage) ; chez le diabétique, surveillance glycémique (le fructose apporte des calories glucidiques).</w:t>
      </w:r>
    </w:p>
    <w:p>
      <w:pPr>
        <w:pStyle w:val="ListBullet"/>
      </w:pPr>
      <w:r/>
      <w:r>
        <w:rPr>
          <w:b/>
        </w:rPr>
        <w:t>Conduite à Tenir :</w:t>
      </w:r>
      <w:r>
        <w:t xml:space="preserve"> arrêt immédiat en cas de signes d'hypercalcémie (vomissements, polyurie, asthénie) ; dosage de la 25-OH-D, calcémie, calciurie et fonction rénale ; hydratation IV abondante si hypercalcémie confirmée ; bisphosphonate IV en cas d'hypercalcémie sévère.</w:t>
      </w:r>
    </w:p>
    <w:p>
      <w:r/>
      <w:r>
        <w:rPr>
          <w:b/>
        </w:rPr>
        <w:t>Interactions Importantes :</w:t>
      </w:r>
      <w:r/>
    </w:p>
    <w:p>
      <w:pPr>
        <w:pStyle w:val="ListBullet"/>
      </w:pPr>
      <w:r/>
      <w:r>
        <w:rPr>
          <w:b/>
        </w:rPr>
        <w:t>Ergocalciférol + Diurétiques thiazidiques</w:t>
      </w:r>
      <w:r>
        <w:t xml:space="preserve"> : potentialisation de l'hypercalcémie (effet additif sur la réabsorption tubulaire du calcium).</w:t>
      </w:r>
    </w:p>
    <w:p>
      <w:pPr>
        <w:pStyle w:val="ListBullet"/>
      </w:pPr>
      <w:r/>
      <w:r>
        <w:rPr>
          <w:b/>
        </w:rPr>
        <w:t>Ergocalciférol + Digitaliques</w:t>
      </w:r>
      <w:r>
        <w:t xml:space="preserve"> : sensibilisation du myocarde à la digoxine (risque d'arythmie ventriculaire en cas d'hypercalcémie).</w:t>
      </w:r>
    </w:p>
    <w:p>
      <w:pPr>
        <w:pStyle w:val="ListBullet"/>
      </w:pPr>
      <w:r/>
      <w:r>
        <w:rPr>
          <w:b/>
        </w:rPr>
        <w:t>Ergocalciférol + Inducteurs enzymatiques (rifampicine, phénytoïne, carbamazépine)</w:t>
      </w:r>
      <w:r>
        <w:t xml:space="preserve"> : accélération du catabolisme hépatique — augmenter la dose.</w:t>
      </w:r>
    </w:p>
    <w:p>
      <w:pPr>
        <w:pStyle w:val="ListBullet"/>
      </w:pPr>
      <w:r/>
      <w:r>
        <w:rPr>
          <w:b/>
        </w:rPr>
        <w:t>Ergocalciférol + Anti-acides magnésiens</w:t>
      </w:r>
      <w:r>
        <w:t xml:space="preserve"> : hypermagnésémie (surtout chez l'insuffisant rénal).</w:t>
      </w:r>
    </w:p>
    <w:p>
      <w:pPr>
        <w:pStyle w:val="ListBullet"/>
      </w:pPr>
      <w:r/>
      <w:r>
        <w:rPr>
          <w:b/>
        </w:rPr>
        <w:t>Ergocalciférol + Orlistat, cholestyramine</w:t>
      </w:r>
      <w:r>
        <w:t xml:space="preserve"> : malabsorption de la vitamine D liposoluble — espacer la prise.</w:t>
      </w:r>
    </w:p>
    <w:p>
      <w:r/>
      <w:r>
        <w:rPr>
          <w:b/>
        </w:rPr>
        <w:t>Grossesse et Allaitement :</w:t>
      </w:r>
      <w:r/>
    </w:p>
    <w:p>
      <w:pPr>
        <w:pStyle w:val="ListBullet"/>
      </w:pPr>
      <w:r/>
      <w:r>
        <w:rPr>
          <w:b/>
        </w:rPr>
        <w:t>Grossesse :</w:t>
      </w:r>
      <w:r>
        <w:t xml:space="preserve"> Compatible (CRAT). Recommandé en supplémentation systématique (400–2000 UI/j ou ampoule mensuelle selon le schéma algérien). La prévention du rachitisme néonatal repose sur la supplémentation maternelle du 6e et 7e mois, traditionnellement assurée par Frubial Forte (ampoule mensuelle).</w:t>
      </w:r>
    </w:p>
    <w:p>
      <w:pPr>
        <w:pStyle w:val="ListBullet"/>
      </w:pPr>
      <w:r/>
      <w:r>
        <w:rPr>
          <w:b/>
        </w:rPr>
        <w:t>Allaitement :</w:t>
      </w:r>
      <w:r>
        <w:t xml:space="preserve"> Compatible. Supplémentation maternelle sans risque pour le nourrisson ; toutefois, le nourrisson allaité doit recevoir sa propre supplémentation (le lait maternel est pauvre en vitamine D).</w:t>
      </w:r>
    </w:p>
    <w:p>
      <w:pPr>
        <w:pStyle w:val="ListBullet"/>
      </w:pPr>
      <w:r/>
      <w:r>
        <w:rPr>
          <w:b/>
        </w:rPr>
        <w:t>Précisions :</w:t>
      </w:r>
      <w:r>
        <w:t xml:space="preserve"> pas de risque tératogène ; le surdosage (rares cas d'administration de plusieurs ampoules) peut induire une hypercalcémie maternelle et fœtale (néphrocalcinose fœtale) — importance de respecter la prescription.</w:t>
      </w:r>
    </w:p>
    <w:p>
      <w:r/>
      <w:r>
        <w:rPr>
          <w:b/>
        </w:rPr>
        <w:t>Posologie et Mode d'administration (Standard) :</w:t>
      </w:r>
      <w:r/>
    </w:p>
    <w:p>
      <w:pPr>
        <w:pStyle w:val="ListBullet"/>
      </w:pPr>
      <w:r/>
      <w:r>
        <w:rPr>
          <w:b/>
        </w:rPr>
        <w:t>Adulte — Prévention :</w:t>
      </w:r>
      <w:r>
        <w:t xml:space="preserve"> 1 ampoule de 1000 UI/j (Frubiose 1000) ou 1 ampoule de 1500 UI/j (Frubial Faible) ; alternative 1 ampoule de 5000 UI/mois (Frubiose 5000 ou Frubial Forte).</w:t>
      </w:r>
    </w:p>
    <w:p>
      <w:pPr>
        <w:pStyle w:val="ListBullet"/>
      </w:pPr>
      <w:r/>
      <w:r>
        <w:rPr>
          <w:b/>
        </w:rPr>
        <w:t>Adulte — Traitement curatif de carence :</w:t>
      </w:r>
      <w:r>
        <w:t xml:space="preserve"> 1 ampoule de 5000 UI/j pendant 1 mois, puis relais par 1 ampoule mensuelle.</w:t>
      </w:r>
    </w:p>
    <w:p>
      <w:pPr>
        <w:pStyle w:val="ListBullet"/>
      </w:pPr>
      <w:r/>
      <w:r>
        <w:rPr>
          <w:b/>
        </w:rPr>
        <w:t>Femme enceinte :</w:t>
      </w:r>
      <w:r>
        <w:t xml:space="preserve"> 1 ampoule de 5000 UI par mois à partir du 6e mois (schéma algérien classique).</w:t>
      </w:r>
    </w:p>
    <w:p>
      <w:pPr>
        <w:pStyle w:val="ListBullet"/>
      </w:pPr>
      <w:r/>
      <w:r>
        <w:rPr>
          <w:b/>
        </w:rPr>
        <w:t>Nourrisson et enfant &lt; 5 ans :</w:t>
      </w:r>
      <w:r>
        <w:t xml:space="preserve"> 1000–1500 UI/j (1 ampoule Frubiose 1000 ou Frubial Faible par jour) ; en prévention primaire, dose quotidienne ou dose hebdomadaire.</w:t>
      </w:r>
    </w:p>
    <w:p>
      <w:pPr>
        <w:pStyle w:val="ListBullet"/>
      </w:pPr>
      <w:r/>
      <w:r>
        <w:rPr>
          <w:b/>
        </w:rPr>
        <w:t>Sujet âgé :</w:t>
      </w:r>
      <w:r>
        <w:t xml:space="preserve"> 1500–5000 UI/j ou 1 ampoule mensuelle.</w:t>
      </w:r>
    </w:p>
    <w:p>
      <w:pPr>
        <w:pStyle w:val="ListBullet"/>
      </w:pPr>
      <w:r/>
      <w:r>
        <w:rPr>
          <w:b/>
        </w:rPr>
        <w:t>Durée :</w:t>
      </w:r>
      <w:r>
        <w:t xml:space="preserve"> au long cours, adaptée au statut vitaminique. Vérifier la 25-OH-D sérique après 3 mois de traitement.</w:t>
      </w:r>
    </w:p>
    <w:p>
      <w:pPr>
        <w:pStyle w:val="ListBullet"/>
      </w:pPr>
      <w:r/>
      <w:r>
        <w:rPr>
          <w:b/>
        </w:rPr>
        <w:t>Moment de prise :</w:t>
      </w:r>
      <w:r>
        <w:t xml:space="preserve"> pendant un repas, diluée dans un peu d'eau ou de lait. Brossage des dents après la prise (prévention des caries induites par le fructose).</w:t>
      </w:r>
    </w:p>
    <w:p>
      <w:r/>
      <w:r>
        <w:rPr>
          <w:b/>
        </w:rPr>
        <w:t>Arbitrage et Bénéfices des Formes Galéniques :</w:t>
      </w:r>
      <w:r/>
    </w:p>
    <w:p>
      <w:pPr>
        <w:pStyle w:val="ListBullet"/>
      </w:pPr>
      <w:r/>
      <w:r>
        <w:rPr>
          <w:b/>
        </w:rPr>
        <w:t>Suspension/ampoule buvable :</w:t>
      </w:r>
      <w:r>
        <w:t xml:space="preserve"> galénique de référence en pédiatrie (Frubial, Frubiose), facile à avaler et à diluer ; dosage flexible (1000 à 5000 UI/ampoule).</w:t>
      </w:r>
    </w:p>
    <w:p>
      <w:pPr>
        <w:pStyle w:val="ListBullet"/>
      </w:pPr>
      <w:r/>
      <w:r>
        <w:rPr>
          <w:b/>
        </w:rPr>
        <w:t>Sachet (Vicalcic — retiré) :</w:t>
      </w:r>
      <w:r>
        <w:t xml:space="preserve"> alternative pour adulte et enfant grand, plus stable mais moins pratique pour les doses unitaires.</w:t>
      </w:r>
    </w:p>
    <w:p>
      <w:pPr>
        <w:pStyle w:val="ListBullet"/>
      </w:pPr>
      <w:r/>
      <w:r>
        <w:rPr>
          <w:b/>
        </w:rPr>
        <w:t>Avantage vs D3 :</w:t>
      </w:r>
      <w:r>
        <w:t xml:space="preserve"> l'ampoule buvable Frubial est le standard algérien pour la supplémentation quotidienne et mensuelle, accessible et peu coûteuse ; son goût sucré (fructose) en facilite l'observance pédiatrique.</w:t>
      </w:r>
    </w:p>
    <w:p>
      <w:pPr>
        <w:pStyle w:val="ListBullet"/>
      </w:pPr>
      <w:r/>
      <w:r>
        <w:rPr>
          <w:b/>
        </w:rPr>
        <w:t>Inconvénient vs D3 :</w:t>
      </w:r>
      <w:r>
        <w:t xml:space="preserve"> efficacité légèrement moindre à dose équivalente (à doses thérapeutiques identiques, la D3 élève la 25-OH-D plus durablement). Préférer la D3 si possible pour les fortes doses de charge.</w:t>
      </w:r>
    </w:p>
    <w:p>
      <w:r/>
      <w:r>
        <w:rPr>
          <w:b/>
        </w:rPr>
        <w:t>Instructions et Conseils au Patient :</w:t>
      </w:r>
      <w:r/>
    </w:p>
    <w:p>
      <w:pPr>
        <w:pStyle w:val="ListBullet"/>
      </w:pPr>
      <w:r/>
      <w:r>
        <w:rPr>
          <w:b/>
        </w:rPr>
        <w:t>Communication au comptoir :</w:t>
      </w:r>
      <w:r>
        <w:t xml:space="preserve"> « Frubial/Frubiose est une vitamine D2 associée au fructose et au calcium. À prendre chaque jour (ou chaque mois selon la prescription) pendant un repas. Ne pas doubler la dose en cas d'oubli. Brosser les dents après la prise. Tenir hors de portée des enfants (risque de surdosage massif si l'enfant boit plusieurs ampoules). »</w:t>
      </w:r>
    </w:p>
    <w:p>
      <w:pPr>
        <w:pStyle w:val="ListBullet"/>
      </w:pPr>
      <w:r/>
      <w:r>
        <w:rPr>
          <w:b/>
        </w:rPr>
        <w:t>Mode d'utilisation pratique :</w:t>
      </w:r>
      <w:r>
        <w:t xml:space="preserve"> diluer le contenu de l'ampoule dans un demi-verre d'eau, de lait ou de jus ; bien agiter avant emploi (suspension) ; pour le nourrisson, administrer directement avec une cuillère doseuse ou diluer dans le biberon.</w:t>
      </w:r>
    </w:p>
    <w:p>
      <w:r/>
      <w:r>
        <w:rPr>
          <w:b/>
        </w:rPr>
        <w:t>Notes, Règles d'Or &amp; Pièges au Comptoir :</w:t>
      </w:r>
      <w:r/>
    </w:p>
    <w:p>
      <w:pPr>
        <w:pStyle w:val="ListBullet"/>
      </w:pPr>
      <w:r/>
      <w:r>
        <w:rPr>
          <w:b/>
        </w:rPr>
        <w:t>Piège classique :</w:t>
      </w:r>
      <w:r>
        <w:t xml:space="preserve"> (i) Confusion Frubial Faible (1500 UI) vs Frubial Forte (5000 UI) — bien vérifier la prescription ; (ii) Risque de surdosage chez l'enfant ayant bu un flacon entier (intoxication vitamine D + diarrhée osmotique au fructose) — conserver hors de portée ; (iii) Intolérance héréditaire au fructose (IHF) — contre-indication absolue chez le nourrisson suspect (Frubial/Frubiose contiennent du fructose) ; (iv) Efficacité inférieure à la D3 à long terme — envisager un passage à la D3 si carence persistante.</w:t>
      </w:r>
    </w:p>
    <w:p>
      <w:pPr>
        <w:pStyle w:val="ListBullet"/>
      </w:pPr>
      <w:r/>
      <w:r>
        <w:rPr>
          <w:b/>
        </w:rPr>
        <w:t>Règle de prise :</w:t>
      </w:r>
      <w:r>
        <w:t xml:space="preserve"> pendant un repas ; brossage dentaire post-prise ; conservation à température ambiante, à l'abri de la lumière.</w:t>
      </w:r>
    </w:p>
    <w:p>
      <w:pPr>
        <w:pStyle w:val="ListBullet"/>
      </w:pPr>
      <w:r/>
      <w:r>
        <w:rPr>
          <w:b/>
        </w:rPr>
        <w:t>Préparation et Conservation :</w:t>
      </w:r>
      <w:r>
        <w:t xml:space="preserve"> les ampoules se conservent plusieurs années à température ambiante ; après ouverture, usage immédiat (pas de conservation au-delà de 24 h).</w:t>
      </w:r>
    </w:p>
    <w:p>
      <w:pPr>
        <w:pStyle w:val="ListBullet"/>
      </w:pPr>
      <w:r/>
      <w:r>
        <w:rPr>
          <w:b/>
        </w:rPr>
        <w:t>Piège du surdosage / Substitution :</w:t>
      </w:r>
      <w:r>
        <w:t xml:space="preserve"> ne pas substituer Frubial Faible par Frubial Forte sans recalcul (dose 3,3× supérieure) ; attention à l'enfant qui aurait accès au stock d'ampoules (intoxication accidentelle — chaque année plusieurs cas d'hypercalcémie sévère chez l'enfant).</w:t>
      </w:r>
    </w:p>
    <w:p>
      <w:pPr>
        <w:pStyle w:val="Heading2"/>
      </w:pPr>
      <w:r>
        <w:t>II. Sous-classe : Vitamine D — Métabolite actif (prodrogue 1α-hydroxylée)</w:t>
      </w:r>
    </w:p>
    <w:p>
      <w:pPr>
        <w:pStyle w:val="Heading3"/>
      </w:pPr>
      <w:r>
        <w:t>Introduction à la sous-classe</w:t>
      </w:r>
    </w:p>
    <w:p>
      <w:r>
        <w:t>Les métabolites actifs de la vitamine D regroupent l'</w:t>
      </w:r>
      <w:r>
        <w:rPr>
          <w:b/>
        </w:rPr>
        <w:t>alfacalcidol</w:t>
      </w:r>
      <w:r>
        <w:t xml:space="preserve"> (1α-hydroxycholécalciférol, prodrogue ne nécessitant que la 25-hydroxylation hépatique pour devenir le calcitriol actif), le </w:t>
      </w:r>
      <w:r>
        <w:rPr>
          <w:b/>
        </w:rPr>
        <w:t>calcifédiol</w:t>
      </w:r>
      <w:r>
        <w:t xml:space="preserve"> (25-hydroxyvitamine D3, métabolite intermédiaire de stockage) et le </w:t>
      </w:r>
      <w:r>
        <w:rPr>
          <w:b/>
        </w:rPr>
        <w:t>calcitriol</w:t>
      </w:r>
      <w:r>
        <w:t xml:space="preserve"> (1,25-dihydroxyvitamine D3, forme biologiquement active). Ces molécules sont indiquées principalement dans les situations où l'hydroxylation rénale (CYP27B1) est défaillante : insuffisance rénale chronique (IRC — ostéodystrophie rénale), hypoparathyroïdie (la PTH est le principal stimulateur de la 1α-hydroxylation), pseudo-hypoparathyroïdie, rachitisme vitamino-résistant type I (déficit congénital en CYP27B1).</w:t>
      </w:r>
    </w:p>
    <w:p>
      <w:r>
        <w:t xml:space="preserve">L'intérêt pharmacologique de l'alfacalcidol réside dans son </w:t>
      </w:r>
      <w:r>
        <w:rPr>
          <w:b/>
        </w:rPr>
        <w:t>court-circuit de l'hydroxylation rénale</w:t>
      </w:r>
      <w:r>
        <w:t xml:space="preserve"> : après 25-hydroxylation hépatique, il devient directement du calcitriol actif, indépendamment de la fonction rénale et de la PTH. Sa tolérance est similaire à celle du calcitriol, avec une onset d'action un peu plus progressive (demi-vie plasmatique de l'alfacalcidol ≈ 3 heures mais son métabolite actif calcitriol ≈ 15 heures). La marge thérapeutique est étroite et la surveillance de la calcémie et de la calciurie est impérative.</w:t>
      </w:r>
    </w:p>
    <w:p>
      <w:pPr>
        <w:pStyle w:val="Heading3"/>
      </w:pPr>
      <w:r>
        <w:t>3. DCI : Alfacalcidol (1α-OH-D3) (Seule)</w:t>
      </w:r>
    </w:p>
    <w:p>
      <w:r/>
      <w:r>
        <w:rPr>
          <w:b/>
        </w:rPr>
        <w:t>Liste des Catégories :</w:t>
      </w:r>
      <w:r>
        <w:t xml:space="preserve"> Liste I (toutes spécialités — prescription médicale obligatoire).</w:t>
      </w:r>
    </w:p>
    <w:p>
      <w:r>
        <w:t xml:space="preserve">L'alfacalcidol (1α-hydroxycholécalciférol ou 1α-OH-D3) est une prodrogue synthétique de la vitamine D qui ne nécessite que la </w:t>
      </w:r>
      <w:r>
        <w:rPr>
          <w:b/>
        </w:rPr>
        <w:t>25-hydroxylation hépatique</w:t>
      </w:r>
      <w:r>
        <w:t xml:space="preserve"> (CYP2R1) pour devenir active, en contournant l'étape de la 1α-hydroxylation rénale (CYP27B1). Cette particularité le rend précieux dans les situations d'insuffisance rénale chronique (IRC) où la 1α-hydroxylation est défaillante, et dans les hypoparathyroïdies où la PTH — principal stimulateur physiologique de la CYP27B1 — est absente. Son onset d'action est plus rapide que la vitamine D native (24–48 h vs 1–2 semaines pour la D3/D2), ce qui en fait l'agent de choix pour corriger rapidement une hypocalcémie chronique.</w:t>
      </w:r>
    </w:p>
    <w:p>
      <w:r/>
      <w:r>
        <w:rPr>
          <w:b/>
        </w:rPr>
        <w:t>Médicaments disponibles en Algérie (Marques, Laboratoires, Formes et Dosages) :</w:t>
      </w:r>
      <w:r/>
    </w:p>
    <w:p>
      <w:pPr>
        <w:pStyle w:val="ListBullet"/>
      </w:pPr>
      <w:r/>
      <w:r>
        <w:rPr>
          <w:b/>
        </w:rPr>
        <w:t>SUPRA CALCI</w:t>
      </w:r>
      <w:r>
        <w:t xml:space="preserve"> (UNITED PHARMACEUTICAL MANUFACTURING — UPM, Jordanie)</w:t>
      </w:r>
    </w:p>
    <w:p>
      <w:pPr>
        <w:pStyle w:val="ListBullet"/>
      </w:pPr>
      <w:r>
        <w:t>Formes et Dosages : Capsule molle 1 µg, B/30 ; Capsule molle 0,25 µg, B/30.</w:t>
      </w:r>
    </w:p>
    <w:p>
      <w:pPr>
        <w:pStyle w:val="ListBullet"/>
      </w:pPr>
      <w:r>
        <w:t>Statut : Actif.</w:t>
      </w:r>
    </w:p>
    <w:p>
      <w:pPr>
        <w:pStyle w:val="ListBullet"/>
      </w:pPr>
      <w:r/>
      <w:r>
        <w:rPr>
          <w:b/>
        </w:rPr>
        <w:t>UN-ALFA</w:t>
      </w:r>
      <w:r>
        <w:t xml:space="preserve"> (CHEPLAPHARM ARZNEIMITTEL GMBH, Allemagne)</w:t>
      </w:r>
    </w:p>
    <w:p>
      <w:pPr>
        <w:pStyle w:val="ListBullet"/>
      </w:pPr>
      <w:r>
        <w:t>Formes et Dosages : Capsule orale 1 µg, B/30 ; Capsule orale 0,25 µg, B/30.</w:t>
      </w:r>
    </w:p>
    <w:p>
      <w:pPr>
        <w:pStyle w:val="ListBullet"/>
      </w:pPr>
      <w:r>
        <w:t>Statut : Actif.</w:t>
      </w:r>
    </w:p>
    <w:p>
      <w:r>
        <w:t>À noter : la disponibilité en deux dosages (0,25 µg et 1 µg) permet une titration fine, indispensable en raison de la marge thérapeutique étroite de la molécule. La titration débute généralement à 0,25–0,5 µg/j et s'augmente par paliers de 0,25 µg tous les 2–4 semaines selon la réponse calcémique.</w:t>
      </w:r>
    </w:p>
    <w:p>
      <w:r/>
      <w:r>
        <w:rPr>
          <w:b/>
        </w:rPr>
        <w:t>Sous-classe et Mécanisme d'action :</w:t>
      </w:r>
      <w:r/>
    </w:p>
    <w:p>
      <w:pPr>
        <w:pStyle w:val="ListBullet"/>
      </w:pPr>
      <w:r/>
      <w:r>
        <w:rPr>
          <w:b/>
        </w:rPr>
        <w:t>Sous-classe :</w:t>
      </w:r>
      <w:r>
        <w:t xml:space="preserve"> Vitamine D — Métabolite actif (prodrogue 1α-hydroxylée). Liste I. Antirachitique de synthèse, indication principalement néphrologique et endocrinienne.</w:t>
      </w:r>
    </w:p>
    <w:p>
      <w:pPr>
        <w:pStyle w:val="ListBullet"/>
      </w:pPr>
      <w:r/>
      <w:r>
        <w:rPr>
          <w:b/>
        </w:rPr>
        <w:t>Mécanisme d'action :</w:t>
      </w:r>
      <w:r>
        <w:t xml:space="preserve"> l'alfacalcidol subit une 25-hydroxylation hépatique rapide (CYP2R1) en </w:t>
      </w:r>
      <w:r>
        <w:rPr>
          <w:b/>
        </w:rPr>
        <w:t>calcitriol</w:t>
      </w:r>
      <w:r>
        <w:t xml:space="preserve"> (1,25-(OH)2-D3), forme biologiquement active de la vitamine D. Le calcitriol se fixe au récepteur nucléaire VDR au niveau des entérocytes, du rein, de l'os et des parathyroïdes. Le complexe VDR-calcitriol hétérodimérise avec le RXR et active la transcription des gènes-cibles : TRPV6 (channel apical du calcium), calbindine-D9k (transport intracellulaire), PMCA1b (pompe Ca-ATPase basolatérale), NaPi-IIb (transport du phosphore), et </w:t>
      </w:r>
      <w:r>
        <w:rPr>
          <w:b/>
        </w:rPr>
        <w:t>répression du gène PTH</w:t>
      </w:r>
      <w:r>
        <w:t xml:space="preserve"> au niveau des parathyroïdes (essentiel dans l'hyperparathyroïdie secondaire de l'IRC). Au niveau osseux, le calcitriol favorise la minéralisation mais, à forte dose, peut stimuler la résorption ostéoclastique (via induction de RANKL par les ostéoblastes).</w:t>
      </w:r>
    </w:p>
    <w:p>
      <w:r/>
      <w:r>
        <w:rPr>
          <w:b/>
        </w:rPr>
        <w:t>Profil Pharmacologique :</w:t>
      </w:r>
      <w:r/>
    </w:p>
    <w:p>
      <w:pPr>
        <w:pStyle w:val="ListBullet"/>
      </w:pPr>
      <w:r/>
      <w:r>
        <w:rPr>
          <w:b/>
        </w:rPr>
        <w:t>Indications :</w:t>
      </w:r>
      <w:r>
        <w:t xml:space="preserve"> (i) </w:t>
      </w:r>
      <w:r>
        <w:rPr>
          <w:b/>
        </w:rPr>
        <w:t>Ostéodystrophie rénale</w:t>
      </w:r>
      <w:r>
        <w:t xml:space="preserve"> de l'insuffisance rénale chronique (IRC stade 3–5, dialysée ou non) — réduction de l'hyperparathyroïdie secondaire, amélioration de la minéralisation osseuse ; (ii) </w:t>
      </w:r>
      <w:r>
        <w:rPr>
          <w:b/>
        </w:rPr>
        <w:t>Hypoparathyroïdie</w:t>
      </w:r>
      <w:r>
        <w:t xml:space="preserve"> post-chirurgicale ou auto-immune (en complément ou alternative à la calcitonine et au calcium) ; (iii) </w:t>
      </w:r>
      <w:r>
        <w:rPr>
          <w:b/>
        </w:rPr>
        <w:t>Pseudo-hypoparathyroïdie</w:t>
      </w:r>
      <w:r>
        <w:t xml:space="preserve"> (résistance PTH-réceptrice) ; (iv) </w:t>
      </w:r>
      <w:r>
        <w:rPr>
          <w:b/>
        </w:rPr>
        <w:t>Rachitisme vitamino-résistant type I</w:t>
      </w:r>
      <w:r>
        <w:t xml:space="preserve"> (déficit congénital en CYP27B1) ; (v) </w:t>
      </w:r>
      <w:r>
        <w:rPr>
          <w:b/>
        </w:rPr>
        <w:t>Ostéoporose post-ménopausique sévère</w:t>
      </w:r>
      <w:r>
        <w:t xml:space="preserve"> avec carence associée (alternative au calcitriol, en seconde intention après échec/intolérance aux bisphosphonates) ; (vi) Ostéomalacie carentielles résistantes à la vitamine D native (malabsorption sévère).</w:t>
      </w:r>
    </w:p>
    <w:p>
      <w:pPr>
        <w:pStyle w:val="ListBullet"/>
      </w:pPr>
      <w:r/>
      <w:r>
        <w:rPr>
          <w:b/>
        </w:rPr>
        <w:t>Contre-indications :</w:t>
      </w:r>
      <w:r>
        <w:t xml:space="preserve"> (i) Hypercalcémie, hypercalciurie ; (ii) Hypervitaminose D ; (iii) Néphrocalcinose, lithiase calcique récidivante ; (iv) Insuffisance rénale sévère sans contrôle phosphoré (hyperphosphatémie non contrôlée par chélateurs) ; (v) Sarcoidose, granulomatoses (synthèse ectopique) ; (vi) Hypersensibilité.</w:t>
      </w:r>
    </w:p>
    <w:p>
      <w:pPr>
        <w:pStyle w:val="ListBullet"/>
      </w:pPr>
      <w:r/>
      <w:r>
        <w:rPr>
          <w:b/>
        </w:rPr>
        <w:t>Effets Indésirables :</w:t>
      </w:r>
      <w:r/>
    </w:p>
    <w:p>
      <w:pPr>
        <w:pStyle w:val="ListBullet"/>
      </w:pPr>
      <w:r/>
      <w:r>
        <w:rPr>
          <w:b/>
        </w:rPr>
        <w:t>Hypercalcémie</w:t>
      </w:r>
      <w:r>
        <w:t xml:space="preserve"> (effet de classe principal) : anorexie, nausées, vomissements, polyurie-polydipsie, asthénie, constipation, allongement QTc, troubles du rythme. La surveillance hebdomadaire de la calcémie en début de traitement est impérative.</w:t>
      </w:r>
    </w:p>
    <w:p>
      <w:pPr>
        <w:pStyle w:val="ListBullet"/>
      </w:pPr>
      <w:r/>
      <w:r>
        <w:rPr>
          <w:b/>
        </w:rPr>
        <w:t>Hypercalciurie</w:t>
      </w:r>
      <w:r>
        <w:t xml:space="preserve"> et lithiase : surveillance de la calciurie des 24 h, maintien &lt; 4 mg/kg/j.</w:t>
      </w:r>
    </w:p>
    <w:p>
      <w:pPr>
        <w:pStyle w:val="ListBullet"/>
      </w:pPr>
      <w:r/>
      <w:r>
        <w:rPr>
          <w:b/>
        </w:rPr>
        <w:t>Hyperphosphatémie</w:t>
      </w:r>
      <w:r>
        <w:t xml:space="preserve"> (en cas d'apport phosphoré non contrôlé en IRC) — nécessité d'associer des chélateurs du phosphore (sévélamer, lanthane) et un contrôle diététique.</w:t>
      </w:r>
    </w:p>
    <w:p>
      <w:pPr>
        <w:pStyle w:val="ListBullet"/>
      </w:pPr>
      <w:r/>
      <w:r>
        <w:rPr>
          <w:b/>
        </w:rPr>
        <w:t>Calcifications vasculaires et tissulaires</w:t>
      </w:r>
      <w:r>
        <w:t xml:space="preserve"> en cas d'administration prolongée avec hyperphosphatémie — risque cardiovasculaire accru.</w:t>
      </w:r>
    </w:p>
    <w:p>
      <w:pPr>
        <w:pStyle w:val="ListBullet"/>
      </w:pPr>
      <w:r/>
      <w:r>
        <w:rPr>
          <w:b/>
        </w:rPr>
        <w:t>Diminution de la PTH</w:t>
      </w:r>
      <w:r>
        <w:t xml:space="preserve"> à un niveau trop bas en IRC (adynamique osseuse — sur-suppression parathyroïdienne — risque fracturaire par défaut de remodelage).</w:t>
      </w:r>
    </w:p>
    <w:p>
      <w:r/>
      <w:r>
        <w:rPr>
          <w:b/>
        </w:rPr>
        <w:t>Prévention et Gestion des Effets Indésirables :</w:t>
      </w:r>
      <w:r/>
    </w:p>
    <w:p>
      <w:pPr>
        <w:pStyle w:val="ListBullet"/>
      </w:pPr>
      <w:r/>
      <w:r>
        <w:rPr>
          <w:b/>
        </w:rPr>
        <w:t>Mesures Préventives :</w:t>
      </w:r>
      <w:r>
        <w:t xml:space="preserve"> surveillance hebdomadaire de la calcémie, calciurie des 24 h, phosphorémie, créatininémie, et PTH intacte (iPTH) pendant la titration (1 fois/semaine pendant 1 mois, puis 1 fois/mois en équilibre, puis 1 fois/trimestre) ; objectif PTH 2–9× LSN en IRC dialysée (KDIGO 2017) ; alimentation contrôlée en phosphore ; hydratation suffisante (1,5–2 L/j) ; administration au cours d'un repas.</w:t>
      </w:r>
    </w:p>
    <w:p>
      <w:pPr>
        <w:pStyle w:val="ListBullet"/>
      </w:pPr>
      <w:r/>
      <w:r>
        <w:rPr>
          <w:b/>
        </w:rPr>
        <w:t>Conduite à Tenir :</w:t>
      </w:r>
      <w:r>
        <w:t xml:space="preserve"> en cas d'hypercalcémie : arrêt immédiat de l'alfacalcidol et du calcium, hydratation IV abondante, furosémide IV si nécessaire, réévaluation de la posologie après normalisation (souvent à dose réduite). En cas de sur-suppression de la PTH (iPTH &lt; 2× LSN) : réduction de dose voire arrêt transitoire pour éviter l'adynamique osseuse.</w:t>
      </w:r>
    </w:p>
    <w:p>
      <w:r/>
      <w:r>
        <w:rPr>
          <w:b/>
        </w:rPr>
        <w:t>Interactions Importantes :</w:t>
      </w:r>
      <w:r/>
    </w:p>
    <w:p>
      <w:pPr>
        <w:pStyle w:val="ListBullet"/>
      </w:pPr>
      <w:r/>
      <w:r>
        <w:rPr>
          <w:b/>
        </w:rPr>
        <w:t>Alfacalcidol + Chélateurs du phosphore (sévélamer, lanthane, chélateurs calciques)</w:t>
      </w:r>
      <w:r>
        <w:t xml:space="preserve"> : l'alfacalcidol stimule l'absorption intestinale du phosphore ; les chélateurs sont nécessaires pour contrôler la phosphatémie.</w:t>
      </w:r>
    </w:p>
    <w:p>
      <w:pPr>
        <w:pStyle w:val="ListBullet"/>
      </w:pPr>
      <w:r/>
      <w:r>
        <w:rPr>
          <w:b/>
        </w:rPr>
        <w:t>Alfacalcidol + Digitaliques</w:t>
      </w:r>
      <w:r>
        <w:t xml:space="preserve"> : hypercalcémie → arythmies sévères.</w:t>
      </w:r>
    </w:p>
    <w:p>
      <w:pPr>
        <w:pStyle w:val="ListBullet"/>
      </w:pPr>
      <w:r/>
      <w:r>
        <w:rPr>
          <w:b/>
        </w:rPr>
        <w:t>Alfacalcidol + Diurétiques thiazidiques</w:t>
      </w:r>
      <w:r>
        <w:t xml:space="preserve"> : potentialisation de l'hypercalcémie.</w:t>
      </w:r>
    </w:p>
    <w:p>
      <w:pPr>
        <w:pStyle w:val="ListBullet"/>
      </w:pPr>
      <w:r/>
      <w:r>
        <w:rPr>
          <w:b/>
        </w:rPr>
        <w:t>Alfacalcidol + Inducteurs enzymatiques (rifampicine, phénytoïne, carbamazépine)</w:t>
      </w:r>
      <w:r>
        <w:t xml:space="preserve"> : accélération du catabolisme par CYP24A1 — diminution d'efficacité.</w:t>
      </w:r>
    </w:p>
    <w:p>
      <w:pPr>
        <w:pStyle w:val="ListBullet"/>
      </w:pPr>
      <w:r/>
      <w:r>
        <w:rPr>
          <w:b/>
        </w:rPr>
        <w:t>Alfacalcidol + Calcium</w:t>
      </w:r>
      <w:r>
        <w:t xml:space="preserve"> : addition des effets hypercémiants — surveillance étroite, ajustement posologique.</w:t>
      </w:r>
    </w:p>
    <w:p>
      <w:pPr>
        <w:pStyle w:val="ListBullet"/>
      </w:pPr>
      <w:r/>
      <w:r>
        <w:rPr>
          <w:b/>
        </w:rPr>
        <w:t>Alfacalcidol + Bisphosphonates</w:t>
      </w:r>
      <w:r>
        <w:t xml:space="preserve"> : effet antagoniste thérapeutique potentiel (l'alfacalcidol stimule le remodelage osseux, les bisphosphonates le freinent) — à évaluer selon le contexte (IRC avec ostéoporose associée).</w:t>
      </w:r>
    </w:p>
    <w:p>
      <w:r/>
      <w:r>
        <w:rPr>
          <w:b/>
        </w:rPr>
        <w:t>Grossesse et Allaitement :</w:t>
      </w:r>
      <w:r/>
    </w:p>
    <w:p>
      <w:pPr>
        <w:pStyle w:val="ListBullet"/>
      </w:pPr>
      <w:r/>
      <w:r>
        <w:rPr>
          <w:b/>
        </w:rPr>
        <w:t>Grossesse :</w:t>
      </w:r>
      <w:r>
        <w:t xml:space="preserve"> Compatible (CRAT) aux doses thérapeutiques recommandées, mais à utiliser avec prudence en raison du risque d'hypercalcémie maternelle et fœtale (néphrocalcinose fœtale). À réserver aux indications vitales (hypoparathyroïdie maternelle, IRC) ; surveillance hebdomadaire de la calcémie.</w:t>
      </w:r>
    </w:p>
    <w:p>
      <w:pPr>
        <w:pStyle w:val="ListBullet"/>
      </w:pPr>
      <w:r/>
      <w:r>
        <w:rPr>
          <w:b/>
        </w:rPr>
        <w:t>Allaitement :</w:t>
      </w:r>
      <w:r>
        <w:t xml:space="preserve"> Compatible. L'alfacalcidol et son métabolite calcitriol passent dans le lait maternel, mais à doses thérapeutiques maternelles, les concentrations lactées sont faibles et sans risque pour le nourrisson.</w:t>
      </w:r>
    </w:p>
    <w:p>
      <w:pPr>
        <w:pStyle w:val="ListBullet"/>
      </w:pPr>
      <w:r/>
      <w:r>
        <w:rPr>
          <w:b/>
        </w:rPr>
        <w:t>Précisions :</w:t>
      </w:r>
      <w:r>
        <w:t xml:space="preserve"> En cas d'hypoparathyroïdie maternelle, le traitement par alfacalcidol doit être maintenu pendant la grossesse avec surveillance rapprochée (la grossesse augmente les besoins calciques).</w:t>
      </w:r>
    </w:p>
    <w:p>
      <w:r/>
      <w:r>
        <w:rPr>
          <w:b/>
        </w:rPr>
        <w:t>Posologie et Mode d'administration (Standard) :</w:t>
      </w:r>
      <w:r/>
    </w:p>
    <w:p>
      <w:pPr>
        <w:pStyle w:val="ListBullet"/>
      </w:pPr>
      <w:r/>
      <w:r>
        <w:rPr>
          <w:b/>
        </w:rPr>
        <w:t>Adulte — IRC dialysée ou non :</w:t>
      </w:r>
      <w:r>
        <w:t xml:space="preserve"> dose initiale 0,25–0,5 µg/j, à augmenter par paliers de 0,25 µg tous les 2–4 semaines selon la calcémie, phosphorémie et PTH. Dose d'entretien habituelle 0,5–1 µg/j (parfois jusqu'à 2 µg/j). À ajuster selon la fonction rénale résiduelle et la réponse PTH.</w:t>
      </w:r>
    </w:p>
    <w:p>
      <w:pPr>
        <w:pStyle w:val="ListBullet"/>
      </w:pPr>
      <w:r/>
      <w:r>
        <w:rPr>
          <w:b/>
        </w:rPr>
        <w:t>Hypoparathyroïdie :</w:t>
      </w:r>
      <w:r>
        <w:t xml:space="preserve"> dose initiale 0,5–1 µg/j, à titrer pour maintenir la calcémie dans la limite basse de la normale (2,0–2,2 mmol/L) afin d'éviter l'hypercalciurie et la néphrocalcinose.</w:t>
      </w:r>
    </w:p>
    <w:p>
      <w:pPr>
        <w:pStyle w:val="ListBullet"/>
      </w:pPr>
      <w:r/>
      <w:r>
        <w:rPr>
          <w:b/>
        </w:rPr>
        <w:t>Sujet âgé :</w:t>
      </w:r>
      <w:r>
        <w:t xml:space="preserve"> dose initiale réduite 0,25 µg/j, titration prudente.</w:t>
      </w:r>
    </w:p>
    <w:p>
      <w:pPr>
        <w:pStyle w:val="ListBullet"/>
      </w:pPr>
      <w:r/>
      <w:r>
        <w:rPr>
          <w:b/>
        </w:rPr>
        <w:t>Enfant &gt; 20 kg :</w:t>
      </w:r>
      <w:r>
        <w:t xml:space="preserve"> 0,25–1 µg/j selon la pathologie et le poids.</w:t>
      </w:r>
    </w:p>
    <w:p>
      <w:pPr>
        <w:pStyle w:val="ListBullet"/>
      </w:pPr>
      <w:r/>
      <w:r>
        <w:rPr>
          <w:b/>
        </w:rPr>
        <w:t>Durée :</w:t>
      </w:r>
      <w:r>
        <w:t xml:space="preserve"> au long cours, à vie en cas d'IRC ou d'hypoparathyroïdie chronique. Réévaluation régulière.</w:t>
      </w:r>
    </w:p>
    <w:p>
      <w:pPr>
        <w:pStyle w:val="ListBullet"/>
      </w:pPr>
      <w:r/>
      <w:r>
        <w:rPr>
          <w:b/>
        </w:rPr>
        <w:t>Moment de prise :</w:t>
      </w:r>
      <w:r>
        <w:t xml:space="preserve"> pendant un repas, de préférence le soir (meilleure tolérance digestive).</w:t>
      </w:r>
    </w:p>
    <w:p>
      <w:r/>
      <w:r>
        <w:rPr>
          <w:b/>
        </w:rPr>
        <w:t>Arbitrage et Bénéfices des Formes Galéniques :</w:t>
      </w:r>
      <w:r/>
    </w:p>
    <w:p>
      <w:pPr>
        <w:pStyle w:val="ListBullet"/>
      </w:pPr>
      <w:r/>
      <w:r>
        <w:rPr>
          <w:b/>
        </w:rPr>
        <w:t>Capsule molle 0,25 µg et 1 µg :</w:t>
      </w:r>
      <w:r>
        <w:t xml:space="preserve"> permet une titration fine par paliers de 0,25 µg, adaptée aux variations physiopathologiques (IRC, hypoparathyroïdie).</w:t>
      </w:r>
    </w:p>
    <w:p>
      <w:pPr>
        <w:pStyle w:val="ListBullet"/>
      </w:pPr>
      <w:r/>
      <w:r>
        <w:rPr>
          <w:b/>
        </w:rPr>
        <w:t>Capsule vs comprimé :</w:t>
      </w:r>
      <w:r>
        <w:t xml:space="preserve"> la capsule molle facilite l'absorption et améliore la biodisponibilité (molécule liposoluble), mais la voie pédiatrique n'a pas de forme liquide en Algérie (à diluer le contenu de la capsule dans un peu d'huile ou d'eau, à utiliser immédiatement).</w:t>
      </w:r>
    </w:p>
    <w:p>
      <w:pPr>
        <w:pStyle w:val="ListBullet"/>
      </w:pPr>
      <w:r/>
      <w:r>
        <w:rPr>
          <w:b/>
        </w:rPr>
        <w:t>Choix vs calcitriol :</w:t>
      </w:r>
      <w:r>
        <w:t xml:space="preserve"> l'alfacalcidol a une onset d'action plus progressive et une demi-vie plasmatique plus longue, ce qui réduit le risque d'hypercalcémie aiguë et facilite la surveillance.</w:t>
      </w:r>
    </w:p>
    <w:p>
      <w:r/>
      <w:r>
        <w:rPr>
          <w:b/>
        </w:rPr>
        <w:t>Instructions et Conseils au Patient :</w:t>
      </w:r>
      <w:r/>
    </w:p>
    <w:p>
      <w:pPr>
        <w:pStyle w:val="ListBullet"/>
      </w:pPr>
      <w:r/>
      <w:r>
        <w:rPr>
          <w:b/>
        </w:rPr>
        <w:t>Communication au comptoir :</w:t>
      </w:r>
      <w:r>
        <w:t xml:space="preserve"> « L'alfacalcidol (Un-Alfa, Supra Calci) est une forme active de vitamine D, indiquée en cas d'insuffisance rénale ou de trouble parathyroïdien. À prendre le soir pendant un repas. Respecter strictement la posologie prescrite. Prévenir votre médecin en cas de nausées, vomissements, fatigue, ou mictions abondantes. Ne pas associer de supplément calcique sans avis médical. »</w:t>
      </w:r>
    </w:p>
    <w:p>
      <w:pPr>
        <w:pStyle w:val="ListBullet"/>
      </w:pPr>
      <w:r/>
      <w:r>
        <w:rPr>
          <w:b/>
        </w:rPr>
        <w:t>Mode d'utilisation pratique :</w:t>
      </w:r>
      <w:r>
        <w:t xml:space="preserve"> prise quotidienne à heure fixe (le soir) ; ne pas doubler la dose en cas d'oubli ; surveillance biologique mensuelle en début de traitement, puis trimestrielle.</w:t>
      </w:r>
    </w:p>
    <w:p>
      <w:r/>
      <w:r>
        <w:rPr>
          <w:b/>
        </w:rPr>
        <w:t>Notes, Règles d'Or &amp; Pièges au Comptoir :</w:t>
      </w:r>
      <w:r/>
    </w:p>
    <w:p>
      <w:pPr>
        <w:pStyle w:val="ListBullet"/>
      </w:pPr>
      <w:r/>
      <w:r>
        <w:rPr>
          <w:b/>
        </w:rPr>
        <w:t>Piège classique :</w:t>
      </w:r>
      <w:r>
        <w:t xml:space="preserve"> (i) Surdosage iatrogène en cas de poursuite d'une supplémentation calcique orale concomitante non réévaluée après initiation de l'alfacalcidol — hypercalcémie sévère possible ; (ii) Confusion avec la vitamine D3 native (colecalciferol) qui, elle, nécessite une hydroxylation rénale — erreur d'indication ; (iii) Oubli du contrôle de la phosphatémie en IRC — risque de calcifications vasculaires ; (iv) Sur-suppression de la PTH (iPTH &lt; 100 pg/mL) en IRC dialysée — risque d'adynamique osseuse.</w:t>
      </w:r>
    </w:p>
    <w:p>
      <w:pPr>
        <w:pStyle w:val="ListBullet"/>
      </w:pPr>
      <w:r/>
      <w:r>
        <w:rPr>
          <w:b/>
        </w:rPr>
        <w:t>Règle de prise :</w:t>
      </w:r>
      <w:r>
        <w:t xml:space="preserve"> le soir pendant un repas ; sans supplémentation calcique non contrôlée ; surveillance régulière de la calcémie, calciurie et PTH.</w:t>
      </w:r>
    </w:p>
    <w:p>
      <w:pPr>
        <w:pStyle w:val="ListBullet"/>
      </w:pPr>
      <w:r/>
      <w:r>
        <w:rPr>
          <w:b/>
        </w:rPr>
        <w:t>Préparation et Conservation :</w:t>
      </w:r>
      <w:r>
        <w:t xml:space="preserve"> à température ambiante (15–25 °C), à l'abri de la lumière, de la chaleur et de l'humidité. Les capsules molles doivent rester dans leur emballage d'origine.</w:t>
      </w:r>
    </w:p>
    <w:p>
      <w:pPr>
        <w:pStyle w:val="ListBullet"/>
      </w:pPr>
      <w:r/>
      <w:r>
        <w:rPr>
          <w:b/>
        </w:rPr>
        <w:t>Piège du surdosage / Substitution :</w:t>
      </w:r>
      <w:r>
        <w:t xml:space="preserve"> ne pas substituer Un-Alfa 0,25 µg par Un-Alfa 1 µg sans recalcul (dose 4× supérieure) ; ne pas confondre avec les suppléments vitaminiques D3 "classiques" — l'alfacalcidol est ~100 fois plus puissant et nécessite une surveillance biologique stricte.</w:t>
      </w:r>
    </w:p>
    <w:p>
      <w:pPr>
        <w:pStyle w:val="Heading2"/>
      </w:pPr>
      <w:r>
        <w:t>III. Sous-classe : Vitamine D — Métabolite 25-OH (Calcifédiol)</w:t>
      </w:r>
    </w:p>
    <w:p>
      <w:pPr>
        <w:pStyle w:val="Heading3"/>
      </w:pPr>
      <w:r>
        <w:t>Introduction à la sous-classe</w:t>
      </w:r>
    </w:p>
    <w:p>
      <w:r>
        <w:t xml:space="preserve">Le </w:t>
      </w:r>
      <w:r>
        <w:rPr>
          <w:b/>
        </w:rPr>
        <w:t>calcifédiol</w:t>
      </w:r>
      <w:r>
        <w:t xml:space="preserve"> (25-hydroxyvitamine D3) est le métabolite intermédiaire de la vitamine D, produit par 25-hydroxylation hépatique du cholécalciférol. Il représente la </w:t>
      </w:r>
      <w:r>
        <w:rPr>
          <w:b/>
        </w:rPr>
        <w:t>forme circulante majoritaire</w:t>
      </w:r>
      <w:r>
        <w:t xml:space="preserve"> de la vitamine D (demi-vie plasmatique 2–3 semaines vs quelques heures pour le calcitriol), et son dosage sérique est l'indicateur de référence du statut vitaminique D. Administré comme médicament, le calcifédiol présente l'avantage d'une </w:t>
      </w:r>
      <w:r>
        <w:rPr>
          <w:b/>
        </w:rPr>
        <w:t xml:space="preserve"> onset d'action plus rapide</w:t>
      </w:r>
      <w:r>
        <w:t xml:space="preserve"> que la vitamine D3 (effet en 2 semaines vs 4–6 semaines) et d'une efficacité supérieure en cas d'insuffisance hépatique sévère (cirrhose, hépatopathies — la 25-hydroxylation CYP2R1 est compromise).</w:t>
      </w:r>
    </w:p>
    <w:p>
      <w:r>
        <w:t>Le calcifédiol est principalement indiqué dans le traitement curatif de la carence en vitamine D, particulièrement chez l'insuffisant hépatique et chez l'obèse (séquestration adipeuse de la D3 native). Sa tolérance est similaire à la vitamine D native (marge thérapeutique large à doses prophylactiques), mais le risque d'hypercalcémie existe à doses massives.</w:t>
      </w:r>
    </w:p>
    <w:p>
      <w:pPr>
        <w:pStyle w:val="Heading3"/>
      </w:pPr>
      <w:r>
        <w:t>4. DCI : Calcifédiol (25-OH-D3) (Seule)</w:t>
      </w:r>
    </w:p>
    <w:p>
      <w:r/>
      <w:r>
        <w:rPr>
          <w:b/>
        </w:rPr>
        <w:t>Liste des Catégories :</w:t>
      </w:r>
      <w:r>
        <w:t xml:space="preserve"> Liste II (spécialité Dedrogyl).</w:t>
      </w:r>
    </w:p>
    <w:p>
      <w:r>
        <w:t xml:space="preserve">Le calcifédiol (25-hydroxycholécalciférol, 25-OH-D3) est le métabolite 25-hydroxylé de la vitamine D3, produit physiologiquement par le foie (CYP2R1). Sa forme médicamenteuse est historiquement commercialisée sous le nom de </w:t>
      </w:r>
      <w:r>
        <w:rPr>
          <w:b/>
        </w:rPr>
        <w:t>Dedrogyl</w:t>
      </w:r>
      <w:r>
        <w:t xml:space="preserve"> (Desma Pharma), en solution buvable en gouttes à 5 µg/goutte, soit 200 UI/goutte. Cette présentation galénique en gouttes permet une titration fine adaptée à la pédiatrie, à la grossesse et aux patients âgés, avec une onset d'action intermédiaire entre la vitamine D3 native (plus lente) et le calcitriol (immédiate). La demi-vie plasmatique est de 2–3 semaines, autorisant une administration quotidienne ou hebdomadaire.</w:t>
      </w:r>
    </w:p>
    <w:p>
      <w:r/>
      <w:r>
        <w:rPr>
          <w:b/>
        </w:rPr>
        <w:t>Médicaments disponibles en Algérie (Marques, Laboratoires, Formes et Dosages) :</w:t>
      </w:r>
      <w:r/>
    </w:p>
    <w:p>
      <w:pPr>
        <w:pStyle w:val="ListBullet"/>
      </w:pPr>
      <w:r/>
      <w:r>
        <w:rPr>
          <w:b/>
        </w:rPr>
        <w:t>DEDROGYL</w:t>
      </w:r>
      <w:r>
        <w:t xml:space="preserve"> (DESMA PHARMA)</w:t>
      </w:r>
    </w:p>
    <w:p>
      <w:pPr>
        <w:pStyle w:val="ListBullet"/>
      </w:pPr>
      <w:r>
        <w:t>Formes et Dosages : Solution buvable en gouttes 5 µg/goutte, flacon de 10 mL.</w:t>
      </w:r>
    </w:p>
    <w:p>
      <w:pPr>
        <w:pStyle w:val="ListBullet"/>
      </w:pPr>
      <w:r>
        <w:t>Statut : Actif. Liste II.</w:t>
      </w:r>
    </w:p>
    <w:p>
      <w:r>
        <w:t xml:space="preserve">À noter : le calcifédiol est disponible </w:t>
      </w:r>
      <w:r>
        <w:rPr>
          <w:b/>
        </w:rPr>
        <w:t>exclusivement</w:t>
      </w:r>
      <w:r>
        <w:t xml:space="preserve"> sous la forme de solution buvable en gouttes, à la concentration de 5 µg par goutte. Cette présentation, héritière de la tradition française des "gouttes de vitamine D", est particulièrement adaptée à la pédiatrie (1 goutte = 200 UI, soit la dose prophylactique quotidienne du nourrisson). Le flacon de 10 mL contient environ 300 gouttes, soit 1500 µg (60 000 UI).</w:t>
      </w:r>
    </w:p>
    <w:p>
      <w:r/>
      <w:r>
        <w:rPr>
          <w:b/>
        </w:rPr>
        <w:t>Sous-classe et Mécanisme d'action :</w:t>
      </w:r>
      <w:r/>
    </w:p>
    <w:p>
      <w:pPr>
        <w:pStyle w:val="ListBullet"/>
      </w:pPr>
      <w:r/>
      <w:r>
        <w:rPr>
          <w:b/>
        </w:rPr>
        <w:t>Sous-classe :</w:t>
      </w:r>
      <w:r>
        <w:t xml:space="preserve"> Vitamine D — Métabolite 25-OH. Liste II. Antirachitique intermédiaire.</w:t>
      </w:r>
    </w:p>
    <w:p>
      <w:pPr>
        <w:pStyle w:val="ListBullet"/>
      </w:pPr>
      <w:r/>
      <w:r>
        <w:rPr>
          <w:b/>
        </w:rPr>
        <w:t>Mécanisme d'action :</w:t>
      </w:r>
      <w:r>
        <w:t xml:space="preserve"> le calcifédiol est directement absorbé et transporté par la VDBP (Vitamin D Binding Protein) sans nécessiter la 25-hydroxylation hépatique. Il subit ensuite une 1α-hydroxylation rénale (CYP27B1) en </w:t>
      </w:r>
      <w:r>
        <w:rPr>
          <w:b/>
        </w:rPr>
        <w:t>calcitriol</w:t>
      </w:r>
      <w:r>
        <w:t xml:space="preserve"> (1,25-(OH)2-D3), ligand du récepteur nucléaire VDR. Le complexe VDR-calcitriol active la transcription des gènes-cibles (CALB1, TRPV6, PMCA1b, NaPi-IIb) augmentant l'absorption intestinale du calcium et du phosphore. La régulation de la 1α-hydroxylation par la PTH et le FGF23 permet un rétrocontrôle physiologique : en cas d'hypercalcémie, la PTH baisse, la CYP27B1 est réprimée, et la conversion en calcitriol diminue — d'où une </w:t>
      </w:r>
      <w:r>
        <w:rPr>
          <w:b/>
        </w:rPr>
        <w:t>marge thérapeutique plus large</w:t>
      </w:r>
      <w:r>
        <w:t xml:space="preserve"> que le calcitriol directement actif. Le calcifédiol a un onset d'action de 2 semaines (vs 4–6 semaines pour la D3 native, vs 1–3 jours pour le calcitriol).</w:t>
      </w:r>
    </w:p>
    <w:p>
      <w:r/>
      <w:r>
        <w:rPr>
          <w:b/>
        </w:rPr>
        <w:t>Profil Pharmacologique :</w:t>
      </w:r>
      <w:r/>
    </w:p>
    <w:p>
      <w:pPr>
        <w:pStyle w:val="ListBullet"/>
      </w:pPr>
      <w:r/>
      <w:r>
        <w:rPr>
          <w:b/>
        </w:rPr>
        <w:t>Indications :</w:t>
      </w:r>
      <w:r>
        <w:t xml:space="preserve"> (i) </w:t>
      </w:r>
      <w:r>
        <w:rPr>
          <w:b/>
        </w:rPr>
        <w:t>Carence en vitamine D</w:t>
      </w:r>
      <w:r>
        <w:t xml:space="preserve"> avec besoin d'action rapide (correction en 2–4 semaines) ; (ii) </w:t>
      </w:r>
      <w:r>
        <w:rPr>
          <w:b/>
        </w:rPr>
        <w:t>Insuffisance hépatique</w:t>
      </w:r>
      <w:r>
        <w:t xml:space="preserve"> (cirrhose, hépatopathie chronique) où la 25-hydroxylation CYP2R1 est compromise — le calcifédiol court-circuite cette étape ; (iii) </w:t>
      </w:r>
      <w:r>
        <w:rPr>
          <w:b/>
        </w:rPr>
        <w:t>Obésité morbide</w:t>
      </w:r>
      <w:r>
        <w:t xml:space="preserve"> (séquestration adipeuse de la vitamine D native — le calcifédiol, moins lipophile, a une meilleure biodisponibilité) ; (iv) </w:t>
      </w:r>
      <w:r>
        <w:rPr>
          <w:b/>
        </w:rPr>
        <w:t>Syndromes de malabsorption</w:t>
      </w:r>
      <w:r>
        <w:t xml:space="preserve"> (crohn, résection intestinale, mucoviscidose) — absorption facilitée par rapport à la vitamine D liposoluble ; (v) </w:t>
      </w:r>
      <w:r>
        <w:rPr>
          <w:b/>
        </w:rPr>
        <w:t>Rachitisme carentiel</w:t>
      </w:r>
      <w:r>
        <w:t xml:space="preserve"> et ostéomalacie ; (vi) Prévention des chutes du sujet âgé (effet musculaire et neuroprotecteur).</w:t>
      </w:r>
    </w:p>
    <w:p>
      <w:pPr>
        <w:pStyle w:val="ListBullet"/>
      </w:pPr>
      <w:r/>
      <w:r>
        <w:rPr>
          <w:b/>
        </w:rPr>
        <w:t>Contre-indications :</w:t>
      </w:r>
      <w:r>
        <w:t xml:space="preserve"> (i) Hypercalcémie, hypercalciurie ; (ii) Hypervitaminose D ; (iii) Néphrocalcinose, lithiase calcique récidivante ; (iv) Sarcoidose, granulomatoses (synthèse ectopique par les macrophages activés) ; (v) Insuffisance rénale avec hyperphosphatémie (sans contrôle phosphoré) ; (vi) Hypersensibilité au propylène glycol (excipient de la solution).</w:t>
      </w:r>
    </w:p>
    <w:p>
      <w:pPr>
        <w:pStyle w:val="ListBullet"/>
      </w:pPr>
      <w:r/>
      <w:r>
        <w:rPr>
          <w:b/>
        </w:rPr>
        <w:t>Effets Indésirables :</w:t>
      </w:r>
      <w:r/>
    </w:p>
    <w:p>
      <w:pPr>
        <w:pStyle w:val="ListBullet"/>
      </w:pPr>
      <w:r/>
      <w:r>
        <w:rPr>
          <w:b/>
        </w:rPr>
        <w:t>Hypercalcémie</w:t>
      </w:r>
      <w:r>
        <w:t xml:space="preserve"> à doses massives (surdosage chronique) : anorexie, nausées, vomissements, polyurie-polydipsie, asthénie, constipation, allongement QTc.</w:t>
      </w:r>
    </w:p>
    <w:p>
      <w:pPr>
        <w:pStyle w:val="ListBullet"/>
      </w:pPr>
      <w:r/>
      <w:r>
        <w:rPr>
          <w:b/>
        </w:rPr>
        <w:t>Hypercalciurie</w:t>
      </w:r>
      <w:r>
        <w:t xml:space="preserve"> et lithiase calcique : surveillance utile chez les lithiasiques.</w:t>
      </w:r>
    </w:p>
    <w:p>
      <w:pPr>
        <w:pStyle w:val="ListBullet"/>
      </w:pPr>
      <w:r/>
      <w:r>
        <w:rPr>
          <w:b/>
        </w:rPr>
        <w:t>Hyperphosphatémie</w:t>
      </w:r>
      <w:r>
        <w:t xml:space="preserve"> en IRC (réduction de l'excrétion phosphatée).</w:t>
      </w:r>
    </w:p>
    <w:p>
      <w:pPr>
        <w:pStyle w:val="ListBullet"/>
      </w:pPr>
      <w:r/>
      <w:r>
        <w:rPr>
          <w:b/>
        </w:rPr>
        <w:t>Goût métallique</w:t>
      </w:r>
      <w:r>
        <w:t xml:space="preserve"> transitoire (propylène glycol de la solution).</w:t>
      </w:r>
    </w:p>
    <w:p>
      <w:pPr>
        <w:pStyle w:val="ListBullet"/>
      </w:pPr>
      <w:r/>
      <w:r>
        <w:rPr>
          <w:b/>
        </w:rPr>
        <w:t>Réactions allergiques</w:t>
      </w:r>
      <w:r>
        <w:t xml:space="preserve"> rares (excipients).</w:t>
      </w:r>
    </w:p>
    <w:p>
      <w:r/>
      <w:r>
        <w:rPr>
          <w:b/>
        </w:rPr>
        <w:t>Prévention et Gestion des Effets Indésirables :</w:t>
      </w:r>
      <w:r/>
    </w:p>
    <w:p>
      <w:pPr>
        <w:pStyle w:val="ListBullet"/>
      </w:pPr>
      <w:r/>
      <w:r>
        <w:rPr>
          <w:b/>
        </w:rPr>
        <w:t>Mesures Préventives :</w:t>
      </w:r>
      <w:r>
        <w:t xml:space="preserve"> dosage initial de la 25-OH-vitamine D sérique ; surveillance de la calcémie et calciurie des 24 h après 1 mois puis tous les 3–6 mois si traitement prolongé à forte dose ; hydratation suffisante (1,5–2 L/j) ; alimentation équilibrée en calcium (apport quotidien total ≤ 1000–1200 mg/j) ; éviter l'association à des suppléments calciques non contrôlés.</w:t>
      </w:r>
    </w:p>
    <w:p>
      <w:pPr>
        <w:pStyle w:val="ListBullet"/>
      </w:pPr>
      <w:r/>
      <w:r>
        <w:rPr>
          <w:b/>
        </w:rPr>
        <w:t>Conduite à Tenir :</w:t>
      </w:r>
      <w:r>
        <w:t xml:space="preserve"> en cas d'hypercalcémie : arrêt du calcifédiol et du calcium, hydratation IV abondante (sérum physiologique 3–4 L/24 h), furosémide IV en cas d'insuffisance rénale aiguë associée, surveillance ECG (QTc).</w:t>
      </w:r>
    </w:p>
    <w:p>
      <w:r/>
      <w:r>
        <w:rPr>
          <w:b/>
        </w:rPr>
        <w:t>Interactions Importantes :</w:t>
      </w:r>
      <w:r/>
    </w:p>
    <w:p>
      <w:pPr>
        <w:pStyle w:val="ListBullet"/>
      </w:pPr>
      <w:r/>
      <w:r>
        <w:rPr>
          <w:b/>
        </w:rPr>
        <w:t>Calcifédiol + Diurétiques thiazidiques</w:t>
      </w:r>
      <w:r>
        <w:t xml:space="preserve"> : potentialisation de l'hypercalcémie (réduction de l'excrétion urinaire de calcium).</w:t>
      </w:r>
    </w:p>
    <w:p>
      <w:pPr>
        <w:pStyle w:val="ListBullet"/>
      </w:pPr>
      <w:r/>
      <w:r>
        <w:rPr>
          <w:b/>
        </w:rPr>
        <w:t>Calcifédiol + Digitaliques</w:t>
      </w:r>
      <w:r>
        <w:t xml:space="preserve"> : hypercalcémie → arythmies ventriculaires sévères.</w:t>
      </w:r>
    </w:p>
    <w:p>
      <w:pPr>
        <w:pStyle w:val="ListBullet"/>
      </w:pPr>
      <w:r/>
      <w:r>
        <w:rPr>
          <w:b/>
        </w:rPr>
        <w:t>Calcifédiol + Inducteurs enzymatiques</w:t>
      </w:r>
      <w:r>
        <w:t xml:space="preserve"> (rifampicine, phénytoïne, carbamazépine) : accélération du catabolisme par CYP24A1 induit.</w:t>
      </w:r>
    </w:p>
    <w:p>
      <w:pPr>
        <w:pStyle w:val="ListBullet"/>
      </w:pPr>
      <w:r/>
      <w:r>
        <w:rPr>
          <w:b/>
        </w:rPr>
        <w:t>Calcifédiol + Cholestyramine, orlistat, huile de paraffine</w:t>
      </w:r>
      <w:r>
        <w:t xml:space="preserve"> : absorption réduite (chélation dans la lumière intestinale) — espacer la prise d'au moins 2 h.</w:t>
      </w:r>
    </w:p>
    <w:p>
      <w:pPr>
        <w:pStyle w:val="ListBullet"/>
      </w:pPr>
      <w:r/>
      <w:r>
        <w:rPr>
          <w:b/>
        </w:rPr>
        <w:t>Calcifédiol + Corticoïdes</w:t>
      </w:r>
      <w:r>
        <w:t xml:space="preserve"> : antagonisme (les corticoïdes réduisent l'absorption intestinale du calcium et stimulent la résorption osseuse).</w:t>
      </w:r>
    </w:p>
    <w:p>
      <w:r/>
      <w:r>
        <w:rPr>
          <w:b/>
        </w:rPr>
        <w:t>Grossesse et Allaitement :</w:t>
      </w:r>
      <w:r/>
    </w:p>
    <w:p>
      <w:pPr>
        <w:pStyle w:val="ListBullet"/>
      </w:pPr>
      <w:r/>
      <w:r>
        <w:rPr>
          <w:b/>
        </w:rPr>
        <w:t>Grossesse :</w:t>
      </w:r>
      <w:r>
        <w:t xml:space="preserve"> Compatible (CRAT). Recommandé en supplémentation prophylactique (400–2000 UI/j) et curative en cas de carence avérée. Préférer le calcifédiol à la vitamine D3 en cas d'insuffisance hépatique ou d'obésité morbide maternelle. À doses thérapeutiques, pas de risque tératogène.</w:t>
      </w:r>
    </w:p>
    <w:p>
      <w:pPr>
        <w:pStyle w:val="ListBullet"/>
      </w:pPr>
      <w:r/>
      <w:r>
        <w:rPr>
          <w:b/>
        </w:rPr>
        <w:t>Allaitement :</w:t>
      </w:r>
      <w:r>
        <w:t xml:space="preserve"> Compatible. Le calcifédiol passe dans le lait maternel en quantité faible, sans risque pour le nourrisson. Le nourrisson allaité doit néanmoins recevoir sa propre supplémentation.</w:t>
      </w:r>
    </w:p>
    <w:p>
      <w:pPr>
        <w:pStyle w:val="ListBullet"/>
      </w:pPr>
      <w:r/>
      <w:r>
        <w:rPr>
          <w:b/>
        </w:rPr>
        <w:t>Précisions :</w:t>
      </w:r>
      <w:r>
        <w:t xml:space="preserve"> En cas d'insuffisance hépatique gravidique (stéatose aiguë gravidique, cholestase intrahépatique), le calcifédiol est la forme de choix de supplémentation.</w:t>
      </w:r>
    </w:p>
    <w:p>
      <w:r/>
      <w:r>
        <w:rPr>
          <w:b/>
        </w:rPr>
        <w:t>Posologie et Mode d'administration (Standard) :</w:t>
      </w:r>
      <w:r/>
    </w:p>
    <w:p>
      <w:pPr>
        <w:pStyle w:val="ListBullet"/>
      </w:pPr>
      <w:r/>
      <w:r>
        <w:rPr>
          <w:b/>
        </w:rPr>
        <w:t>Adulte — Prévention :</w:t>
      </w:r>
      <w:r>
        <w:t xml:space="preserve"> 5–10 µg/j (1–2 gouttes/j), soit 200–400 UI/j.</w:t>
      </w:r>
    </w:p>
    <w:p>
      <w:pPr>
        <w:pStyle w:val="ListBullet"/>
      </w:pPr>
      <w:r/>
      <w:r>
        <w:rPr>
          <w:b/>
        </w:rPr>
        <w:t>Adulte — Traitement curatif de carence :</w:t>
      </w:r>
      <w:r>
        <w:t xml:space="preserve"> 20–25 µg/j (4–5 gouttes/j) pendant 1–2 mois, puis relais prophylactique à 5–10 µg/j.</w:t>
      </w:r>
    </w:p>
    <w:p>
      <w:pPr>
        <w:pStyle w:val="ListBullet"/>
      </w:pPr>
      <w:r/>
      <w:r>
        <w:rPr>
          <w:b/>
        </w:rPr>
        <w:t>Femme enceinte :</w:t>
      </w:r>
      <w:r>
        <w:t xml:space="preserve"> 5–10 µg/j en continu, ou 25 µg/j (5 gouttes) 1 fois/semaine.</w:t>
      </w:r>
    </w:p>
    <w:p>
      <w:pPr>
        <w:pStyle w:val="ListBullet"/>
      </w:pPr>
      <w:r/>
      <w:r>
        <w:rPr>
          <w:b/>
        </w:rPr>
        <w:t>Nourrisson et enfant &lt; 5 ans :</w:t>
      </w:r>
      <w:r>
        <w:t xml:space="preserve"> 1 goutte/j (200 UI) en prévention ; 5 gouttes/j (1000 UI) en traitement curatif pendant 1 mois.</w:t>
      </w:r>
    </w:p>
    <w:p>
      <w:pPr>
        <w:pStyle w:val="ListBullet"/>
      </w:pPr>
      <w:r/>
      <w:r>
        <w:rPr>
          <w:b/>
        </w:rPr>
        <w:t>Sujet âgé :</w:t>
      </w:r>
      <w:r>
        <w:t xml:space="preserve"> 5–10 µg/j en continu, à vie.</w:t>
      </w:r>
    </w:p>
    <w:p>
      <w:pPr>
        <w:pStyle w:val="ListBullet"/>
      </w:pPr>
      <w:r/>
      <w:r>
        <w:rPr>
          <w:b/>
        </w:rPr>
        <w:t>Durée :</w:t>
      </w:r>
      <w:r>
        <w:t xml:space="preserve"> au long cours, adaptée au statut vitaminique. Vérifier la 25-OH-D après 2 mois de traitement.</w:t>
      </w:r>
    </w:p>
    <w:p>
      <w:pPr>
        <w:pStyle w:val="ListBullet"/>
      </w:pPr>
      <w:r/>
      <w:r>
        <w:rPr>
          <w:b/>
        </w:rPr>
        <w:t>Moment de prise :</w:t>
      </w:r>
      <w:r>
        <w:t xml:space="preserve"> pendant un repas riche en lipides ; à diluer dans un peu d'eau ou de lait.</w:t>
      </w:r>
    </w:p>
    <w:p>
      <w:r/>
      <w:r>
        <w:rPr>
          <w:b/>
        </w:rPr>
        <w:t>Arbitrage et Bénéfices des Formes Galéniques :</w:t>
      </w:r>
      <w:r/>
    </w:p>
    <w:p>
      <w:pPr>
        <w:pStyle w:val="ListBullet"/>
      </w:pPr>
      <w:r/>
      <w:r>
        <w:rPr>
          <w:b/>
        </w:rPr>
        <w:t>Solution buvable en gouttes :</w:t>
      </w:r>
      <w:r>
        <w:t xml:space="preserve"> galénique de référence, titration fine adaptée à la pédiatrie et à la grossesse. Concentration 5 µg/goutte = 200 UI/goutte (équivalent à la dose prophylactique quotidienne du nourrisson).</w:t>
      </w:r>
    </w:p>
    <w:p>
      <w:pPr>
        <w:pStyle w:val="ListBullet"/>
      </w:pPr>
      <w:r/>
      <w:r>
        <w:rPr>
          <w:b/>
        </w:rPr>
        <w:t>Avantage vs vitamine D3 native :</w:t>
      </w:r>
      <w:r>
        <w:t xml:space="preserve"> onset d'action plus rapide (2 semaines vs 4–6 semaines), efficacité supérieure en insuffisance hépatique et en obésité morbide.</w:t>
      </w:r>
    </w:p>
    <w:p>
      <w:pPr>
        <w:pStyle w:val="ListBullet"/>
      </w:pPr>
      <w:r/>
      <w:r>
        <w:rPr>
          <w:b/>
        </w:rPr>
        <w:t>Inconvénient vs vitamine D3 :</w:t>
      </w:r>
      <w:r>
        <w:t xml:space="preserve"> demi-vie plus courte (2–3 semaines vs 2 mois pour la D3) — administration plus régulière nécessaire.</w:t>
      </w:r>
    </w:p>
    <w:p>
      <w:pPr>
        <w:pStyle w:val="ListBullet"/>
      </w:pPr>
      <w:r/>
      <w:r>
        <w:rPr>
          <w:b/>
        </w:rPr>
        <w:t>Avantage vs calcitriol</w:t>
      </w:r>
      <w:r>
        <w:t xml:space="preserve"> : rétrocontrôle physiologique de la 1α-hydroxylation (marge thérapeutique plus large).</w:t>
      </w:r>
    </w:p>
    <w:p>
      <w:r/>
      <w:r>
        <w:rPr>
          <w:b/>
        </w:rPr>
        <w:t>Instructions et Conseils au Patient :</w:t>
      </w:r>
      <w:r/>
    </w:p>
    <w:p>
      <w:pPr>
        <w:pStyle w:val="ListBullet"/>
      </w:pPr>
      <w:r/>
      <w:r>
        <w:rPr>
          <w:b/>
        </w:rPr>
        <w:t>Communication au comptoir :</w:t>
      </w:r>
      <w:r>
        <w:t xml:space="preserve"> « Dedrogyl est de la vitamine D déjà partiellement transformée par le foie, donc plus rapidement efficace. À prendre chaque jour, pendant un repas, en diluant le nombre de gouttes prescrit dans un peu d'eau ou de lait. Prévenir votre médecin en cas de nausées, vomissements, ou fatigue anormale. Ne pas dépasser la dose prescrite (risque d'hypercalcémie). »</w:t>
      </w:r>
    </w:p>
    <w:p>
      <w:pPr>
        <w:pStyle w:val="ListBullet"/>
      </w:pPr>
      <w:r/>
      <w:r>
        <w:rPr>
          <w:b/>
        </w:rPr>
        <w:t>Mode d'utilisation pratique :</w:t>
      </w:r>
      <w:r>
        <w:t xml:space="preserve"> bien agiter le flacon avant emploi ; tenir le flacon verticalement pour compter les gouttes (calibrage standard) ; conserver le flacon fermé, à l'abri de la lumière et de la chaleur.</w:t>
      </w:r>
    </w:p>
    <w:p>
      <w:r/>
      <w:r>
        <w:rPr>
          <w:b/>
        </w:rPr>
        <w:t>Notes, Règles d'Or &amp; Pièges au Comptoir :</w:t>
      </w:r>
      <w:r/>
    </w:p>
    <w:p>
      <w:pPr>
        <w:pStyle w:val="ListBullet"/>
      </w:pPr>
      <w:r/>
      <w:r>
        <w:rPr>
          <w:b/>
        </w:rPr>
        <w:t>Piège classique :</w:t>
      </w:r>
      <w:r>
        <w:t xml:space="preserve"> (i) Confusion de dosage entre la solution à 5 µg/goutte (Dedrogyl) et d'autres solutions de vitamine D à concentrations différentes (peu de comparables en Algérie, mais attention aux imports) ; (ii) Surdosage chez l'enfant (flacon entier avalé = intoxication sévère — risque d'hypercalcémie aiguë, néphrocalcinose) ; (iii) Erreur d'indication en IRC (la 1α-hydroxylation rénale est compromise — préférer alfacalcidol ou calcitriol).</w:t>
      </w:r>
    </w:p>
    <w:p>
      <w:pPr>
        <w:pStyle w:val="ListBullet"/>
      </w:pPr>
      <w:r/>
      <w:r>
        <w:rPr>
          <w:b/>
        </w:rPr>
        <w:t>Règle de prise :</w:t>
      </w:r>
      <w:r>
        <w:t xml:space="preserve"> pendant un repas ; dose quotidienne (pas de bolus mensuel) ; surveillance de la 25-OH-D après 2 mois.</w:t>
      </w:r>
    </w:p>
    <w:p>
      <w:pPr>
        <w:pStyle w:val="ListBullet"/>
      </w:pPr>
      <w:r/>
      <w:r>
        <w:rPr>
          <w:b/>
        </w:rPr>
        <w:t>Préparation et Conservation :</w:t>
      </w:r>
      <w:r>
        <w:t xml:space="preserve"> à température ambiante (15–25 °C), à l'abri de la lumière. Conservation 1 an après ouverture (vérifier la date de péremption du flacon).</w:t>
      </w:r>
    </w:p>
    <w:p>
      <w:pPr>
        <w:pStyle w:val="ListBullet"/>
      </w:pPr>
      <w:r/>
      <w:r>
        <w:rPr>
          <w:b/>
        </w:rPr>
        <w:t>Piège du surdosage / Substitution :</w:t>
      </w:r>
      <w:r>
        <w:t xml:space="preserve"> ne pas substituer Dedrogyl par une autre forme de vitamine D sans recalcul de dose (5 µg = 200 UI) ; attention aux enfants ayant accès au flacon (intoxication accidentelle — chaque année des cas d'hypercalcémie sévère).</w:t>
      </w:r>
    </w:p>
    <w:p>
      <w:pPr>
        <w:pStyle w:val="Heading2"/>
      </w:pPr>
      <w:r>
        <w:t>IV. Sous-classe : Vitamine D — Métabolite actif 1,25-(OH)2 (Calcitriol)</w:t>
      </w:r>
    </w:p>
    <w:p>
      <w:pPr>
        <w:pStyle w:val="Heading3"/>
      </w:pPr>
      <w:r>
        <w:t>Introduction à la sous-classe — Mention théorique (non commercialisé en Algérie)</w:t>
      </w:r>
    </w:p>
    <w:p>
      <w:r>
        <w:t xml:space="preserve">Le </w:t>
      </w:r>
      <w:r>
        <w:rPr>
          <w:b/>
        </w:rPr>
        <w:t>calcitriol</w:t>
      </w:r>
      <w:r>
        <w:t xml:space="preserve"> (1,25-dihydroxycholécalciférol, 1,25-(OH)2-D3) est la forme biologiquement active de la vitamine D, produite physiologiquement par 1α-hydroxylation rénale (CYP27B1) du calcifédiol. C'est le ligand naturel du récepteur nucléaire VDR. En tant que métabolite déjà actif, il ne nécessite aucune transformation métabolique et agit immédiatement. Sa prescription est réservée aux situations d'insuffisance rénale sévère (IRC stade 4–5, dialysée) où la 1α-hydroxylation est compromise, à l'hypoparathyroïdie, au rachitisme vitamino-résistant type II (résistance au récepteur VDR — rare) et à certaines osteoporoses sévères résistantes.</w:t>
      </w:r>
    </w:p>
    <w:p>
      <w:r/>
      <w:r>
        <w:rPr>
          <w:b/>
        </w:rPr>
        <w:t>Disponibilité en Algérie :</w:t>
      </w:r>
      <w:r>
        <w:t xml:space="preserve"> le calcitriol pur (Rocaltrol® historiquement commercialisé par Roche) </w:t>
      </w:r>
      <w:r>
        <w:rPr>
          <w:b/>
        </w:rPr>
        <w:t>n'est pas disponible en spécialité sur le marché algérien</w:t>
      </w:r>
      <w:r>
        <w:t xml:space="preserve"> à la date de rédaction de ce fascicule. Les praticiens algériens doivent recourir à l'alfacalcidol (Un-Alfa, Supra Calci) comme alternative pratique — celui-ci, après 25-hydroxylation hépatique, devient du calcitriol actif. Les services de néphrologie et d'endocrinologie pédiatrique peuvent parfois importer du calcitriol via des circuits de mise à disposition spéciale, mais ceci reste exceptionnel.</w:t>
      </w:r>
    </w:p>
    <w:p>
      <w:r/>
      <w:r>
        <w:rPr>
          <w:b/>
        </w:rPr>
        <w:t>Mécanisme d'action moléculaire (rappel théorique) :</w:t>
      </w:r>
      <w:r>
        <w:t xml:space="preserve"> le calcitriol se fixe au récepteur nucléaire VDR (membre de la superfamille des récepteurs nucléaires stéroïdiennes/thyroïdiennes). Le complexe VDR-calcitriol hétérodimérise avec le RXR (Récepteur X des Rétinoïdes) et se lie aux éléments de réponse VDRE (Vitamin D Response Elements) dans la région régulatrice des gènes-cibles : activation transcriptionnelle de CALB1 (calbindine-D9k), TRPV6 (channel apical du calcium), ATP2B1 (PMCA1b Ca-ATPase), SLC34A1 (NaPi-IIa phosphore), et répression transcriptionnelle du gène PTH au niveau des parathyroïdes.</w:t>
      </w:r>
    </w:p>
    <w:p>
      <w:r/>
      <w:r>
        <w:rPr>
          <w:b/>
        </w:rPr>
        <w:t>Posologie théorique (à titre indicatif) :</w:t>
      </w:r>
      <w:r>
        <w:t xml:space="preserve"> 0,25–1 µg/j per os en une prise, à adapter selon la calcémie. Forme IV disponible à l'étranger pour les hypercalcémies malignes (Calcijex®) mais en Algérie, les bisphosphonates IV (pamidronate, zolédronate) sont préférés pour cette indication.</w:t>
      </w:r>
    </w:p>
    <w:p>
      <w:pPr>
        <w:pStyle w:val="Heading2"/>
      </w:pPr>
      <w:r>
        <w:t>V. Sous-classe : Suppléments — Calcium + Vitamine D3</w:t>
      </w:r>
    </w:p>
    <w:p>
      <w:pPr>
        <w:pStyle w:val="Heading3"/>
      </w:pPr>
      <w:r>
        <w:t>Introduction à la sous-classe</w:t>
      </w:r>
    </w:p>
    <w:p>
      <w:r>
        <w:t xml:space="preserve">L'association fixe </w:t>
      </w:r>
      <w:r>
        <w:rPr>
          <w:b/>
        </w:rPr>
        <w:t>Calcium + Vitamine D3 (colecalciferol)</w:t>
      </w:r>
      <w:r>
        <w:t xml:space="preserve"> est l'un des piliers de la prévention et du traitement adjuvant de l'ostéoporose post-ménopausique, cortisonique et du sujet âgé. La supplémentation calcique seule (sans vitamine D) est insuffisante pour réduire le risque fracturaire : un apport adéquat en vitamine D est indispensable pour permettre l'absorption intestinale active du calcium. À l'inverse, la vitamine D sans calcium est également insuffisante pour prévenir les fractures ostéoporotiques. L'association fixe améliore l'observance et garantit la couverture simultanée des deux besoins.</w:t>
      </w:r>
    </w:p>
    <w:p>
      <w:r/>
      <w:r>
        <w:rPr>
          <w:b/>
        </w:rPr>
        <w:t>Apports recommandés :</w:t>
      </w:r>
      <w:r>
        <w:t xml:space="preserve"> selon les recommandations IOF et HAS, l'apport quotidien total (alimentaire + supplémentation) doit être de 1000–1200 mg de calcium élément et 800–2000 UI de vitamine D3 chez la femme ménopausée et le sujet âgé. Les associations disponibles en Algérie (IDEOS, KINADYN-OS, OSSE D3, etc.) apportent généralement 500 mg de calcium élément + 400 UI de vitamine D3 par comprimé, soit une couverture partielle (1 à 2 comprimés/j) qui doit être complétée par l'alimentation (produits laitiers, eaux minérales calciques).</w:t>
      </w:r>
    </w:p>
    <w:p>
      <w:r/>
      <w:r>
        <w:rPr>
          <w:b/>
        </w:rPr>
        <w:t>Particularités du marché algérien :</w:t>
      </w:r>
      <w:r>
        <w:t xml:space="preserve"> les associations Calcium + Vitamine D3 sont </w:t>
      </w:r>
      <w:r>
        <w:rPr>
          <w:b/>
        </w:rPr>
        <w:t>largement disponibles</w:t>
      </w:r>
      <w:r>
        <w:t xml:space="preserve"> sous de nombreuses marques (16 spécialités identifiées dans le fichier source), reflétant la forte demande de prévention osseuse. Plusieurs formes galéniques coexistent : comprimés à sucer/croquer (formes de référence, dosage 500 mg/400 UI), sachets de poudre pour suspension buvable (adaptés à la pédiatrie et au sujet âgé dysphagique). La majorité sont des génériques de IDEOS (Innotech International), princeps de la classe.</w:t>
      </w:r>
    </w:p>
    <w:p>
      <w:pPr>
        <w:pStyle w:val="Heading3"/>
      </w:pPr>
      <w:r>
        <w:t>5. DCI : Calcium (carbonate) + Colecalciferol (Vitamine D3) (En Association)</w:t>
      </w:r>
    </w:p>
    <w:p>
      <w:r/>
      <w:r>
        <w:rPr>
          <w:b/>
        </w:rPr>
        <w:t>Liste des Catégories :</w:t>
      </w:r>
      <w:r>
        <w:t xml:space="preserve"> Hors liste (supplémentation OTC) pour la majorité des spécialités.</w:t>
      </w:r>
    </w:p>
    <w:p>
      <w:r>
        <w:t xml:space="preserve">L'association fixe carbonate de calcium + cholécalciférol est devenue le </w:t>
      </w:r>
      <w:r>
        <w:rPr>
          <w:b/>
        </w:rPr>
        <w:t>standard de supplémentation osseuse</w:t>
      </w:r>
      <w:r>
        <w:t xml:space="preserve"> en Algérie comme dans le reste du monde. Le carbonate de calcium (CaCO3, 40 % de calcium élément) est la forme la plus concentrée et la plus économique, mais nécessite un milieu acide gastrique pour libérer le calcium ionisé — d'où la recommandation de prise pendant ou après les repas. Le colecalciferol (vitamine D3, 400 UI par comprimé) assure l'absorption intestinale active du calcium. Chaque comprimé apporte 500 mg de calcium élément + 400 UI de vitamine D3, soit environ 50 % de l'apport quotidien recommandé en calcium et 20–50 % de l'apport en vitamine D chez l'adulte.</w:t>
      </w:r>
    </w:p>
    <w:p>
      <w:r/>
      <w:r>
        <w:rPr>
          <w:b/>
        </w:rPr>
        <w:t>Médicaments disponibles en Algérie (Marques, Laboratoires, Formes et Dosages) :</w:t>
      </w:r>
      <w:r/>
    </w:p>
    <w:p>
      <w:r>
        <w:t>Formes "comprimé à sucer ou à croquer" 500 mg/400 UI :</w:t>
      </w:r>
    </w:p>
    <w:p>
      <w:pPr>
        <w:pStyle w:val="ListBullet"/>
      </w:pPr>
      <w:r/>
      <w:r>
        <w:rPr>
          <w:b/>
        </w:rPr>
        <w:t>CALCIUM D3 IVAL</w:t>
      </w:r>
      <w:r>
        <w:t xml:space="preserve"> (WORLD MEDECINE LIMITED) — Comprimé à sucer/croquer 500 mg/400 UI, B/60. Actif.</w:t>
      </w:r>
    </w:p>
    <w:p>
      <w:pPr>
        <w:pStyle w:val="ListBullet"/>
      </w:pPr>
      <w:r/>
      <w:r>
        <w:rPr>
          <w:b/>
        </w:rPr>
        <w:t>CALCIUM D3 NOVAGENERICS</w:t>
      </w:r>
      <w:r>
        <w:t xml:space="preserve"> (NOVAPHARM TRADING) — Comprimé à sucer/croquer 500 mg/400 UI, B/60. Actif.</w:t>
      </w:r>
    </w:p>
    <w:p>
      <w:pPr>
        <w:pStyle w:val="ListBullet"/>
      </w:pPr>
      <w:r/>
      <w:r>
        <w:rPr>
          <w:b/>
        </w:rPr>
        <w:t>CALCIUM D3 SOPHAL</w:t>
      </w:r>
      <w:r>
        <w:t xml:space="preserve"> (SOCIETE PHARMACEUTIQUE ALGERIENNE SOPHAL) — Comprimé à sucer/croquer 500 mg/400 UI, B/60 (3 tubes de 20). Actif.</w:t>
      </w:r>
    </w:p>
    <w:p>
      <w:pPr>
        <w:pStyle w:val="ListBullet"/>
      </w:pPr>
      <w:r/>
      <w:r>
        <w:rPr>
          <w:b/>
        </w:rPr>
        <w:t>DENSICAL CALCIUM D3</w:t>
      </w:r>
      <w:r>
        <w:t xml:space="preserve"> (PROPHARMAL) — Comprimé à sucer/croquer 500 mg/400 UI, B/30. Actif.</w:t>
      </w:r>
    </w:p>
    <w:p>
      <w:pPr>
        <w:pStyle w:val="ListBullet"/>
      </w:pPr>
      <w:r/>
      <w:r>
        <w:rPr>
          <w:b/>
        </w:rPr>
        <w:t>FIXECAL</w:t>
      </w:r>
      <w:r>
        <w:t xml:space="preserve"> (SARL API) — Comprimé à sucer/croquer 500 mg/400 UI, B/28. Actif.</w:t>
      </w:r>
    </w:p>
    <w:p>
      <w:pPr>
        <w:pStyle w:val="ListBullet"/>
      </w:pPr>
      <w:r/>
      <w:r>
        <w:rPr>
          <w:b/>
        </w:rPr>
        <w:t>IDEOS</w:t>
      </w:r>
      <w:r>
        <w:t xml:space="preserve"> (INNOTECH INTERNATIONAL) — Comprimé à sucer/croquer 500 mg/400 UI, B/30 (2 tubes de 15). Actif. *[Princeps de la classe]*</w:t>
      </w:r>
    </w:p>
    <w:p>
      <w:pPr>
        <w:pStyle w:val="ListBullet"/>
      </w:pPr>
      <w:r/>
      <w:r>
        <w:rPr>
          <w:b/>
        </w:rPr>
        <w:t>KINADYN-OS</w:t>
      </w:r>
      <w:r>
        <w:t xml:space="preserve"> (BIOPHARM) — Comprimé à sucer/croquer 500 mg/400 UI, B/30. Actif.</w:t>
      </w:r>
    </w:p>
    <w:p>
      <w:pPr>
        <w:pStyle w:val="ListBullet"/>
      </w:pPr>
      <w:r/>
      <w:r>
        <w:rPr>
          <w:b/>
        </w:rPr>
        <w:t>OSSE D3</w:t>
      </w:r>
      <w:r>
        <w:t xml:space="preserve"> (BIOGALENIC) — Comprimé à sucer/croquer 500 mg/400 UI, B/60. Actif.</w:t>
      </w:r>
    </w:p>
    <w:p>
      <w:pPr>
        <w:pStyle w:val="ListBullet"/>
      </w:pPr>
      <w:r/>
      <w:r>
        <w:rPr>
          <w:b/>
        </w:rPr>
        <w:t>OSSEANS D3</w:t>
      </w:r>
      <w:r>
        <w:t xml:space="preserve"> (LABORATOIRE MOBEN) — Comprimé à sucer/croquer 500 mg/400 UI, B/60. Actif.</w:t>
      </w:r>
    </w:p>
    <w:p>
      <w:pPr>
        <w:pStyle w:val="ListBullet"/>
      </w:pPr>
      <w:r/>
      <w:r>
        <w:rPr>
          <w:b/>
        </w:rPr>
        <w:t>SUPEROS D3</w:t>
      </w:r>
      <w:r>
        <w:t xml:space="preserve"> (SARL MEDEC) — Comprimé à sucer/croquer 500 mg/400 UI, B/60. Actif.</w:t>
      </w:r>
    </w:p>
    <w:p>
      <w:r>
        <w:t>Formes "poudre pour suspension buvable en sachets" 400 UI/500 mg :</w:t>
      </w:r>
    </w:p>
    <w:p>
      <w:pPr>
        <w:pStyle w:val="ListBullet"/>
      </w:pPr>
      <w:r/>
      <w:r>
        <w:rPr>
          <w:b/>
        </w:rPr>
        <w:t>CALCIDOSE VITAMINE D</w:t>
      </w:r>
      <w:r>
        <w:t xml:space="preserve"> (LABORATOIRES MERINAL) — Poudre pour suspension buvable 400 UI/500 mg, B/30 sachets. Actif.</w:t>
      </w:r>
    </w:p>
    <w:p>
      <w:pPr>
        <w:pStyle w:val="ListBullet"/>
      </w:pPr>
      <w:r/>
      <w:r>
        <w:rPr>
          <w:b/>
        </w:rPr>
        <w:t>CALVITACARE</w:t>
      </w:r>
      <w:r>
        <w:t xml:space="preserve"> (BIOCARE) — Poudre pour suspension buvable 400 UI/500 mg, B/30 sachets. Actif.</w:t>
      </w:r>
    </w:p>
    <w:p>
      <w:pPr>
        <w:pStyle w:val="ListBullet"/>
      </w:pPr>
      <w:r/>
      <w:r>
        <w:rPr>
          <w:b/>
        </w:rPr>
        <w:t>KINADYN-OS</w:t>
      </w:r>
      <w:r>
        <w:t xml:space="preserve"> (BIOPHARM) — Poudre pour solution buvable en sachet 400 UI/500 mg, B/30 sachets. Actif.</w:t>
      </w:r>
    </w:p>
    <w:p>
      <w:pPr>
        <w:pStyle w:val="ListBullet"/>
      </w:pPr>
      <w:r/>
      <w:r>
        <w:rPr>
          <w:b/>
        </w:rPr>
        <w:t>OSSE D3</w:t>
      </w:r>
      <w:r>
        <w:t xml:space="preserve"> (BIOGALENIC) — Poudre orale 400 UI/500 mg, B/30 sachets. Actif.</w:t>
      </w:r>
    </w:p>
    <w:p>
      <w:r>
        <w:t>Formes retirées :</w:t>
      </w:r>
    </w:p>
    <w:p>
      <w:pPr>
        <w:pStyle w:val="ListBullet"/>
      </w:pPr>
      <w:r/>
      <w:r>
        <w:rPr>
          <w:b/>
        </w:rPr>
        <w:t>SUPPLICAL PLUS</w:t>
      </w:r>
      <w:r>
        <w:t xml:space="preserve"> (SIGMA PHARMACEUTICAL INDUSTRIES) — Comprimé 400 UI / 500 mg (ou 400 UI/1,25 g carbonate de calcium), B/20. Retiré (R).</w:t>
      </w:r>
    </w:p>
    <w:p>
      <w:pPr>
        <w:pStyle w:val="ListBullet"/>
      </w:pPr>
      <w:r/>
      <w:r>
        <w:rPr>
          <w:b/>
        </w:rPr>
        <w:t>OROCAL D3</w:t>
      </w:r>
      <w:r>
        <w:t xml:space="preserve"> (THERAMEX) — Comprimé à sucer 4 mg/1250 mg (ou 400 UI/1250 mg), B/60. Retiré (R).</w:t>
      </w:r>
    </w:p>
    <w:p>
      <w:r>
        <w:t>À noter : la majorité des spécialités algériennes utilisent la forme "comprimé à sucer ou à croquer" à la saveur orange ou mentholée, plus agréable en prise chronique. La forme "poudre pour suspension buvable en sachets" est réservée à la pédiatrie, au sujet âgé dysphagique, et aux patients avec troubles de la déglutition. IDEOS (Innotech International — France) reste le princeps de référence, mais les génériques algériens (KINADYN-OS, OSSE D3, DENSICAL) sont largement prescrits en raison de leur coût moindre.</w:t>
      </w:r>
    </w:p>
    <w:p>
      <w:r/>
      <w:r>
        <w:rPr>
          <w:b/>
        </w:rPr>
        <w:t>Sous-classe et Mécanisme d'action :</w:t>
      </w:r>
      <w:r/>
    </w:p>
    <w:p>
      <w:pPr>
        <w:pStyle w:val="ListBullet"/>
      </w:pPr>
      <w:r/>
      <w:r>
        <w:rPr>
          <w:b/>
        </w:rPr>
        <w:t>Sous-classe :</w:t>
      </w:r>
      <w:r>
        <w:t xml:space="preserve"> Supplémentation en calcium et vitamine D3 associées (Hors liste). Apport nutritionnel à visée pharmacologique, complément alimentaire médicalisé.</w:t>
      </w:r>
    </w:p>
    <w:p>
      <w:pPr>
        <w:pStyle w:val="ListBullet"/>
      </w:pPr>
      <w:r/>
      <w:r>
        <w:rPr>
          <w:b/>
        </w:rPr>
        <w:t>Mécanisme d'action :</w:t>
      </w:r>
      <w:r>
        <w:t xml:space="preserve"> Le carbonate de calcium (CaCO3) libère le calcium ionisé (Ca²⁺) en milieu acide gastrique. Le calcium ionisé est absorbé par voie intestinale active (transport transcellulaire dépendant de la vitamine D, via TRPV6/calbindine-D9k/PMCA1b — saturable, environ 30 % de l'apport à dose physiologique) et passive (paracellulaire, proportionnelle à la luminal calcique). Le colecalciferol subit deux hydroxylations (hépatique CYP2R1 → calcifédiol ; rénale CYP27B1 → calcitriol), se fixe au VDR et active la transcription de TRPV6 et calbindine-D9k, augmentant ainsi l'efficacité de l'absorption intestinale active du calcium. L'effet osseux final est une </w:t>
      </w:r>
      <w:r>
        <w:rPr>
          <w:b/>
        </w:rPr>
        <w:t>augmentation de la minéralisation de la matrice ostéoïde</w:t>
      </w:r>
      <w:r>
        <w:t xml:space="preserve"> et une prévention de l'hyperparathyroïdie secondaire (la carence en calcium et vitamine D stimule la PTH qui active la résorption ostéoclastique).</w:t>
      </w:r>
    </w:p>
    <w:p>
      <w:r/>
      <w:r>
        <w:rPr>
          <w:b/>
        </w:rPr>
        <w:t>Profil Pharmacologique :</w:t>
      </w:r>
      <w:r/>
    </w:p>
    <w:p>
      <w:pPr>
        <w:pStyle w:val="ListBullet"/>
      </w:pPr>
      <w:r/>
      <w:r>
        <w:rPr>
          <w:b/>
        </w:rPr>
        <w:t>Indications :</w:t>
      </w:r>
      <w:r>
        <w:t xml:space="preserve"> (i) </w:t>
      </w:r>
      <w:r>
        <w:rPr>
          <w:b/>
        </w:rPr>
        <w:t>Apport insuffisant en calcium et vitamine D</w:t>
      </w:r>
      <w:r>
        <w:t xml:space="preserve"> (alimentation pauvre en produits laitiers, intolérance au lactose, sujet âgé institutionnalisé, femme ménopausée) ; (ii) </w:t>
      </w:r>
      <w:r>
        <w:rPr>
          <w:b/>
        </w:rPr>
        <w:t>Prévention et traitement adjuvant de l'ostéoporose post-ménopausique</w:t>
      </w:r>
      <w:r>
        <w:t xml:space="preserve"> et cortisonique (en complément des bisphosphonates ou autres anti-résorbeurs) ; (iii) </w:t>
      </w:r>
      <w:r>
        <w:rPr>
          <w:b/>
        </w:rPr>
        <w:t>Prévention des fractures du sujet âgé</w:t>
      </w:r>
      <w:r>
        <w:t xml:space="preserve"> (réduction de 15–20 % du risque fracturaire global démontrée par l'étude DECALYOS — Chapuy et al., NEJM 1992) ; (iv) </w:t>
      </w:r>
      <w:r>
        <w:rPr>
          <w:b/>
        </w:rPr>
        <w:t>Prévention des chutes</w:t>
      </w:r>
      <w:r>
        <w:t xml:space="preserve"> du sujet âgé (effet musculaire de la vitamine D) ; (v) </w:t>
      </w:r>
      <w:r>
        <w:rPr>
          <w:b/>
        </w:rPr>
        <w:t>Carence vitaminique D avérée</w:t>
      </w:r>
      <w:r>
        <w:t xml:space="preserve"> en association à un traitement d'entretien.</w:t>
      </w:r>
    </w:p>
    <w:p>
      <w:pPr>
        <w:pStyle w:val="ListBullet"/>
      </w:pPr>
      <w:r/>
      <w:r>
        <w:rPr>
          <w:b/>
        </w:rPr>
        <w:t>Contre-indications :</w:t>
      </w:r>
      <w:r>
        <w:t xml:space="preserve"> (i) Hypercalcémie, hypercalciurie ; (ii) Lithiase calcique récidivante ; (iii) Néphrocalcinose ; (iv) Hypervitaminose D ; (v) Sarcoidose, granulomatoses ; (vi) Insuffisance rénale sévère (calcul de l'apport total selon le DFG et surveillance calcémie/calciurie) ; (vii) Hypersensibilité à l'un des composants (arômes, excipients).</w:t>
      </w:r>
    </w:p>
    <w:p>
      <w:pPr>
        <w:pStyle w:val="ListBullet"/>
      </w:pPr>
      <w:r/>
      <w:r>
        <w:rPr>
          <w:b/>
        </w:rPr>
        <w:t>Effets Indésirables :</w:t>
      </w:r>
      <w:r/>
    </w:p>
    <w:p>
      <w:pPr>
        <w:pStyle w:val="ListBullet"/>
      </w:pPr>
      <w:r/>
      <w:r>
        <w:rPr>
          <w:b/>
        </w:rPr>
        <w:t>Digestifs :</w:t>
      </w:r>
      <w:r>
        <w:t xml:space="preserve"> constipation (effet principal — dose-dépendant), ballonnements, flatulences (libération de CO2 par le carbonate de calcium en milieu acide : CaCO3 + 2HCl → CaCl2 + H2O + CO2), nausées.</w:t>
      </w:r>
    </w:p>
    <w:p>
      <w:pPr>
        <w:pStyle w:val="ListBullet"/>
      </w:pPr>
      <w:r/>
      <w:r>
        <w:rPr>
          <w:b/>
        </w:rPr>
        <w:t>Hypercalcémie</w:t>
      </w:r>
      <w:r>
        <w:t xml:space="preserve"> à doses excessives (rare à dose standard) : anorexie, nausées, polyurie, asthénie, allongement QTc.</w:t>
      </w:r>
    </w:p>
    <w:p>
      <w:pPr>
        <w:pStyle w:val="ListBullet"/>
      </w:pPr>
      <w:r/>
      <w:r>
        <w:rPr>
          <w:b/>
        </w:rPr>
        <w:t>Hypercalciurie</w:t>
      </w:r>
      <w:r>
        <w:t xml:space="preserve"> et lithiase calcique (surveillance chez les lithiasiques).</w:t>
      </w:r>
    </w:p>
    <w:p>
      <w:pPr>
        <w:pStyle w:val="ListBullet"/>
      </w:pPr>
      <w:r/>
      <w:r>
        <w:rPr>
          <w:b/>
        </w:rPr>
        <w:t>Syndrome de Milk-Alkali</w:t>
      </w:r>
      <w:r>
        <w:t xml:space="preserve"> (hypercalcémie, alcalose métabolique et IRC) en cas d'apport calcique massif (&gt; 4 g/j) — rare mais décrit.</w:t>
      </w:r>
    </w:p>
    <w:p>
      <w:pPr>
        <w:pStyle w:val="ListBullet"/>
      </w:pPr>
      <w:r/>
      <w:r>
        <w:rPr>
          <w:b/>
        </w:rPr>
        <w:t>Réactions allergiques</w:t>
      </w:r>
      <w:r>
        <w:t xml:space="preserve"> rares (arômes, colorants).</w:t>
      </w:r>
    </w:p>
    <w:p>
      <w:r/>
      <w:r>
        <w:rPr>
          <w:b/>
        </w:rPr>
        <w:t>Prévention et Gestion des Effets Indésirables :</w:t>
      </w:r>
      <w:r/>
    </w:p>
    <w:p>
      <w:pPr>
        <w:pStyle w:val="ListBullet"/>
      </w:pPr>
      <w:r/>
      <w:r>
        <w:rPr>
          <w:b/>
        </w:rPr>
        <w:t>Mesures Préventives :</w:t>
      </w:r>
      <w:r>
        <w:t xml:space="preserve"> prise pendant ou après un repas (acidité gastrique nécessaire pour libérer le calcium du carbonate) ; hydratation suffisante (1,5–2 L/j) ; alimentation riche en fibres (prévention de la constipation) ; surveillance de la calcémie et calciurie des 24 h chez les patients à risque (lithiasiques, IRC, sujets âgés) ; respect des apports quotidiens recommandés (calcium total ≤ 1200 mg/j, vitamine D3 ≤ 2000 UI/j en préventif).</w:t>
      </w:r>
    </w:p>
    <w:p>
      <w:pPr>
        <w:pStyle w:val="ListBullet"/>
      </w:pPr>
      <w:r/>
      <w:r>
        <w:rPr>
          <w:b/>
        </w:rPr>
        <w:t>Conduite à Tenir :</w:t>
      </w:r>
      <w:r>
        <w:t xml:space="preserve"> en cas de constipation sévère : augmenter l'hydratation et les fibres, ou fractionner la dose (1 comprimé × 2/j plutôt que 2 comprimés en une prise) ; en cas d'hypercalcémie : arrêt, hydratation IV abondante, surveillance de la fonction rénale et ECG.</w:t>
      </w:r>
    </w:p>
    <w:p>
      <w:r/>
      <w:r>
        <w:rPr>
          <w:b/>
        </w:rPr>
        <w:t>Interactions Importantes :</w:t>
      </w:r>
      <w:r/>
    </w:p>
    <w:p>
      <w:pPr>
        <w:pStyle w:val="ListBullet"/>
      </w:pPr>
      <w:r/>
      <w:r>
        <w:rPr>
          <w:b/>
        </w:rPr>
        <w:t>Calcium + Bisphosphonates (alendronate, risédronate, etc.)</w:t>
      </w:r>
      <w:r>
        <w:t xml:space="preserve"> : chélation dans la lumière intestinale → diminution drastique de l'absorption des bisphosphonates (jusqu'à 80 %). </w:t>
      </w:r>
      <w:r>
        <w:rPr>
          <w:b/>
        </w:rPr>
        <w:t>Espacer d'au moins 2 heures</w:t>
      </w:r>
      <w:r>
        <w:t xml:space="preserve"> (idéalement prendre le bisphosphonate à jeun le matin, et le calcium à midi et/ou le soir).</w:t>
      </w:r>
    </w:p>
    <w:p>
      <w:pPr>
        <w:pStyle w:val="ListBullet"/>
      </w:pPr>
      <w:r/>
      <w:r>
        <w:rPr>
          <w:b/>
        </w:rPr>
        <w:t>Calcium + Quinolones (ciprofloxacine, lévofloxacine, norfloxacine)</w:t>
      </w:r>
      <w:r>
        <w:t xml:space="preserve"> : chélation → diminution de l'absorption des quinolones. Espacer de 2 h.</w:t>
      </w:r>
    </w:p>
    <w:p>
      <w:pPr>
        <w:pStyle w:val="ListBullet"/>
      </w:pPr>
      <w:r/>
      <w:r>
        <w:rPr>
          <w:b/>
        </w:rPr>
        <w:t>Calcium + Tétracyclines (doxycycline)</w:t>
      </w:r>
      <w:r>
        <w:t xml:space="preserve"> : chélation → diminution d'absorption. Espacer de 2 h.</w:t>
      </w:r>
    </w:p>
    <w:p>
      <w:pPr>
        <w:pStyle w:val="ListBullet"/>
      </w:pPr>
      <w:r/>
      <w:r>
        <w:rPr>
          <w:b/>
        </w:rPr>
        <w:t>Calcium + Levodopa, thyroxine (levothyrox), fer, zinc</w:t>
      </w:r>
      <w:r>
        <w:t xml:space="preserve"> : chélation → diminution d'absorption. Espacer de 2 h.</w:t>
      </w:r>
    </w:p>
    <w:p>
      <w:pPr>
        <w:pStyle w:val="ListBullet"/>
      </w:pPr>
      <w:r/>
      <w:r>
        <w:rPr>
          <w:b/>
        </w:rPr>
        <w:t>Calcium + Diurétiques thiazidiques</w:t>
      </w:r>
      <w:r>
        <w:t xml:space="preserve"> : potentialisation de l'hypercalcémie (réduction de l'excrétion urinaire du calcium).</w:t>
      </w:r>
    </w:p>
    <w:p>
      <w:pPr>
        <w:pStyle w:val="ListBullet"/>
      </w:pPr>
      <w:r/>
      <w:r>
        <w:rPr>
          <w:b/>
        </w:rPr>
        <w:t>Calcium + Digitaliques</w:t>
      </w:r>
      <w:r>
        <w:t xml:space="preserve"> : hypercalcémie → arythmies sévères (synergie avec la digoxine).</w:t>
      </w:r>
    </w:p>
    <w:p>
      <w:pPr>
        <w:pStyle w:val="ListBullet"/>
      </w:pPr>
      <w:r/>
      <w:r>
        <w:rPr>
          <w:b/>
        </w:rPr>
        <w:t>Calcium + Antiacides à base d'aluminium/magnésium</w:t>
      </w:r>
      <w:r>
        <w:t xml:space="preserve"> : augmentation de l'excrétion urinaire de l'aluminium (risque toxique en IRC).</w:t>
      </w:r>
    </w:p>
    <w:p>
      <w:r/>
      <w:r>
        <w:rPr>
          <w:b/>
        </w:rPr>
        <w:t>Grossesse et Allaitement :</w:t>
      </w:r>
      <w:r/>
    </w:p>
    <w:p>
      <w:pPr>
        <w:pStyle w:val="ListBullet"/>
      </w:pPr>
      <w:r/>
      <w:r>
        <w:rPr>
          <w:b/>
        </w:rPr>
        <w:t>Grossesse :</w:t>
      </w:r>
      <w:r>
        <w:t xml:space="preserve"> Compatible (CRAT). Recommandé chez la femme enceinte carencée ou à risque (apports calciques insuffisants, grossesses rapprochées). Apport quotidien total recommandé : 1000–1200 mg de calcium + 400–2000 UI de vitamine D3. À doses thérapeutiques, pas de risque tératogène.</w:t>
      </w:r>
    </w:p>
    <w:p>
      <w:pPr>
        <w:pStyle w:val="ListBullet"/>
      </w:pPr>
      <w:r/>
      <w:r>
        <w:rPr>
          <w:b/>
        </w:rPr>
        <w:t>Allaitement :</w:t>
      </w:r>
      <w:r>
        <w:t xml:space="preserve"> Compatible. Le calcium et la vitamine D3 passent dans le lait maternel ; à doses maternelles standard, sans risque pour le nourrisson. Au contraire, contribue à la couverture des besoins maternels accrus en calcium et vitamine D pendant l'allaitement.</w:t>
      </w:r>
    </w:p>
    <w:p>
      <w:pPr>
        <w:pStyle w:val="ListBullet"/>
      </w:pPr>
      <w:r/>
      <w:r>
        <w:rPr>
          <w:b/>
        </w:rPr>
        <w:t>Précisions :</w:t>
      </w:r>
      <w:r>
        <w:t xml:space="preserve"> éviter les surdosages massifs (risque d'hypercalcémie maternelle et fœtale — néphrocalcinose fœtale).</w:t>
      </w:r>
    </w:p>
    <w:p>
      <w:r/>
      <w:r>
        <w:rPr>
          <w:b/>
        </w:rPr>
        <w:t>Posologie et Mode d'administration (Standard) :</w:t>
      </w:r>
      <w:r/>
    </w:p>
    <w:p>
      <w:pPr>
        <w:pStyle w:val="ListBullet"/>
      </w:pPr>
      <w:r/>
      <w:r>
        <w:rPr>
          <w:b/>
        </w:rPr>
        <w:t>Adulte — Prévention de l'ostéoporose post-ménopausique :</w:t>
      </w:r>
      <w:r>
        <w:t xml:space="preserve"> 1 à 2 comprimés/j (500–1000 mg calcium + 400–800 UI vitamine D3), à prendre pendant ou après un repas, en 1 ou 2 prises.</w:t>
      </w:r>
    </w:p>
    <w:p>
      <w:pPr>
        <w:pStyle w:val="ListBullet"/>
      </w:pPr>
      <w:r/>
      <w:r>
        <w:rPr>
          <w:b/>
        </w:rPr>
        <w:t>Sujet âgé :</w:t>
      </w:r>
      <w:r>
        <w:t xml:space="preserve"> 1 à 2 comprimés/j en continu.</w:t>
      </w:r>
    </w:p>
    <w:p>
      <w:pPr>
        <w:pStyle w:val="ListBullet"/>
      </w:pPr>
      <w:r/>
      <w:r>
        <w:rPr>
          <w:b/>
        </w:rPr>
        <w:t>Femme enceinte (3e trimestre) :</w:t>
      </w:r>
      <w:r>
        <w:t xml:space="preserve"> 1 comprimé/j en complément d'une alimentation équilibrée.</w:t>
      </w:r>
    </w:p>
    <w:p>
      <w:pPr>
        <w:pStyle w:val="ListBullet"/>
      </w:pPr>
      <w:r/>
      <w:r>
        <w:rPr>
          <w:b/>
        </w:rPr>
        <w:t>Carence avérée :</w:t>
      </w:r>
      <w:r>
        <w:t xml:space="preserve"> 2 comprimés/j + dose de charge de vitamine D (cf. fiches Vitamine D).</w:t>
      </w:r>
    </w:p>
    <w:p>
      <w:pPr>
        <w:pStyle w:val="ListBullet"/>
      </w:pPr>
      <w:r/>
      <w:r>
        <w:rPr>
          <w:b/>
        </w:rPr>
        <w:t>Enfant &gt; 6 ans :</w:t>
      </w:r>
      <w:r>
        <w:t xml:space="preserve"> 1 comprimé/j (forme comprimé) ou 1 sachet/j (forme poudre).</w:t>
      </w:r>
    </w:p>
    <w:p>
      <w:pPr>
        <w:pStyle w:val="ListBullet"/>
      </w:pPr>
      <w:r/>
      <w:r>
        <w:rPr>
          <w:b/>
        </w:rPr>
        <w:t>Durée :</w:t>
      </w:r>
      <w:r>
        <w:t xml:space="preserve"> au long cours, à vie pour la femme ménopausée et le sujet âgé.</w:t>
      </w:r>
    </w:p>
    <w:p>
      <w:pPr>
        <w:pStyle w:val="ListBullet"/>
      </w:pPr>
      <w:r/>
      <w:r>
        <w:rPr>
          <w:b/>
        </w:rPr>
        <w:t>Moment de prise :</w:t>
      </w:r>
      <w:r>
        <w:t xml:space="preserve"> pendant ou après un repas (acide gastrique nécessaire pour libérer le calcium du carbonate). Ne pas prendre à jeun (efficacité réduite). Fractionner la dose si &gt; 1 comprimé/j (meilleure absorption, moindre constipation).</w:t>
      </w:r>
    </w:p>
    <w:p>
      <w:r/>
      <w:r>
        <w:rPr>
          <w:b/>
        </w:rPr>
        <w:t>Arbitrage et Bénéfices des Formes Galéniques :</w:t>
      </w:r>
      <w:r/>
    </w:p>
    <w:p>
      <w:pPr>
        <w:pStyle w:val="ListBullet"/>
      </w:pPr>
      <w:r/>
      <w:r>
        <w:rPr>
          <w:b/>
        </w:rPr>
        <w:t>Comprimé à sucer/croquer :</w:t>
      </w:r>
      <w:r>
        <w:t xml:space="preserve"> galénique de référence pour l'adulte et le sujet âgé autonome. À croquer lentement ou à sucer (libération progressive du calcium). Goût agréable (orange, menthol).</w:t>
      </w:r>
    </w:p>
    <w:p>
      <w:pPr>
        <w:pStyle w:val="ListBullet"/>
      </w:pPr>
      <w:r/>
      <w:r>
        <w:rPr>
          <w:b/>
        </w:rPr>
        <w:t>Poudre pour suspension buvable en sachet :</w:t>
      </w:r>
      <w:r>
        <w:t xml:space="preserve"> indiquée chez le nourrisson, l'enfant, le sujet âgé dysphagique, et en cas de troubles de la déglutition. Diluer le contenu d'un sachet dans un verre d'eau.</w:t>
      </w:r>
    </w:p>
    <w:p>
      <w:pPr>
        <w:pStyle w:val="ListBullet"/>
      </w:pPr>
      <w:r/>
      <w:r>
        <w:rPr>
          <w:b/>
        </w:rPr>
        <w:t>Avantage de l'association fixe vs prises séparées :</w:t>
      </w:r>
      <w:r>
        <w:t xml:space="preserve"> amélioration de l'observance (1 à 2 comprimés/j au lieu de 4 prises distinctes), garantie de couverture simultanée des deux besoins, coût moindre.</w:t>
      </w:r>
    </w:p>
    <w:p>
      <w:pPr>
        <w:pStyle w:val="ListBullet"/>
      </w:pPr>
      <w:r/>
      <w:r>
        <w:rPr>
          <w:b/>
        </w:rPr>
        <w:t>Dosage 500 mg/400 UI :</w:t>
      </w:r>
      <w:r>
        <w:t xml:space="preserve"> intermédiaire permettant une titration (1 à 2 comprimés/j selon les besoins alimentaires).</w:t>
      </w:r>
    </w:p>
    <w:p>
      <w:r/>
      <w:r>
        <w:rPr>
          <w:b/>
        </w:rPr>
        <w:t>Instructions et Conseils au Patient :</w:t>
      </w:r>
      <w:r/>
    </w:p>
    <w:p>
      <w:pPr>
        <w:pStyle w:val="ListBullet"/>
      </w:pPr>
      <w:r/>
      <w:r>
        <w:rPr>
          <w:b/>
        </w:rPr>
        <w:t>Communication au comptoir :</w:t>
      </w:r>
      <w:r>
        <w:t xml:space="preserve"> « Le calcium + vitamine D3 est essentiel pour prévenir la perte osseuse et réduire le risque de fracture. Prenez 1 à 2 comprimés par jour, pendant ou après un repas. À croquer lentement ou à sucer. Buvez suffisamment d'eau (1,5 à 2 L/j) pour éviter la constipation. Si vous prenez un autre médicament (thyroxine, antibiotique, fer), espacez la prise d'au moins 2 heures. »</w:t>
      </w:r>
    </w:p>
    <w:p>
      <w:pPr>
        <w:pStyle w:val="ListBullet"/>
      </w:pPr>
      <w:r/>
      <w:r>
        <w:rPr>
          <w:b/>
        </w:rPr>
        <w:t>Mode d'utilisation pratique :</w:t>
      </w:r>
      <w:r>
        <w:t xml:space="preserve"> croquer ou sucer le comprimé pendant ou après un repas ; pour les sachets, diluer le contenu dans un demi-verre d'eau et boire immédiatement ; surveiller le transit intestinal et augmenter les fibres en cas de constipation ; hydratation suffisante.</w:t>
      </w:r>
    </w:p>
    <w:p>
      <w:r/>
      <w:r>
        <w:rPr>
          <w:b/>
        </w:rPr>
        <w:t>Notes, Règles d'Or &amp; Pièges au Comptoir :</w:t>
      </w:r>
      <w:r/>
    </w:p>
    <w:p>
      <w:pPr>
        <w:pStyle w:val="ListBullet"/>
      </w:pPr>
      <w:r/>
      <w:r>
        <w:rPr>
          <w:b/>
        </w:rPr>
        <w:t>Piège classique :</w:t>
      </w:r>
      <w:r>
        <w:t xml:space="preserve"> (i) Prise à jeun du calcium (carbonate) — efficacité réduite (le carbonate nécessite un milieu acide gastrique) ; (ii) Prise simultanée avec un bisphosphonate, une thyroxine, un fer, ou une quinolone — chélation et inefficacité ; (iii) Oubli de la supplémentation calcique en cas de prescription d'un bisphosphonate (alendronate, risédronate) — le bisphosphonate sans calcium suffisant peut induire une hypocalcémie ; (iv) Constipation non expliquée chez le sujet âgé — souvent due au calcium.</w:t>
      </w:r>
    </w:p>
    <w:p>
      <w:pPr>
        <w:pStyle w:val="ListBullet"/>
      </w:pPr>
      <w:r/>
      <w:r>
        <w:rPr>
          <w:b/>
        </w:rPr>
        <w:t>Règle de prise :</w:t>
      </w:r>
      <w:r>
        <w:t xml:space="preserve"> pendant ou après un repas ; espacer de 2 h des autres médicaments chélatés ; hydratation suffisante ; surveillance du transit.</w:t>
      </w:r>
    </w:p>
    <w:p>
      <w:pPr>
        <w:pStyle w:val="ListBullet"/>
      </w:pPr>
      <w:r/>
      <w:r>
        <w:rPr>
          <w:b/>
        </w:rPr>
        <w:t>Préparation et Conservation :</w:t>
      </w:r>
      <w:r>
        <w:t xml:space="preserve"> à température ambiante (15–25 °C), à l'abri de l'humidité (le carbonate de calcium est hygroscopique). Conserver les comprimés dans leur tube d'origine bien fermé.</w:t>
      </w:r>
    </w:p>
    <w:p>
      <w:pPr>
        <w:pStyle w:val="ListBullet"/>
      </w:pPr>
      <w:r/>
      <w:r>
        <w:rPr>
          <w:b/>
        </w:rPr>
        <w:t>Piège du surdosage / Substitution :</w:t>
      </w:r>
      <w:r>
        <w:t xml:space="preserve"> ne pas dépasser 2–2,5 g de calcium élément/j (risque de syndrome de Milk-Alkali : hypercalcémie + alcalose + IRC) ; attention aux patients qui cumulent plusieurs suppléments calciques (calcium seul + association calcium + vitamine D3 + antiacidecalcique Rennie) ; vérifier l'apport calcique total (alimentaire + médicamenteux).</w:t>
      </w:r>
    </w:p>
    <w:p>
      <w:pPr>
        <w:pStyle w:val="Heading2"/>
      </w:pPr>
      <w:r>
        <w:t>VI. Sous-classe : Suppléments calciques</w:t>
      </w:r>
    </w:p>
    <w:p>
      <w:pPr>
        <w:pStyle w:val="Heading3"/>
      </w:pPr>
      <w:r>
        <w:t>Introduction à la sous-classe</w:t>
      </w:r>
    </w:p>
    <w:p>
      <w:r>
        <w:t xml:space="preserve">Les suppléments calciques (Calcium isolé, sans vitamine D associée) regroupent plusieurs sels : </w:t>
      </w:r>
      <w:r>
        <w:rPr>
          <w:b/>
        </w:rPr>
        <w:t>carbonate de calcium</w:t>
      </w:r>
      <w:r>
        <w:t xml:space="preserve"> (CaCO3, 40 % de calcium élément, le plus concentré et le plus économique, nécessite un milieu acide gastrique), </w:t>
      </w:r>
      <w:r>
        <w:rPr>
          <w:b/>
        </w:rPr>
        <w:t>pidolate de calcium</w:t>
      </w:r>
      <w:r>
        <w:t xml:space="preserve"> (sel organique très soluble, biodisponibilité élevée mais goût métallique, utilisé en sirop et ampoule buvable), </w:t>
      </w:r>
      <w:r>
        <w:rPr>
          <w:b/>
        </w:rPr>
        <w:t>gluconate de calcium</w:t>
      </w:r>
      <w:r>
        <w:t xml:space="preserve"> (sel organique, 9 % de calcium élément, faible concentration mais très bien toléré, utilisé en injection IV d'urgence), </w:t>
      </w:r>
      <w:r>
        <w:rPr>
          <w:b/>
        </w:rPr>
        <w:t>chlorure de calcium</w:t>
      </w:r>
      <w:r>
        <w:t xml:space="preserve"> (sel minéral hyperosmolaire, réservé à l'IV en urgence — arrêt cardiaque, hypocalcémie sévère).</w:t>
      </w:r>
    </w:p>
    <w:p>
      <w:r>
        <w:t>Le marché algérien est particulièrement riche en spécialités de calcium isolé (42 lignes identifiées dans le fichier source), avec une grande variété de formes galéniques : comprimés à sucer (CALPEROS, KALCITAB, OSSECAL), comprimés effervescents (CALCIBRONAT, CALCIBIONAT, CALBROLAXE), sachets de poudre pour suspension buvable (CALCIDOSE, CALCIUM HYSA 500, OSSECAL), sirops (CALCIAL, CALCIFOR), gélules et comprimés pelliculés (DOXIUM), ampoules buvables (Calcium Sandoz), formes injectables IV/IM (RAZIFOLINE, CALCIBRONAT, CALCIUM CHLORURE, Calcium-Medifa), comprimés à croquer (RENNIE — carbonate + magnésium carbonate, antiacide).</w:t>
      </w:r>
    </w:p>
    <w:p>
      <w:r/>
      <w:r>
        <w:rPr>
          <w:b/>
        </w:rPr>
        <w:t>Indications principales :</w:t>
      </w:r>
      <w:r>
        <w:t xml:space="preserve"> supplémentation calcique de l'ostéoporose, hypocalcémie aiguë (tétanie, post-thyroidectomie, post-parathyroidectomie), arrêt cardiaque (chlorure de calcium IV), hyperkaliémie modérée (antagonisme calcique sur le myocarde), piqûres de méduses ou d'insectes (chlorure de calcium local), antioacide gastrique (carbonate de calcium — Rennie).</w:t>
      </w:r>
    </w:p>
    <w:p>
      <w:pPr>
        <w:pStyle w:val="Heading3"/>
      </w:pPr>
      <w:r>
        <w:t>6. DCI : Calcium (carbonate, pidolate, gluconate, chlorure) (Seule)</w:t>
      </w:r>
    </w:p>
    <w:p>
      <w:r/>
      <w:r>
        <w:rPr>
          <w:b/>
        </w:rPr>
        <w:t>Liste des Catégories :</w:t>
      </w:r>
      <w:r>
        <w:t xml:space="preserve"> Hors liste pour les formes orales (comprimés, sirop, sachets) ; Liste I pour les formes injectables IV/IM ; certaines spécialités historiques sans statut précis.</w:t>
      </w:r>
    </w:p>
    <w:p>
      <w:r>
        <w:t>Le calcium, ion Ca²⁺, est le minéral le plus abondant de l'organisme (≈ 1,2 kg chez l'adulte, dont 99 % dans le squelette sous forme d'hydroxyapatite Ca10(PO4)6(OH)2). Son homéostasie est régulée par la PTH (hypercalcémiante), le calcitriol (hypercalcémiant) et la calcitonine (hypocalcémiante physiologique mineure). Les sels calciques administrés per os ont une biodisponibilité variable selon la forme chimique : carbonate (le plus concentré, 40 % de calcium élément, mais nécessite un milieu acide gastrique), pidolate (sel organique soluble, biodisponibilité supérieure), gluconate (9 % de calcium élément, faible concentration mais bonne tolérance), chlorure (réservé à l'IV en raison de son hypersomolarité et de sa toxicité tissulaire locale en cas d'extravasation).</w:t>
      </w:r>
    </w:p>
    <w:p>
      <w:r/>
      <w:r>
        <w:rPr>
          <w:b/>
        </w:rPr>
        <w:t>Médicaments disponibles en Algérie (Marques, Laboratoires, Formes et Dosages) :</w:t>
      </w:r>
      <w:r/>
    </w:p>
    <w:p>
      <w:r>
        <w:t>Formes injectables IV/IM :</w:t>
      </w:r>
    </w:p>
    <w:p>
      <w:pPr>
        <w:pStyle w:val="ListBullet"/>
      </w:pPr>
      <w:r/>
      <w:r>
        <w:rPr>
          <w:b/>
        </w:rPr>
        <w:t>RAZIFOLINE</w:t>
      </w:r>
      <w:r>
        <w:t xml:space="preserve"> (FRATER-RAZES FORME SECHE) — Solution injectable IV et IM ou perfusion 10 mg/mL, B/5 ampoules de 5 mL (50 mg/5 mL) et B/5 ampoules de 10 mL (100 mg/10 mL). Actif.</w:t>
      </w:r>
    </w:p>
    <w:p>
      <w:pPr>
        <w:pStyle w:val="ListBullet"/>
      </w:pPr>
      <w:r/>
      <w:r>
        <w:rPr>
          <w:b/>
        </w:rPr>
        <w:t>CALCIBRONAT</w:t>
      </w:r>
      <w:r>
        <w:t xml:space="preserve"> (NOVARTIS PHARMA S.A.) — Solution injectable IV 124 mg/mL, B/5 ampoules de 10 mL. Retiré (R).</w:t>
      </w:r>
    </w:p>
    <w:p>
      <w:pPr>
        <w:pStyle w:val="ListBullet"/>
      </w:pPr>
      <w:r/>
      <w:r>
        <w:rPr>
          <w:b/>
        </w:rPr>
        <w:t>CALCIUM-MEDIFA</w:t>
      </w:r>
      <w:r>
        <w:t xml:space="preserve"> (MEDIFA) — Solution injectable IV 0,6875 g/5 mL, B/10 ampoules de 5 mL. Retiré (R).</w:t>
      </w:r>
    </w:p>
    <w:p>
      <w:pPr>
        <w:pStyle w:val="ListBullet"/>
      </w:pPr>
      <w:r/>
      <w:r>
        <w:rPr>
          <w:b/>
        </w:rPr>
        <w:t>CALCIUM CHLORURE</w:t>
      </w:r>
      <w:r>
        <w:t xml:space="preserve"> (RENAUDIN) — Solution injectable IV 0,1 g/mL, B/100 ampoules de 10 mL. Non renouvelable.</w:t>
      </w:r>
    </w:p>
    <w:p>
      <w:pPr>
        <w:pStyle w:val="ListBullet"/>
      </w:pPr>
      <w:r/>
      <w:r>
        <w:rPr>
          <w:b/>
        </w:rPr>
        <w:t>CALCIUM FOLINATE EBEWE</w:t>
      </w:r>
      <w:r>
        <w:t xml:space="preserve"> (EBEWE PHARMA) — Solution injectable IM/IV 10 mg/mL (50 mg/5 mL), B/5 ampoules de 5 mL. Retiré (R). *[À noter : calcium folinate = acide folinique, pas un sel de calcium — nom historique trompeur]*</w:t>
      </w:r>
    </w:p>
    <w:p>
      <w:pPr>
        <w:pStyle w:val="ListBullet"/>
      </w:pPr>
      <w:r/>
      <w:r>
        <w:rPr>
          <w:b/>
        </w:rPr>
        <w:t>CALCIUM FOLINAT EBEWE</w:t>
      </w:r>
      <w:r>
        <w:t xml:space="preserve"> (EBEWE PHARMA) — Gélules 15 mg, B/20. Retiré (R).</w:t>
      </w:r>
    </w:p>
    <w:p>
      <w:r>
        <w:t>Comprimés à croquer (antioacide gastrique — carbonate de calcium + carbonate de magnésium) :</w:t>
      </w:r>
    </w:p>
    <w:p>
      <w:pPr>
        <w:pStyle w:val="ListBullet"/>
      </w:pPr>
      <w:r/>
      <w:r>
        <w:rPr>
          <w:b/>
        </w:rPr>
        <w:t>RENNIE</w:t>
      </w:r>
      <w:r>
        <w:t xml:space="preserve"> (BAYER HEALTHCARE SAS) — Comprimé à croquer 680 mg/80 mg (carbonate de calcium + carbonate de magnésium), B/48. Actif.</w:t>
      </w:r>
    </w:p>
    <w:p>
      <w:pPr>
        <w:pStyle w:val="ListBullet"/>
      </w:pPr>
      <w:r/>
      <w:r>
        <w:rPr>
          <w:b/>
        </w:rPr>
        <w:t>RENNIE DEFLATINE</w:t>
      </w:r>
      <w:r>
        <w:t xml:space="preserve"> (BAYER SANTE FAMILIALE) — Comprimé à croquer sans sucre 680 mg/80 mg/25 mg (carb. Ca + carb. Mg + siméticone), B/18. Actif.</w:t>
      </w:r>
    </w:p>
    <w:p>
      <w:pPr>
        <w:pStyle w:val="ListBullet"/>
      </w:pPr>
      <w:r/>
      <w:r>
        <w:rPr>
          <w:b/>
        </w:rPr>
        <w:t>RENIBON</w:t>
      </w:r>
      <w:r>
        <w:t xml:space="preserve"> (OUBARI ET RADWAN PHARMA ET Co.) — Comprimé à croquer 680 mg/80 mg, B/20. Non renouvelable.</w:t>
      </w:r>
    </w:p>
    <w:p>
      <w:r>
        <w:t>Comprimés à sucer (supplémentation calcique) :</w:t>
      </w:r>
    </w:p>
    <w:p>
      <w:pPr>
        <w:pStyle w:val="ListBullet"/>
      </w:pPr>
      <w:r/>
      <w:r>
        <w:rPr>
          <w:b/>
        </w:rPr>
        <w:t>CALCIMED</w:t>
      </w:r>
      <w:r>
        <w:t xml:space="preserve"> (WORLD MEDECINE LIMITED) — Comprimé à sucer 500 mg, B/60. Actif.</w:t>
      </w:r>
    </w:p>
    <w:p>
      <w:pPr>
        <w:pStyle w:val="ListBullet"/>
      </w:pPr>
      <w:r/>
      <w:r>
        <w:rPr>
          <w:b/>
        </w:rPr>
        <w:t>CALCIOS</w:t>
      </w:r>
      <w:r>
        <w:t xml:space="preserve"> (PHARMIDAL NS) — Comprimé à sucer 500 mg, B/60. Actif.</w:t>
      </w:r>
    </w:p>
    <w:p>
      <w:pPr>
        <w:pStyle w:val="ListBullet"/>
      </w:pPr>
      <w:r/>
      <w:r>
        <w:rPr>
          <w:b/>
        </w:rPr>
        <w:t>CALCIUM BR</w:t>
      </w:r>
      <w:r>
        <w:t xml:space="preserve"> (SARL BIOREM) — Comprimé à sucer 500 mg, B/60. Actif.</w:t>
      </w:r>
    </w:p>
    <w:p>
      <w:pPr>
        <w:pStyle w:val="ListBullet"/>
      </w:pPr>
      <w:r/>
      <w:r>
        <w:rPr>
          <w:b/>
        </w:rPr>
        <w:t>CALCIUM NOVAGENERICS</w:t>
      </w:r>
      <w:r>
        <w:t xml:space="preserve"> (NOVAPHARM TRADING) — Comprimé à sucer 500 mg, B/60. Actif.</w:t>
      </w:r>
    </w:p>
    <w:p>
      <w:pPr>
        <w:pStyle w:val="ListBullet"/>
      </w:pPr>
      <w:r/>
      <w:r>
        <w:rPr>
          <w:b/>
        </w:rPr>
        <w:t>CALPEROS</w:t>
      </w:r>
      <w:r>
        <w:t xml:space="preserve"> (BOUCHARA-RECORDATI) — Comprimé à sucer sécable 500 mg, B/60. Actif.</w:t>
      </w:r>
    </w:p>
    <w:p>
      <w:pPr>
        <w:pStyle w:val="ListBullet"/>
      </w:pPr>
      <w:r/>
      <w:r>
        <w:rPr>
          <w:b/>
        </w:rPr>
        <w:t>KALCITAB</w:t>
      </w:r>
      <w:r>
        <w:t xml:space="preserve"> (SARL PHARMA SPHERE) — Comprimé à sucer 500 mg, B/60. Actif.</w:t>
      </w:r>
    </w:p>
    <w:p>
      <w:pPr>
        <w:pStyle w:val="ListBullet"/>
      </w:pPr>
      <w:r/>
      <w:r>
        <w:rPr>
          <w:b/>
        </w:rPr>
        <w:t>OSSECAL</w:t>
      </w:r>
      <w:r>
        <w:t xml:space="preserve"> (BIOGALENIC) — Comprimé à sucer 500 mg, B/60. Actif.</w:t>
      </w:r>
    </w:p>
    <w:p>
      <w:pPr>
        <w:pStyle w:val="ListBullet"/>
      </w:pPr>
      <w:r/>
      <w:r>
        <w:rPr>
          <w:b/>
        </w:rPr>
        <w:t>ADCAL</w:t>
      </w:r>
      <w:r>
        <w:t xml:space="preserve"> (JORDANIAN PHARMACEUTICAL MANUFACTURING — JPM) — Comprimé 500 mg, B/60. Non renouvelable.</w:t>
      </w:r>
    </w:p>
    <w:p>
      <w:pPr>
        <w:pStyle w:val="ListBullet"/>
      </w:pPr>
      <w:r/>
      <w:r>
        <w:rPr>
          <w:b/>
        </w:rPr>
        <w:t>SEACAL CALCIUM</w:t>
      </w:r>
      <w:r>
        <w:t xml:space="preserve"> (EL KENDI INDUSTRIE DU MEDICAMENT) — Comprimé pelliculé 500 mg, FL/60. Non renouvelable.</w:t>
      </w:r>
    </w:p>
    <w:p>
      <w:pPr>
        <w:pStyle w:val="ListBullet"/>
      </w:pPr>
      <w:r/>
      <w:r>
        <w:rPr>
          <w:b/>
        </w:rPr>
        <w:t>CALCIBON</w:t>
      </w:r>
      <w:r>
        <w:t xml:space="preserve"> (ALPHARM SPA) — Comprimé 500 mg, B/50. Retiré (R).</w:t>
      </w:r>
    </w:p>
    <w:p>
      <w:pPr>
        <w:pStyle w:val="ListBullet"/>
      </w:pPr>
      <w:r/>
      <w:r>
        <w:rPr>
          <w:b/>
        </w:rPr>
        <w:t>OROCAL</w:t>
      </w:r>
      <w:r>
        <w:t xml:space="preserve"> (THERAMEX) — Comprimé à sucer 500 mg de calcium élément, B/60. Retiré (R).</w:t>
      </w:r>
    </w:p>
    <w:p>
      <w:r>
        <w:t>Comprimés effervescents :</w:t>
      </w:r>
    </w:p>
    <w:p>
      <w:pPr>
        <w:pStyle w:val="ListBullet"/>
      </w:pPr>
      <w:r/>
      <w:r>
        <w:rPr>
          <w:b/>
        </w:rPr>
        <w:t>CALCIBIONAT</w:t>
      </w:r>
      <w:r>
        <w:t xml:space="preserve"> (BIOGALENIC) — Comprimé effervescent 2 g, T/20. Actif.</w:t>
      </w:r>
    </w:p>
    <w:p>
      <w:pPr>
        <w:pStyle w:val="ListBullet"/>
      </w:pPr>
      <w:r/>
      <w:r>
        <w:rPr>
          <w:b/>
        </w:rPr>
        <w:t>CALCIBRO</w:t>
      </w:r>
      <w:r>
        <w:t xml:space="preserve"> (SARL API) — Comprimé effervescent 2 g, T/20. Actif.</w:t>
      </w:r>
    </w:p>
    <w:p>
      <w:pPr>
        <w:pStyle w:val="ListBullet"/>
      </w:pPr>
      <w:r/>
      <w:r>
        <w:rPr>
          <w:b/>
        </w:rPr>
        <w:t>CALBROLAXE</w:t>
      </w:r>
      <w:r>
        <w:t xml:space="preserve"> (LABORATOIRE MOBEN) — Comprimé effervescent 2 g, B/1 tube de 20. Actif.</w:t>
      </w:r>
    </w:p>
    <w:p>
      <w:pPr>
        <w:pStyle w:val="ListBullet"/>
      </w:pPr>
      <w:r/>
      <w:r>
        <w:rPr>
          <w:b/>
        </w:rPr>
        <w:t>CALCIBRONAT</w:t>
      </w:r>
      <w:r>
        <w:t xml:space="preserve"> (PROPHARMAL) — Comprimé effervescent 2 g, B/1 tube de 20. Actif.</w:t>
      </w:r>
    </w:p>
    <w:p>
      <w:pPr>
        <w:pStyle w:val="ListBullet"/>
      </w:pPr>
      <w:r/>
      <w:r>
        <w:rPr>
          <w:b/>
        </w:rPr>
        <w:t>CALCIUM API</w:t>
      </w:r>
      <w:r>
        <w:t xml:space="preserve"> (SARL API) — Comprimé effervescent 500 mg, FL/20. Actif.</w:t>
      </w:r>
    </w:p>
    <w:p>
      <w:pPr>
        <w:pStyle w:val="ListBullet"/>
      </w:pPr>
      <w:r/>
      <w:r>
        <w:rPr>
          <w:b/>
        </w:rPr>
        <w:t>CALCIUM SANDOZ</w:t>
      </w:r>
      <w:r>
        <w:t xml:space="preserve"> (SANDOZ) — Comprimé effervescent 500 mg (sel 2,94 g/0,3 g), B/20. Non renouvelable. *[Une autre spécialité Calcium SANDOZ a été Retirée du marché]*</w:t>
      </w:r>
    </w:p>
    <w:p>
      <w:pPr>
        <w:pStyle w:val="ListBullet"/>
      </w:pPr>
      <w:r/>
      <w:r>
        <w:rPr>
          <w:b/>
        </w:rPr>
        <w:t>CALCIUM SANDOZ</w:t>
      </w:r>
      <w:r>
        <w:t xml:space="preserve"> (SANDOZ) — Poudre en sachet pour solution buvable 3,40 g/0,150 g/sachet (= 500 mg calcium élément), B/30. Retiré (R).</w:t>
      </w:r>
    </w:p>
    <w:p>
      <w:pPr>
        <w:pStyle w:val="ListBullet"/>
      </w:pPr>
      <w:r/>
      <w:r>
        <w:rPr>
          <w:b/>
        </w:rPr>
        <w:t>ENERGIVERSAL</w:t>
      </w:r>
      <w:r>
        <w:t xml:space="preserve"> (PRIME UNIVERSAL) — Comprimé effervescent 500 mg, B/16. Retiré (R).</w:t>
      </w:r>
    </w:p>
    <w:p>
      <w:r>
        <w:t>Sirops (calcium pidolate) :</w:t>
      </w:r>
    </w:p>
    <w:p>
      <w:pPr>
        <w:pStyle w:val="ListBullet"/>
      </w:pPr>
      <w:r/>
      <w:r>
        <w:rPr>
          <w:b/>
        </w:rPr>
        <w:t>CALCIAL</w:t>
      </w:r>
      <w:r>
        <w:t xml:space="preserve"> (LABORATOIRE ALGERIEN DU MEDICAMENT) — Sirop 67,5 mg/5 mL (0,5 g/5 mL en calcium pidolate), FL/125 mL. Actif.</w:t>
      </w:r>
    </w:p>
    <w:p>
      <w:pPr>
        <w:pStyle w:val="ListBullet"/>
      </w:pPr>
      <w:r/>
      <w:r>
        <w:rPr>
          <w:b/>
        </w:rPr>
        <w:t>CALCIFOR</w:t>
      </w:r>
      <w:r>
        <w:t xml:space="preserve"> (LAD PHARMA) — Sirop 67,5 mg/5 mL (0,5 g/5 mL en calcium pidolate), FL/125 mL. Actif.</w:t>
      </w:r>
    </w:p>
    <w:p>
      <w:pPr>
        <w:pStyle w:val="ListBullet"/>
      </w:pPr>
      <w:r/>
      <w:r>
        <w:rPr>
          <w:b/>
        </w:rPr>
        <w:t>ACTICAL</w:t>
      </w:r>
      <w:r>
        <w:t xml:space="preserve"> (GROUPE SAIDAL) — Sirop 0,1 g/mL, FL/125 mL. Non renouvelable.</w:t>
      </w:r>
    </w:p>
    <w:p>
      <w:pPr>
        <w:pStyle w:val="ListBullet"/>
      </w:pPr>
      <w:r/>
      <w:r>
        <w:rPr>
          <w:b/>
        </w:rPr>
        <w:t>ACTICAL</w:t>
      </w:r>
      <w:r>
        <w:t xml:space="preserve"> (GROUPE SAIDAL) — Ampoule buvable 135 mg/10 mL de calcium (1 g/10 mL = 10 % de pidolate de calcium), B/20 ampoules de 10 mL. Non renouvelable.</w:t>
      </w:r>
    </w:p>
    <w:p>
      <w:r>
        <w:t>Poudre pour suspension buvable en sachets :</w:t>
      </w:r>
    </w:p>
    <w:p>
      <w:pPr>
        <w:pStyle w:val="ListBullet"/>
      </w:pPr>
      <w:r/>
      <w:r>
        <w:rPr>
          <w:b/>
        </w:rPr>
        <w:t>CALCIDOSE</w:t>
      </w:r>
      <w:r>
        <w:t xml:space="preserve"> (LABORATOIRES MERINAL) — Poudre pour suspension buvable en sachet 500 mg, B/30 sachets. Actif.</w:t>
      </w:r>
    </w:p>
    <w:p>
      <w:pPr>
        <w:pStyle w:val="ListBullet"/>
      </w:pPr>
      <w:r/>
      <w:r>
        <w:rPr>
          <w:b/>
        </w:rPr>
        <w:t>CALCIUM HYSA 500</w:t>
      </w:r>
      <w:r>
        <w:t xml:space="preserve"> (SARL HYSA) — Poudre pour suspension buvable en sachet 500 mg, B/30 sachets. Actif.</w:t>
      </w:r>
    </w:p>
    <w:p>
      <w:pPr>
        <w:pStyle w:val="ListBullet"/>
      </w:pPr>
      <w:r/>
      <w:r>
        <w:rPr>
          <w:b/>
        </w:rPr>
        <w:t>KINADYN CALCIUM</w:t>
      </w:r>
      <w:r>
        <w:t xml:space="preserve"> (BIOPHARM) — Poudre pour suspension buvable en sachet 500 mg, B/30 sachets. Actif.</w:t>
      </w:r>
    </w:p>
    <w:p>
      <w:pPr>
        <w:pStyle w:val="ListBullet"/>
      </w:pPr>
      <w:r/>
      <w:r>
        <w:rPr>
          <w:b/>
        </w:rPr>
        <w:t>OSSECAL</w:t>
      </w:r>
      <w:r>
        <w:t xml:space="preserve"> (BIOGALENIC) — Poudre pour suspension buvable en sachet 500 mg, B/30 sachets. Actif.</w:t>
      </w:r>
    </w:p>
    <w:p>
      <w:r>
        <w:t>Gélules / comprimés pelliculés :</w:t>
      </w:r>
    </w:p>
    <w:p>
      <w:pPr>
        <w:pStyle w:val="ListBullet"/>
      </w:pPr>
      <w:r/>
      <w:r>
        <w:rPr>
          <w:b/>
        </w:rPr>
        <w:t>DOXIUM</w:t>
      </w:r>
      <w:r>
        <w:t xml:space="preserve"> (ABDI IBRAHIM REMEDE PHARMA) — Gélule 500 mg, B/30 ; Comprimé pelliculé 1000 mg, B/30. Actif. *[À noter : DOXIUM contient du dobesilate de calcium — sel de calcium du dobesilate, utilisé comme vasotonique capillaire, pas comme supplément calcique classique — nom trompeur]*</w:t>
      </w:r>
    </w:p>
    <w:p>
      <w:pPr>
        <w:pStyle w:val="ListBullet"/>
      </w:pPr>
      <w:r/>
      <w:r>
        <w:rPr>
          <w:b/>
        </w:rPr>
        <w:t>HEPARINE CALCIQUE 5000UI/0,2ML</w:t>
      </w:r>
      <w:r>
        <w:t xml:space="preserve"> (LEO) — Solution injectable SC 25 000 UI/mL (5000 UI/0,2 mL), B/50 seringues de 0,2 mL. Non renouvelable. *[Héparine calcique — sel de calcium de l'héparine, à ne pas confondre avec un supplément calcique]*</w:t>
      </w:r>
    </w:p>
    <w:p>
      <w:pPr>
        <w:pStyle w:val="ListBullet"/>
      </w:pPr>
      <w:r/>
      <w:r>
        <w:rPr>
          <w:b/>
        </w:rPr>
        <w:t>HEPARINE CALCIQUE 7500UI/0,3ML</w:t>
      </w:r>
      <w:r>
        <w:t xml:space="preserve"> (LEO) — Solution injectable SC 25 000 UI/mL (7500 UI/0,3 mL), B/50 seringues de 0,3 mL. Non renouvelable.</w:t>
      </w:r>
    </w:p>
    <w:p>
      <w:pPr>
        <w:pStyle w:val="ListBullet"/>
      </w:pPr>
      <w:r/>
      <w:r>
        <w:rPr>
          <w:b/>
        </w:rPr>
        <w:t>LEDERFOLINE</w:t>
      </w:r>
      <w:r>
        <w:t xml:space="preserve"> (WYETH LEDERLE) — Poudre pour solution injectable 50 mg/5 mL, B/1. Non renouvelable. *[Acide folinique — pas un sel de calcium, malgré le nom commercial]*</w:t>
      </w:r>
    </w:p>
    <w:p>
      <w:r>
        <w:t xml:space="preserve">À noter : plusieurs noms commerciaux contenant "calcium" ou "calci" dans le fichier sont trompeurs (Doxium = dobesilate de calcium, vasotonique ; Calcium Folinate = acide folinique ; Léderfoline = acide folinique ; Héparine calcique = sel de calcium de l'héparine). Ces molécules ne sont </w:t>
      </w:r>
      <w:r>
        <w:rPr>
          <w:b/>
        </w:rPr>
        <w:t>pas des suppléments calciques</w:t>
      </w:r>
      <w:r>
        <w:t xml:space="preserve"> et n'ont pas leur place dans cette fiche — elles sont mentionnées pour la clarté du répertoire mais ne doivent pas être substituées.</w:t>
      </w:r>
    </w:p>
    <w:p>
      <w:r/>
      <w:r>
        <w:rPr>
          <w:b/>
        </w:rPr>
        <w:t>Sous-classe et Mécanisme d'action :</w:t>
      </w:r>
      <w:r/>
    </w:p>
    <w:p>
      <w:pPr>
        <w:pStyle w:val="ListBullet"/>
      </w:pPr>
      <w:r/>
      <w:r>
        <w:rPr>
          <w:b/>
        </w:rPr>
        <w:t>Sous-classe :</w:t>
      </w:r>
      <w:r>
        <w:t xml:space="preserve"> Supplémentation calcique (Hors liste pour formes orales ; Liste I pour formes IV/IM). Minéral essentiel, composant de l'hydroxyapatite osseuse Ca10(PO4)6(OH)2.</w:t>
      </w:r>
    </w:p>
    <w:p>
      <w:pPr>
        <w:pStyle w:val="ListBullet"/>
      </w:pPr>
      <w:r/>
      <w:r>
        <w:rPr>
          <w:b/>
        </w:rPr>
        <w:t>Mécanisme d'action :</w:t>
      </w:r>
      <w:r>
        <w:t xml:space="preserve"> le calcium ionisé (Ca²⁺) est absorbé par voie intestinale active (transport transcellulaire TRPV6/calbindine-D9k/PMCA1b, dépendant de la vitamine D, saturable, ~30 % de l'apport) et passive (paracellulaire, proportionnelle à la luminal calcique, ~10–20 % supplémentaire). Au niveau osseux, le calcium se fixe à la matrice ostéoïde pour former l'hydroxyapatite, minéral principal du tissu osseux. Au niveau cellulaire, le Ca²⁺ est un second messager intracellulaire ubiquitaire : contraction musculaire (cardiaque, squelettique, lisse), neurotransmission, cascade de coagulation (facteurs II, VII, IX, X, protéines C et S), sécrétion hormonale. L'administration IV rapide de calcium ionisé </w:t>
      </w:r>
      <w:r>
        <w:rPr>
          <w:b/>
        </w:rPr>
        <w:t>antagonise les effets membranaires de l'hyperkaliémie</w:t>
      </w:r>
      <w:r>
        <w:t xml:space="preserve"> (restauration du gradient de repos membranaire) et de l'hypocalcémie (anti-tétanie).</w:t>
      </w:r>
    </w:p>
    <w:p>
      <w:pPr>
        <w:pStyle w:val="ListBullet"/>
      </w:pPr>
      <w:r/>
      <w:r>
        <w:rPr>
          <w:b/>
        </w:rPr>
        <w:t>Pharmacocinétique :</w:t>
      </w:r>
      <w:r>
        <w:t xml:space="preserve"> absorption orale variable selon le sel (carbonate 20–30 % avec nécessité d'acide gastrique ; pidolate et gluconate 25–35 % meilleure biodisponibilité) ; distribution quasi-totale à l'os (99 %), au plasma (40 % ionisé, 50 % lié à l'albumine, 10 % complexé) ; excrétion fécale (75 %) et urinaire (25 %, filtrée et réabsorbée à 98 % selon la PTH et la vitamine D).</w:t>
      </w:r>
    </w:p>
    <w:p>
      <w:r/>
      <w:r>
        <w:rPr>
          <w:b/>
        </w:rPr>
        <w:t>Profil Pharmacologique :</w:t>
      </w:r>
      <w:r/>
    </w:p>
    <w:p>
      <w:pPr>
        <w:pStyle w:val="ListBullet"/>
      </w:pPr>
      <w:r/>
      <w:r>
        <w:rPr>
          <w:b/>
        </w:rPr>
        <w:t>Indications :</w:t>
      </w:r>
      <w:r>
        <w:t xml:space="preserve"> (i) </w:t>
      </w:r>
      <w:r>
        <w:rPr>
          <w:b/>
        </w:rPr>
        <w:t>Supplémentation calcique</w:t>
      </w:r>
      <w:r>
        <w:t xml:space="preserve"> dans l'ostéoporose, la grossesse, l'allaitement, la croissance, la carence d'apport (alimentation pauvre en produits laitiers) ; (ii) </w:t>
      </w:r>
      <w:r>
        <w:rPr>
          <w:b/>
        </w:rPr>
        <w:t>Hypocalcémie aiguë</w:t>
      </w:r>
      <w:r>
        <w:t xml:space="preserve"> (tétanie hypocalcémique, post-thyroidectomie ou parathyroidectomie, hypoparathyroïdie) — calcium IV (gluconate, chlorure) ; (iii) </w:t>
      </w:r>
      <w:r>
        <w:rPr>
          <w:b/>
        </w:rPr>
        <w:t>Hyperkaliémie menaçante</w:t>
      </w:r>
      <w:r>
        <w:t xml:space="preserve"> (antagonisme calcique sur le myocarde — gluconate ou chlorure IV) ; (iv) </w:t>
      </w:r>
      <w:r>
        <w:rPr>
          <w:b/>
        </w:rPr>
        <w:t>Arrêt cardiaque</w:t>
      </w:r>
      <w:r>
        <w:t xml:space="preserve"> et réanimation cardiopulmonaire (chlorure de calcium IV en cas d'hyperkaliémie, d'hypocalcémie ou d'arrêt prolongé) ; (v) </w:t>
      </w:r>
      <w:r>
        <w:rPr>
          <w:b/>
        </w:rPr>
        <w:t>Antiacide gastrique</w:t>
      </w:r>
      <w:r>
        <w:t xml:space="preserve"> (carbonate de calcium — Rennie) : neutralisation acide (CaCO3 + 2HCl → CaCl2 + H2O + CO2) ; (vi) </w:t>
      </w:r>
      <w:r>
        <w:rPr>
          <w:b/>
        </w:rPr>
        <w:t>Piqûres de méduses</w:t>
      </w:r>
      <w:r>
        <w:t xml:space="preserve"> et insectes (chlorure de calcium local — désactivation des toxines thermolabiles).</w:t>
      </w:r>
    </w:p>
    <w:p>
      <w:pPr>
        <w:pStyle w:val="ListBullet"/>
      </w:pPr>
      <w:r/>
      <w:r>
        <w:rPr>
          <w:b/>
        </w:rPr>
        <w:t>Contre-indications :</w:t>
      </w:r>
      <w:r>
        <w:t xml:space="preserve"> (i) Hypercalcémie, hypercalciurie ; (ii) Lithiase calcique récidivante ; (iii) Néphrocalcinose, IRC sévère ; (iv) Sarcoidose, granulomatoses ; (v) Pour les formes IV : administration IM stricte (nécrose tissulaire), administration IV rapide (trouble du rythme, bradycardie sévère, arrêt cardiaque) ; (vi) Patients sous digitaliques (sensibilisation du myocarde à la digoxine — CI relative au IV).</w:t>
      </w:r>
    </w:p>
    <w:p>
      <w:pPr>
        <w:pStyle w:val="ListBullet"/>
      </w:pPr>
      <w:r/>
      <w:r>
        <w:rPr>
          <w:b/>
        </w:rPr>
        <w:t>Effets Indésirables :</w:t>
      </w:r>
      <w:r/>
    </w:p>
    <w:p>
      <w:pPr>
        <w:pStyle w:val="ListBullet"/>
      </w:pPr>
      <w:r/>
      <w:r>
        <w:rPr>
          <w:b/>
        </w:rPr>
        <w:t>Per os :</w:t>
      </w:r>
      <w:r>
        <w:t xml:space="preserve"> constipation (effet dose-dépendant principal), ballonnements, flatulences (CO2 libéré par le carbonate), nausées, hypercalciurie, lithiase calcique.</w:t>
      </w:r>
    </w:p>
    <w:p>
      <w:pPr>
        <w:pStyle w:val="ListBullet"/>
      </w:pPr>
      <w:r/>
      <w:r>
        <w:rPr>
          <w:b/>
        </w:rPr>
        <w:t>IV (calcium gluconate ou chlorure) :</w:t>
      </w:r>
      <w:r>
        <w:t xml:space="preserve"> bouffées de chaleur, sensation de chaleur, goût métallique, bradycardie sinusale, hypotension (en cas d'injection trop rapide) ; </w:t>
      </w:r>
      <w:r>
        <w:rPr>
          <w:b/>
        </w:rPr>
        <w:t>extravasation</w:t>
      </w:r>
      <w:r>
        <w:t xml:space="preserve"> : nécrose tissulaire grave (chlorure de calcium surtout — obligatoirement par voie centrale ou grosse veine périphérique) ; en cas d'administration IM accidentelle, nécrose locale sévère.</w:t>
      </w:r>
    </w:p>
    <w:p>
      <w:pPr>
        <w:pStyle w:val="ListBullet"/>
      </w:pPr>
      <w:r/>
      <w:r>
        <w:rPr>
          <w:b/>
        </w:rPr>
        <w:t>Syndrome de Milk-Alkali</w:t>
      </w:r>
      <w:r>
        <w:t xml:space="preserve"> (hypercalcémie + alcalose métabolique + IRC) en cas de surdosage chronique (carbonate) &gt; 4 g/j.</w:t>
      </w:r>
    </w:p>
    <w:p>
      <w:pPr>
        <w:pStyle w:val="ListBullet"/>
      </w:pPr>
      <w:r/>
      <w:r>
        <w:rPr>
          <w:b/>
        </w:rPr>
        <w:t>Hypercalcémie</w:t>
      </w:r>
      <w:r>
        <w:t xml:space="preserve"> à doses excessives : anorexie, nausées, vomissements, polyurie-polydipsie, asthénie, allongement QTc, troubles du rythme.</w:t>
      </w:r>
    </w:p>
    <w:p>
      <w:r/>
      <w:r>
        <w:rPr>
          <w:b/>
        </w:rPr>
        <w:t>Prévention et Gestion des Effets Indésirables :</w:t>
      </w:r>
      <w:r/>
    </w:p>
    <w:p>
      <w:pPr>
        <w:pStyle w:val="ListBullet"/>
      </w:pPr>
      <w:r/>
      <w:r>
        <w:rPr>
          <w:b/>
        </w:rPr>
        <w:t>Mesures Préventives :</w:t>
      </w:r>
      <w:r>
        <w:t xml:space="preserve"> prise orale pendant ou après un repas (carbonate) ; hydratation suffisante (1,5–2 L/j) ; alimentation riche en fibres (prévention de la constipation) ; pour les injections IV : administrer </w:t>
      </w:r>
      <w:r>
        <w:rPr>
          <w:b/>
        </w:rPr>
        <w:t>très lentement</w:t>
      </w:r>
      <w:r>
        <w:t xml:space="preserve"> (≤ 2 mL/min pour le gluconate, ≤ 1 mL/min pour le chlorure) ; surveillance ECG continue pendant l'IV ; pour le chlorure : utiliser une voie veineuse centrale ou une grosse veine périphérique (risque d'extravasation nécrosante) ; vérifier la voie avant l'injection (aspiration) ; ne jamais administrer en IM.</w:t>
      </w:r>
    </w:p>
    <w:p>
      <w:pPr>
        <w:pStyle w:val="ListBullet"/>
      </w:pPr>
      <w:r/>
      <w:r>
        <w:rPr>
          <w:b/>
        </w:rPr>
        <w:t>Conduite à Tenir :</w:t>
      </w:r>
      <w:r>
        <w:t xml:space="preserve"> en cas d'extravasation : arrêt immédiat de la perfusion, aspiration si possible, infiltration locale de gluconate de calcium 10 % autour de la zone d'extravasation (antidote local), application de compresses chaudes, surveillance de la nécrose potentielle (chirurgie plastique si nécessaire) ; en cas de surdosage oral (hypercalcémie) : arrêt, hydratation IV abondante, furosémide, surveillance calcémie et fonction rénale.</w:t>
      </w:r>
    </w:p>
    <w:p>
      <w:r/>
      <w:r>
        <w:rPr>
          <w:b/>
        </w:rPr>
        <w:t>Interactions Importantes :</w:t>
      </w:r>
      <w:r/>
    </w:p>
    <w:p>
      <w:pPr>
        <w:pStyle w:val="ListBullet"/>
      </w:pPr>
      <w:r/>
      <w:r>
        <w:rPr>
          <w:b/>
        </w:rPr>
        <w:t>Calcium + Bisphosphonates, quinolones, tétracyclines, fer, zinc, levothyrox, levodopa</w:t>
      </w:r>
      <w:r>
        <w:t xml:space="preserve"> : chélation intestinale → diminution d'absorption. </w:t>
      </w:r>
      <w:r>
        <w:rPr>
          <w:b/>
        </w:rPr>
        <w:t>Espacer de 2 h.</w:t>
      </w:r>
      <w:r/>
    </w:p>
    <w:p>
      <w:pPr>
        <w:pStyle w:val="ListBullet"/>
      </w:pPr>
      <w:r/>
      <w:r>
        <w:rPr>
          <w:b/>
        </w:rPr>
        <w:t>Calcium + Diurétiques thiazidiques</w:t>
      </w:r>
      <w:r>
        <w:t xml:space="preserve"> : potentialisation de l'hypercalcémie (effet additif).</w:t>
      </w:r>
    </w:p>
    <w:p>
      <w:pPr>
        <w:pStyle w:val="ListBullet"/>
      </w:pPr>
      <w:r/>
      <w:r>
        <w:rPr>
          <w:b/>
        </w:rPr>
        <w:t>Calcium + Digitaliques (digoxine)</w:t>
      </w:r>
      <w:r>
        <w:t xml:space="preserve"> : synergie pro-arythmique (hypercalcémie + digitalique → trouble du rythme ventriculaire grave). Surveillance ECG et digoxinémie.</w:t>
      </w:r>
    </w:p>
    <w:p>
      <w:pPr>
        <w:pStyle w:val="ListBullet"/>
      </w:pPr>
      <w:r/>
      <w:r>
        <w:rPr>
          <w:b/>
        </w:rPr>
        <w:t>Calcium + Antiacides aluminium/magnésium</w:t>
      </w:r>
      <w:r>
        <w:t xml:space="preserve"> : augmentation de l'excrétion urinaire d'aluminium (toxicité en IRC).</w:t>
      </w:r>
    </w:p>
    <w:p>
      <w:pPr>
        <w:pStyle w:val="ListBullet"/>
      </w:pPr>
      <w:r/>
      <w:r>
        <w:rPr>
          <w:b/>
        </w:rPr>
        <w:t>Calcium IV + Magnésium IV</w:t>
      </w:r>
      <w:r>
        <w:t xml:space="preserve"> : antagonisme pharmacologique (le calcium antagonise les effets du magnésium sur le myocarde et le SNC — utilisé comme antidote de l'hypermagnésémie).</w:t>
      </w:r>
    </w:p>
    <w:p>
      <w:pPr>
        <w:pStyle w:val="ListBullet"/>
      </w:pPr>
      <w:r/>
      <w:r>
        <w:rPr>
          <w:b/>
        </w:rPr>
        <w:t>Calcium + Café, thé, alcool</w:t>
      </w:r>
      <w:r>
        <w:t xml:space="preserve"> : diminution modeste de l'absorption (à éviter en prise simultanée massive).</w:t>
      </w:r>
    </w:p>
    <w:p>
      <w:r/>
      <w:r>
        <w:rPr>
          <w:b/>
        </w:rPr>
        <w:t>Grossesse et Allaitement :</w:t>
      </w:r>
      <w:r/>
    </w:p>
    <w:p>
      <w:pPr>
        <w:pStyle w:val="ListBullet"/>
      </w:pPr>
      <w:r/>
      <w:r>
        <w:rPr>
          <w:b/>
        </w:rPr>
        <w:t>Grossesse :</w:t>
      </w:r>
      <w:r>
        <w:t xml:space="preserve"> Compatible (CRAT). Apports accrus en calcium (1000–1300 mg/j) ; supplémentation recommandée chez la femme à risque (apports alimentaires faibles, grossesses rapprochées). À doses thérapeutiques, pas de risque tératogène. Le calcium IV (gluconate) est utilisé en urgence dans la tétanie hypocalcémique gravidique et l'éclampsie (alternative au sulfate de magnésium dans certaines équipes).</w:t>
      </w:r>
    </w:p>
    <w:p>
      <w:pPr>
        <w:pStyle w:val="ListBullet"/>
      </w:pPr>
      <w:r/>
      <w:r>
        <w:rPr>
          <w:b/>
        </w:rPr>
        <w:t>Allaitement :</w:t>
      </w:r>
      <w:r>
        <w:t xml:space="preserve"> Compatible. Le calcium passe dans le lait maternel ; à doses maternelles standard, sans risque pour le nourrisson. Les besoins maternels sont accrus (production lactée ≈ 200–300 mg/j de calcium excrétés).</w:t>
      </w:r>
    </w:p>
    <w:p>
      <w:pPr>
        <w:pStyle w:val="ListBullet"/>
      </w:pPr>
      <w:r/>
      <w:r>
        <w:rPr>
          <w:b/>
        </w:rPr>
        <w:t>Précisions :</w:t>
      </w:r>
      <w:r>
        <w:t xml:space="preserve"> éviter les surdosages massifs (risque de syndrome de Milk-Alkali, hypercalcémie maternelle et fœtale).</w:t>
      </w:r>
    </w:p>
    <w:p>
      <w:r/>
      <w:r>
        <w:rPr>
          <w:b/>
        </w:rPr>
        <w:t>Posologie et Mode d'administration (Standard) :</w:t>
      </w:r>
      <w:r/>
    </w:p>
    <w:p>
      <w:pPr>
        <w:pStyle w:val="ListBullet"/>
      </w:pPr>
      <w:r/>
      <w:r>
        <w:rPr>
          <w:b/>
        </w:rPr>
        <w:t>Adulte — Supplémentation orale :</w:t>
      </w:r>
      <w:r>
        <w:t xml:space="preserve"> 500–1000 mg/j de calcium élément, à prendre pendant ou après un repas, en 1 ou 2 prises fractionnées. Ne pas dépasser 1500–2000 mg/j d'apport total (alimentaire + médicamenteux).</w:t>
      </w:r>
    </w:p>
    <w:p>
      <w:pPr>
        <w:pStyle w:val="ListBullet"/>
      </w:pPr>
      <w:r/>
      <w:r>
        <w:rPr>
          <w:b/>
        </w:rPr>
        <w:t>Enfant — Supplémentation :</w:t>
      </w:r>
      <w:r>
        <w:t xml:space="preserve"> 30–50 mg/kg/j de calcium élément en 2–3 prises (préférer le sirop de pidolate de calcium).</w:t>
      </w:r>
    </w:p>
    <w:p>
      <w:pPr>
        <w:pStyle w:val="ListBullet"/>
      </w:pPr>
      <w:r/>
      <w:r>
        <w:rPr>
          <w:b/>
        </w:rPr>
        <w:t>Hypocalcémie aiguë (tétanie) — IV :</w:t>
      </w:r>
      <w:r>
        <w:t xml:space="preserve"> calcium gluconate 10 % 1–2 g (10–20 mL) IV lente (≤ 2 mL/min), surveillance ECG continue, à renouveler selon la calcémie. Relais per os secondaire.</w:t>
      </w:r>
    </w:p>
    <w:p>
      <w:pPr>
        <w:pStyle w:val="ListBullet"/>
      </w:pPr>
      <w:r/>
      <w:r>
        <w:rPr>
          <w:b/>
        </w:rPr>
        <w:t>Hyperkaliémie menaçante — IV :</w:t>
      </w:r>
      <w:r>
        <w:t xml:space="preserve"> calcium gluconate 10 % 1 g (10 mL) IV lente sur 5–10 min, surveillance ECG (effet antagoniste membranaire, sans effet sur la kaliémie — associer insuline-glucose, salbutamol, bicarbonate).</w:t>
      </w:r>
    </w:p>
    <w:p>
      <w:pPr>
        <w:pStyle w:val="ListBullet"/>
      </w:pPr>
      <w:r/>
      <w:r>
        <w:rPr>
          <w:b/>
        </w:rPr>
        <w:t>Arrêt cardiaque — IV :</w:t>
      </w:r>
      <w:r>
        <w:t xml:space="preserve"> calcium chlorure 10 % 5–10 mL (0,5–1 g) IV en bolus, en cas d'hyperkaliémie, d'hypocalcémie ou d'arrêt prolongé (recommandations ILCOR).</w:t>
      </w:r>
    </w:p>
    <w:p>
      <w:pPr>
        <w:pStyle w:val="ListBullet"/>
      </w:pPr>
      <w:r/>
      <w:r>
        <w:rPr>
          <w:b/>
        </w:rPr>
        <w:t>Antiacide gastrique (Rennie) :</w:t>
      </w:r>
      <w:r>
        <w:t xml:space="preserve"> 1–2 comprimés à croquer après les repas et au coucher, à renouveler si besoin (max 10 comprimés/j).</w:t>
      </w:r>
    </w:p>
    <w:p>
      <w:pPr>
        <w:pStyle w:val="ListBullet"/>
      </w:pPr>
      <w:r/>
      <w:r>
        <w:rPr>
          <w:b/>
        </w:rPr>
        <w:t>Durée :</w:t>
      </w:r>
      <w:r>
        <w:t xml:space="preserve"> au long cours pour la supplémentation orale ; courte pour les indications IV aiguës.</w:t>
      </w:r>
    </w:p>
    <w:p>
      <w:pPr>
        <w:pStyle w:val="ListBullet"/>
      </w:pPr>
      <w:r/>
      <w:r>
        <w:rPr>
          <w:b/>
        </w:rPr>
        <w:t>Moment de prise :</w:t>
      </w:r>
      <w:r>
        <w:t xml:space="preserve"> per os pendant ou après un repas ; espacer de 2 h des autres médicaments chélatés ; IV en urgence selon protocole.</w:t>
      </w:r>
    </w:p>
    <w:p>
      <w:r/>
      <w:r>
        <w:rPr>
          <w:b/>
        </w:rPr>
        <w:t>Arbitrage et Bénéfices des Formes Galéniques :</w:t>
      </w:r>
      <w:r/>
    </w:p>
    <w:p>
      <w:pPr>
        <w:pStyle w:val="ListBullet"/>
      </w:pPr>
      <w:r/>
      <w:r>
        <w:rPr>
          <w:b/>
        </w:rPr>
        <w:t>Carbonate de calcium (comprimés, sachets) :</w:t>
      </w:r>
      <w:r>
        <w:t xml:space="preserve"> le plus concentré et le plus économique, mais nécessite un milieu acide gastrique (à éviter en cas d'achlorhydrie, de traitement IPP au long cours, de gastrectomie).</w:t>
      </w:r>
    </w:p>
    <w:p>
      <w:pPr>
        <w:pStyle w:val="ListBullet"/>
      </w:pPr>
      <w:r/>
      <w:r>
        <w:rPr>
          <w:b/>
        </w:rPr>
        <w:t>Pidolate de calcium (sirop) :</w:t>
      </w:r>
      <w:r>
        <w:t xml:space="preserve"> sel organique soluble, biodisponibilité supérieure, goût métallique. Indiqué chez l'enfant, le sujet âgé dysphagique, et en cas d'achlorhydrie.</w:t>
      </w:r>
    </w:p>
    <w:p>
      <w:pPr>
        <w:pStyle w:val="ListBullet"/>
      </w:pPr>
      <w:r/>
      <w:r>
        <w:rPr>
          <w:b/>
        </w:rPr>
        <w:t>Gluconate de calcium (IV) :</w:t>
      </w:r>
      <w:r>
        <w:t xml:space="preserve"> sel organique très bien toléré en IV, biodisponibilité orale faible (9 % de calcium élément). Référence pour le traitement de l'hypocalcémie aiguë.</w:t>
      </w:r>
    </w:p>
    <w:p>
      <w:pPr>
        <w:pStyle w:val="ListBullet"/>
      </w:pPr>
      <w:r/>
      <w:r>
        <w:rPr>
          <w:b/>
        </w:rPr>
        <w:t>Chlorure de calcium (IV) :</w:t>
      </w:r>
      <w:r>
        <w:t xml:space="preserve"> le plus concentré (27 % de calcium élément), mais hyperosmolaire et nécrosant en cas d'extravasation. À réserver à l'urgence absolue (arrêt cardiaque, hyperkaliémie menaçante) par voie centrale ou grosse veine périphérique.</w:t>
      </w:r>
    </w:p>
    <w:p>
      <w:pPr>
        <w:pStyle w:val="ListBullet"/>
      </w:pPr>
      <w:r/>
      <w:r>
        <w:rPr>
          <w:b/>
        </w:rPr>
        <w:t>Comprimés effervescents :</w:t>
      </w:r>
      <w:r>
        <w:t xml:space="preserve"> alternative pratique au comprimé à sucer, plus agréables en prise chronique, mais apport en sodium parfois important (à éviter chez l'insuffisant cardiaque ou rénal).</w:t>
      </w:r>
    </w:p>
    <w:p>
      <w:r/>
      <w:r>
        <w:rPr>
          <w:b/>
        </w:rPr>
        <w:t>Instructions et Conseils au Patient :</w:t>
      </w:r>
      <w:r/>
    </w:p>
    <w:p>
      <w:pPr>
        <w:pStyle w:val="ListBullet"/>
      </w:pPr>
      <w:r/>
      <w:r>
        <w:rPr>
          <w:b/>
        </w:rPr>
        <w:t>Communication au comptoir :</w:t>
      </w:r>
      <w:r>
        <w:t xml:space="preserve"> « Le calcium est essentiel pour la solidité des os et le bon fonctionnement du cœur et des muscles. Pour une bonne absorption : prenez-le pendant un repas, avec un grand verre d'eau. Si vous prenez de la thyroxine, du fer, ou un antibiotique, espacez la prise de calcium d'au moins 2 heures. Si vous êtes constipé, augmentez l'hydratation et les fibres, ou fractionnez la dose. Ne dépassez pas la dose prescrite (risque d'hypercalcémie). »</w:t>
      </w:r>
    </w:p>
    <w:p>
      <w:pPr>
        <w:pStyle w:val="ListBullet"/>
      </w:pPr>
      <w:r/>
      <w:r>
        <w:rPr>
          <w:b/>
        </w:rPr>
        <w:t>Mode d'utilisation pratique :</w:t>
      </w:r>
      <w:r>
        <w:t xml:space="preserve"> comprimé à sucer/croquer pendant ou après un repas ; comprimé effervescent à diluer dans un grand verre d'eau et boire immédiatement ; sirop à mesurer avec la cuillère doseuse ; sachet à diluer dans un demi-verre d'eau ; hydratation suffisante (1,5–2 L/j).</w:t>
      </w:r>
    </w:p>
    <w:p>
      <w:r/>
      <w:r>
        <w:rPr>
          <w:b/>
        </w:rPr>
        <w:t>Notes, Règles d'Or &amp; Pièges au Comptoir :</w:t>
      </w:r>
      <w:r/>
    </w:p>
    <w:p>
      <w:pPr>
        <w:pStyle w:val="ListBullet"/>
      </w:pPr>
      <w:r/>
      <w:r>
        <w:rPr>
          <w:b/>
        </w:rPr>
        <w:t>Piège classique :</w:t>
      </w:r>
      <w:r>
        <w:t xml:space="preserve"> (i) Prise à jeun du carbonate de calcium — efficacité réduite ; (ii) Prise simultanée avec bisphosphonate, thyroxine, fer, quinolone — chélation ; (iii) Calcium Sandoz Retiré mais toujours prescrit par habitude — orienter vers les génériques disponibles (OSSECAL, CALCIMED, KALCITAB, etc.) ; (iv) Confusion Doxium (dobesilate de calcium, vasotonique) avec un supplément calcique — erreur grave ; (v) Confusion Calcium Folinate (acide folinique) avec un supplément calcique — erreur grave (l'acide folinique est un antidote du méthotrexate) ; (vi) Injection IV de chlorure de calcium par voie périphérique fine — extravasation nécrosante ; (vii) Injection IM de gluconate ou chlorure de calcium — nécrose locale grave, CI absolue.</w:t>
      </w:r>
    </w:p>
    <w:p>
      <w:pPr>
        <w:pStyle w:val="ListBullet"/>
      </w:pPr>
      <w:r/>
      <w:r>
        <w:rPr>
          <w:b/>
        </w:rPr>
        <w:t>Règle de prise :</w:t>
      </w:r>
      <w:r>
        <w:t xml:space="preserve"> per os pendant un repas ; espacer de 2 h des chélateurs ; IV très lente sous ECG ; voie centrale pour le chlorure.</w:t>
      </w:r>
    </w:p>
    <w:p>
      <w:pPr>
        <w:pStyle w:val="ListBullet"/>
      </w:pPr>
      <w:r/>
      <w:r>
        <w:rPr>
          <w:b/>
        </w:rPr>
        <w:t>Préparation et Conservation :</w:t>
      </w:r>
      <w:r>
        <w:t xml:space="preserve"> à température ambiante (15–25 °C), à l'abri de l'humidité. Les comprimés effervescents se conservent dans leur tube hermétique (réaction d'effervescence prématurée si humidité). Les solutions injectables se conservent à température ambiante, à l'abri de la lumière.</w:t>
      </w:r>
    </w:p>
    <w:p>
      <w:pPr>
        <w:pStyle w:val="ListBullet"/>
      </w:pPr>
      <w:r/>
      <w:r>
        <w:rPr>
          <w:b/>
        </w:rPr>
        <w:t>Piège du surdosage / Substitution :</w:t>
      </w:r>
      <w:r>
        <w:t xml:space="preserve"> ne pas dépasser 2 g/j d'apport total (alimentaire + médicamenteux) chez l'adulte — risque de syndrome de Milk-Alkali ; ne pas substituer Doxium, Calcium Folinate, Léderfoline, Héparine calcique à un supplément calcique — molécules complètement différentes malgré les noms commerciaux ; vérifier la prescription IV (chlorure vs gluconate — le chlorure est 3× plus concentré en calcium élément).</w:t>
      </w:r>
    </w:p>
    <w:p>
      <w:pPr>
        <w:pStyle w:val="Heading2"/>
      </w:pPr>
      <w:r>
        <w:t>VII. Sous-classe : Bisphosphonates — Anti-résorbeurs osseux 1re génération</w:t>
      </w:r>
    </w:p>
    <w:p>
      <w:pPr>
        <w:pStyle w:val="Heading3"/>
      </w:pPr>
      <w:r>
        <w:t>Introduction à la sous-classe</w:t>
      </w:r>
    </w:p>
    <w:p>
      <w:r>
        <w:t xml:space="preserve">Les </w:t>
      </w:r>
      <w:r>
        <w:rPr>
          <w:b/>
        </w:rPr>
        <w:t>bisphosphonates</w:t>
      </w:r>
      <w:r>
        <w:t xml:space="preserve"> (anciennement appelés diphosphonates) sont des analogues structuraux stables du pyrophosphate inorganique (P-O-P), dans lequel l'atome d'oxygène pontant est remplacé par un atome de carbone (P-C-P). Cette modification confère une résistance à la hydrolyse par les pyrophosphatases et une </w:t>
      </w:r>
      <w:r>
        <w:rPr>
          <w:b/>
        </w:rPr>
        <w:t>très forte affinité pour l'hydroxyapatite osseuse</w:t>
      </w:r>
      <w:r>
        <w:t xml:space="preserve">. Ils se fixent préférentiellement aux sites de </w:t>
      </w:r>
      <w:r>
        <w:rPr>
          <w:b/>
        </w:rPr>
        <w:t>remodelage osseux actif</w:t>
      </w:r>
      <w:r>
        <w:t xml:space="preserve"> (où la matrice ostéoïde non minéralisée est exposée), et sont ensuite internalisés par les ostéoclastes lors de la résorption. À l'intérieur de l'ostéoclaste, ils inhibent des enzymes clés de la voie du mévalonate.</w:t>
      </w:r>
    </w:p>
    <w:p>
      <w:r/>
      <w:r>
        <w:rPr>
          <w:b/>
        </w:rPr>
        <w:t>Classification par génération :</w:t>
      </w:r>
      <w:r>
        <w:t xml:space="preserve"> les bisphosphonates de </w:t>
      </w:r>
      <w:r>
        <w:rPr>
          <w:b/>
        </w:rPr>
        <w:t>première génération</w:t>
      </w:r>
      <w:r>
        <w:t xml:space="preserve"> (clodronate, étidronate — non commercialisé en Algérie, alendronate) ne contiennent pas d'atome d'azote dans la chaîne latérale R1. Ils sont métabolisés en ATP-analogues toxiques (AppCCp) qui s'accumulent dans les ostéoclastes et inhibent les ATPases mitochondriales — entraînant l'apoptose cellulaire. La 2e génération (pamidronate, risédronate) et la 3e génération (zolédronate) contiennent un </w:t>
      </w:r>
      <w:r>
        <w:rPr>
          <w:b/>
        </w:rPr>
        <w:t>atome d'azote</w:t>
      </w:r>
      <w:r>
        <w:t xml:space="preserve"> dans la chaîne latérale (groupement aminométhyl pour pamidronate, pyridinyl-méthyl pour risédronate, imidazolyl-méthyl pour zolédronate) qui augmente considérablement leur puissance (10–10 000×) en inhibant la </w:t>
      </w:r>
      <w:r>
        <w:rPr>
          <w:b/>
        </w:rPr>
        <w:t>farnésyl pyrophosphate synthase (FPPS)</w:t>
      </w:r>
      <w:r>
        <w:t xml:space="preserve"> — enzyme clé de la voie du mévalonate, indispensable à la prénylation des petites protéines G (Ras, Rho, Rac, Cdc42). La perte de prénylation entraîne l'inactivation de ces GTPases, la disruption du cytosquelette de l'ostéoclaste (perte du </w:t>
      </w:r>
      <w:r>
        <w:rPr>
          <w:b/>
        </w:rPr>
        <w:t>pôle plissé</w:t>
      </w:r>
      <w:r>
        <w:t>), l'arrêt de la résorption et l'apoptose.</w:t>
      </w:r>
    </w:p>
    <w:p>
      <w:r/>
      <w:r>
        <w:rPr>
          <w:b/>
        </w:rPr>
        <w:t>Alendronate</w:t>
      </w:r>
      <w:r>
        <w:t xml:space="preserve"> (commercialisé sous de nombreuses marques en Algérie, dont FOSACARE, DROMAX, ENDRONAX, FOLENAT, OSMAX, OSPORIX, OSTIMAX, OSTOMAX, POROSIMAX, STEOMAX, POROSIMAX PLUS avec vitamine D3) est le bisphosphonate oral le plus prescrit dans l'ostéoporose post-ménopausique. Son administration hebdomadaire (70 mg/sem) a transformé l'observance par rapport à la forme quotidienne historique (10 mg/j). Le </w:t>
      </w:r>
      <w:r>
        <w:rPr>
          <w:b/>
        </w:rPr>
        <w:t>clodronate</w:t>
      </w:r>
      <w:r>
        <w:t xml:space="preserve"> (BONEFOS, 800 mg comprimé) est moins puissant, indiqué principalement dans les métastases osseuses et les hypercalcémies malignes.</w:t>
      </w:r>
    </w:p>
    <w:p>
      <w:pPr>
        <w:pStyle w:val="Heading3"/>
      </w:pPr>
      <w:r>
        <w:t>7. DCI : Alendronate (acide alendronique) (Seule et en Association)</w:t>
      </w:r>
    </w:p>
    <w:p>
      <w:r/>
      <w:r>
        <w:rPr>
          <w:b/>
        </w:rPr>
        <w:t>Liste des Catégories :</w:t>
      </w:r>
      <w:r>
        <w:t xml:space="preserve"> Liste I (toutes spécialités).</w:t>
      </w:r>
    </w:p>
    <w:p>
      <w:r>
        <w:t xml:space="preserve">L'alendronate (acide alendronique ou 4-amino-1-hydroxybutylidène-1,1-bisphosphonate) est le bisphosphonate oral de référence dans l'ostéoporose post-ménopausique et cortisonique. Sa structure contient un groupement aminométhyl (NH2-CH2-) en R1, ce qui en fait un bisphosphonate </w:t>
      </w:r>
      <w:r>
        <w:rPr>
          <w:b/>
        </w:rPr>
        <w:t>aminé de 1re génération</w:t>
      </w:r>
      <w:r>
        <w:t xml:space="preserve"> — intermédiaire en puissance entre les non-aminés (clodronate, étidronate) et les aminés de 2e/3e génération (pamidronate, risédronate, zolédronate). Sa biodisponibilité orale est extrêmement faible (≈ 0,7 %), ce qui impose une prise à jeun stricte et l'espacement de tout autre aliment ou médicament. Sa demi-vie d'élimination plasmatique est courte (≈ 1 h), mais sa </w:t>
      </w:r>
      <w:r>
        <w:rPr>
          <w:b/>
        </w:rPr>
        <w:t>demi-vie osseuse est de 10 ans</w:t>
      </w:r>
      <w:r>
        <w:t xml:space="preserve"> en raison de sa fixation quasi-irréversible à l'hydroxyapatite — d'où la possibilité d'un effet anti-résorbeur persistant plusieurs années après l'arrêt du traitement (effet "rémanent").</w:t>
      </w:r>
    </w:p>
    <w:p>
      <w:r/>
      <w:r>
        <w:rPr>
          <w:b/>
        </w:rPr>
        <w:t>Médicaments disponibles en Algérie (Marques, Laboratoires, Formes et Dosages) :</w:t>
      </w:r>
      <w:r/>
    </w:p>
    <w:p>
      <w:r>
        <w:t>Forme 70 mg hebdomadaire (monothérapie) :</w:t>
      </w:r>
    </w:p>
    <w:p>
      <w:pPr>
        <w:pStyle w:val="ListBullet"/>
      </w:pPr>
      <w:r/>
      <w:r>
        <w:rPr>
          <w:b/>
        </w:rPr>
        <w:t>DROMAX</w:t>
      </w:r>
      <w:r>
        <w:t xml:space="preserve"> (BIOPHARM) — Comprimé 70 mg, B/4. Actif.</w:t>
      </w:r>
    </w:p>
    <w:p>
      <w:pPr>
        <w:pStyle w:val="ListBullet"/>
      </w:pPr>
      <w:r/>
      <w:r>
        <w:rPr>
          <w:b/>
        </w:rPr>
        <w:t>ENDRONAX</w:t>
      </w:r>
      <w:r>
        <w:t xml:space="preserve"> (PHARMALLIANCE) — Comprimé 70 mg, B/4. Actif.</w:t>
      </w:r>
    </w:p>
    <w:p>
      <w:pPr>
        <w:pStyle w:val="ListBullet"/>
      </w:pPr>
      <w:r/>
      <w:r>
        <w:rPr>
          <w:b/>
        </w:rPr>
        <w:t>FOLENAT</w:t>
      </w:r>
      <w:r>
        <w:t xml:space="preserve"> (EL KENDI INDUSTRIE DU MEDICAMENT) — Comprimé 70 mg, B/4. Actif.</w:t>
      </w:r>
    </w:p>
    <w:p>
      <w:pPr>
        <w:pStyle w:val="ListBullet"/>
      </w:pPr>
      <w:r/>
      <w:r>
        <w:rPr>
          <w:b/>
        </w:rPr>
        <w:t>FOSACARE</w:t>
      </w:r>
      <w:r>
        <w:t xml:space="preserve"> (BIOCARE) — Comprimé 70 mg, B/4. Actif.</w:t>
      </w:r>
    </w:p>
    <w:p>
      <w:pPr>
        <w:pStyle w:val="ListBullet"/>
      </w:pPr>
      <w:r/>
      <w:r>
        <w:rPr>
          <w:b/>
        </w:rPr>
        <w:t>OSMAX</w:t>
      </w:r>
      <w:r>
        <w:t xml:space="preserve"> (WORLD MEDECINE LIMITED) — Comprimé 70 mg, B/4. Actif.</w:t>
      </w:r>
    </w:p>
    <w:p>
      <w:pPr>
        <w:pStyle w:val="ListBullet"/>
      </w:pPr>
      <w:r/>
      <w:r>
        <w:rPr>
          <w:b/>
        </w:rPr>
        <w:t>OSPORIX</w:t>
      </w:r>
      <w:r>
        <w:t xml:space="preserve"> (LABORATOIRES BEKER) — Comprimé 70 mg, B/4. Actif.</w:t>
      </w:r>
    </w:p>
    <w:p>
      <w:pPr>
        <w:pStyle w:val="ListBullet"/>
      </w:pPr>
      <w:r/>
      <w:r>
        <w:rPr>
          <w:b/>
        </w:rPr>
        <w:t>OSTIMAX</w:t>
      </w:r>
      <w:r>
        <w:t xml:space="preserve"> (LABORATOIRES DE DIAGNOSTIC MAGHREBINS — LDM) — Comprimé 70 mg, B/4. Actif.</w:t>
      </w:r>
    </w:p>
    <w:p>
      <w:pPr>
        <w:pStyle w:val="ListBullet"/>
      </w:pPr>
      <w:r/>
      <w:r>
        <w:rPr>
          <w:b/>
        </w:rPr>
        <w:t>OSTOMAX</w:t>
      </w:r>
      <w:r>
        <w:t xml:space="preserve"> (NOVAPHARM TRADING) — Comprimé 70 mg, B/4. Actif.</w:t>
      </w:r>
    </w:p>
    <w:p>
      <w:pPr>
        <w:pStyle w:val="ListBullet"/>
      </w:pPr>
      <w:r/>
      <w:r>
        <w:rPr>
          <w:b/>
        </w:rPr>
        <w:t>POROSIMAX</w:t>
      </w:r>
      <w:r>
        <w:t xml:space="preserve"> (FRATER-RAZES FORME SECHE) — Comprimé 70 mg, B/4. Actif.</w:t>
      </w:r>
    </w:p>
    <w:p>
      <w:pPr>
        <w:pStyle w:val="ListBullet"/>
      </w:pPr>
      <w:r/>
      <w:r>
        <w:rPr>
          <w:b/>
        </w:rPr>
        <w:t>STEOMAX</w:t>
      </w:r>
      <w:r>
        <w:t xml:space="preserve"> (HUPP PHARMA) — Comprimé 70 mg, B/4. Actif.</w:t>
      </w:r>
    </w:p>
    <w:p>
      <w:r>
        <w:t>Forme 10 mg quotidienne (monothérapie — ancienne forme, moins prescrite) :</w:t>
      </w:r>
    </w:p>
    <w:p>
      <w:pPr>
        <w:pStyle w:val="ListBullet"/>
      </w:pPr>
      <w:r/>
      <w:r>
        <w:rPr>
          <w:b/>
        </w:rPr>
        <w:t>FOSACARE</w:t>
      </w:r>
      <w:r>
        <w:t xml:space="preserve"> (BIOCARE) — Comprimé 10 mg, B/28. Actif.</w:t>
      </w:r>
    </w:p>
    <w:p>
      <w:r>
        <w:t>Forme association (alendronate + vitamine D3) :</w:t>
      </w:r>
    </w:p>
    <w:p>
      <w:pPr>
        <w:pStyle w:val="ListBullet"/>
      </w:pPr>
      <w:r/>
      <w:r>
        <w:rPr>
          <w:b/>
        </w:rPr>
        <w:t>POROSIMAX PLUS</w:t>
      </w:r>
      <w:r>
        <w:t xml:space="preserve"> (FRATER-RAZES FORME SECHE) — Comprimé 70 mg/5600 UI (alendronate + cholecalciferol), B/4. Actif.</w:t>
      </w:r>
    </w:p>
    <w:p>
      <w:pPr>
        <w:pStyle w:val="ListBullet"/>
      </w:pPr>
      <w:r/>
      <w:r>
        <w:rPr>
          <w:b/>
        </w:rPr>
        <w:t>FOSAVANCE</w:t>
      </w:r>
      <w:r>
        <w:t xml:space="preserve"> (MERCK SCHARP &amp; DOHME LTD) — Comprimé 70 mg/2800 UI, B/4. Retiré (R). *[Princeps de l'association alendronate + D3, retiré du marché algérien — la marque POROSIMAX PLUS en est le générique algérien actuel]*</w:t>
      </w:r>
    </w:p>
    <w:p>
      <w:r>
        <w:t>À noter : la majorité des spécialités algériennes sont des génériques du FOSAMAX (Merck — princeps international, non référencé en Algérie à date). La grande diversité des marques (10 génériques actifs en 70 mg hebdomadaire) reflète l'importance de la consommation algérienne d'alendronate. La forme 70 mg hebdomadaire a supplanté la forme 10 mg quotidienne en raison de la meilleure observance et de la réduction des effets indésirables digestifs hauts (œsophagite). La forme association avec vitamine D3 (POROSIMAX PLUS 70 mg/5600 UI, soit une dose hebdomadaire de vitamine D3 = 800 UI/jour) simplifie le traitement adjuvant.</w:t>
      </w:r>
    </w:p>
    <w:p>
      <w:r/>
      <w:r>
        <w:rPr>
          <w:b/>
        </w:rPr>
        <w:t>Sous-classe et Mécanisme d'action :</w:t>
      </w:r>
      <w:r/>
    </w:p>
    <w:p>
      <w:pPr>
        <w:pStyle w:val="ListBullet"/>
      </w:pPr>
      <w:r/>
      <w:r>
        <w:rPr>
          <w:b/>
        </w:rPr>
        <w:t>Sous-classe :</w:t>
      </w:r>
      <w:r>
        <w:t xml:space="preserve"> Bisphosphonate anti-résorbeur osseux de 1re génération aminé (Liste I). Inhibiteur spécifique de la résorption ostéoclastique.</w:t>
      </w:r>
    </w:p>
    <w:p>
      <w:pPr>
        <w:pStyle w:val="ListBullet"/>
      </w:pPr>
      <w:r/>
      <w:r>
        <w:rPr>
          <w:b/>
        </w:rPr>
        <w:t>Mécanisme d'action :</w:t>
      </w:r>
      <w:r>
        <w:t xml:space="preserve"> l'alendronate est un analogue du pyrophosphate (P-C-P) avec un groupement aminométhyl en R1. Il a une très forte affinité pour l'hydroxyapatite osseuse et se fixe préférentiellement aux sites de remodelage actif. Internalisé par les ostéoclastes lors de la résorption, il inhibe la </w:t>
      </w:r>
      <w:r>
        <w:rPr>
          <w:b/>
        </w:rPr>
        <w:t>farnésyl pyrophosphate synthase (FPPS)</w:t>
      </w:r>
      <w:r>
        <w:t xml:space="preserve"> — enzyme clé de la voie du mévalonate, indispensable à la prénylation des petites protéines G (Ras, Rho, Rac, Cdc42). La perte de prénylation entraîne : (i) disruption du cytosquelette actinique de l'ostéoclaste, (ii) perte du pôle plissé (ruffled border), (iii) arrêt de la sécrétion d'acide et d'enzymes lysosomiales (cathepsine K, TRAP — Tartrate-Resistant Acid Phosphatase), (iv) détachement de la surface osseuse, (v) apoptose ostéoclastique. À faible concentration, l'alendronate inhibe également la </w:t>
      </w:r>
      <w:r>
        <w:rPr>
          <w:b/>
        </w:rPr>
        <w:t>GTPase Rab</w:t>
      </w:r>
      <w:r>
        <w:t xml:space="preserve"> (altération du trafic vésiculaire). L'effet final est une </w:t>
      </w:r>
      <w:r>
        <w:rPr>
          <w:b/>
        </w:rPr>
        <w:t>réduction marquée de la résorption osseuse</w:t>
      </w:r>
      <w:r>
        <w:t xml:space="preserve"> (marqueurs biochimiques comme le CTX et le NTX chutent de 50–70 % en 3–6 mois), avec un </w:t>
      </w:r>
      <w:r>
        <w:rPr>
          <w:b/>
        </w:rPr>
        <w:t>rééquilibrage du remodelage</w:t>
      </w:r>
      <w:r>
        <w:t xml:space="preserve"> : la formation osseuse reste initialement inchangée (les ostéoblastes ne sont pas ciblés), puis diminue modestement secondairement (coupling).</w:t>
      </w:r>
    </w:p>
    <w:p>
      <w:pPr>
        <w:pStyle w:val="ListBullet"/>
      </w:pPr>
      <w:r/>
      <w:r>
        <w:rPr>
          <w:b/>
        </w:rPr>
        <w:t>Pharmacocinétique :</w:t>
      </w:r>
      <w:r>
        <w:t xml:space="preserve"> biodisponibilité orale très faible (≈ 0,7 % à jeun strict, quasi-nulle si prise avec aliment) ; liaison aux protéines plasmatiques ~80 % ; distribution quasi-exclusive à l'os (50–80 % de la dose absorbée) ; élimination rénale (50 % de la dose absorbée en 72 h, le reste stocké dans l'os avec demi-vie &gt; 10 ans). Le métabolisme hépatique est nul (pas de métabolisation).</w:t>
      </w:r>
    </w:p>
    <w:p>
      <w:r/>
      <w:r>
        <w:rPr>
          <w:b/>
        </w:rPr>
        <w:t>Profil Pharmacologique :</w:t>
      </w:r>
      <w:r/>
    </w:p>
    <w:p>
      <w:pPr>
        <w:pStyle w:val="ListBullet"/>
      </w:pPr>
      <w:r/>
      <w:r>
        <w:rPr>
          <w:b/>
        </w:rPr>
        <w:t>Indications :</w:t>
      </w:r>
      <w:r>
        <w:t xml:space="preserve"> (i) </w:t>
      </w:r>
      <w:r>
        <w:rPr>
          <w:b/>
        </w:rPr>
        <w:t>Ostéoporose post-ménopausique</w:t>
      </w:r>
      <w:r>
        <w:t xml:space="preserve"> avec T-score ≤ -2,5 (DEXA) ou fracture fragilité (réduction du risque fracturaire vertébral -50 %, hanche -50 %, autres fractures -30 %, étude FIT — Liberman et al., NEJM 1995) ; (ii) </w:t>
      </w:r>
      <w:r>
        <w:rPr>
          <w:b/>
        </w:rPr>
        <w:t>Ostéoporose masculine</w:t>
      </w:r>
      <w:r>
        <w:t xml:space="preserve"> (T-score ≤ -2,5 ou fracture fragilité) ; (iii) </w:t>
      </w:r>
      <w:r>
        <w:rPr>
          <w:b/>
        </w:rPr>
        <w:t>Ostéoporose cortisonique</w:t>
      </w:r>
      <w:r>
        <w:t xml:space="preserve"> (prévention et traitement — prednisone ≥ 7,5 mg/j &gt; 3 mois) ; (iv) </w:t>
      </w:r>
      <w:r>
        <w:rPr>
          <w:b/>
        </w:rPr>
        <w:t>Maladie de Paget</w:t>
      </w:r>
      <w:r>
        <w:t xml:space="preserve"> (alternative au risédronate ou zolédronate) ; (v) Prévention de l'ostéoporose chez la femme ménopausée à risque (T-score entre -1 et -2,5).</w:t>
      </w:r>
    </w:p>
    <w:p>
      <w:pPr>
        <w:pStyle w:val="ListBullet"/>
      </w:pPr>
      <w:r/>
      <w:r>
        <w:rPr>
          <w:b/>
        </w:rPr>
        <w:t>Contre-indications :</w:t>
      </w:r>
      <w:r>
        <w:t xml:space="preserve"> (i) </w:t>
      </w:r>
      <w:r>
        <w:rPr>
          <w:b/>
        </w:rPr>
        <w:t>Affections œsophagiennes</w:t>
      </w:r>
      <w:r>
        <w:t xml:space="preserve"> retardant le transit ou favorisant la stase (achalasie, stricture, syndrome de Barrett, varices œsophagiennes, antécédent d'œsophagite sévère) ; (ii) </w:t>
      </w:r>
      <w:r>
        <w:rPr>
          <w:b/>
        </w:rPr>
        <w:t>Incapacité à rester debout/assis droit</w:t>
      </w:r>
      <w:r>
        <w:t xml:space="preserve"> pendant 30 minutes après la prise ; (iii) </w:t>
      </w:r>
      <w:r>
        <w:rPr>
          <w:b/>
        </w:rPr>
        <w:t>Hypocalcémie</w:t>
      </w:r>
      <w:r>
        <w:t xml:space="preserve"> non corrigée ; (iv) </w:t>
      </w:r>
      <w:r>
        <w:rPr>
          <w:b/>
        </w:rPr>
        <w:t>Insuffisance rénale sévère</w:t>
      </w:r>
      <w:r>
        <w:t xml:space="preserve"> (DFG &lt; 35 mL/min pour alendronate — accumulation osseuse excessive) ; (v) Grossesse et allaitement (CI absolue — pas de données cliniques, risque théorique fœtal) ; (vi) Hypersensibilité aux bisphosphonates ; (vii) Enfant et adolescent (rachitisme et troubles de la minéralisation osseuse — CI relative).</w:t>
      </w:r>
    </w:p>
    <w:p>
      <w:pPr>
        <w:pStyle w:val="ListBullet"/>
      </w:pPr>
      <w:r/>
      <w:r>
        <w:rPr>
          <w:b/>
        </w:rPr>
        <w:t>Effets Indésirables :</w:t>
      </w:r>
      <w:r/>
    </w:p>
    <w:p>
      <w:pPr>
        <w:pStyle w:val="ListBullet"/>
      </w:pPr>
      <w:r/>
      <w:r>
        <w:rPr>
          <w:b/>
        </w:rPr>
        <w:t>Digestifs hauts</w:t>
      </w:r>
      <w:r>
        <w:t xml:space="preserve"> (effet de classe principal) : </w:t>
      </w:r>
      <w:r>
        <w:rPr>
          <w:b/>
        </w:rPr>
        <w:t>œsophagite</w:t>
      </w:r>
      <w:r>
        <w:t>, ulcérations œsophagiennes, erosions, hématémèse, dysphagie, douleurs rétrosternales. Risque maximal en cas de non-respect des consignes de prise (allongement, prise avec aliment). Rarement perforation ou hémorragie sévère.</w:t>
      </w:r>
    </w:p>
    <w:p>
      <w:pPr>
        <w:pStyle w:val="ListBullet"/>
      </w:pPr>
      <w:r/>
      <w:r>
        <w:rPr>
          <w:b/>
        </w:rPr>
        <w:t>Douleurs osseuses, musculaires et articulaires</w:t>
      </w:r>
      <w:r>
        <w:t xml:space="preserve"> (effet de classe phase aiguë — syndrome Phase I-like) : myalgies, arthralgies, ostéalgies, parfois fébriles, dans les 24–72 h après la première prise (réaction cytokinique au niveau ostéoclastique).</w:t>
      </w:r>
    </w:p>
    <w:p>
      <w:pPr>
        <w:pStyle w:val="ListBullet"/>
      </w:pPr>
      <w:r/>
      <w:r>
        <w:rPr>
          <w:b/>
        </w:rPr>
        <w:t>Ostéonécrose de la mâchoire (ONM)</w:t>
      </w:r>
      <w:r>
        <w:t xml:space="preserve"> (effet de classe rare mais grave) : exposition osseuse maxillaire ou mandibulaire persistante &gt; 8 semaines, survenant principalement en oncologie (doses élevées IV) et en cas d'acte dentaire invasif (extraction, implant) sur terrain à risque (cancer, chimiothérapie, corticothérapie). Incidence ≈ 1/10 000 à 1/100 000 en ostéoporose, jusqu'à 1–10 % en oncologie.</w:t>
      </w:r>
    </w:p>
    <w:p>
      <w:pPr>
        <w:pStyle w:val="ListBullet"/>
      </w:pPr>
      <w:r/>
      <w:r>
        <w:rPr>
          <w:b/>
        </w:rPr>
        <w:t>Fractures fémorales atypiques</w:t>
      </w:r>
      <w:r>
        <w:t xml:space="preserve"> (effet de classe rare) : fracture sous-trochantérienne ou diaphysaire fémorale transverse, sans traumatisme majeur, après traitement prolongé (&gt; 3–5 ans). Mécanisme hypothesé : sur-suppression du remodelage osseux → accumulation de microfissures non réparées.</w:t>
      </w:r>
    </w:p>
    <w:p>
      <w:pPr>
        <w:pStyle w:val="ListBullet"/>
      </w:pPr>
      <w:r/>
      <w:r>
        <w:rPr>
          <w:b/>
        </w:rPr>
        <w:t>Fibrillation auriculaire</w:t>
      </w:r>
      <w:r>
        <w:t xml:space="preserve"> (débats controversés) : légère augmentation de l'incidence signalée dans certaines études (zolédronate, alendronate) — non confirmée à grande échelle.</w:t>
      </w:r>
    </w:p>
    <w:p>
      <w:pPr>
        <w:pStyle w:val="ListBullet"/>
      </w:pPr>
      <w:r/>
      <w:r>
        <w:rPr>
          <w:b/>
        </w:rPr>
        <w:t>Hypocalcémie transitoire</w:t>
      </w:r>
      <w:r>
        <w:t xml:space="preserve"> (si carence en vitamine D associée non corrigée).</w:t>
      </w:r>
    </w:p>
    <w:p>
      <w:pPr>
        <w:pStyle w:val="ListBullet"/>
      </w:pPr>
      <w:r/>
      <w:r>
        <w:rPr>
          <w:b/>
        </w:rPr>
        <w:t>Réactions allergiques</w:t>
      </w:r>
      <w:r>
        <w:t xml:space="preserve"> rares (rash, urticaire, syndrome Stevens-Johnson exceptionnel).</w:t>
      </w:r>
    </w:p>
    <w:p>
      <w:pPr>
        <w:pStyle w:val="ListBullet"/>
      </w:pPr>
      <w:r/>
      <w:r>
        <w:rPr>
          <w:b/>
        </w:rPr>
        <w:t>Uvéites, épiesclérites, sclérites</w:t>
      </w:r>
      <w:r>
        <w:t xml:space="preserve"> (effet de classe, rares mais à signaler).</w:t>
      </w:r>
    </w:p>
    <w:p>
      <w:r/>
      <w:r>
        <w:rPr>
          <w:b/>
        </w:rPr>
        <w:t>Prévention et Gestion des Effets Indésirables :</w:t>
      </w:r>
      <w:r/>
    </w:p>
    <w:p>
      <w:pPr>
        <w:pStyle w:val="ListBullet"/>
      </w:pPr>
      <w:r/>
      <w:r>
        <w:rPr>
          <w:b/>
        </w:rPr>
        <w:t>Mesures Préventives :</w:t>
      </w:r>
      <w:r>
        <w:t xml:space="preserve"> respect </w:t>
      </w:r>
      <w:r>
        <w:rPr>
          <w:b/>
        </w:rPr>
        <w:t>strict</w:t>
      </w:r>
      <w:r>
        <w:t xml:space="preserve"> des consignes de prise (à jeun le matin, 30 minutes avant tout aliment ou médicament, avec un grand verre d'eau plate, rester </w:t>
      </w:r>
      <w:r>
        <w:rPr>
          <w:b/>
        </w:rPr>
        <w:t>debout ou assis droit</w:t>
      </w:r>
      <w:r>
        <w:t xml:space="preserve"> pendant 30 minutes, ne pas s'allonger) ; bilan dentaire complet et soins dentaires préalables avant initiation (en particulier en oncologie) ; supplémentation calcique et vitaminique D préalable (vérifier 25-OH-D et calcémie avant initiation) ; surveillance de la fonction rénale (DFG) avant initiation et tous les 6–12 mois ; réévaluation du traitement après 3–5 ans (drug holiday — pause thérapeutique) par densitométrie et marqueurs osseux.</w:t>
      </w:r>
    </w:p>
    <w:p>
      <w:pPr>
        <w:pStyle w:val="ListBullet"/>
      </w:pPr>
      <w:r/>
      <w:r>
        <w:rPr>
          <w:b/>
        </w:rPr>
        <w:t>Conduite à Tenir :</w:t>
      </w:r>
      <w:r>
        <w:t xml:space="preserve"> en cas de douleurs rétrosternales ou dysphagie sévère après prise : arrêt immédiat, endoscopie œsophagienne pour évaluation, relais par une autre classe (risédronate, zolédronate IV, ou alternative non-bisphosphonate comme le tériparatide ou le ranélate de strontium). En cas d'ONM : arrêt du bisphosphonate, consultation dentaire spécialisée (chirurgie maxillo-faciale), antiseptiques locaux, antibiotiques si infection, chirurgie de régularisation si sévère. En cas de fracture fémorale atypique suspectée : arrêt du bisphosphonate, imagerie IRM du fémur controlatéral (souvent bilatéral), chirurgie prophylactique si lésionienne.</w:t>
      </w:r>
    </w:p>
    <w:p>
      <w:r/>
      <w:r>
        <w:rPr>
          <w:b/>
        </w:rPr>
        <w:t>Interactions Importantes :</w:t>
      </w:r>
      <w:r/>
    </w:p>
    <w:p>
      <w:pPr>
        <w:pStyle w:val="ListBullet"/>
      </w:pPr>
      <w:r/>
      <w:r>
        <w:rPr>
          <w:b/>
        </w:rPr>
        <w:t>Alendronate + Calcium, fer, zinc, magnésium, antiacides</w:t>
      </w:r>
      <w:r>
        <w:t xml:space="preserve"> : chélation intestinale → diminution drastique de l'absorption de l'alendronate (biodisponibilité quasi-nulle). </w:t>
      </w:r>
      <w:r>
        <w:rPr>
          <w:b/>
        </w:rPr>
        <w:t>Espacer d'au moins 2 heures</w:t>
      </w:r>
      <w:r>
        <w:t xml:space="preserve"> (prendre l'alendronate à jeun le matin, et le calcium/fer/antiacides à midi et/ou le soir).</w:t>
      </w:r>
    </w:p>
    <w:p>
      <w:pPr>
        <w:pStyle w:val="ListBullet"/>
      </w:pPr>
      <w:r/>
      <w:r>
        <w:rPr>
          <w:b/>
        </w:rPr>
        <w:t>Alendronate + AINS, aspirine</w:t>
      </w:r>
      <w:r>
        <w:t xml:space="preserve"> : toxicité digestive additive → majoration du risque d'ulcère/érosion/hémorragie digestive. Éviter si possible, sinon surveillance.</w:t>
      </w:r>
    </w:p>
    <w:p>
      <w:pPr>
        <w:pStyle w:val="ListBullet"/>
      </w:pPr>
      <w:r/>
      <w:r>
        <w:rPr>
          <w:b/>
        </w:rPr>
        <w:t>Alendronate + Inhibiteurs de la pompe à protons (IPP)</w:t>
      </w:r>
      <w:r>
        <w:t xml:space="preserve"> : possible majoration du risque fracturaire (réduction de l'absorption calcique par achlorhydrie) — surveillance DMO.</w:t>
      </w:r>
    </w:p>
    <w:p>
      <w:pPr>
        <w:pStyle w:val="ListBullet"/>
      </w:pPr>
      <w:r/>
      <w:r>
        <w:rPr>
          <w:b/>
        </w:rPr>
        <w:t>Alendronate + Café, thé, jus d'orange, lait, aliment</w:t>
      </w:r>
      <w:r>
        <w:t xml:space="preserve"> : biodisponibilité quasi-nulle → </w:t>
      </w:r>
      <w:r>
        <w:rPr>
          <w:b/>
        </w:rPr>
        <w:t>interdiction stricte</w:t>
      </w:r>
      <w:r>
        <w:t xml:space="preserve"> dans les 30 min avant la prise.</w:t>
      </w:r>
    </w:p>
    <w:p>
      <w:pPr>
        <w:pStyle w:val="ListBullet"/>
      </w:pPr>
      <w:r/>
      <w:r>
        <w:rPr>
          <w:b/>
        </w:rPr>
        <w:t>Alendronate + Aminosides</w:t>
      </w:r>
      <w:r>
        <w:t xml:space="preserve"> : potentialisation de l'hypocalcémie (effet additif sur le rein).</w:t>
      </w:r>
    </w:p>
    <w:p>
      <w:pPr>
        <w:pStyle w:val="ListBullet"/>
      </w:pPr>
      <w:r/>
      <w:r>
        <w:rPr>
          <w:b/>
        </w:rPr>
        <w:t>Alendronate + Diurétiques de l'anse</w:t>
      </w:r>
      <w:r>
        <w:t xml:space="preserve"> : potentialisation de l'hypocalcémie.</w:t>
      </w:r>
    </w:p>
    <w:p>
      <w:r/>
      <w:r>
        <w:rPr>
          <w:b/>
        </w:rPr>
        <w:t>Grossesse et Allaitement :</w:t>
      </w:r>
      <w:r/>
    </w:p>
    <w:p>
      <w:pPr>
        <w:pStyle w:val="ListBullet"/>
      </w:pPr>
      <w:r/>
      <w:r>
        <w:rPr>
          <w:b/>
        </w:rPr>
        <w:t>Grossesse :</w:t>
      </w:r>
      <w:r>
        <w:t xml:space="preserve"> </w:t>
      </w:r>
      <w:r>
        <w:rPr>
          <w:b/>
        </w:rPr>
        <w:t>Contre-indiqué</w:t>
      </w:r>
      <w:r>
        <w:t xml:space="preserve"> (CRAT — tocolytiques des BP). Pas de données cliniques humaines, mais études animales tératogènes (anomalies squelettiques fœtales). Chez la femme en âge de procréer, contraception obligatoire pendant le traitement. En cas de grossesse survenue sous alendronate : arrêt immédiat, échographie morphologique fœtale de surveillance.</w:t>
      </w:r>
    </w:p>
    <w:p>
      <w:pPr>
        <w:pStyle w:val="ListBullet"/>
      </w:pPr>
      <w:r/>
      <w:r>
        <w:rPr>
          <w:b/>
        </w:rPr>
        <w:t>Allaitement :</w:t>
      </w:r>
      <w:r>
        <w:t xml:space="preserve"> </w:t>
      </w:r>
      <w:r>
        <w:rPr>
          <w:b/>
        </w:rPr>
        <w:t>Contre-indiqué</w:t>
      </w:r>
      <w:r>
        <w:t xml:space="preserve"> (passage dans le lait maternel théorique, données animales).</w:t>
      </w:r>
    </w:p>
    <w:p>
      <w:pPr>
        <w:pStyle w:val="ListBullet"/>
      </w:pPr>
      <w:r/>
      <w:r>
        <w:rPr>
          <w:b/>
        </w:rPr>
        <w:t>Précisions :</w:t>
      </w:r>
      <w:r>
        <w:t xml:space="preserve"> l'alendronate a une très longue demi-vie osseuse (&gt; 10 ans), et le risque théorique de relargage fœtal pendant une grossesse ultérieure est à considérer — préférer un délai d'attente de plusieurs mois à années après l'arrêt avant d'envisager une grossesse.</w:t>
      </w:r>
    </w:p>
    <w:p>
      <w:r/>
      <w:r>
        <w:rPr>
          <w:b/>
        </w:rPr>
        <w:t>Posologie et Mode d'administration (Standard) :</w:t>
      </w:r>
      <w:r/>
    </w:p>
    <w:p>
      <w:pPr>
        <w:pStyle w:val="ListBullet"/>
      </w:pPr>
      <w:r/>
      <w:r>
        <w:rPr>
          <w:b/>
        </w:rPr>
        <w:t>Adulte — Ostéoporose post-ménopausique et masculine :</w:t>
      </w:r>
      <w:r>
        <w:t xml:space="preserve"> 70 mg une fois par semaine per os (ou 10 mg/j — forme ancienne moins prescrite).</w:t>
      </w:r>
    </w:p>
    <w:p>
      <w:pPr>
        <w:pStyle w:val="ListBullet"/>
      </w:pPr>
      <w:r/>
      <w:r>
        <w:rPr>
          <w:b/>
        </w:rPr>
        <w:t>Adulte — Ostéoporose cortisonique :</w:t>
      </w:r>
      <w:r>
        <w:t xml:space="preserve"> 5 mg/j (ou 35 mg/sem en prévention), 10 mg/j (ou 70 mg/sem en traitement).</w:t>
      </w:r>
    </w:p>
    <w:p>
      <w:pPr>
        <w:pStyle w:val="ListBullet"/>
      </w:pPr>
      <w:r/>
      <w:r>
        <w:rPr>
          <w:b/>
        </w:rPr>
        <w:t>Maladie de Paget :</w:t>
      </w:r>
      <w:r>
        <w:t xml:space="preserve"> 40 mg/j pendant 6 mois (alternative au zolédronate).</w:t>
      </w:r>
    </w:p>
    <w:p>
      <w:pPr>
        <w:pStyle w:val="ListBullet"/>
      </w:pPr>
      <w:r/>
      <w:r>
        <w:rPr>
          <w:b/>
        </w:rPr>
        <w:t>Sujet âgé :</w:t>
      </w:r>
      <w:r>
        <w:t xml:space="preserve"> pas d'adaptation posologique si fonction rénale conservée (DFG &gt; 35 mL/min).</w:t>
      </w:r>
    </w:p>
    <w:p>
      <w:pPr>
        <w:pStyle w:val="ListBullet"/>
      </w:pPr>
      <w:r/>
      <w:r>
        <w:rPr>
          <w:b/>
        </w:rPr>
        <w:t>Insuffisance rénale :</w:t>
      </w:r>
      <w:r>
        <w:t xml:space="preserve"> CI si DFG &lt; 35 mL/min (utiliser une alternative : zolédronate IV à dose réduite, ou tériparatide, ou ranélate de strontium).</w:t>
      </w:r>
    </w:p>
    <w:p>
      <w:pPr>
        <w:pStyle w:val="ListBullet"/>
      </w:pPr>
      <w:r/>
      <w:r>
        <w:rPr>
          <w:b/>
        </w:rPr>
        <w:t>Durée :</w:t>
      </w:r>
      <w:r>
        <w:t xml:space="preserve"> 3–5 ans en première intention (réduction fracturaire maximale), puis réévaluation par densitométrie et marqueurs osseux (CTX). Si T-score &gt; -2,5 et pas de fracture récente : </w:t>
      </w:r>
      <w:r>
        <w:rPr>
          <w:b/>
        </w:rPr>
        <w:t>drug holiday</w:t>
      </w:r>
      <w:r>
        <w:t xml:space="preserve"> (pause thérapeutique) pendant 1–3 ans, en gardant un effet anti-résorbeur persistant. Si fracture récente ou T-score ≤ -2,5 : poursuite ou switch vers tériparatide ou zolédronate.</w:t>
      </w:r>
    </w:p>
    <w:p>
      <w:pPr>
        <w:pStyle w:val="ListBullet"/>
      </w:pPr>
      <w:r/>
      <w:r>
        <w:rPr>
          <w:b/>
        </w:rPr>
        <w:t>Moment de prise :</w:t>
      </w:r>
      <w:r>
        <w:t xml:space="preserve"> strictement à jeun le matin, 30 minutes avant tout aliment, boisson (autre que l'eau plate), ou médicament. Avec un grand verre d'eau plate (≥ 200 mL). Rester </w:t>
      </w:r>
      <w:r>
        <w:rPr>
          <w:b/>
        </w:rPr>
        <w:t>debout ou assis droit</w:t>
      </w:r>
      <w:r>
        <w:t xml:space="preserve"> pendant au moins 30 minutes. Ne pas s'allonger, ne pas se pencher en avant, ne pas manger, ne pas boire (sauf eau), ne pas prendre d'autres médicaments.</w:t>
      </w:r>
    </w:p>
    <w:p>
      <w:r/>
      <w:r>
        <w:rPr>
          <w:b/>
        </w:rPr>
        <w:t>Arbitrage et Bénéfices des Formes Galéniques :</w:t>
      </w:r>
      <w:r/>
    </w:p>
    <w:p>
      <w:pPr>
        <w:pStyle w:val="ListBullet"/>
      </w:pPr>
      <w:r/>
      <w:r>
        <w:rPr>
          <w:b/>
        </w:rPr>
        <w:t>Forme 70 mg hebdomadaire :</w:t>
      </w:r>
      <w:r>
        <w:t xml:space="preserve"> forme de référence actuelle (10 mg/j × 7 = 70 mg/sem). Améliore l'observance et réduit le risque d'effets indésirables digestifs hauts (1 prise au lieu de 7).</w:t>
      </w:r>
    </w:p>
    <w:p>
      <w:pPr>
        <w:pStyle w:val="ListBullet"/>
      </w:pPr>
      <w:r/>
      <w:r>
        <w:rPr>
          <w:b/>
        </w:rPr>
        <w:t>Forme 10 mg quotidienne :</w:t>
      </w:r>
      <w:r>
        <w:t xml:space="preserve"> ancienne forme, encore disponible (FOSACARE 10 mg, B/28) — utile en cas d'intolérance à la forme hebdomadaire ou en initiation pour vérifier la tolérance.</w:t>
      </w:r>
    </w:p>
    <w:p>
      <w:pPr>
        <w:pStyle w:val="ListBullet"/>
      </w:pPr>
      <w:r/>
      <w:r>
        <w:rPr>
          <w:b/>
        </w:rPr>
        <w:t>Forme association 70 mg/5600 UI (POROSIMAX PLUS)</w:t>
      </w:r>
      <w:r>
        <w:t xml:space="preserve"> : associe alendronate hebdomadaire + vitamine D3 5600 UI/sem (= 800 UI/j). Simplifie le traitement adjuvant. Réserve : ne convient pas si carence vitaminique D avérée nécessitant une dose de charge.</w:t>
      </w:r>
    </w:p>
    <w:p>
      <w:pPr>
        <w:pStyle w:val="ListBullet"/>
      </w:pPr>
      <w:r/>
      <w:r>
        <w:rPr>
          <w:b/>
        </w:rPr>
        <w:t>FOSAVANCE 70 mg/2800 UI</w:t>
      </w:r>
      <w:r>
        <w:t xml:space="preserve"> : ancienne association (Merck princeps, retirée du marché algérien) avec dose D3 plus faible (2800 UI/sem = 400 UI/j). Aujourd'hui remplacée par POROSIMAX PLUS.</w:t>
      </w:r>
    </w:p>
    <w:p>
      <w:r/>
      <w:r>
        <w:rPr>
          <w:b/>
        </w:rPr>
        <w:t>Instructions et Conseils au Patient :</w:t>
      </w:r>
      <w:r/>
    </w:p>
    <w:p>
      <w:pPr>
        <w:pStyle w:val="ListBullet"/>
      </w:pPr>
      <w:r/>
      <w:r>
        <w:rPr>
          <w:b/>
        </w:rPr>
        <w:t>Communication au comptoir :</w:t>
      </w:r>
      <w:r>
        <w:t xml:space="preserve"> « L'alendronate est un médicament essentiel pour renforcer vos os et prévenir les fractures. Sa prise est très stricte : à jeun le matin, 30 minutes avant le petit-déjeuner, avec un grand verre d'eau plate. Restez debout ou assis bien droit pendant 30 minutes (ne vous allongez pas, ne vous penchez pas en avant). Ne prenez aucun autre médicament (calcium, thyroxine, fer) pendant ces 30 minutes. En cas d'oubli un jour, ne doublez pas la dose le lendemain — prenez simplement la dose suivante le jour prévu. Signalez toute douleur à la poitrine, difficulté à avaler, ou douleur inhabituelle à la cuisse (fracture atypique). »</w:t>
      </w:r>
    </w:p>
    <w:p>
      <w:pPr>
        <w:pStyle w:val="ListBullet"/>
      </w:pPr>
      <w:r/>
      <w:r>
        <w:rPr>
          <w:b/>
        </w:rPr>
        <w:t>Mode d'utilisation pratique :</w:t>
      </w:r>
      <w:r>
        <w:t xml:space="preserve"> prise unique hebdomadaire, le matin au lever, à jeun ; grand verre d'eau plate (≥ 200 mL) ; position debout ou assise droite 30 min ; pas d'aliment, de boisson (sauf eau), de médicament, ni d'allongement pendant 30 min ; en cas d'oubli : ne pas rattraper, attendre le jour suivant.</w:t>
      </w:r>
    </w:p>
    <w:p>
      <w:r/>
      <w:r>
        <w:rPr>
          <w:b/>
        </w:rPr>
        <w:t>Notes, Règles d'Or &amp; Pièges au Comptoir :</w:t>
      </w:r>
      <w:r/>
    </w:p>
    <w:p>
      <w:pPr>
        <w:pStyle w:val="ListBullet"/>
      </w:pPr>
      <w:r/>
      <w:r>
        <w:rPr>
          <w:b/>
        </w:rPr>
        <w:t>Piège classique :</w:t>
      </w:r>
      <w:r>
        <w:t xml:space="preserve"> (i) Prise de l'alendronate avec un aliment, du lait, ou un médicament (calcium, thyroxine, IPP) → </w:t>
      </w:r>
      <w:r>
        <w:rPr>
          <w:b/>
        </w:rPr>
        <w:t>biodisponibilité quasi-nulle, inefficacité totale</w:t>
      </w:r>
      <w:r>
        <w:t xml:space="preserve"> ; (ii) Allongement après la prise → œsophagite sévère, parfois hémorragique ; (iii) Oubli de la supplémentation calcique et vitaminique D associée → hypocalcémie de surdosage osseux ; (iv) Prise de l'alendronate le soir (au lieu du matin à jeun) → inefficacité et risque digestif majoré ; (v) Patient ne restant pas debout 30 minutes → œsophagite ; (vi) Patient non informé du risque d'ONM en cas d'extraction dentaire → nécrose osseuse maxillaire ; (vii) Traitement prolongé &gt; 5 ans non réévalué → risque de fracture fémorale atypique.</w:t>
      </w:r>
    </w:p>
    <w:p>
      <w:pPr>
        <w:pStyle w:val="ListBullet"/>
      </w:pPr>
      <w:r/>
      <w:r>
        <w:rPr>
          <w:b/>
        </w:rPr>
        <w:t>Règle de prise :</w:t>
      </w:r>
      <w:r>
        <w:t xml:space="preserve"> le matin au lever, à jeun, grand verre d'eau plate, 30 minutes avant tout aliment, rester debout/assis droit 30 minutes ; ne pas s'allonger ; ne pas doubler la dose en cas d'oubli.</w:t>
      </w:r>
    </w:p>
    <w:p>
      <w:pPr>
        <w:pStyle w:val="ListBullet"/>
      </w:pPr>
      <w:r/>
      <w:r>
        <w:rPr>
          <w:b/>
        </w:rPr>
        <w:t>Préparation et Conservation :</w:t>
      </w:r>
      <w:r>
        <w:t xml:space="preserve"> à température ambiante (15–25 °C), à l'abri de l'humidité. Les comprimés doivent rester dans leur emballage alvéolé d'origine jusqu'à la prise (protection contre l'humidité).</w:t>
      </w:r>
    </w:p>
    <w:p>
      <w:pPr>
        <w:pStyle w:val="ListBullet"/>
      </w:pPr>
      <w:r/>
      <w:r>
        <w:rPr>
          <w:b/>
        </w:rPr>
        <w:t>Piège du surdosage / Substitution :</w:t>
      </w:r>
      <w:r>
        <w:t xml:space="preserve"> en cas de surdosage massif (intentionnel ou accidentel) → administrer du lait ou des antiacides (calcium, magnésium, aluminium) pour chélater l'alendronate dans la lumière digestive, et maintenir le patient en position assise ou debout (ne pas provoquer de vomissements — risque d'œsophagite aggravée). Ne pas substituer la forme 70 mg hebdomadaire par la forme 10 mg quotidienne sans recalcul (10 mg/j × 7 = 70 mg/sem). Ne pas substituer par une autre molécule (risédronate, zolédronate) sans avis médical — doses et schémas différents.</w:t>
      </w:r>
    </w:p>
    <w:p>
      <w:pPr>
        <w:pStyle w:val="Heading3"/>
      </w:pPr>
      <w:r>
        <w:t>8. DCI : Clodronate (Seule)</w:t>
      </w:r>
    </w:p>
    <w:p>
      <w:r/>
      <w:r>
        <w:rPr>
          <w:b/>
        </w:rPr>
        <w:t>Liste des Catégories :</w:t>
      </w:r>
      <w:r>
        <w:t xml:space="preserve"> Liste I.</w:t>
      </w:r>
    </w:p>
    <w:p>
      <w:r>
        <w:t xml:space="preserve">Le clodronate (acide clodronique ou dichlorométhylidène-bisphosphonate) est un bisphosphonate de </w:t>
      </w:r>
      <w:r>
        <w:rPr>
          <w:b/>
        </w:rPr>
        <w:t>première génération non-aminé</w:t>
      </w:r>
      <w:r>
        <w:t xml:space="preserve"> (chaîne latérale R1 = -CH2Cl, dichlorométhyl). Il est le moins puissant des bisphosphonates disponibles en Algérie, mais son profil de tolérance et son prix en font une option utile en oncologie pour le traitement des </w:t>
      </w:r>
      <w:r>
        <w:rPr>
          <w:b/>
        </w:rPr>
        <w:t>métastases osseuses</w:t>
      </w:r>
      <w:r>
        <w:t xml:space="preserve"> et des </w:t>
      </w:r>
      <w:r>
        <w:rPr>
          <w:b/>
        </w:rPr>
        <w:t>hypercalcémies malignes</w:t>
      </w:r>
      <w:r>
        <w:t>. Son mécanisme diffère des bisphosphonates aminés : il est métabolisé par les ostéoclastes en un analogue non-hydrolysable de l'ATP (AppCCp) qui s'accumule dans les mitochondries et inhibe les ATPases, entraînant l'apoptose cellulaire — sans inhiber la FPPS. Cette particularité explique son effet anti-résorbeur plus modeste mais suffisant en oncologie.</w:t>
      </w:r>
    </w:p>
    <w:p>
      <w:r/>
      <w:r>
        <w:rPr>
          <w:b/>
        </w:rPr>
        <w:t>Médicaments disponibles en Algérie (Marques, Laboratoires, Formes et Dosages) :</w:t>
      </w:r>
      <w:r/>
    </w:p>
    <w:p>
      <w:pPr>
        <w:pStyle w:val="ListBullet"/>
      </w:pPr>
      <w:r/>
      <w:r>
        <w:rPr>
          <w:b/>
        </w:rPr>
        <w:t>BONEFOS</w:t>
      </w:r>
      <w:r>
        <w:t xml:space="preserve"> (BAYER OY — Finlande)</w:t>
      </w:r>
    </w:p>
    <w:p>
      <w:pPr>
        <w:pStyle w:val="ListBullet"/>
      </w:pPr>
      <w:r>
        <w:t>Formes et Dosages : Comprimé pelliculé 800 mg, B/100.</w:t>
      </w:r>
    </w:p>
    <w:p>
      <w:pPr>
        <w:pStyle w:val="ListBullet"/>
      </w:pPr>
      <w:r>
        <w:t>Statut : Actif. Liste I.</w:t>
      </w:r>
    </w:p>
    <w:p>
      <w:r>
        <w:t xml:space="preserve">À noter : le clodronate est disponible en Algérie </w:t>
      </w:r>
      <w:r>
        <w:rPr>
          <w:b/>
        </w:rPr>
        <w:t>exclusivement</w:t>
      </w:r>
      <w:r>
        <w:t xml:space="preserve"> sous la forme orale (BONEFOS 800 mg comprimé). La forme IV (Bonefos IV, historiquement commercialisée) n'est pas disponible à date — pour l'hypercalcémie maligne aiguë, le zolédronate IV ou le pamidronate IV sont utilisés en alternative. La dose standard en oncologie est de 1600–3200 mg/j per os (soit 2 à 4 comprimés/j), ce qui en fait le bisphosphonate oral le plus dosé.</w:t>
      </w:r>
    </w:p>
    <w:p>
      <w:r/>
      <w:r>
        <w:rPr>
          <w:b/>
        </w:rPr>
        <w:t>Sous-classe et Mécanisme d'action :</w:t>
      </w:r>
      <w:r/>
    </w:p>
    <w:p>
      <w:pPr>
        <w:pStyle w:val="ListBullet"/>
      </w:pPr>
      <w:r/>
      <w:r>
        <w:rPr>
          <w:b/>
        </w:rPr>
        <w:t>Sous-classe :</w:t>
      </w:r>
      <w:r>
        <w:t xml:space="preserve"> Bisphosphonate anti-résorbeur osseux de 1re génération </w:t>
      </w:r>
      <w:r>
        <w:rPr>
          <w:b/>
        </w:rPr>
        <w:t>non-aminé</w:t>
      </w:r>
      <w:r>
        <w:t xml:space="preserve"> (Liste I). Moins puissant que les bisphosphonates aminés, mais indiqué en oncologie (métastases osseuses, hypercalcémie maligne).</w:t>
      </w:r>
    </w:p>
    <w:p>
      <w:pPr>
        <w:pStyle w:val="ListBullet"/>
      </w:pPr>
      <w:r/>
      <w:r>
        <w:rPr>
          <w:b/>
        </w:rPr>
        <w:t>Mécanisme d'action :</w:t>
      </w:r>
      <w:r>
        <w:t xml:space="preserve"> le clodronate est un analogue du pyrophosphate (P-C-P) avec un groupement dichlorométhyl en R1. Il se fixe à l'hydroxyapatite et est internalisé par les ostéoclastes. À l'intérieur de l'ostéoclaste, il est métabolisé par les aminoacyl-tRNA synthétases en un </w:t>
      </w:r>
      <w:r>
        <w:rPr>
          <w:b/>
        </w:rPr>
        <w:t>analogue non-hydrolysable de l'ATP</w:t>
      </w:r>
      <w:r>
        <w:t xml:space="preserve"> (AppCCp — adénosine 5'-(β,γ-dichlorométhylène) triphosphate). Cet AppCCp s'accumule dans les mitochondries et </w:t>
      </w:r>
      <w:r>
        <w:rPr>
          <w:b/>
        </w:rPr>
        <w:t>inhibe les ATPases</w:t>
      </w:r>
      <w:r>
        <w:t xml:space="preserve"> mitochondriales (notamment l'ADP/ATP translocase), entraînant l'arrêt de la production d'énergie, la disruption du métabolisme ostéoclastique et l'</w:t>
      </w:r>
      <w:r>
        <w:rPr>
          <w:b/>
        </w:rPr>
        <w:t>apoptose</w:t>
      </w:r>
      <w:r>
        <w:t xml:space="preserve">. Le clodronate </w:t>
      </w:r>
      <w:r>
        <w:rPr>
          <w:b/>
        </w:rPr>
        <w:t>n'inhibe pas la FPPS</w:t>
      </w:r>
      <w:r>
        <w:t xml:space="preserve"> (contrairement aux bisphosphonates aminés), d'où son effet anti-résorbeur plus modéré (réduction des marqueurs de résorption de 30–50 %, contre 50–80 % pour l'alendronate et 70–90 % pour le zolédronate).</w:t>
      </w:r>
    </w:p>
    <w:p>
      <w:pPr>
        <w:pStyle w:val="ListBullet"/>
      </w:pPr>
      <w:r/>
      <w:r>
        <w:rPr>
          <w:b/>
        </w:rPr>
        <w:t>Pharmacocinétique :</w:t>
      </w:r>
      <w:r>
        <w:t xml:space="preserve"> biodisponibilité orale très faible (≈ 1–2 %), augmentée par la prise à jeun (à prendre comme l'alendronate, à jeun strict) ; liaison aux protéines plasmatique négligeable ; distribution osseuse (≈ 20–30 % de la dose absorbée) ; élimination rénale à 80 % inchangée (50 % en 24 h), avec une demi-vie plasmatique courte (≈ 2 h) mais une </w:t>
      </w:r>
      <w:r>
        <w:rPr>
          <w:b/>
        </w:rPr>
        <w:t>demi-vie osseuse prolongée</w:t>
      </w:r>
      <w:r>
        <w:t xml:space="preserve"> (&gt; 1 an).</w:t>
      </w:r>
    </w:p>
    <w:p>
      <w:r/>
      <w:r>
        <w:rPr>
          <w:b/>
        </w:rPr>
        <w:t>Profil Pharmacologique :</w:t>
      </w:r>
      <w:r/>
    </w:p>
    <w:p>
      <w:pPr>
        <w:pStyle w:val="ListBullet"/>
      </w:pPr>
      <w:r/>
      <w:r>
        <w:rPr>
          <w:b/>
        </w:rPr>
        <w:t>Indications :</w:t>
      </w:r>
      <w:r>
        <w:t xml:space="preserve"> (i) </w:t>
      </w:r>
      <w:r>
        <w:rPr>
          <w:b/>
        </w:rPr>
        <w:t>Métastases osseuses</w:t>
      </w:r>
      <w:r>
        <w:t xml:space="preserve"> (sein, prostate, myélome multiple) — réduction des événements squelettiques (fractures pathologiques, compression médullaire, hypercalcémie, douleurs osseuses, besoin de radiothérapie ou de chirurgie osseuse) ; (ii) </w:t>
      </w:r>
      <w:r>
        <w:rPr>
          <w:b/>
        </w:rPr>
        <w:t>Hypercalcémie maligne</w:t>
      </w:r>
      <w:r>
        <w:t xml:space="preserve"> (alternative au zolédronate IV, mais moins puissant et plus lent d'action en per os) ; (iii) </w:t>
      </w:r>
      <w:r>
        <w:rPr>
          <w:b/>
        </w:rPr>
        <w:t>Maladie de Paget</w:t>
      </w:r>
      <w:r>
        <w:t xml:space="preserve"> (alternative historique, désormais remplacée par le zolédronate) ; (iv) Ostéoporose (alternative historique, abandonnée pour l'alendronate).</w:t>
      </w:r>
    </w:p>
    <w:p>
      <w:pPr>
        <w:pStyle w:val="ListBullet"/>
      </w:pPr>
      <w:r/>
      <w:r>
        <w:rPr>
          <w:b/>
        </w:rPr>
        <w:t>Contre-indications :</w:t>
      </w:r>
      <w:r>
        <w:t xml:space="preserve"> (i) Hypersensibilité aux bisphosphonates ; (ii) Hypocalcémie non corrigée ; (iii) Insuffisance rénale sévère (DFG &lt; 25 mL/min) ; (iv) Affections œsophagiennes (achalasie, stricture) ; (v) Incapacité à rester debout 30 minutes après la prise ; (vi) Grossesse et allaitement (CI absolue).</w:t>
      </w:r>
    </w:p>
    <w:p>
      <w:pPr>
        <w:pStyle w:val="ListBullet"/>
      </w:pPr>
      <w:r/>
      <w:r>
        <w:rPr>
          <w:b/>
        </w:rPr>
        <w:t>Effets Indésirables :</w:t>
      </w:r>
      <w:r>
        <w:t xml:space="preserve"> identiques à l'alendronate mais généralement moins marqués en raison de la plus faible puissance : troubles digestifs hauts (œsophagite, dyspepsie, nausées, diarrhée), douleurs osseuses transitoires (phase aiguë), hypocalcémie, ostéonécrose de la mâchoire (rare en oncologie per os), fractures fémorales atypiques (très rares), perturbations du bilan hépatique (transaminases), réactions cutanées (rash, prurit), protéinurie.</w:t>
      </w:r>
    </w:p>
    <w:p>
      <w:r/>
      <w:r>
        <w:rPr>
          <w:b/>
        </w:rPr>
        <w:t>Prévention et Gestion des Effets Indésirables :</w:t>
      </w:r>
      <w:r/>
    </w:p>
    <w:p>
      <w:pPr>
        <w:pStyle w:val="ListBullet"/>
      </w:pPr>
      <w:r/>
      <w:r>
        <w:rPr>
          <w:b/>
        </w:rPr>
        <w:t>Mesures Préventives :</w:t>
      </w:r>
      <w:r>
        <w:t xml:space="preserve"> respect strict des consignes de prise (à jeun, 30 min avant tout aliment ou médicament, rester debout 30 min, grand verre d'eau plate) ; bilan dentaire préalable (en oncologie) ; supplémentation calcique et vitaminique D (en prévention de l'hypocalcémie) ; surveillance de la fonction rénale et de la calcémie ; surveillance des marqueurs de résorption osseuse (CTX, NTX).</w:t>
      </w:r>
    </w:p>
    <w:p>
      <w:pPr>
        <w:pStyle w:val="ListBullet"/>
      </w:pPr>
      <w:r/>
      <w:r>
        <w:rPr>
          <w:b/>
        </w:rPr>
        <w:t>Conduite à Tenir :</w:t>
      </w:r>
      <w:r>
        <w:t xml:space="preserve"> en cas d'effet indésirable digestif haut persistant : arrêt et relais par une autre classe. En cas d'ONM : arrêt, prise en charge odontologique spécialisée. En cas d'hypercalcémie maligne persistante sous clodronate per os : relais par zolédronate IV.</w:t>
      </w:r>
    </w:p>
    <w:p>
      <w:r/>
      <w:r>
        <w:rPr>
          <w:b/>
        </w:rPr>
        <w:t>Interactions Importantes :</w:t>
      </w:r>
      <w:r/>
    </w:p>
    <w:p>
      <w:pPr>
        <w:pStyle w:val="ListBullet"/>
      </w:pPr>
      <w:r/>
      <w:r>
        <w:rPr>
          <w:b/>
        </w:rPr>
        <w:t>Clodronate + Calcium, fer, antiacides, lait</w:t>
      </w:r>
      <w:r>
        <w:t xml:space="preserve"> : chélation intestinale → biodisponibilité quasi-nulle. </w:t>
      </w:r>
      <w:r>
        <w:rPr>
          <w:b/>
        </w:rPr>
        <w:t>Espacer de 2 h</w:t>
      </w:r>
      <w:r>
        <w:t>.</w:t>
      </w:r>
    </w:p>
    <w:p>
      <w:pPr>
        <w:pStyle w:val="ListBullet"/>
      </w:pPr>
      <w:r/>
      <w:r>
        <w:rPr>
          <w:b/>
        </w:rPr>
        <w:t>Clodronate + AINS, aspirine</w:t>
      </w:r>
      <w:r>
        <w:t xml:space="preserve"> : toxicité digestive additive.</w:t>
      </w:r>
    </w:p>
    <w:p>
      <w:pPr>
        <w:pStyle w:val="ListBullet"/>
      </w:pPr>
      <w:r/>
      <w:r>
        <w:rPr>
          <w:b/>
        </w:rPr>
        <w:t>Clodronate + Aminosides</w:t>
      </w:r>
      <w:r>
        <w:t xml:space="preserve"> : potentialisation de l'hypocalcémie.</w:t>
      </w:r>
    </w:p>
    <w:p>
      <w:pPr>
        <w:pStyle w:val="ListBullet"/>
      </w:pPr>
      <w:r/>
      <w:r>
        <w:rPr>
          <w:b/>
        </w:rPr>
        <w:t>Clodronate + Diurétiques de l'anse</w:t>
      </w:r>
      <w:r>
        <w:t xml:space="preserve"> : potentialisation de l'hypocalcémie.</w:t>
      </w:r>
    </w:p>
    <w:p>
      <w:pPr>
        <w:pStyle w:val="ListBullet"/>
      </w:pPr>
      <w:r/>
      <w:r>
        <w:rPr>
          <w:b/>
        </w:rPr>
        <w:t>Clodronate + Médicaments néphrotoxiques</w:t>
      </w:r>
      <w:r>
        <w:t xml:space="preserve"> (cisplatine, aminosides, produits de contraste iodés) : majoration du risque de néphrotoxicité (le clodronate est excrété par le rein).</w:t>
      </w:r>
    </w:p>
    <w:p>
      <w:r/>
      <w:r>
        <w:rPr>
          <w:b/>
        </w:rPr>
        <w:t>Grossesse et Allaitement :</w:t>
      </w:r>
      <w:r/>
    </w:p>
    <w:p>
      <w:pPr>
        <w:pStyle w:val="ListBullet"/>
      </w:pPr>
      <w:r/>
      <w:r>
        <w:rPr>
          <w:b/>
        </w:rPr>
        <w:t>Grossesse :</w:t>
      </w:r>
      <w:r>
        <w:t xml:space="preserve"> </w:t>
      </w:r>
      <w:r>
        <w:rPr>
          <w:b/>
        </w:rPr>
        <w:t>Contre-indiqué</w:t>
      </w:r>
      <w:r>
        <w:t xml:space="preserve"> (CRAT). Études animales tératogènes (anomalies squelettiques fœtales). Contraception obligatoire pendant le traitement.</w:t>
      </w:r>
    </w:p>
    <w:p>
      <w:pPr>
        <w:pStyle w:val="ListBullet"/>
      </w:pPr>
      <w:r/>
      <w:r>
        <w:rPr>
          <w:b/>
        </w:rPr>
        <w:t>Allaitement :</w:t>
      </w:r>
      <w:r>
        <w:t xml:space="preserve"> </w:t>
      </w:r>
      <w:r>
        <w:rPr>
          <w:b/>
        </w:rPr>
        <w:t>Contre-indiqué</w:t>
      </w:r>
      <w:r>
        <w:t xml:space="preserve"> (passage dans le lait maternel).</w:t>
      </w:r>
    </w:p>
    <w:p>
      <w:pPr>
        <w:pStyle w:val="ListBullet"/>
      </w:pPr>
      <w:r/>
      <w:r>
        <w:rPr>
          <w:b/>
        </w:rPr>
        <w:t>Précisions :</w:t>
      </w:r>
      <w:r>
        <w:t xml:space="preserve"> en oncologie, chez une femme en âge de procréer, contraception rigoureuse pendant et après le traitement (demi-vie osseuse &gt; 1 an).</w:t>
      </w:r>
    </w:p>
    <w:p>
      <w:r/>
      <w:r>
        <w:rPr>
          <w:b/>
        </w:rPr>
        <w:t>Posologie et Mode d'administration (Standard) :</w:t>
      </w:r>
      <w:r/>
    </w:p>
    <w:p>
      <w:pPr>
        <w:pStyle w:val="ListBullet"/>
      </w:pPr>
      <w:r/>
      <w:r>
        <w:rPr>
          <w:b/>
        </w:rPr>
        <w:t>Adulte — Métastases osseuses :</w:t>
      </w:r>
      <w:r>
        <w:t xml:space="preserve"> 1600 mg/j per os (2 comprimés à 800 mg) en une prise à jeun le matin, ou 3200 mg/j (4 comprimés) en 2 prises (matin et midi, à jeun). À prendre au moins 2 heures avant ou après les repas.</w:t>
      </w:r>
    </w:p>
    <w:p>
      <w:pPr>
        <w:pStyle w:val="ListBullet"/>
      </w:pPr>
      <w:r/>
      <w:r>
        <w:rPr>
          <w:b/>
        </w:rPr>
        <w:t>Adulte — Hypercalcémie maligne :</w:t>
      </w:r>
      <w:r>
        <w:t xml:space="preserve"> 2400–3200 mg/j per os (3–4 comprimés) pendant 5–10 jours. En pratique, le zolédronate IV est préféré pour cette indication (action plus rapide et plus puissante).</w:t>
      </w:r>
    </w:p>
    <w:p>
      <w:pPr>
        <w:pStyle w:val="ListBullet"/>
      </w:pPr>
      <w:r/>
      <w:r>
        <w:rPr>
          <w:b/>
        </w:rPr>
        <w:t>Adulte — Maladie de Paget :</w:t>
      </w:r>
      <w:r>
        <w:t xml:space="preserve"> 800–1600 mg/j pendant 3–6 mois.</w:t>
      </w:r>
    </w:p>
    <w:p>
      <w:pPr>
        <w:pStyle w:val="ListBullet"/>
      </w:pPr>
      <w:r/>
      <w:r>
        <w:rPr>
          <w:b/>
        </w:rPr>
        <w:t>Insuffisance rénale :</w:t>
      </w:r>
      <w:r>
        <w:t xml:space="preserve"> CI si DFG &lt; 25 mL/min ; à 25–50 mL/min, réduire la dose de moitié.</w:t>
      </w:r>
    </w:p>
    <w:p>
      <w:pPr>
        <w:pStyle w:val="ListBullet"/>
      </w:pPr>
      <w:r/>
      <w:r>
        <w:rPr>
          <w:b/>
        </w:rPr>
        <w:t>Durée :</w:t>
      </w:r>
      <w:r>
        <w:t xml:space="preserve"> au long cours en oncologie (jusqu'à progression de la maladie) ; 3–6 mois dans la maladie de Paget.</w:t>
      </w:r>
    </w:p>
    <w:p>
      <w:pPr>
        <w:pStyle w:val="ListBullet"/>
      </w:pPr>
      <w:r/>
      <w:r>
        <w:rPr>
          <w:b/>
        </w:rPr>
        <w:t>Moment de prise :</w:t>
      </w:r>
      <w:r>
        <w:t xml:space="preserve"> à jeun, au moins 2 heures avant ou après les repas (le matin au lever, idéalement), avec un grand verre d'eau plate. Rester debout ou assis droit 30 minutes.</w:t>
      </w:r>
    </w:p>
    <w:p>
      <w:r/>
      <w:r>
        <w:rPr>
          <w:b/>
        </w:rPr>
        <w:t>Arbitrage et Bénéfices des Formes Galéniques :</w:t>
      </w:r>
      <w:r/>
    </w:p>
    <w:p>
      <w:pPr>
        <w:pStyle w:val="ListBullet"/>
      </w:pPr>
      <w:r/>
      <w:r>
        <w:rPr>
          <w:b/>
        </w:rPr>
        <w:t>Comprimé pelliculé 800 mg :</w:t>
      </w:r>
      <w:r>
        <w:t xml:space="preserve"> forme unique disponible en Algérie. Prise biquotidienne ou quotidienne selon la dose.</w:t>
      </w:r>
    </w:p>
    <w:p>
      <w:pPr>
        <w:pStyle w:val="ListBullet"/>
      </w:pPr>
      <w:r/>
      <w:r>
        <w:rPr>
          <w:b/>
        </w:rPr>
        <w:t>Avantage vs alendronate/zolédronate :</w:t>
      </w:r>
      <w:r>
        <w:t xml:space="preserve"> profil de tolérance globalement supérieur, mais puissance anti-résorbeur inférieure. Indication principale : oncologie.</w:t>
      </w:r>
    </w:p>
    <w:p>
      <w:pPr>
        <w:pStyle w:val="ListBullet"/>
      </w:pPr>
      <w:r/>
      <w:r>
        <w:rPr>
          <w:b/>
        </w:rPr>
        <w:t>Inconvénient vs zolédronate IV :</w:t>
      </w:r>
      <w:r>
        <w:t xml:space="preserve"> moins puissant, délai d'action plus long, observance plus difficile (prise quotidienne vs annuelle).</w:t>
      </w:r>
    </w:p>
    <w:p>
      <w:pPr>
        <w:pStyle w:val="ListBullet"/>
      </w:pPr>
      <w:r/>
      <w:r>
        <w:rPr>
          <w:b/>
        </w:rPr>
        <w:t>Choix thérapeutique :</w:t>
      </w:r>
      <w:r>
        <w:t xml:space="preserve"> en oncologie, le clodronate per os est une option en cas de contre-indication à la voie IV, ou en relais d'un traitement IV initial. En pratique, le zolédronate IV est devenu la référence.</w:t>
      </w:r>
    </w:p>
    <w:p>
      <w:r/>
      <w:r>
        <w:rPr>
          <w:b/>
        </w:rPr>
        <w:t>Instructions et Conseils au Patient :</w:t>
      </w:r>
      <w:r/>
    </w:p>
    <w:p>
      <w:pPr>
        <w:pStyle w:val="ListBullet"/>
      </w:pPr>
      <w:r/>
      <w:r>
        <w:rPr>
          <w:b/>
        </w:rPr>
        <w:t>Communication au comptoir :</w:t>
      </w:r>
      <w:r>
        <w:t xml:space="preserve"> « Le clodronate est un médicament de l'os indiqué en cas de métastases osseuses. À prendre à jeun, 2 heures avant ou après un repas, avec un grand verre d'eau plate. Restez debout ou assis 30 minutes après la prise. Signalez toute douleur à la mâchoire, surtout en cas de soins dentaires. »</w:t>
      </w:r>
    </w:p>
    <w:p>
      <w:pPr>
        <w:pStyle w:val="ListBullet"/>
      </w:pPr>
      <w:r/>
      <w:r>
        <w:rPr>
          <w:b/>
        </w:rPr>
        <w:t>Mode d'utilisation pratique :</w:t>
      </w:r>
      <w:r>
        <w:t xml:space="preserve"> prise à jeun, espacer 2 h des repas et des autres médicaments (calcium, thyroxine, fer) ; surveillance des douleurs osseuses transitoires (phase aiguë, souvent dans les premiers jours) ; prévention des soins dentaires invasifs sans consultation préalable.</w:t>
      </w:r>
    </w:p>
    <w:p>
      <w:r/>
      <w:r>
        <w:rPr>
          <w:b/>
        </w:rPr>
        <w:t>Notes, Règles d'Or &amp; Pièges au Comptoir :</w:t>
      </w:r>
      <w:r/>
    </w:p>
    <w:p>
      <w:pPr>
        <w:pStyle w:val="ListBullet"/>
      </w:pPr>
      <w:r/>
      <w:r>
        <w:rPr>
          <w:b/>
        </w:rPr>
        <w:t>Piège classique :</w:t>
      </w:r>
      <w:r>
        <w:t xml:space="preserve"> (i) Confusion de dose (1600 mg/j = 2 cp ; 3200 mg/j = 4 cp) — vérifier la prescription ; (ii) Prise avec un repas ou un médicament chélateur — inefficacité ; (iii) Oubli de la supplémentation calcique et vitaminique D associée → hypocalcémie ; (iv) Patient non informé du risque d'ONM en cas de soins dentaires ; (v) Poursuite du traitement malgré progression oncologique — réévaluation régulière.</w:t>
      </w:r>
    </w:p>
    <w:p>
      <w:pPr>
        <w:pStyle w:val="ListBullet"/>
      </w:pPr>
      <w:r/>
      <w:r>
        <w:rPr>
          <w:b/>
        </w:rPr>
        <w:t>Règle de prise :</w:t>
      </w:r>
      <w:r>
        <w:t xml:space="preserve"> à jeun, 2 h avant ou après les repas ; rester debout 30 min ; ne pas doubler la dose en cas d'oubli.</w:t>
      </w:r>
    </w:p>
    <w:p>
      <w:pPr>
        <w:pStyle w:val="ListBullet"/>
      </w:pPr>
      <w:r/>
      <w:r>
        <w:rPr>
          <w:b/>
        </w:rPr>
        <w:t>Préparation et Conservation :</w:t>
      </w:r>
      <w:r>
        <w:t xml:space="preserve"> à température ambiante (15–25 °C), à l'abri de l'humidité. Conserver les comprimés dans leur emballage d'origine.</w:t>
      </w:r>
    </w:p>
    <w:p>
      <w:pPr>
        <w:pStyle w:val="ListBullet"/>
      </w:pPr>
      <w:r/>
      <w:r>
        <w:rPr>
          <w:b/>
        </w:rPr>
        <w:t>Piège du surdosage / Substitution :</w:t>
      </w:r>
      <w:r>
        <w:t xml:space="preserve"> ne pas substituer le clodronate per os par l'alendronate ou le zolédronate sans avis médical (indications différentes — oncologie vs ostéoporose). Vérifier la prescription en mg (et non en comprimés) pour éviter les erreurs de dose.</w:t>
      </w:r>
    </w:p>
    <w:p>
      <w:pPr>
        <w:pStyle w:val="Heading2"/>
      </w:pPr>
      <w:r>
        <w:t>VIII. Sous-classe : Bisphosphonates — Anti-résorbeurs osseux 2e génération (per os)</w:t>
      </w:r>
    </w:p>
    <w:p>
      <w:pPr>
        <w:pStyle w:val="Heading3"/>
      </w:pPr>
      <w:r>
        <w:t>Introduction à la sous-classe</w:t>
      </w:r>
    </w:p>
    <w:p>
      <w:r>
        <w:t xml:space="preserve">Les bisphosphonates de </w:t>
      </w:r>
      <w:r>
        <w:rPr>
          <w:b/>
        </w:rPr>
        <w:t>deuxième génération aminés</w:t>
      </w:r>
      <w:r>
        <w:t xml:space="preserve"> (risédronate per os et pamidronate IV) contiennent un atome d'azote dans la chaîne latérale R1 — respectivement un groupement pyridinyl-méthyl (risédronate) et aminométhyl (pamidronate). Cette structure augment considérablement leur puissance anti-résorbeur (10–100× supérieure à l'alendronate pour le risédronate) en inhibant spécifiquement la </w:t>
      </w:r>
      <w:r>
        <w:rPr>
          <w:b/>
        </w:rPr>
        <w:t>farnésyl pyrophosphate synthase (FPPS)</w:t>
      </w:r>
      <w:r>
        <w:t xml:space="preserve"> dans les ostéoclastes, empêchant la prénylation des petites protéines G (Ras, Rho, Rac) et entraînant leur apoptose.</w:t>
      </w:r>
    </w:p>
    <w:p>
      <w:r>
        <w:t xml:space="preserve">Le </w:t>
      </w:r>
      <w:r>
        <w:rPr>
          <w:b/>
        </w:rPr>
        <w:t>risédronate</w:t>
      </w:r>
      <w:r>
        <w:t xml:space="preserve"> (commercialisé sous ACTONEL, OSTEOS, OSTONEL ONCE A WEEK, RISONATE) est le principal bisphosphonate oral de 2e génération disponible en Algérie. Sa puissance anti-résorbeur est similaire à l'alendronate, mais il a un profil de tolérance digestive légèrement supérieur en raison de sa structure pyridinique (moindre affinité pour la muqueuse œsophagienne). Son administration hebdomadaire (35 mg/sem) ou mensuelle (150 mg/mois — non disponible en Algérie) a transformé l'observance. La forme 30 mg quotidienne (OSTEOS, ACTONEL) est historiquement utilisée en maladie de Paget.</w:t>
      </w:r>
    </w:p>
    <w:p>
      <w:pPr>
        <w:pStyle w:val="Heading3"/>
      </w:pPr>
      <w:r>
        <w:t>9. DCI : Risédranate (acide risédronique) (Seule)</w:t>
      </w:r>
    </w:p>
    <w:p>
      <w:r/>
      <w:r>
        <w:rPr>
          <w:b/>
        </w:rPr>
        <w:t>Liste des Catégories :</w:t>
      </w:r>
      <w:r>
        <w:t xml:space="preserve"> Liste I (toutes spécialités).</w:t>
      </w:r>
    </w:p>
    <w:p>
      <w:r>
        <w:t xml:space="preserve">Le risédronate (acide risédronique ou [1-hydroxy-2-(3-pyridinyl)ethylidène]bisphosphonate) est un bisphosphonate aminé de 2e génération, distingué par son groupement pyridinyl-méthyl en R1. Cette structure lui confère une affinité plus modérée pour l'hydroxyapatite (vs zolédronate) mais une </w:t>
      </w:r>
      <w:r>
        <w:rPr>
          <w:b/>
        </w:rPr>
        <w:t>excellente tolérance digestive</w:t>
      </w:r>
      <w:r>
        <w:t xml:space="preserve"> (la pyridine, basique, est moins agressive pour la muqueuse œsophagienne que l'aminométhyl de l'alendronate). Sa biodisponibilité orale est très faible (≈ 0,6 %), imposant les mêmes précautions de prise que l'alendronate (à jeun strict, rester debout 30 min). Sa demi-vie osseuse est plus courte que celle de l'alendronate (≈ 5 ans vs 10 ans), ce qui permet une réversibilité plus rapide après arrêt — intéressant en cas d'effet indésirable ou pour les femmes en âge de procréer.</w:t>
      </w:r>
    </w:p>
    <w:p>
      <w:r/>
      <w:r>
        <w:rPr>
          <w:b/>
        </w:rPr>
        <w:t>Médicaments disponibles en Algérie (Marques, Laboratoires, Formes et Dosages) :</w:t>
      </w:r>
      <w:r/>
    </w:p>
    <w:p>
      <w:r>
        <w:t>Forme hebdomadaire 35 mg :</w:t>
      </w:r>
    </w:p>
    <w:p>
      <w:pPr>
        <w:pStyle w:val="ListBullet"/>
      </w:pPr>
      <w:r/>
      <w:r>
        <w:rPr>
          <w:b/>
        </w:rPr>
        <w:t>OSTEOS</w:t>
      </w:r>
      <w:r>
        <w:t xml:space="preserve"> (INPHA-MEDIS) — Comprimé pelliculé 35 mg, B/4. Actif.</w:t>
      </w:r>
    </w:p>
    <w:p>
      <w:pPr>
        <w:pStyle w:val="ListBullet"/>
      </w:pPr>
      <w:r/>
      <w:r>
        <w:rPr>
          <w:b/>
        </w:rPr>
        <w:t>OSTONEL ONCE A WEEK</w:t>
      </w:r>
      <w:r>
        <w:t xml:space="preserve"> (LABORATOIRES BEKER) — Comprimé pelliculé 35 mg, B/4. Actif.</w:t>
      </w:r>
    </w:p>
    <w:p>
      <w:pPr>
        <w:pStyle w:val="ListBullet"/>
      </w:pPr>
      <w:r/>
      <w:r>
        <w:rPr>
          <w:b/>
        </w:rPr>
        <w:t>RISONATE</w:t>
      </w:r>
      <w:r>
        <w:t xml:space="preserve"> (EL KENDI INDUSTRIE DU MEDICAMENT) — Comprimé pelliculé 35 mg, B/4. Actif.</w:t>
      </w:r>
    </w:p>
    <w:p>
      <w:pPr>
        <w:pStyle w:val="ListBullet"/>
      </w:pPr>
      <w:r/>
      <w:r>
        <w:rPr>
          <w:b/>
        </w:rPr>
        <w:t>RISALDENE</w:t>
      </w:r>
      <w:r>
        <w:t xml:space="preserve"> (HIKMA PHARMA ALGERIA SARL) — Comprimé pelliculé 35 mg, B/4. Non renouvelable.</w:t>
      </w:r>
    </w:p>
    <w:p>
      <w:pPr>
        <w:pStyle w:val="ListBullet"/>
      </w:pPr>
      <w:r/>
      <w:r>
        <w:rPr>
          <w:b/>
        </w:rPr>
        <w:t>ACTONEL ONCE A WEEK</w:t>
      </w:r>
      <w:r>
        <w:t xml:space="preserve"> (AVENTIS PHARMA) — Comprimé pelliculé 35 mg, B/4. Retiré (R). *[Princeps international de la forme hebdomadaire, retiré du marché algérien]*</w:t>
      </w:r>
    </w:p>
    <w:p>
      <w:r>
        <w:t>Forme quotidienne 5 mg :</w:t>
      </w:r>
    </w:p>
    <w:p>
      <w:pPr>
        <w:pStyle w:val="ListBullet"/>
      </w:pPr>
      <w:r/>
      <w:r>
        <w:rPr>
          <w:b/>
        </w:rPr>
        <w:t>ACTONEL</w:t>
      </w:r>
      <w:r>
        <w:t xml:space="preserve"> (AVENTIS PHARMA S.A) — Comprimé pelliculé 5 mg, B/28. Actif.</w:t>
      </w:r>
    </w:p>
    <w:p>
      <w:pPr>
        <w:pStyle w:val="ListBullet"/>
      </w:pPr>
      <w:r/>
      <w:r>
        <w:rPr>
          <w:b/>
        </w:rPr>
        <w:t>OSTEOS</w:t>
      </w:r>
      <w:r>
        <w:t xml:space="preserve"> (INPHA-MEDIS) — Comprimé pelliculé 5 mg, B/30. Actif.</w:t>
      </w:r>
    </w:p>
    <w:p>
      <w:r>
        <w:t>Forme maladie de Paget 30 mg :</w:t>
      </w:r>
    </w:p>
    <w:p>
      <w:pPr>
        <w:pStyle w:val="ListBullet"/>
      </w:pPr>
      <w:r/>
      <w:r>
        <w:rPr>
          <w:b/>
        </w:rPr>
        <w:t>OSTEOS</w:t>
      </w:r>
      <w:r>
        <w:t xml:space="preserve"> (INPHA-MEDIS) — Comprimé 30 mg, B/30. Actif.</w:t>
      </w:r>
    </w:p>
    <w:p>
      <w:pPr>
        <w:pStyle w:val="ListBullet"/>
      </w:pPr>
      <w:r/>
      <w:r>
        <w:rPr>
          <w:b/>
        </w:rPr>
        <w:t>ACTONEL</w:t>
      </w:r>
      <w:r>
        <w:t xml:space="preserve"> (AVENTIS PHARMA) — Comprimé pelliculé 30 mg, B/28. Retiré (R).</w:t>
      </w:r>
    </w:p>
    <w:p>
      <w:r>
        <w:t>À noter : la forme 35 mg hebdomadaire est la plus prescrite (3 génériques actifs : OSTEOS, OSTONEL, RISONATE). La forme 5 mg quotidienne reste disponible mais moins prescrite (observance et tolérance digestive moindres). La forme 30 mg maladie de Paget est réservée à cette indication spécifique (60 mg/j pendant 2 mois — soit 2 cp/j). Le princeps ACTONEL (Aventis Pharma — Sanofi) est retiré du marché algérien, mais les génériques OSTEOS, OSTONEL ONCE A WEEK et RISONATE assurent la disponibilité.</w:t>
      </w:r>
    </w:p>
    <w:p>
      <w:r/>
      <w:r>
        <w:rPr>
          <w:b/>
        </w:rPr>
        <w:t>Sous-classe et Mécanisme d'action :</w:t>
      </w:r>
      <w:r/>
    </w:p>
    <w:p>
      <w:pPr>
        <w:pStyle w:val="ListBullet"/>
      </w:pPr>
      <w:r/>
      <w:r>
        <w:rPr>
          <w:b/>
        </w:rPr>
        <w:t>Sous-classe :</w:t>
      </w:r>
      <w:r>
        <w:t xml:space="preserve"> Bisphosphonate anti-résorbeur osseux de 2e génération aminé (Liste I). Inhibiteur spécifique de la résorption ostéoclastique.</w:t>
      </w:r>
    </w:p>
    <w:p>
      <w:pPr>
        <w:pStyle w:val="ListBullet"/>
      </w:pPr>
      <w:r/>
      <w:r>
        <w:rPr>
          <w:b/>
        </w:rPr>
        <w:t>Mécanisme d'action :</w:t>
      </w:r>
      <w:r>
        <w:t xml:space="preserve"> analogue du pyrophosphate (P-C-P) avec un groupement pyridinyl-méthyl en R1. Fixation préférentielle à l'hydroxyapatite des sites de remodelage actif. Internalisé par les ostéoclastes, il inhibe la </w:t>
      </w:r>
      <w:r>
        <w:rPr>
          <w:b/>
        </w:rPr>
        <w:t>farnésyl pyrophosphate synthase (FPPS)</w:t>
      </w:r>
      <w:r>
        <w:t xml:space="preserve"> — enzyme clé de la voie du mévalonhe, indispensable à la prénylation des petites protéines G (Ras, Rho, Rac, Cdc42). La perte de prénylation entraîne : (i) disruption du cytosquelette actinique, (ii) perte du pôle plissé, (iii) arrêt de la sécrétion d'acide (H+) et de cathepsine K, (iv) détachement de l'os, (v) apoptose ostéoclastique. Effet anti-résorbeur similaire à l'alendronate (réduction des marqueurs de résorption CTX et NTX de 50–60 % en 3–6 mois).</w:t>
      </w:r>
    </w:p>
    <w:p>
      <w:pPr>
        <w:pStyle w:val="ListBullet"/>
      </w:pPr>
      <w:r/>
      <w:r>
        <w:rPr>
          <w:b/>
        </w:rPr>
        <w:t>Pharmacocinétique :</w:t>
      </w:r>
      <w:r>
        <w:t xml:space="preserve"> biodisponibilité orale ≈ 0,6 % à jeun strict ; liaison aux protéines plasmatiques ~24 % ; distribution osseuse (~50 % de la dose absorbée) ; élimination rénale inchangée (50 % en 24 h) ; demi-vie plasmatique ≈ 1,5 h ; </w:t>
      </w:r>
      <w:r>
        <w:rPr>
          <w:b/>
        </w:rPr>
        <w:t>demi-vie osseuse ≈ 5 ans</w:t>
      </w:r>
      <w:r>
        <w:t xml:space="preserve"> (plus courte que l'alendronate — réversibilité plus rapide).</w:t>
      </w:r>
    </w:p>
    <w:p>
      <w:r/>
      <w:r>
        <w:rPr>
          <w:b/>
        </w:rPr>
        <w:t>Profil Pharmacologique :</w:t>
      </w:r>
      <w:r/>
    </w:p>
    <w:p>
      <w:pPr>
        <w:pStyle w:val="ListBullet"/>
      </w:pPr>
      <w:r/>
      <w:r>
        <w:rPr>
          <w:b/>
        </w:rPr>
        <w:t>Indications :</w:t>
      </w:r>
      <w:r>
        <w:t xml:space="preserve"> (i) </w:t>
      </w:r>
      <w:r>
        <w:rPr>
          <w:b/>
        </w:rPr>
        <w:t>Ostéoporose post-ménopausique</w:t>
      </w:r>
      <w:r>
        <w:t xml:space="preserve"> avec T-score ≤ -2,5 ou fracture fragilité (réduction du risque fracturaire vertébral -41–49 %, hanche -30 %, études VERT et HIP — Harris et al., NEJM 1999 ; McClung et al., NEJM 2001) ; (ii) </w:t>
      </w:r>
      <w:r>
        <w:rPr>
          <w:b/>
        </w:rPr>
        <w:t>Ostéoporose masculine</w:t>
      </w:r>
      <w:r>
        <w:t xml:space="preserve"> ; (iii) </w:t>
      </w:r>
      <w:r>
        <w:rPr>
          <w:b/>
        </w:rPr>
        <w:t>Ostéoporose cortisonique</w:t>
      </w:r>
      <w:r>
        <w:t xml:space="preserve"> (prévention et traitement) ; (iv) </w:t>
      </w:r>
      <w:r>
        <w:rPr>
          <w:b/>
        </w:rPr>
        <w:t>Maladie de Paget</w:t>
      </w:r>
      <w:r>
        <w:t xml:space="preserve"> (30 mg/j pendant 2 mois — alternative au zolédronate).</w:t>
      </w:r>
    </w:p>
    <w:p>
      <w:pPr>
        <w:pStyle w:val="ListBullet"/>
      </w:pPr>
      <w:r/>
      <w:r>
        <w:rPr>
          <w:b/>
        </w:rPr>
        <w:t>Contre-indications :</w:t>
      </w:r>
      <w:r>
        <w:t xml:space="preserve"> identiques à l'alendronate : (i) affections œsophagiennes retardant le transit ; (ii) incapacité à rester debout 30 min ; (iii) hypocalcémie non corrigée ; (iv) insuffisance rénale sévère (DFG &lt; 30 mL/min) ; (v) grossesse et allaitement (CI absolue) ; (vi) hypersensibilité.</w:t>
      </w:r>
    </w:p>
    <w:p>
      <w:pPr>
        <w:pStyle w:val="ListBullet"/>
      </w:pPr>
      <w:r/>
      <w:r>
        <w:rPr>
          <w:b/>
        </w:rPr>
        <w:t>Effets Indésirables :</w:t>
      </w:r>
      <w:r>
        <w:t xml:space="preserve"> identiques à l'alendronate mais profil de tolérance digestive globalement supérieur : œsophagite (plus rare), dyspepsie, douleurs osseuses transitoires (phase aiguë), hypocalcémie, ostéonécrose de la mâchoire (rare — incidence similaire à l'alendronate en ostéoporose), fractures fémorales atypiques (rares).</w:t>
      </w:r>
    </w:p>
    <w:p>
      <w:r/>
      <w:r>
        <w:rPr>
          <w:b/>
        </w:rPr>
        <w:t>Prévention et Gestion des Effets Indésirables :</w:t>
      </w:r>
      <w:r/>
    </w:p>
    <w:p>
      <w:pPr>
        <w:pStyle w:val="ListBullet"/>
      </w:pPr>
      <w:r/>
      <w:r>
        <w:rPr>
          <w:b/>
        </w:rPr>
        <w:t>Mesures Préventives :</w:t>
      </w:r>
      <w:r>
        <w:t xml:space="preserve"> identiques à l'alendronate : respect strict des consignes de prise (à jeun, rester debout 30 min, grand verre d'eau) ; bilan dentaire préalable ; supplémentation calcique et vitaminique D ; surveillance de la fonction rénale ; réévaluation après 3–5 ans.</w:t>
      </w:r>
    </w:p>
    <w:p>
      <w:pPr>
        <w:pStyle w:val="ListBullet"/>
      </w:pPr>
      <w:r/>
      <w:r>
        <w:rPr>
          <w:b/>
        </w:rPr>
        <w:t>Conduite à Tenir :</w:t>
      </w:r>
      <w:r>
        <w:t xml:space="preserve"> identique à l'alendronate : arrêt en cas de douleurs rétrosternales ou dysphagie ; consultation dentaire en cas d'ONM ; imagerie IRM du fémur en cas de douleur atypique.</w:t>
      </w:r>
    </w:p>
    <w:p>
      <w:r/>
      <w:r>
        <w:rPr>
          <w:b/>
        </w:rPr>
        <w:t>Interactions Importantes :</w:t>
      </w:r>
      <w:r/>
    </w:p>
    <w:p>
      <w:pPr>
        <w:pStyle w:val="ListBullet"/>
      </w:pPr>
      <w:r/>
      <w:r>
        <w:rPr>
          <w:b/>
        </w:rPr>
        <w:t>Risédronate + Calcium, fer, antiacides, lait, aliments</w:t>
      </w:r>
      <w:r>
        <w:t xml:space="preserve"> : chélation → biodisponibilité quasi-nulle. </w:t>
      </w:r>
      <w:r>
        <w:rPr>
          <w:b/>
        </w:rPr>
        <w:t>Espacer de 2 h.</w:t>
      </w:r>
      <w:r/>
    </w:p>
    <w:p>
      <w:pPr>
        <w:pStyle w:val="ListBullet"/>
      </w:pPr>
      <w:r/>
      <w:r>
        <w:rPr>
          <w:b/>
        </w:rPr>
        <w:t>Risédronate + AINS, aspirine</w:t>
      </w:r>
      <w:r>
        <w:t xml:space="preserve"> : toxicité digestive additive.</w:t>
      </w:r>
    </w:p>
    <w:p>
      <w:pPr>
        <w:pStyle w:val="ListBullet"/>
      </w:pPr>
      <w:r/>
      <w:r>
        <w:rPr>
          <w:b/>
        </w:rPr>
        <w:t>Risédronate + IPP</w:t>
      </w:r>
      <w:r>
        <w:t xml:space="preserve"> : possible majoration du risque fracturaire (achlorhydrie).</w:t>
      </w:r>
    </w:p>
    <w:p>
      <w:pPr>
        <w:pStyle w:val="ListBullet"/>
      </w:pPr>
      <w:r/>
      <w:r>
        <w:rPr>
          <w:b/>
        </w:rPr>
        <w:t>Risédronate + Aminosides, diurétiques de l'anse</w:t>
      </w:r>
      <w:r>
        <w:t xml:space="preserve"> : potentialisation de l'hypocalcémie.</w:t>
      </w:r>
    </w:p>
    <w:p>
      <w:r/>
      <w:r>
        <w:rPr>
          <w:b/>
        </w:rPr>
        <w:t>Grossesse et Allaitement :</w:t>
      </w:r>
      <w:r/>
    </w:p>
    <w:p>
      <w:pPr>
        <w:pStyle w:val="ListBullet"/>
      </w:pPr>
      <w:r/>
      <w:r>
        <w:rPr>
          <w:b/>
        </w:rPr>
        <w:t>Grossesse :</w:t>
      </w:r>
      <w:r>
        <w:t xml:space="preserve"> </w:t>
      </w:r>
      <w:r>
        <w:rPr>
          <w:b/>
        </w:rPr>
        <w:t>Contre-indiqué</w:t>
      </w:r>
      <w:r>
        <w:t xml:space="preserve"> (CRAT). Études animales tératogènes (anomalies squelettiques fœtales). Contraception obligatoire.</w:t>
      </w:r>
    </w:p>
    <w:p>
      <w:pPr>
        <w:pStyle w:val="ListBullet"/>
      </w:pPr>
      <w:r/>
      <w:r>
        <w:rPr>
          <w:b/>
        </w:rPr>
        <w:t>Allaitement :</w:t>
      </w:r>
      <w:r>
        <w:t xml:space="preserve"> </w:t>
      </w:r>
      <w:r>
        <w:rPr>
          <w:b/>
        </w:rPr>
        <w:t>Contre-indiqué</w:t>
      </w:r>
      <w:r>
        <w:t xml:space="preserve"> (passage dans le lait maternel).</w:t>
      </w:r>
    </w:p>
    <w:p>
      <w:pPr>
        <w:pStyle w:val="ListBullet"/>
      </w:pPr>
      <w:r/>
      <w:r>
        <w:rPr>
          <w:b/>
        </w:rPr>
        <w:t>Précisions :</w:t>
      </w:r>
      <w:r>
        <w:t xml:space="preserve"> la demi-vie osseuse plus courte que l'alendronate (5 ans vs 10 ans) rend le risédronate potentiellement préférable chez la femme en âge de procréer — toutefois un délai d'attente est nécessaire avant grossesse.</w:t>
      </w:r>
    </w:p>
    <w:p>
      <w:r/>
      <w:r>
        <w:rPr>
          <w:b/>
        </w:rPr>
        <w:t>Posologie et Mode d'administration (Standard) :</w:t>
      </w:r>
      <w:r/>
    </w:p>
    <w:p>
      <w:pPr>
        <w:pStyle w:val="ListBullet"/>
      </w:pPr>
      <w:r/>
      <w:r>
        <w:rPr>
          <w:b/>
        </w:rPr>
        <w:t>Adulte — Ostéoporose post-ménopausique et masculine :</w:t>
      </w:r>
      <w:r>
        <w:t xml:space="preserve"> 35 mg une fois par semaine per os (ou 5 mg/j — forme ancienne moins prescrite, ou 75 mg 2 jours consécutifs/mois, ou 150 mg 1 fois/mois — ces deux dernières formes non disponibles en Algérie).</w:t>
      </w:r>
    </w:p>
    <w:p>
      <w:pPr>
        <w:pStyle w:val="ListBullet"/>
      </w:pPr>
      <w:r/>
      <w:r>
        <w:rPr>
          <w:b/>
        </w:rPr>
        <w:t>Ostéoporose cortisonique :</w:t>
      </w:r>
      <w:r>
        <w:t xml:space="preserve"> 5 mg/j (ou 35 mg/sem).</w:t>
      </w:r>
    </w:p>
    <w:p>
      <w:pPr>
        <w:pStyle w:val="ListBullet"/>
      </w:pPr>
      <w:r/>
      <w:r>
        <w:rPr>
          <w:b/>
        </w:rPr>
        <w:t>Maladie de Paget :</w:t>
      </w:r>
      <w:r>
        <w:t xml:space="preserve"> 30 mg/j pendant 2 mois (forme 30 mg disponible — OSTEOS 30 mg, B/30).</w:t>
      </w:r>
    </w:p>
    <w:p>
      <w:pPr>
        <w:pStyle w:val="ListBullet"/>
      </w:pPr>
      <w:r/>
      <w:r>
        <w:rPr>
          <w:b/>
        </w:rPr>
        <w:t>Insuffisance rénale :</w:t>
      </w:r>
      <w:r>
        <w:t xml:space="preserve"> CI si DFG &lt; 30 mL/min ; à 30–50 mL/min, surveiller étroitement.</w:t>
      </w:r>
    </w:p>
    <w:p>
      <w:pPr>
        <w:pStyle w:val="ListBullet"/>
      </w:pPr>
      <w:r/>
      <w:r>
        <w:rPr>
          <w:b/>
        </w:rPr>
        <w:t>Durée :</w:t>
      </w:r>
      <w:r>
        <w:t xml:space="preserve"> 3–5 ans en première intention, puis réévaluation et </w:t>
      </w:r>
      <w:r>
        <w:rPr>
          <w:b/>
        </w:rPr>
        <w:t>drug holiday</w:t>
      </w:r>
      <w:r>
        <w:t xml:space="preserve"> possible.</w:t>
      </w:r>
    </w:p>
    <w:p>
      <w:pPr>
        <w:pStyle w:val="ListBullet"/>
      </w:pPr>
      <w:r/>
      <w:r>
        <w:rPr>
          <w:b/>
        </w:rPr>
        <w:t>Moment de prise :</w:t>
      </w:r>
      <w:r>
        <w:t xml:space="preserve"> strictement à jeun le matin, 30 minutes avant tout aliment, boisson (sauf eau plate), ou médicament. Avec un grand verre d'eau plate. Rester debout ou assis droit pendant 30 minutes. Ne pas s'allonger.</w:t>
      </w:r>
    </w:p>
    <w:p>
      <w:r/>
      <w:r>
        <w:rPr>
          <w:b/>
        </w:rPr>
        <w:t>Arbitrage et Bénéfices des Formes Galéniques :</w:t>
      </w:r>
      <w:r/>
    </w:p>
    <w:p>
      <w:pPr>
        <w:pStyle w:val="ListBullet"/>
      </w:pPr>
      <w:r/>
      <w:r>
        <w:rPr>
          <w:b/>
        </w:rPr>
        <w:t>Forme 35 mg hebdomadaire :</w:t>
      </w:r>
      <w:r>
        <w:t xml:space="preserve"> forme de référence actuelle — observance, tolérance.</w:t>
      </w:r>
    </w:p>
    <w:p>
      <w:pPr>
        <w:pStyle w:val="ListBullet"/>
      </w:pPr>
      <w:r/>
      <w:r>
        <w:rPr>
          <w:b/>
        </w:rPr>
        <w:t>Forme 5 mg quotidienne :</w:t>
      </w:r>
      <w:r>
        <w:t xml:space="preserve"> ancienne forme, moins prescrite mais utile en cas d'intolérance à la forme hebdomadaire ou en initiation.</w:t>
      </w:r>
    </w:p>
    <w:p>
      <w:pPr>
        <w:pStyle w:val="ListBullet"/>
      </w:pPr>
      <w:r/>
      <w:r>
        <w:rPr>
          <w:b/>
        </w:rPr>
        <w:t>Forme 30 mg Paget :</w:t>
      </w:r>
      <w:r>
        <w:t xml:space="preserve"> indication spécifique, traitement de 2 mois.</w:t>
      </w:r>
    </w:p>
    <w:p>
      <w:pPr>
        <w:pStyle w:val="ListBullet"/>
      </w:pPr>
      <w:r/>
      <w:r>
        <w:rPr>
          <w:b/>
        </w:rPr>
        <w:t>Avantage vs alendronate :</w:t>
      </w:r>
      <w:r>
        <w:t xml:space="preserve"> profil de tolérance digestive légèrement supérieur (structure pyridinique moins agressive pour la muqueuse œsophagienne) ; demi-vie osseuse plus courte (réversibilité plus rapide en cas d'effet indésirable ou de projet de grossesse).</w:t>
      </w:r>
    </w:p>
    <w:p>
      <w:pPr>
        <w:pStyle w:val="ListBullet"/>
      </w:pPr>
      <w:r/>
      <w:r>
        <w:rPr>
          <w:b/>
        </w:rPr>
        <w:t>Inconvénient vs alendronate :</w:t>
      </w:r>
      <w:r>
        <w:t xml:space="preserve"> moins de marques disponibles en Algérie (3 vs 10), donc parfois rupture de stock ; pas de forme association avec vitamine D3 (à l'inverse de POROSIMAX PLUS).</w:t>
      </w:r>
    </w:p>
    <w:p>
      <w:r/>
      <w:r>
        <w:rPr>
          <w:b/>
        </w:rPr>
        <w:t>Instructions et Conseils au Patient :</w:t>
      </w:r>
      <w:r/>
    </w:p>
    <w:p>
      <w:pPr>
        <w:pStyle w:val="ListBullet"/>
      </w:pPr>
      <w:r/>
      <w:r>
        <w:rPr>
          <w:b/>
        </w:rPr>
        <w:t>Communication au comptoir :</w:t>
      </w:r>
      <w:r>
        <w:t xml:space="preserve"> « Le risédronate est un médicament essentiel pour renforcer vos os et prévenir les fractures. Sa prise est très stricte : à jeun le matin, 30 minutes avant le petit-déjeuner, avec un grand verre d'eau plate. Restez debout ou assis bien droit pendant 30 minutes (ne vous allongez pas, ne vous penchez pas en avant). Ne prenez aucun autre médicament (calcium, thyroxine, fer) pendant ces 30 minutes. En cas d'oubli un jour, ne doublez pas la dose le lendemain. Signalez toute douleur à la poitrine, difficulté à avaler, ou douleur inhabituelle à la cuisse. »</w:t>
      </w:r>
    </w:p>
    <w:p>
      <w:pPr>
        <w:pStyle w:val="ListBullet"/>
      </w:pPr>
      <w:r/>
      <w:r>
        <w:rPr>
          <w:b/>
        </w:rPr>
        <w:t>Mode d'utilisation pratique :</w:t>
      </w:r>
      <w:r>
        <w:t xml:space="preserve"> prise unique hebdomadaire, le matin au lever, à jeun ; grand verre d'eau plate ; position debout ou assise droite 30 min ; pas d'aliment ni de médicament pendant 30 min.</w:t>
      </w:r>
    </w:p>
    <w:p>
      <w:r/>
      <w:r>
        <w:rPr>
          <w:b/>
        </w:rPr>
        <w:t>Notes, Règles d'Or &amp; Pièges au Comptoir :</w:t>
      </w:r>
      <w:r/>
    </w:p>
    <w:p>
      <w:pPr>
        <w:pStyle w:val="ListBullet"/>
      </w:pPr>
      <w:r/>
      <w:r>
        <w:rPr>
          <w:b/>
        </w:rPr>
        <w:t>Piège classique :</w:t>
      </w:r>
      <w:r>
        <w:t xml:space="preserve"> identique à l'alendronate : (i) prise avec aliment ou médicament → inefficacité ; (ii) allongement après la prise → œsophagite ; (iii) oubli de la supplémentation calcique et vitaminique D → hypocalcémie ; (iv) patient non informé du risque d'ONM en cas de soins dentaires ; (v) traitement prolongé &gt; 5 ans non réévalué → risque de fracture atypique.</w:t>
      </w:r>
    </w:p>
    <w:p>
      <w:pPr>
        <w:pStyle w:val="ListBullet"/>
      </w:pPr>
      <w:r/>
      <w:r>
        <w:rPr>
          <w:b/>
        </w:rPr>
        <w:t>Règle de prise :</w:t>
      </w:r>
      <w:r>
        <w:t xml:space="preserve"> le matin à jeun, grand verre d'eau plate, 30 min avant tout, rester debout/assis droit 30 min ; ne pas doubler la dose en cas d'oubli.</w:t>
      </w:r>
    </w:p>
    <w:p>
      <w:pPr>
        <w:pStyle w:val="ListBullet"/>
      </w:pPr>
      <w:r/>
      <w:r>
        <w:rPr>
          <w:b/>
        </w:rPr>
        <w:t>Préparation et Conservation :</w:t>
      </w:r>
      <w:r>
        <w:t xml:space="preserve"> à température ambiante (15–25 °C), à l'abri de l'humidité. Comprimés dans leur emballage alvéolé jusqu'à la prise.</w:t>
      </w:r>
    </w:p>
    <w:p>
      <w:pPr>
        <w:pStyle w:val="ListBullet"/>
      </w:pPr>
      <w:r/>
      <w:r>
        <w:rPr>
          <w:b/>
        </w:rPr>
        <w:t>Piège du surdosage / Substitution :</w:t>
      </w:r>
      <w:r>
        <w:t xml:space="preserve"> en cas de surdosage massif → lait ou antiacides (chélation), maintien en position assise/debout. Ne pas substituer 35 mg hebdomadaire par 5 mg quotidienne sans recalcul ; ne pas substituer par l'alendronate sans avis médical (schéma et dose différents).</w:t>
      </w:r>
    </w:p>
    <w:p>
      <w:pPr>
        <w:pStyle w:val="Heading2"/>
      </w:pPr>
      <w:r>
        <w:t>IX. Sous-classe : Bisphosphonates — Anti-résorbeurs osseux 2e génération (IV)</w:t>
      </w:r>
    </w:p>
    <w:p>
      <w:pPr>
        <w:pStyle w:val="Heading3"/>
      </w:pPr>
      <w:r>
        <w:t>Introduction à la sous-classe</w:t>
      </w:r>
    </w:p>
    <w:p>
      <w:r>
        <w:t xml:space="preserve">Les bisphosphonates de 2e génération IV sont représentés en Algérie par le </w:t>
      </w:r>
      <w:r>
        <w:rPr>
          <w:b/>
        </w:rPr>
        <w:t>pamidronate</w:t>
      </w:r>
      <w:r>
        <w:t xml:space="preserve"> (acide pamidronique). Administré par voie intraveineuse (perf, 1–2 h), il est indiqué dans les hypercalcémies malignes, les métastases osseuses (sein, prostate, myélome), la maladie de Paget et, en alternative, l'ostéoporose post-ménopausique sévère en cas d'intolérance ou de contre-indication aux bisphosphonates per os. Son action est plus rapide et plus puissante que les bisphosphonates per os, mais nécessite une administration hospitalière ou en day hospital.</w:t>
      </w:r>
    </w:p>
    <w:p>
      <w:r>
        <w:t xml:space="preserve">Le pamidronate est aujourd'hui </w:t>
      </w:r>
      <w:r>
        <w:rPr>
          <w:b/>
        </w:rPr>
        <w:t>largement remplacé par le zolédronate (3e génération)</w:t>
      </w:r>
      <w:r>
        <w:t>, plus puissant et plus pratique (perfusion plus courte, dose unique annuelle en ostéoporose), mais reste disponible en Algérie pour les indications oncologiques historiques.</w:t>
      </w:r>
    </w:p>
    <w:p>
      <w:pPr>
        <w:pStyle w:val="Heading3"/>
      </w:pPr>
      <w:r>
        <w:t>10. DCI : Pamidronate (acide pamidronique) (Seule)</w:t>
      </w:r>
    </w:p>
    <w:p>
      <w:r/>
      <w:r>
        <w:rPr>
          <w:b/>
        </w:rPr>
        <w:t>Liste des Catégories :</w:t>
      </w:r>
      <w:r>
        <w:t xml:space="preserve"> Liste I (toutes spécialités — usage hospitalier).</w:t>
      </w:r>
    </w:p>
    <w:p>
      <w:r>
        <w:t>Le pamidronate (acide pamidronique ou [1-hydroxy-2-(3-amino-1-hydroxypropyl)ethylidène]bisphosphonate) est un bisphosphonate aminé de 2e génération, premier bisphosphonate IV aminé historique commercialisé (Aredia, Novartis — retiré du marché algérien). Sa structure contient un groupement aminométhyl propylique en R1, ce qui en fait un inhibiteur de la FPPS plus puissant que l'alendronate mais moins que le zolédronate. Administré par perfusion IV lente (1–2 h), il permet un effet anti-résorbeur maximal en 7–14 jours, avec une durée d'action prolongée (3–4 semaines en hypercalcémie maligne, 6 mois en métastases osseuses). Sa tolérance est globalement bonne, mais il nécessite une administration hospitalière.</w:t>
      </w:r>
    </w:p>
    <w:p>
      <w:r/>
      <w:r>
        <w:rPr>
          <w:b/>
        </w:rPr>
        <w:t>Médicaments disponibles en Algérie (Marques, Laboratoires, Formes et Dosages) :</w:t>
      </w:r>
      <w:r/>
    </w:p>
    <w:p>
      <w:pPr>
        <w:pStyle w:val="ListBullet"/>
      </w:pPr>
      <w:r/>
      <w:r>
        <w:rPr>
          <w:b/>
        </w:rPr>
        <w:t>PAMIDRIA</w:t>
      </w:r>
      <w:r>
        <w:t xml:space="preserve"> (CIPLA LIMITED — Inde)</w:t>
      </w:r>
    </w:p>
    <w:p>
      <w:pPr>
        <w:pStyle w:val="ListBullet"/>
      </w:pPr>
      <w:r>
        <w:t>Formes et Dosages : Poudre lyophilisée pour injection en perfusion IV 90 mg/flacon, B/1 flacon de lyophilisat + 1 ampoule de solvant de 10 mL (EPPI). Actif. Liste I.</w:t>
      </w:r>
    </w:p>
    <w:p>
      <w:pPr>
        <w:pStyle w:val="ListBullet"/>
      </w:pPr>
      <w:r/>
      <w:r>
        <w:rPr>
          <w:b/>
        </w:rPr>
        <w:t>OSTEPAM</w:t>
      </w:r>
      <w:r>
        <w:t xml:space="preserve"> (NORDIC PHARMA)</w:t>
      </w:r>
    </w:p>
    <w:p>
      <w:pPr>
        <w:pStyle w:val="ListBullet"/>
      </w:pPr>
      <w:r>
        <w:t>Formes et Dosages : Solution à diluer pour perfusion 15 mg/mL (90 mg/6 mL), B/4 flacons de 1 mL et B/1 flacon de 6 mL. Non renouvelable. Liste I.</w:t>
      </w:r>
    </w:p>
    <w:p>
      <w:r>
        <w:t>Formes retirées :</w:t>
      </w:r>
    </w:p>
    <w:p>
      <w:pPr>
        <w:pStyle w:val="ListBullet"/>
      </w:pPr>
      <w:r/>
      <w:r>
        <w:rPr>
          <w:b/>
        </w:rPr>
        <w:t>AREDIA</w:t>
      </w:r>
      <w:r>
        <w:t xml:space="preserve"> (NOVARTIS PHARMA S.A.) — Solution injectable 15 mg/5 mL, B/4+4. Retiré (R). *[Princeps international — retiré du marché algérien]*</w:t>
      </w:r>
    </w:p>
    <w:p>
      <w:pPr>
        <w:pStyle w:val="ListBullet"/>
      </w:pPr>
      <w:r/>
      <w:r>
        <w:rPr>
          <w:b/>
        </w:rPr>
        <w:t>PAMIDRIA - 60</w:t>
      </w:r>
      <w:r>
        <w:t xml:space="preserve"> (CIPLA LIMITED) — Lyophilisat solution injectable IV 60 mg/10 mL, B/1+1. Retiré (R).</w:t>
      </w:r>
    </w:p>
    <w:p>
      <w:pPr>
        <w:pStyle w:val="ListBullet"/>
      </w:pPr>
      <w:r/>
      <w:r>
        <w:rPr>
          <w:b/>
        </w:rPr>
        <w:t>AREDIA</w:t>
      </w:r>
      <w:r>
        <w:t xml:space="preserve"> (NOVARTIS PHARMA S.A.) — Poudre solution injectable IV 60 mg/10 mL, B/1 flacon de 10 mL. Retiré (R).</w:t>
      </w:r>
    </w:p>
    <w:p>
      <w:pPr>
        <w:pStyle w:val="ListBullet"/>
      </w:pPr>
      <w:r/>
      <w:r>
        <w:rPr>
          <w:b/>
        </w:rPr>
        <w:t>AREDIA</w:t>
      </w:r>
      <w:r>
        <w:t xml:space="preserve"> (NOVARTIS PHARMA S.A.) — Poudre solution injectable IV 90 mg/10 mL, B/1+1. Retiré (R).</w:t>
      </w:r>
    </w:p>
    <w:p>
      <w:pPr>
        <w:pStyle w:val="ListBullet"/>
      </w:pPr>
      <w:r/>
      <w:r>
        <w:rPr>
          <w:b/>
        </w:rPr>
        <w:t>UNILEM</w:t>
      </w:r>
      <w:r>
        <w:t xml:space="preserve"> (LEMERY) — Lyophilisat solution injectable 90 mg, B/1 flacon. Retiré (R).</w:t>
      </w:r>
    </w:p>
    <w:p>
      <w:pPr>
        <w:pStyle w:val="ListBullet"/>
      </w:pPr>
      <w:r/>
      <w:r>
        <w:rPr>
          <w:b/>
        </w:rPr>
        <w:t>PAMIDRIA - 30</w:t>
      </w:r>
      <w:r>
        <w:t xml:space="preserve"> (CIPLA LIMITED) — Lyophilisat solution injectable IV 30 mg/10 mL, B/1+1. Retiré (R).</w:t>
      </w:r>
    </w:p>
    <w:p>
      <w:r>
        <w:t xml:space="preserve">À noter : la forme actuellement disponible en Algérie est le </w:t>
      </w:r>
      <w:r>
        <w:rPr>
          <w:b/>
        </w:rPr>
        <w:t>PAMIDRIA 90 mg</w:t>
      </w:r>
      <w:r>
        <w:t xml:space="preserve"> (Cipla), en flacon unique à reconstituer avec 10 mL d'EPPI avant dilution dans 250–500 mL de sérum physiologique ou glucosé pour perfusion IV lente de 1–2 h. La forme 30 mg et 60 mg sont retirées, ce qui restreint la titration possible — la dose de 90 mg est standard pour l'adulte en hypercalcémie maligne et en métastases osseuses, mais peut nécessiter une adaptation en fonction du poids et de la fonction rénale.</w:t>
      </w:r>
    </w:p>
    <w:p>
      <w:r/>
      <w:r>
        <w:rPr>
          <w:b/>
        </w:rPr>
        <w:t>Sous-classe et Mécanisme d'action :</w:t>
      </w:r>
      <w:r/>
    </w:p>
    <w:p>
      <w:pPr>
        <w:pStyle w:val="ListBullet"/>
      </w:pPr>
      <w:r/>
      <w:r>
        <w:rPr>
          <w:b/>
        </w:rPr>
        <w:t>Sous-classe :</w:t>
      </w:r>
      <w:r>
        <w:t xml:space="preserve"> Bisphosphonate anti-résorbeur osseux de 2e génération aminé, usage IV (Liste I — hospitalier). Indications oncologiques et hypercalcémie maligne.</w:t>
      </w:r>
    </w:p>
    <w:p>
      <w:pPr>
        <w:pStyle w:val="ListBullet"/>
      </w:pPr>
      <w:r/>
      <w:r>
        <w:rPr>
          <w:b/>
        </w:rPr>
        <w:t>Mécanisme d'action :</w:t>
      </w:r>
      <w:r>
        <w:t xml:space="preserve"> identique aux bisphosphonates aminés (cf. alendronate) : fixation à l'hydroxyapatite, internalisation par les ostéoclastes, inhibition de la </w:t>
      </w:r>
      <w:r>
        <w:rPr>
          <w:b/>
        </w:rPr>
        <w:t>farnésyl pyrophosphate synthase (FPPS)</w:t>
      </w:r>
      <w:r>
        <w:t>, disruption de la prénylation des petites protéines G (Ras, Rho, Rac), disruption du cytosquelette actinique, perte du pôle plissé, arrêt de la sécrétion d'acide (H+) et de cathepsine K, détachement de l'os, apoptose ostéoclastique. Effet anti-résorbeur puissant (réduction des marqueurs de résorption CTX et NTX de 70–80 % en 7–14 jours).</w:t>
      </w:r>
    </w:p>
    <w:p>
      <w:pPr>
        <w:pStyle w:val="ListBullet"/>
      </w:pPr>
      <w:r/>
      <w:r>
        <w:rPr>
          <w:b/>
        </w:rPr>
        <w:t>Pharmacocinétique :</w:t>
      </w:r>
      <w:r>
        <w:t xml:space="preserve"> administration IV (biodisponibilité 100 %) ; liaison aux protéines plasmatiques ~54 % ; distribution osseuse (~50 % de la dose) ; élimination rénale inchangée (50 % en 24 h, le reste stocké dans l'os avec demi-vie &gt; 300 jours).</w:t>
      </w:r>
    </w:p>
    <w:p>
      <w:r/>
      <w:r>
        <w:rPr>
          <w:b/>
        </w:rPr>
        <w:t>Profil Pharmacologique :</w:t>
      </w:r>
      <w:r/>
    </w:p>
    <w:p>
      <w:pPr>
        <w:pStyle w:val="ListBullet"/>
      </w:pPr>
      <w:r/>
      <w:r>
        <w:rPr>
          <w:b/>
        </w:rPr>
        <w:t>Indications :</w:t>
      </w:r>
      <w:r>
        <w:t xml:space="preserve"> (i) </w:t>
      </w:r>
      <w:r>
        <w:rPr>
          <w:b/>
        </w:rPr>
        <w:t>Hypercalcémie maligne</w:t>
      </w:r>
      <w:r>
        <w:t xml:space="preserve"> (HCM — hypercalcémie associée aux cancers : myélome multiple, métastases osseuses de cancer du sein, du poumon, du rein, de la prostate) — dose unique de 60–90 mg IV en perfusion de 1–2 h, efficace en 24–48 h, effet maximal à 7 jours, durée 3–4 semaines ; (ii) </w:t>
      </w:r>
      <w:r>
        <w:rPr>
          <w:b/>
        </w:rPr>
        <w:t>Métastases osseuses</w:t>
      </w:r>
      <w:r>
        <w:t xml:space="preserve"> (sein, prostate, myélome multiple) — 90 mg IV toutes les 3–4 semaines en entretien ; (iii) </w:t>
      </w:r>
      <w:r>
        <w:rPr>
          <w:b/>
        </w:rPr>
        <w:t>Maladie de Paget</w:t>
      </w:r>
      <w:r>
        <w:t xml:space="preserve"> — alternative au zolédronate, 60–90 mg IV en dose unique ou répétée ; (iv) </w:t>
      </w:r>
      <w:r>
        <w:rPr>
          <w:b/>
        </w:rPr>
        <w:t>Ostéoporose post-ménopausique</w:t>
      </w:r>
      <w:r>
        <w:t xml:space="preserve"> en cas d'intolérance ou de contre-indication aux bisphosphonates per os (rare, désormais remplacé par le zolédronate).</w:t>
      </w:r>
    </w:p>
    <w:p>
      <w:pPr>
        <w:pStyle w:val="ListBullet"/>
      </w:pPr>
      <w:r/>
      <w:r>
        <w:rPr>
          <w:b/>
        </w:rPr>
        <w:t>Contre-indications :</w:t>
      </w:r>
      <w:r>
        <w:t xml:space="preserve"> (i) Hypersensibilité aux bisphosphonates ; (ii) Hypocalcémie non corrigée ; (iii) Insuffisance rénale sévère (DFG &lt; 30 mL/min) — adaptation posologique nécessaire ; (iv) Grossesse et allaitement (CI absolue) ; (v) Enfant (sauf indication oncologique pédiatrique spécialisée).</w:t>
      </w:r>
    </w:p>
    <w:p>
      <w:pPr>
        <w:pStyle w:val="ListBullet"/>
      </w:pPr>
      <w:r/>
      <w:r>
        <w:rPr>
          <w:b/>
        </w:rPr>
        <w:t>Effets Indésirables :</w:t>
      </w:r>
      <w:r/>
    </w:p>
    <w:p>
      <w:pPr>
        <w:pStyle w:val="ListBullet"/>
      </w:pPr>
      <w:r/>
      <w:r>
        <w:rPr>
          <w:b/>
        </w:rPr>
        <w:t>Phase aiguë</w:t>
      </w:r>
      <w:r>
        <w:t xml:space="preserve"> (24–48 h post-perfusion) : syndrome "flu-like" — fièvre (jusqu'à 38–39 °C), frissons, myalgies, arthralgies, ostéalgies, céphalées — lié à la libération de cytokines (TNF-α, IL-6) par les ostéoclastes en apoptose. Fréquent (20–40 % des patients à la première perfusion), spontanément résolutif en 24–48 h (paracétamol).</w:t>
      </w:r>
    </w:p>
    <w:p>
      <w:pPr>
        <w:pStyle w:val="ListBullet"/>
      </w:pPr>
      <w:r/>
      <w:r>
        <w:rPr>
          <w:b/>
        </w:rPr>
        <w:t>Hypocalcémie transitoire</w:t>
      </w:r>
      <w:r>
        <w:t xml:space="preserve"> (le pamidronate bloque la résorption osseuse qui libère le calcium — surveillance calcémie, supplémentation calcique et vitaminique D systématique).</w:t>
      </w:r>
    </w:p>
    <w:p>
      <w:pPr>
        <w:pStyle w:val="ListBullet"/>
      </w:pPr>
      <w:r/>
      <w:r>
        <w:rPr>
          <w:b/>
        </w:rPr>
        <w:t>Hypophosphatémie, hypomagnésémie</w:t>
      </w:r>
      <w:r>
        <w:t xml:space="preserve"> transitoires.</w:t>
      </w:r>
    </w:p>
    <w:p>
      <w:pPr>
        <w:pStyle w:val="ListBullet"/>
      </w:pPr>
      <w:r/>
      <w:r>
        <w:rPr>
          <w:b/>
        </w:rPr>
        <w:t>Néphrotoxicité</w:t>
      </w:r>
      <w:r>
        <w:t xml:space="preserve"> (effet de classe — tubulopathie, syndrome de Fanconi, IRA dose-dépendante) — surveillance de la créatininémie et de la protéinurie avant chaque perfusion ; adapter la dose et l'intervalle si IRC.</w:t>
      </w:r>
    </w:p>
    <w:p>
      <w:pPr>
        <w:pStyle w:val="ListBullet"/>
      </w:pPr>
      <w:r/>
      <w:r>
        <w:rPr>
          <w:b/>
        </w:rPr>
        <w:t>Ostéonécrose de la mâchoire (ONM)</w:t>
      </w:r>
      <w:r>
        <w:t xml:space="preserve"> (effet de classe — incidence plus élevée en oncologie IV : 1–10 % des patients, surtout si soins dentaires invasifs, chimiothérapie concomitante, corticothérapie).</w:t>
      </w:r>
    </w:p>
    <w:p>
      <w:pPr>
        <w:pStyle w:val="ListBullet"/>
      </w:pPr>
      <w:r/>
      <w:r>
        <w:rPr>
          <w:b/>
        </w:rPr>
        <w:t>Uvéites, épisclérites</w:t>
      </w:r>
      <w:r>
        <w:t xml:space="preserve"> (effet de classe, rares).</w:t>
      </w:r>
    </w:p>
    <w:p>
      <w:pPr>
        <w:pStyle w:val="ListBullet"/>
      </w:pPr>
      <w:r/>
      <w:r>
        <w:rPr>
          <w:b/>
        </w:rPr>
        <w:t>Thrombopénie transitoire</w:t>
      </w:r>
      <w:r>
        <w:t xml:space="preserve"> (rare).</w:t>
      </w:r>
    </w:p>
    <w:p>
      <w:pPr>
        <w:pStyle w:val="ListBullet"/>
      </w:pPr>
      <w:r/>
      <w:r>
        <w:rPr>
          <w:b/>
        </w:rPr>
        <w:t>Réactions au site de perfusion</w:t>
      </w:r>
      <w:r>
        <w:t xml:space="preserve"> (phlébite, douleur locale).</w:t>
      </w:r>
    </w:p>
    <w:p>
      <w:r/>
      <w:r>
        <w:rPr>
          <w:b/>
        </w:rPr>
        <w:t>Prévention et Gestion des Effets Indésirables :</w:t>
      </w:r>
      <w:r/>
    </w:p>
    <w:p>
      <w:pPr>
        <w:pStyle w:val="ListBullet"/>
      </w:pPr>
      <w:r/>
      <w:r>
        <w:rPr>
          <w:b/>
        </w:rPr>
        <w:t>Mesures Préventives :</w:t>
      </w:r>
      <w:r>
        <w:t xml:space="preserve"> bilan dentaire complet et soins préalables avant initiation (en oncologie) ; surveillance calcémie, phosphorémie, magnésémie, créatininémie, protéinurie avant chaque perfusion ; hydratation IV abondante (sérum physiologique 1–2 L/24 h avant la perfusion, surtout en hypercalcémie maligne) ; supplémentation calcique et vitaminique D préalable ; administration en perfusion lente (≥ 1 h pour 60 mg, ≥ 2 h pour 90 mg) — ne jamais en bolus (risque de néphrotoxicité aiguë, hypocalcémie sévère, trouble du rythme) ; dilution dans 250–500 mL de sérum physiologique ou glucosé isotonique (jamais en perfusion concentrée) ; surveillance ECG continue en cas de cardiopathie.</w:t>
      </w:r>
    </w:p>
    <w:p>
      <w:pPr>
        <w:pStyle w:val="ListBullet"/>
      </w:pPr>
      <w:r/>
      <w:r>
        <w:rPr>
          <w:b/>
        </w:rPr>
        <w:t>Conduite à Tenir :</w:t>
      </w:r>
      <w:r>
        <w:t xml:space="preserve"> en cas de syndrome flu-like : paracétamol 1 g × 3/j pendant 24–48 h. En cas d'hypocalcémie symptomatique (tétanie, Chvostek, Trousseau) : calcium gluconate 10 % IV lent. En cas d'IRA : arrêt transitoire, hydratation, surveillance. En cas d'ONM : arrêt du bisphosphonate, prise en charge odontologique spécialisée.</w:t>
      </w:r>
    </w:p>
    <w:p>
      <w:r/>
      <w:r>
        <w:rPr>
          <w:b/>
        </w:rPr>
        <w:t>Interactions Importantes :</w:t>
      </w:r>
      <w:r/>
    </w:p>
    <w:p>
      <w:pPr>
        <w:pStyle w:val="ListBullet"/>
      </w:pPr>
      <w:r/>
      <w:r>
        <w:rPr>
          <w:b/>
        </w:rPr>
        <w:t>Pamidronate + Aminosides, diurétiques de l'anse</w:t>
      </w:r>
      <w:r>
        <w:t xml:space="preserve"> : potentialisation de l'hypocalcémie (effet additif).</w:t>
      </w:r>
    </w:p>
    <w:p>
      <w:pPr>
        <w:pStyle w:val="ListBullet"/>
      </w:pPr>
      <w:r/>
      <w:r>
        <w:rPr>
          <w:b/>
        </w:rPr>
        <w:t>Pamidronate + Médicaments néphrotoxiques</w:t>
      </w:r>
      <w:r>
        <w:t xml:space="preserve"> (cisplatine, IFX, produits de contraste iodés, AINS à dose élevée) : majoration de la néphrotoxicité.</w:t>
      </w:r>
    </w:p>
    <w:p>
      <w:pPr>
        <w:pStyle w:val="ListBullet"/>
      </w:pPr>
      <w:r/>
      <w:r>
        <w:rPr>
          <w:b/>
        </w:rPr>
        <w:t>Pamidronate +其他 bisphosphonates</w:t>
      </w:r>
      <w:r>
        <w:t xml:space="preserve"> : effet additif — ne pas associer.</w:t>
      </w:r>
    </w:p>
    <w:p>
      <w:pPr>
        <w:pStyle w:val="ListBullet"/>
      </w:pPr>
      <w:r/>
      <w:r>
        <w:rPr>
          <w:b/>
        </w:rPr>
        <w:t>Pamidronate + Calcium IV</w:t>
      </w:r>
      <w:r>
        <w:t xml:space="preserve"> : risque de précipitation dans la tubulure (ne jamais mélanger dans la même perfusion).</w:t>
      </w:r>
    </w:p>
    <w:p>
      <w:pPr>
        <w:pStyle w:val="ListBullet"/>
      </w:pPr>
      <w:r/>
      <w:r>
        <w:rPr>
          <w:b/>
        </w:rPr>
        <w:t>Pamidronate + Calcitonine</w:t>
      </w:r>
      <w:r>
        <w:t xml:space="preserve"> : effet anti-hypercalcémiant additif.</w:t>
      </w:r>
    </w:p>
    <w:p>
      <w:r/>
      <w:r>
        <w:rPr>
          <w:b/>
        </w:rPr>
        <w:t>Grossesse et Allaitement :</w:t>
      </w:r>
      <w:r/>
    </w:p>
    <w:p>
      <w:pPr>
        <w:pStyle w:val="ListBullet"/>
      </w:pPr>
      <w:r/>
      <w:r>
        <w:rPr>
          <w:b/>
        </w:rPr>
        <w:t>Grossesse :</w:t>
      </w:r>
      <w:r>
        <w:t xml:space="preserve"> </w:t>
      </w:r>
      <w:r>
        <w:rPr>
          <w:b/>
        </w:rPr>
        <w:t>Contre-indiqué</w:t>
      </w:r>
      <w:r>
        <w:t xml:space="preserve"> (CRAT). Études animales tératogènes (anomalies squelettiques fœtales, hypocalcémie maternelle). Contraception obligatoire. En oncologie chez la femme enceinte, prise en charge multidisciplinaire — le pamidronate peut être discuté en cas d'urgence vitale (hypercalcémie maligne mettant en jeu le pronostic vital maternel).</w:t>
      </w:r>
    </w:p>
    <w:p>
      <w:pPr>
        <w:pStyle w:val="ListBullet"/>
      </w:pPr>
      <w:r/>
      <w:r>
        <w:rPr>
          <w:b/>
        </w:rPr>
        <w:t>Allaitement :</w:t>
      </w:r>
      <w:r>
        <w:t xml:space="preserve"> </w:t>
      </w:r>
      <w:r>
        <w:rPr>
          <w:b/>
        </w:rPr>
        <w:t>Contre-indiqué</w:t>
      </w:r>
      <w:r>
        <w:t xml:space="preserve"> (passage dans le lait maternel).</w:t>
      </w:r>
    </w:p>
    <w:p>
      <w:pPr>
        <w:pStyle w:val="ListBullet"/>
      </w:pPr>
      <w:r/>
      <w:r>
        <w:rPr>
          <w:b/>
        </w:rPr>
        <w:t>Précisions :</w:t>
      </w:r>
      <w:r>
        <w:t xml:space="preserve"> la demi-vie osseuse très longue (&gt; 300 jours) impose une contraception rigoureuse pendant et après le traitement.</w:t>
      </w:r>
    </w:p>
    <w:p>
      <w:r/>
      <w:r>
        <w:rPr>
          <w:b/>
        </w:rPr>
        <w:t>Posologie et Mode d'administration (Standard) :</w:t>
      </w:r>
      <w:r/>
    </w:p>
    <w:p>
      <w:pPr>
        <w:pStyle w:val="ListBullet"/>
      </w:pPr>
      <w:r/>
      <w:r>
        <w:rPr>
          <w:b/>
        </w:rPr>
        <w:t>Adulte — Hypercalcémie maligne (HCM) :</w:t>
      </w:r>
      <w:r>
        <w:t xml:space="preserve"> dose unique de 90 mg IV en perfusion de 2 h dans 250–500 mL de sérum physiologique ou glucosé isotonique. Renouvelable toutes les 3–4 semaines selon la récidive. Adapter à la calcémie corrigée et à la fonction rénale (réduire à 60 mg si DFG 30–60 mL/min).</w:t>
      </w:r>
    </w:p>
    <w:p>
      <w:pPr>
        <w:pStyle w:val="ListBullet"/>
      </w:pPr>
      <w:r/>
      <w:r>
        <w:rPr>
          <w:b/>
        </w:rPr>
        <w:t>Adulte — Métastases osseuses (sein, prostate, myélome) :</w:t>
      </w:r>
      <w:r>
        <w:t xml:space="preserve"> 90 mg IV toutes les 3–4 semaines en entretien, en perfusion de 1–2 h.</w:t>
      </w:r>
    </w:p>
    <w:p>
      <w:pPr>
        <w:pStyle w:val="ListBullet"/>
      </w:pPr>
      <w:r/>
      <w:r>
        <w:rPr>
          <w:b/>
        </w:rPr>
        <w:t>Adulte — Maladie de Paget :</w:t>
      </w:r>
      <w:r>
        <w:t xml:space="preserve"> 60–90 mg IV en dose unique, ou 30 mg × 3 perfusions à 1 semaine d'intervalle, à répéter si nécessaire.</w:t>
      </w:r>
    </w:p>
    <w:p>
      <w:pPr>
        <w:pStyle w:val="ListBullet"/>
      </w:pPr>
      <w:r/>
      <w:r>
        <w:rPr>
          <w:b/>
        </w:rPr>
        <w:t>Enfant (oncologie pédiatrique)</w:t>
      </w:r>
      <w:r>
        <w:t xml:space="preserve"> : 1–1,5 mg/kg (max 90 mg) en perfusion de 4 h, à renouveler selon réponse.</w:t>
      </w:r>
    </w:p>
    <w:p>
      <w:pPr>
        <w:pStyle w:val="ListBullet"/>
      </w:pPr>
      <w:r/>
      <w:r>
        <w:rPr>
          <w:b/>
        </w:rPr>
        <w:t>Insuffisance rénale :</w:t>
      </w:r>
      <w:r>
        <w:t xml:space="preserve"> CI si DFG &lt; 30 mL/min ; à 30–60 mL/min, réduire la dose à 60 mg et espacer les perfusions.</w:t>
      </w:r>
    </w:p>
    <w:p>
      <w:pPr>
        <w:pStyle w:val="ListBullet"/>
      </w:pPr>
      <w:r/>
      <w:r>
        <w:rPr>
          <w:b/>
        </w:rPr>
        <w:t>Durée :</w:t>
      </w:r>
      <w:r>
        <w:t xml:space="preserve"> en hypercalcémie maligne et métastases osseuses : au long cours, jusqu'à progression de la maladie ou toxicité.</w:t>
      </w:r>
    </w:p>
    <w:p>
      <w:pPr>
        <w:pStyle w:val="ListBullet"/>
      </w:pPr>
      <w:r/>
      <w:r>
        <w:rPr>
          <w:b/>
        </w:rPr>
        <w:t>Moment de prise :</w:t>
      </w:r>
      <w:r>
        <w:t xml:space="preserve"> en hospitalisation ou day hospital ; perfusion lente IV ≥ 1–2 h ; surveillance 24 h post-perfusion (calcémie, fonction rénale).</w:t>
      </w:r>
    </w:p>
    <w:p>
      <w:r/>
      <w:r>
        <w:rPr>
          <w:b/>
        </w:rPr>
        <w:t>Arbitrage et Bénéfices des Formes Galéniques :</w:t>
      </w:r>
      <w:r/>
    </w:p>
    <w:p>
      <w:pPr>
        <w:pStyle w:val="ListBullet"/>
      </w:pPr>
      <w:r/>
      <w:r>
        <w:rPr>
          <w:b/>
        </w:rPr>
        <w:t>Forme IV 90 mg/flacon (PAMIDRIA) :</w:t>
      </w:r>
      <w:r>
        <w:t xml:space="preserve"> forme de référence actuelle en Algérie. À reconstituer avec 10 mL d'EPPI, puis diluer dans 250–500 mL de sérum physiologique ou glucosé isotonique.</w:t>
      </w:r>
    </w:p>
    <w:p>
      <w:pPr>
        <w:pStyle w:val="ListBullet"/>
      </w:pPr>
      <w:r/>
      <w:r>
        <w:rPr>
          <w:b/>
        </w:rPr>
        <w:t>Avantage vs bisphosphonates per os :</w:t>
      </w:r>
      <w:r>
        <w:t xml:space="preserve"> action rapide (24–48 h en HCM), puissance anti-résorbeur supérieure, observance garantie (administration hospitalière), pas de problème d'absorption digestive.</w:t>
      </w:r>
    </w:p>
    <w:p>
      <w:pPr>
        <w:pStyle w:val="ListBullet"/>
      </w:pPr>
      <w:r/>
      <w:r>
        <w:rPr>
          <w:b/>
        </w:rPr>
        <w:t>Inconvénient vs zolédronate IV :</w:t>
      </w:r>
      <w:r>
        <w:t xml:space="preserve"> perfusion plus longue (1–2 h vs 15 min), puissance inférieure, dose plus élevée (90 mg vs 4–5 mg). Le zolédronate est désormais préféré pour les hypercalcémies malignes et l'ostéoporose.</w:t>
      </w:r>
    </w:p>
    <w:p>
      <w:pPr>
        <w:pStyle w:val="ListBullet"/>
      </w:pPr>
      <w:r/>
      <w:r>
        <w:rPr>
          <w:b/>
        </w:rPr>
        <w:t>Choix thérapeutique :</w:t>
      </w:r>
      <w:r>
        <w:t xml:space="preserve"> le pamidronate reste indiqué en oncologie pour les métastases osseuses (en alternative ou en relais du zolédronate), en raison d'un profil de tolérance rénale parfois meilleur à doses répétées et d'un coût moindre.</w:t>
      </w:r>
    </w:p>
    <w:p>
      <w:r/>
      <w:r>
        <w:rPr>
          <w:b/>
        </w:rPr>
        <w:t>Instructions et Conseils au Patient :</w:t>
      </w:r>
      <w:r/>
    </w:p>
    <w:p>
      <w:pPr>
        <w:pStyle w:val="ListBullet"/>
      </w:pPr>
      <w:r/>
      <w:r>
        <w:rPr>
          <w:b/>
        </w:rPr>
        <w:t>Communication au comptoir :</w:t>
      </w:r>
      <w:r>
        <w:t xml:space="preserve"> (administration hospitalière — pharmacien d'officine : conseil d'orientation) « Le pamidronate est un médicament puissant de l'os, administré à l'hôpital en perfusion de 1 à 2 heures. Il est indiqué en cas d'hypercalcémie ou de métastases osseuses. Prévenez votre médecin en cas de fièvre, frissons, douleurs musculaires dans les 24–48 h après la perfusion (syndrome flu-like transitoire). Signalez tout soin dentaire prévu. »</w:t>
      </w:r>
    </w:p>
    <w:p>
      <w:pPr>
        <w:pStyle w:val="ListBullet"/>
      </w:pPr>
      <w:r/>
      <w:r>
        <w:rPr>
          <w:b/>
        </w:rPr>
        <w:t>Mode d'utilisation pratique :</w:t>
      </w:r>
      <w:r>
        <w:t xml:space="preserve"> administration hospitalière (médecin ou infirmier) ; perfusion IV lente 1–2 h dans 250–500 mL de soluté isotonique ; surveillance calcémie et fonction rénale pré- et post-perfusion ; hydratation préalable.</w:t>
      </w:r>
    </w:p>
    <w:p>
      <w:r/>
      <w:r>
        <w:rPr>
          <w:b/>
        </w:rPr>
        <w:t>Notes, Règles d'Or &amp; Pièges au Comptoir :</w:t>
      </w:r>
      <w:r/>
    </w:p>
    <w:p>
      <w:pPr>
        <w:pStyle w:val="ListBullet"/>
      </w:pPr>
      <w:r/>
      <w:r>
        <w:rPr>
          <w:b/>
        </w:rPr>
        <w:t>Piège classique :</w:t>
      </w:r>
      <w:r>
        <w:t xml:space="preserve"> (i) Perfusion trop rapide ou concentrée → néphrotoxicité aiguë, hypocalcémie sévère, trouble du rythme ; (ii) Mélange avec calcium IV dans la même tubulure → précipitation ; (iii) Oubli de la supplémentation calcique et vitaminique D préalable → hypocalcémie ; (iv) Patient non informé du risque d'ONM en cas de soins dentaires invasifs ; (v) Non-contrôle de la fonction rénale avant chaque perfusion → IRA.</w:t>
      </w:r>
    </w:p>
    <w:p>
      <w:pPr>
        <w:pStyle w:val="ListBullet"/>
      </w:pPr>
      <w:r/>
      <w:r>
        <w:rPr>
          <w:b/>
        </w:rPr>
        <w:t>Règle de prise :</w:t>
      </w:r>
      <w:r>
        <w:t xml:space="preserve"> perfusion IV lente (≥ 1 h pour 60 mg, ≥ 2 h pour 90 mg) ; dilution dans 250–500 mL de sérum physiologique ou glucosé isotonique ; surveillance 24 h post-perfusion.</w:t>
      </w:r>
    </w:p>
    <w:p>
      <w:pPr>
        <w:pStyle w:val="ListBullet"/>
      </w:pPr>
      <w:r/>
      <w:r>
        <w:rPr>
          <w:b/>
        </w:rPr>
        <w:t>Préparation et Conservation :</w:t>
      </w:r>
      <w:r>
        <w:t xml:space="preserve"> conservation à température ambiante (15–25 °C) avant reconstitution. Après reconstitution, conservation 24 h à 2–8 °C (réfrigérateur). Ne pas congeler.</w:t>
      </w:r>
    </w:p>
    <w:p>
      <w:pPr>
        <w:pStyle w:val="ListBullet"/>
      </w:pPr>
      <w:r/>
      <w:r>
        <w:rPr>
          <w:b/>
        </w:rPr>
        <w:t>Piège du surdosage / Substitution :</w:t>
      </w:r>
      <w:r>
        <w:t xml:space="preserve"> en cas de surdosage massif (dose &gt; 90 mg) → hypocalcémie sévère aiguë, hypophosphatémie, IRA — prise en charge en soins intensifs, supplémentation calcique IV, surveillance ECG et biologique. Ne pas substituer par le zolédronate sans recalcul (5 mg zolédronate = 90 mg pamidronate en équivalent-puissance pour l'ostéoporose ; mais posologies et schémas différents en oncologie).</w:t>
      </w:r>
    </w:p>
    <w:p>
      <w:pPr>
        <w:pStyle w:val="Heading2"/>
      </w:pPr>
      <w:r>
        <w:t>X. Sous-classe : Bisphosphonates — Anti-résorbeurs osseux 3e génération (IV)</w:t>
      </w:r>
    </w:p>
    <w:p>
      <w:pPr>
        <w:pStyle w:val="Heading3"/>
      </w:pPr>
      <w:r>
        <w:t>Introduction à la sous-classe</w:t>
      </w:r>
    </w:p>
    <w:p>
      <w:r>
        <w:t xml:space="preserve">Les bisphosphonates de </w:t>
      </w:r>
      <w:r>
        <w:rPr>
          <w:b/>
        </w:rPr>
        <w:t>troisième génération aminés</w:t>
      </w:r>
      <w:r>
        <w:t xml:space="preserve"> sont représentés par le </w:t>
      </w:r>
      <w:r>
        <w:rPr>
          <w:b/>
        </w:rPr>
        <w:t>zolédronate</w:t>
      </w:r>
      <w:r>
        <w:t xml:space="preserve"> (acide zolédronique). Ils contiennent un atome d'azote inclus dans un </w:t>
      </w:r>
      <w:r>
        <w:rPr>
          <w:b/>
        </w:rPr>
        <w:t>cycle imidazole</w:t>
      </w:r>
      <w:r>
        <w:t xml:space="preserve"> en R1, ce qui leur confère une puissance anti-résorbeur exceptionnelle — environ 100 à 1000 fois supérieure à celle du pamidronate et de l'alendronate. Cette puissance permet une administration en </w:t>
      </w:r>
      <w:r>
        <w:rPr>
          <w:b/>
        </w:rPr>
        <w:t>dose unique annuelle</w:t>
      </w:r>
      <w:r>
        <w:t xml:space="preserve"> dans l'ostéoporose post-ménopausique (5 mg IV/an, perfusion de 15 minutes), une simplification majeure de l'observance.</w:t>
      </w:r>
    </w:p>
    <w:p>
      <w:r>
        <w:t>Le zolédronate est indiqué dans : (i) l'ostéoporose post-ménopausique et masculine (5 mg IV/an), (ii) l'ostéoporose cortisonique, (iii) la maladie de Paget (5 mg IV en dose unique), (iv) les hypercalcémies malignes (4 mg IV), (v) les métastases osseuses (4 mg IV toutes les 3–4 semaines en oncologie). C'est devenu le bisphosphonate de référence dans l'ostéoporose post-ménopausique en cas d'intolérance, de contre-indication, ou de non-observance aux bisphosphonates per os.</w:t>
      </w:r>
    </w:p>
    <w:p>
      <w:pPr>
        <w:pStyle w:val="Heading3"/>
      </w:pPr>
      <w:r>
        <w:t>11. DCI : Zolédronate (acide zolédronique) (Seule)</w:t>
      </w:r>
    </w:p>
    <w:p>
      <w:r/>
      <w:r>
        <w:rPr>
          <w:b/>
        </w:rPr>
        <w:t>Liste des Catégories :</w:t>
      </w:r>
      <w:r>
        <w:t xml:space="preserve"> Liste I (toutes spécialités — usage hospitalier).</w:t>
      </w:r>
    </w:p>
    <w:p>
      <w:r>
        <w:t xml:space="preserve">Le zolédronate (acide zolédronique ou [1-hydroxy-2-(1H-imidazol-1-yl)ethylidène]bisphosphonate) est le bisphosphonate le plus puissant de la classe, caractérisé par son groupement </w:t>
      </w:r>
      <w:r>
        <w:rPr>
          <w:b/>
        </w:rPr>
        <w:t>imidazol-1-yl-méthyl</w:t>
      </w:r>
      <w:r>
        <w:t xml:space="preserve"> en R1. Cette structure lui confère une affinité exceptionnelle pour la FPPS (IC50 ≈ 3 nM, contre 200 nM pour l'alendronate et 60 nM pour le risédronate). Administré par perfusion IV courte (15 min), il a une puissance anti-résorbeur massivement supérieure aux autres bisphosphonates (réduction des marqueurs de résorption osseuse CTX et NTX de 70–90 % en 1 mois). Sa demi-vie osseuse est très prolongée (&gt; 10 ans), autorisant un effet anti-résorbeur persistant plusieurs années après une dose unique.</w:t>
      </w:r>
    </w:p>
    <w:p>
      <w:r/>
      <w:r>
        <w:rPr>
          <w:b/>
        </w:rPr>
        <w:t>Médicaments disponibles en Algérie (Marques, Laboratoires, Formes et Dosages) :</w:t>
      </w:r>
      <w:r/>
    </w:p>
    <w:p>
      <w:r>
        <w:t>Forme 4 mg/5 mL (lyophilisat ou solution à diluer — indications oncologiques) :</w:t>
      </w:r>
    </w:p>
    <w:p>
      <w:pPr>
        <w:pStyle w:val="ListBullet"/>
      </w:pPr>
      <w:r/>
      <w:r>
        <w:rPr>
          <w:b/>
        </w:rPr>
        <w:t>ACIDE ZOLEDRONIQUE HIKMA</w:t>
      </w:r>
      <w:r>
        <w:t xml:space="preserve"> (HIKMA PHARMA ALGERIA) — Poudre lyophilisée pour perfusion IV 0,8 mg/mL (4 mg/5 mL), B/1 flacon. Actif.</w:t>
      </w:r>
    </w:p>
    <w:p>
      <w:pPr>
        <w:pStyle w:val="ListBullet"/>
      </w:pPr>
      <w:r/>
      <w:r>
        <w:rPr>
          <w:b/>
        </w:rPr>
        <w:t>ZOBONE</w:t>
      </w:r>
      <w:r>
        <w:t xml:space="preserve"> (SUN PHARMACEUTICALS INDUSTRIES LTD — Inde) — Lyophilisat pour solution injectable IV 0,8 mg/mL (4 mg/5 mL), B/1 flacon. Actif.</w:t>
      </w:r>
    </w:p>
    <w:p>
      <w:pPr>
        <w:pStyle w:val="ListBullet"/>
      </w:pPr>
      <w:r/>
      <w:r>
        <w:rPr>
          <w:b/>
        </w:rPr>
        <w:t>ZOLEDRO DENK</w:t>
      </w:r>
      <w:r>
        <w:t xml:space="preserve"> (DENK PHARMA GMBH &amp; CO.KG — Allemagne) — Solution à diluer pour perfusion IV 0,8 mg/mL (4 mg/5 mL), B/1 flacon de 5 mL. Actif.</w:t>
      </w:r>
    </w:p>
    <w:p>
      <w:pPr>
        <w:pStyle w:val="ListBullet"/>
      </w:pPr>
      <w:r/>
      <w:r>
        <w:rPr>
          <w:b/>
        </w:rPr>
        <w:t>ZOLDRIA</w:t>
      </w:r>
      <w:r>
        <w:t xml:space="preserve"> (CIPLA LIMITED — Inde) — Lyophilisat + solvant pour solution à diluer pour perfusion IV 0,8 mg/mL (4 mg/5 mL), B/1 flacon de poudre + 1 ampoule de 5 mL de solvant (EPPI). Actif.</w:t>
      </w:r>
    </w:p>
    <w:p>
      <w:pPr>
        <w:pStyle w:val="ListBullet"/>
      </w:pPr>
      <w:r/>
      <w:r>
        <w:rPr>
          <w:b/>
        </w:rPr>
        <w:t>ZOLENAT</w:t>
      </w:r>
      <w:r>
        <w:t xml:space="preserve"> (MUSTAFA NEVZAT ILAÇ SANAYII A.Ş. — Turquie) — Solution concentrée pour perfusion IV 0,8 mg/mL (4 mg/5 mL), B/1 flacon de 5 mL. Actif.</w:t>
      </w:r>
    </w:p>
    <w:p>
      <w:pPr>
        <w:pStyle w:val="ListBullet"/>
      </w:pPr>
      <w:r/>
      <w:r>
        <w:rPr>
          <w:b/>
        </w:rPr>
        <w:t>ZOLIDRO</w:t>
      </w:r>
      <w:r>
        <w:t xml:space="preserve"> (LES LABORATOIRES FRATER RAZES — Algérie) — Solution à diluer pour perfusion IV 0,8 mg/mL (4 mg/5 mL), B/1 flacon de 5 mL. Actif.</w:t>
      </w:r>
    </w:p>
    <w:p>
      <w:pPr>
        <w:pStyle w:val="ListBullet"/>
      </w:pPr>
      <w:r/>
      <w:r>
        <w:rPr>
          <w:b/>
        </w:rPr>
        <w:t>ZOMETA</w:t>
      </w:r>
      <w:r>
        <w:t xml:space="preserve"> (NOVARTIS PHARMA SCHWEIZ AG — Suisse) — Solution à diluer pour perfusion IV 0,8 mg/mL (4 mg/5 mL), B/1 flacon de 5 mL. Actif. *[Princeps international — Zometa® de Novartis]*</w:t>
      </w:r>
    </w:p>
    <w:p>
      <w:pPr>
        <w:pStyle w:val="ListBullet"/>
      </w:pPr>
      <w:r/>
      <w:r>
        <w:rPr>
          <w:b/>
        </w:rPr>
        <w:t>ZOTHERA</w:t>
      </w:r>
      <w:r>
        <w:t xml:space="preserve"> (BIOTHERA) — Solution à diluer pour perfusion IV 0,8 mg/mL (4 mg/5 mL), B/1 flacon de 5 mL. Actif.</w:t>
      </w:r>
    </w:p>
    <w:p>
      <w:r>
        <w:t>Forme 5 mg/100 mL (solution pré-diluée prête à perfuser — indication ostéoporose) :</w:t>
      </w:r>
    </w:p>
    <w:p>
      <w:pPr>
        <w:pStyle w:val="ListBullet"/>
      </w:pPr>
      <w:r/>
      <w:r>
        <w:rPr>
          <w:b/>
        </w:rPr>
        <w:t>ACLASTA</w:t>
      </w:r>
      <w:r>
        <w:t xml:space="preserve"> (NOVARTIS PHARMA SCHWEIZ AG — Suisse) — Solution injectable pour perfusion 5 mg/100 mL, B/1 flacon de 100 mL. Actif. *[Princeps international — Aclasta® de Novartis, indication ostéoporose et maladie de Paget]*</w:t>
      </w:r>
    </w:p>
    <w:p>
      <w:pPr>
        <w:pStyle w:val="ListBullet"/>
      </w:pPr>
      <w:r/>
      <w:r>
        <w:rPr>
          <w:b/>
        </w:rPr>
        <w:t>ZOLEDRIC</w:t>
      </w:r>
      <w:r>
        <w:t xml:space="preserve"> (HUPP PHARMA) — Solution injectable pour perfusion 5 mg/100 mL, flacon/100 mL. Actif.</w:t>
      </w:r>
    </w:p>
    <w:p>
      <w:pPr>
        <w:pStyle w:val="ListBullet"/>
      </w:pPr>
      <w:r/>
      <w:r>
        <w:rPr>
          <w:b/>
        </w:rPr>
        <w:t>ZOLESTA</w:t>
      </w:r>
      <w:r>
        <w:t xml:space="preserve"> (LES LABORATOIRES FRATER RAZES — Algérie) — Solution injectable pour perfusion 5 mg/100 mL, B/1 flacon de 100 mL. Actif.</w:t>
      </w:r>
    </w:p>
    <w:p>
      <w:pPr>
        <w:pStyle w:val="ListBullet"/>
      </w:pPr>
      <w:r/>
      <w:r>
        <w:rPr>
          <w:b/>
        </w:rPr>
        <w:t>ZOLTONAR</w:t>
      </w:r>
      <w:r>
        <w:t xml:space="preserve"> (WORLD MEDECINE LIMITED) — Solution injectable pour perfusion 5 mg/100 mL, B/1 flacon de 100 mL. Actif.</w:t>
      </w:r>
    </w:p>
    <w:p>
      <w:r>
        <w:t>À noter : le zolédronate est disponible en Algérie sous deux formes distinctes :</w:t>
      </w:r>
    </w:p>
    <w:p>
      <w:pPr>
        <w:pStyle w:val="ListBullet"/>
      </w:pPr>
      <w:r/>
      <w:r>
        <w:rPr>
          <w:b/>
        </w:rPr>
        <w:t>Forme 4 mg/5 mL (ZOMETA et génériques)</w:t>
      </w:r>
      <w:r>
        <w:t xml:space="preserve"> : flacon de poudre lyophilisée ou solution concentrée à diluer, indiqué en oncologie (métastases osseuses, hypercalcémie maligne). Dose standard : 4 mg IV en perfusion de 15 min, à renouveler toutes les 3–4 semaines.</w:t>
      </w:r>
    </w:p>
    <w:p>
      <w:pPr>
        <w:pStyle w:val="ListBullet"/>
      </w:pPr>
      <w:r/>
      <w:r>
        <w:rPr>
          <w:b/>
        </w:rPr>
        <w:t>Forme 5 mg/100 mL (ACLASTA et génériques)</w:t>
      </w:r>
      <w:r>
        <w:t xml:space="preserve"> : flacon de solution prête à perfuser, indiqué dans l'ostéoporose (5 mg IV/an) et la maladie de Paget (5 mg IV dose unique). La différence de dose (5 mg vs 4 mg) reflète les AMM distinctes : 4 mg en oncologie (autorisation initiale), 5 mg en ostéoporose (autorisation ultérieure, dose unique annuelle).</w:t>
      </w:r>
    </w:p>
    <w:p>
      <w:r>
        <w:t xml:space="preserve">Les deux formes sont </w:t>
      </w:r>
      <w:r>
        <w:rPr>
          <w:b/>
        </w:rPr>
        <w:t>strictement distinctes</w:t>
      </w:r>
      <w:r>
        <w:t xml:space="preserve"> et ne doivent pas être substituées entre elles (risque d'erreur de dose et de schéma d'administration). ACLASTA et ZOMETA sont les princeps de Novartis, retirés sur certains marchés mais toujours actifs en Algérie ; les génériques algériens (ZOLESTA, ZOLTONAR, ZOLEDRIC, ZOLIDRO) assurent une large disponibilité.</w:t>
      </w:r>
    </w:p>
    <w:p>
      <w:r/>
      <w:r>
        <w:rPr>
          <w:b/>
        </w:rPr>
        <w:t>Sous-classe et Mécanisme d'action :</w:t>
      </w:r>
      <w:r/>
    </w:p>
    <w:p>
      <w:pPr>
        <w:pStyle w:val="ListBullet"/>
      </w:pPr>
      <w:r/>
      <w:r>
        <w:rPr>
          <w:b/>
        </w:rPr>
        <w:t>Sous-classe :</w:t>
      </w:r>
      <w:r>
        <w:t xml:space="preserve"> Bisphosphonate anti-résorbeur osseux de 3e génération aminé, usage IV (Liste I — hospitalier). Le plus puissant de la classe.</w:t>
      </w:r>
    </w:p>
    <w:p>
      <w:pPr>
        <w:pStyle w:val="ListBullet"/>
      </w:pPr>
      <w:r/>
      <w:r>
        <w:rPr>
          <w:b/>
        </w:rPr>
        <w:t>Mécanisme d'action :</w:t>
      </w:r>
      <w:r>
        <w:t xml:space="preserve"> analogue du pyrophosphate (P-C-P) avec un groupement </w:t>
      </w:r>
      <w:r>
        <w:rPr>
          <w:b/>
        </w:rPr>
        <w:t>imidazol-1-yl-méthyl</w:t>
      </w:r>
      <w:r>
        <w:t xml:space="preserve"> en R1, qui lui confère une affinité exceptionnelle pour la </w:t>
      </w:r>
      <w:r>
        <w:rPr>
          <w:b/>
        </w:rPr>
        <w:t>farnésyl pyrophosphate synthase (FPPS)</w:t>
      </w:r>
      <w:r>
        <w:t xml:space="preserve"> (IC50 ≈ 3 nM). Fixation préférentielle à l'hydroxyapatite des sites de remodelage actif, internalisation par les ostéoclastes, inhibition de la FPPS, disruption de la prénylation des petites protéines G (Ras, Rho, Rac, Cdc42). Conséquences : (i) disruption du cytosquelette actinique, (ii) perte du pôle plissé (ruffled border), (iii) arrêt de la sécrétion d'acide (H+ via V-ATPase) et de cathepsine K, (iv) détachement de l'os, (v) apoptose ostéoclastique. À forte concentration, le zolédronate inhibe également la </w:t>
      </w:r>
      <w:r>
        <w:rPr>
          <w:b/>
        </w:rPr>
        <w:t>géranyl-géranyl pyrophosphate synthase (GGPPS)</w:t>
      </w:r>
      <w:r>
        <w:t>, aggravant la perte de prénylation. Effet anti-résorbeur maximal en 1 mois (réduction des marqueurs de résorption CTX et NTX de 70–90 %), persistant 12 mois après dose unique de 5 mg.</w:t>
      </w:r>
    </w:p>
    <w:p>
      <w:pPr>
        <w:pStyle w:val="ListBullet"/>
      </w:pPr>
      <w:r/>
      <w:r>
        <w:rPr>
          <w:b/>
        </w:rPr>
        <w:t>Pharmacocinétique :</w:t>
      </w:r>
      <w:r>
        <w:t xml:space="preserve"> administration IV (biodisponibilité 100 %) ; liaison aux protéines plasmatiques ~56 % ; distribution osseuse (~60 % de la dose) ; élimination rénale inchangée (40 % en 24 h, le reste stocké dans l'os avec demi-vie &gt; 10 ans). Pas de métabolisme hépatique.</w:t>
      </w:r>
    </w:p>
    <w:p>
      <w:r/>
      <w:r>
        <w:rPr>
          <w:b/>
        </w:rPr>
        <w:t>Profil Pharmacologique :</w:t>
      </w:r>
      <w:r/>
    </w:p>
    <w:p>
      <w:pPr>
        <w:pStyle w:val="ListBullet"/>
      </w:pPr>
      <w:r/>
      <w:r>
        <w:rPr>
          <w:b/>
        </w:rPr>
        <w:t>Indications :</w:t>
      </w:r>
      <w:r>
        <w:t xml:space="preserve"> (i) </w:t>
      </w:r>
      <w:r>
        <w:rPr>
          <w:b/>
        </w:rPr>
        <w:t>Ostéoporose post-ménopausique</w:t>
      </w:r>
      <w:r>
        <w:t xml:space="preserve"> (5 mg IV/an en perfusion unique de 15 min — réduction du risque fracturaire vertébral -70 %, hanche -41 %, non-vertébral -25 %, étude HORIZON — Black et al., NEJM 2007) ; (ii) </w:t>
      </w:r>
      <w:r>
        <w:rPr>
          <w:b/>
        </w:rPr>
        <w:t>Ostéoporose masculine</w:t>
      </w:r>
      <w:r>
        <w:t xml:space="preserve"> (5 mg IV/an) ; (iii) </w:t>
      </w:r>
      <w:r>
        <w:rPr>
          <w:b/>
        </w:rPr>
        <w:t>Ostéoporose cortisonique</w:t>
      </w:r>
      <w:r>
        <w:t xml:space="preserve"> (5 mg IV/an) ; (iv) </w:t>
      </w:r>
      <w:r>
        <w:rPr>
          <w:b/>
        </w:rPr>
        <w:t>Prévention des fractures de hanche</w:t>
      </w:r>
      <w:r>
        <w:t xml:space="preserve"> après réparation chirurgicale d'une fracture de hanche (5 mg IV 2 semaines après chirurgie, étude HORIZON-RFT — Lyles et al., NEJM 2007) ; (v) </w:t>
      </w:r>
      <w:r>
        <w:rPr>
          <w:b/>
        </w:rPr>
        <w:t>Maladie de Paget</w:t>
      </w:r>
      <w:r>
        <w:t xml:space="preserve"> (5 mg IV en dose unique — réponse clinique et biologique supérieure au risédronate, étudy Reid et al., NEJM 2005) ; (vi) </w:t>
      </w:r>
      <w:r>
        <w:rPr>
          <w:b/>
        </w:rPr>
        <w:t>Hypercalcémie maligne</w:t>
      </w:r>
      <w:r>
        <w:t xml:space="preserve"> (4 mg IV en dose unique — plus puissant et plus rapide que le pamidronate) ; (vii) </w:t>
      </w:r>
      <w:r>
        <w:rPr>
          <w:b/>
        </w:rPr>
        <w:t>Métastases osseuses</w:t>
      </w:r>
      <w:r>
        <w:t xml:space="preserve"> (sein, prostate, myélome multiple — 4 mg IV toutes les 3–4 semaines en entretien).</w:t>
      </w:r>
    </w:p>
    <w:p>
      <w:pPr>
        <w:pStyle w:val="ListBullet"/>
      </w:pPr>
      <w:r/>
      <w:r>
        <w:rPr>
          <w:b/>
        </w:rPr>
        <w:t>Contre-indications :</w:t>
      </w:r>
      <w:r>
        <w:t xml:space="preserve"> (i) Hypersensibilité aux bisphosphonates ; (ii) Hypocalcémie non corrigée (le zolédronate provoque une hypocalcémie plus marquée que les autres bisphosphonates en raison de sa puissance) ; (iii) Insuffisance rénale sévère (DFG &lt; 35 mL/min) — accumulation et néphrotoxicité ; (iv) Grossesse et allaitement (CI absolue) ; (v) Enfant (sauf indication oncologique pédiatrique spécialisée) ; (vi) Myalgie/arthralgie post-zolédronate préalable sévère.</w:t>
      </w:r>
    </w:p>
    <w:p>
      <w:pPr>
        <w:pStyle w:val="ListBullet"/>
      </w:pPr>
      <w:r/>
      <w:r>
        <w:rPr>
          <w:b/>
        </w:rPr>
        <w:t>Effets Indésirables :</w:t>
      </w:r>
      <w:r/>
    </w:p>
    <w:p>
      <w:pPr>
        <w:pStyle w:val="ListBullet"/>
      </w:pPr>
      <w:r/>
      <w:r>
        <w:rPr>
          <w:b/>
        </w:rPr>
        <w:t>Phase aiguë</w:t>
      </w:r>
      <w:r>
        <w:t xml:space="preserve"> (24–72 h post-perfusion) : syndrome "flu-like" — fièvre (jusqu'à 38–40 °C), frissons, myalgies, arthralgies, ostéalgies, céphalées, asthénie — fréquent (30–50 % des patients à la première perfusion, surtout en ostéoporose), spontanément résolutif en 24–72 h (paracétamol).</w:t>
      </w:r>
    </w:p>
    <w:p>
      <w:pPr>
        <w:pStyle w:val="ListBullet"/>
      </w:pPr>
      <w:r/>
      <w:r>
        <w:rPr>
          <w:b/>
        </w:rPr>
        <w:t>Hypocalcémie transitoire</w:t>
      </w:r>
      <w:r>
        <w:t xml:space="preserve"> (le zolédronate bloque massivement la résorption osseuse qui libère le calcium — surveillance calcémie systématique, supplémentation calcique et vitaminique D préalable obligatoire).</w:t>
      </w:r>
    </w:p>
    <w:p>
      <w:pPr>
        <w:pStyle w:val="ListBullet"/>
      </w:pPr>
      <w:r/>
      <w:r>
        <w:rPr>
          <w:b/>
        </w:rPr>
        <w:t>Hypophosphatémie, hypomagnésémie</w:t>
      </w:r>
      <w:r>
        <w:t xml:space="preserve"> transitoires.</w:t>
      </w:r>
    </w:p>
    <w:p>
      <w:pPr>
        <w:pStyle w:val="ListBullet"/>
      </w:pPr>
      <w:r/>
      <w:r>
        <w:rPr>
          <w:b/>
        </w:rPr>
        <w:t>Néphrotoxicité</w:t>
      </w:r>
      <w:r>
        <w:t xml:space="preserve"> (effet de classe — tubulopathie, IRA dose-dépendante et débit-dépendante) — surveillance de la créatininémie avant chaque perfusion, adapter la dose et l'intervalle si IRC ; ne pas dépasser 4 mg en 15 min en oncologie ; perfusion 100 mL en 15 min minimum en ostéoporose.</w:t>
      </w:r>
    </w:p>
    <w:p>
      <w:pPr>
        <w:pStyle w:val="ListBullet"/>
      </w:pPr>
      <w:r/>
      <w:r>
        <w:rPr>
          <w:b/>
        </w:rPr>
        <w:t>Ostéonécrose de la mâchoire (ONM)</w:t>
      </w:r>
      <w:r>
        <w:t xml:space="preserve"> (effet de classe — incidence 1/10 000 à 1/100 000 en ostéoporose ; 1–10 % en oncologie à doses répétées).</w:t>
      </w:r>
    </w:p>
    <w:p>
      <w:pPr>
        <w:pStyle w:val="ListBullet"/>
      </w:pPr>
      <w:r/>
      <w:r>
        <w:rPr>
          <w:b/>
        </w:rPr>
        <w:t>Fractures fémorales atypiques</w:t>
      </w:r>
      <w:r>
        <w:t xml:space="preserve"> (effet de classe rare, surtout après 3–5 ans de traitement continu).</w:t>
      </w:r>
    </w:p>
    <w:p>
      <w:pPr>
        <w:pStyle w:val="ListBullet"/>
      </w:pPr>
      <w:r/>
      <w:r>
        <w:rPr>
          <w:b/>
        </w:rPr>
        <w:t>Fibrillation auriculaire</w:t>
      </w:r>
      <w:r>
        <w:t xml:space="preserve"> (signal augmenté dans l'étude HORIZON — 1,3 % vs 0,4 % placebo, surtout dans les 60 premiers jours post-perfusion ; non confirmé dans toutes les études ultérieures, mais à surveiller).</w:t>
      </w:r>
    </w:p>
    <w:p>
      <w:pPr>
        <w:pStyle w:val="ListBullet"/>
      </w:pPr>
      <w:r/>
      <w:r>
        <w:rPr>
          <w:b/>
        </w:rPr>
        <w:t>Uvéites, épisclérites</w:t>
      </w:r>
      <w:r>
        <w:t xml:space="preserve"> (effet de classe, rares).</w:t>
      </w:r>
    </w:p>
    <w:p>
      <w:pPr>
        <w:pStyle w:val="ListBullet"/>
      </w:pPr>
      <w:r/>
      <w:r>
        <w:rPr>
          <w:b/>
        </w:rPr>
        <w:t>Réactions allergiques</w:t>
      </w:r>
      <w:r>
        <w:t xml:space="preserve"> rares.</w:t>
      </w:r>
    </w:p>
    <w:p>
      <w:r/>
      <w:r>
        <w:rPr>
          <w:b/>
        </w:rPr>
        <w:t>Prévention et Gestion des Effets Indésirables :</w:t>
      </w:r>
      <w:r/>
    </w:p>
    <w:p>
      <w:pPr>
        <w:pStyle w:val="ListBullet"/>
      </w:pPr>
      <w:r/>
      <w:r>
        <w:rPr>
          <w:b/>
        </w:rPr>
        <w:t>Mesures Préventives :</w:t>
      </w:r>
      <w:r>
        <w:t xml:space="preserve"> bilan dentaire complet et soins préalables avant initiation (en oncologie surtout) ; vérification de la </w:t>
      </w:r>
      <w:r>
        <w:rPr>
          <w:b/>
        </w:rPr>
        <w:t>25-OH-vitamine D</w:t>
      </w:r>
      <w:r>
        <w:t xml:space="preserve"> et de la </w:t>
      </w:r>
      <w:r>
        <w:rPr>
          <w:b/>
        </w:rPr>
        <w:t>calcémie</w:t>
      </w:r>
      <w:r>
        <w:t xml:space="preserve"> préalable (supplémentation préalable si carence : dose de charge de vitamine D, calcium 1000–1200 mg/j) ; surveillance de la créatininémie (DFG &gt; 35 mL/min obligatoire) ; hydratation IV préalable en oncologie (sérum physiologique 500 mL avant la perfusion) ; administration en perfusion lente (15 min minimum pour 4 mg, 15 min minimum pour 5 mg dans 100 mL) — ne jamais en bolus ; surveillance ECG continue en cas de cardiopathie.</w:t>
      </w:r>
    </w:p>
    <w:p>
      <w:pPr>
        <w:pStyle w:val="ListBullet"/>
      </w:pPr>
      <w:r/>
      <w:r>
        <w:rPr>
          <w:b/>
        </w:rPr>
        <w:t>Conduite à Tenir :</w:t>
      </w:r>
      <w:r>
        <w:t xml:space="preserve"> en cas de syndrome flu-like : paracétamol 1 g × 3/j pendant 24–72 h. En cas d'hypocalcémie symptomatique : calcium gluconate 10 % IV lent. En cas d'IRA : arrêt transitoire, hydratation, surveillance. En cas d'ONM : arrêt du bisphosphonate, prise en charge odontologique spécialisée. En cas de fibrillation auriculaire : prise en charge classique (anticoagulation si besoin).</w:t>
      </w:r>
    </w:p>
    <w:p>
      <w:r/>
      <w:r>
        <w:rPr>
          <w:b/>
        </w:rPr>
        <w:t>Interactions Importantes :</w:t>
      </w:r>
      <w:r/>
    </w:p>
    <w:p>
      <w:pPr>
        <w:pStyle w:val="ListBullet"/>
      </w:pPr>
      <w:r/>
      <w:r>
        <w:rPr>
          <w:b/>
        </w:rPr>
        <w:t>Zolédronate + Aminosides, diurétiques de l'anse</w:t>
      </w:r>
      <w:r>
        <w:t xml:space="preserve"> : potentialisation de l'hypocalcémie (effet additif) et de la néphrotoxicité.</w:t>
      </w:r>
    </w:p>
    <w:p>
      <w:pPr>
        <w:pStyle w:val="ListBullet"/>
      </w:pPr>
      <w:r/>
      <w:r>
        <w:rPr>
          <w:b/>
        </w:rPr>
        <w:t>Zolédronate + Médicaments néphrotoxiques</w:t>
      </w:r>
      <w:r>
        <w:t xml:space="preserve"> (cisplatine, IFX, produits de contraste iodés, AINS à forte dose) : majoration de la néphrotoxicité.</w:t>
      </w:r>
    </w:p>
    <w:p>
      <w:pPr>
        <w:pStyle w:val="ListBullet"/>
      </w:pPr>
      <w:r/>
      <w:r>
        <w:rPr>
          <w:b/>
        </w:rPr>
        <w:t>Zolédronate + Autres bisphosphonates</w:t>
      </w:r>
      <w:r>
        <w:t xml:space="preserve"> : effet additif — ne pas associer.</w:t>
      </w:r>
    </w:p>
    <w:p>
      <w:pPr>
        <w:pStyle w:val="ListBullet"/>
      </w:pPr>
      <w:r/>
      <w:r>
        <w:rPr>
          <w:b/>
        </w:rPr>
        <w:t>Zolédronate + Calcium IV</w:t>
      </w:r>
      <w:r>
        <w:t xml:space="preserve"> : risque de précipitation dans la tubulure.</w:t>
      </w:r>
    </w:p>
    <w:p>
      <w:pPr>
        <w:pStyle w:val="ListBullet"/>
      </w:pPr>
      <w:r/>
      <w:r>
        <w:rPr>
          <w:b/>
        </w:rPr>
        <w:t>Zolédronate + Thalidomide, anti-angiogéniques (bevacizumab)</w:t>
      </w:r>
      <w:r>
        <w:t xml:space="preserve"> : majoration du risque d'ONM en oncologie.</w:t>
      </w:r>
    </w:p>
    <w:p>
      <w:r/>
      <w:r>
        <w:rPr>
          <w:b/>
        </w:rPr>
        <w:t>Grossesse et Allaitement :</w:t>
      </w:r>
      <w:r/>
    </w:p>
    <w:p>
      <w:pPr>
        <w:pStyle w:val="ListBullet"/>
      </w:pPr>
      <w:r/>
      <w:r>
        <w:rPr>
          <w:b/>
        </w:rPr>
        <w:t>Grossesse :</w:t>
      </w:r>
      <w:r>
        <w:t xml:space="preserve"> </w:t>
      </w:r>
      <w:r>
        <w:rPr>
          <w:b/>
        </w:rPr>
        <w:t>Contre-indiqué</w:t>
      </w:r>
      <w:r>
        <w:t xml:space="preserve"> (CRAT). Études animales tératogènes (anomalies squelettiques fœtales, hypocalcémie maternelle et fœtale). Contraception obligatoire pendant et après le traitement (demi-vie osseuse &gt; 10 ans — risque théorique de relargage fœtal pendant une grossesse ultérieure).</w:t>
      </w:r>
    </w:p>
    <w:p>
      <w:pPr>
        <w:pStyle w:val="ListBullet"/>
      </w:pPr>
      <w:r/>
      <w:r>
        <w:rPr>
          <w:b/>
        </w:rPr>
        <w:t>Allaitement :</w:t>
      </w:r>
      <w:r>
        <w:t xml:space="preserve"> </w:t>
      </w:r>
      <w:r>
        <w:rPr>
          <w:b/>
        </w:rPr>
        <w:t>Contre-indiqué</w:t>
      </w:r>
      <w:r>
        <w:t xml:space="preserve"> (passage dans le lait maternel).</w:t>
      </w:r>
    </w:p>
    <w:p>
      <w:pPr>
        <w:pStyle w:val="ListBullet"/>
      </w:pPr>
      <w:r/>
      <w:r>
        <w:rPr>
          <w:b/>
        </w:rPr>
        <w:t>Précisions :</w:t>
      </w:r>
      <w:r>
        <w:t xml:space="preserve"> en oncologie chez la femme enceinte, le zolédronate peut être discuté en cas d'hypercalcémie maligne mettant en jeu le pronostic vital maternel, après information éclairée.</w:t>
      </w:r>
    </w:p>
    <w:p>
      <w:r/>
      <w:r>
        <w:rPr>
          <w:b/>
        </w:rPr>
        <w:t>Posologie et Mode d'administration (Standard) :</w:t>
      </w:r>
      <w:r/>
    </w:p>
    <w:p>
      <w:pPr>
        <w:pStyle w:val="ListBullet"/>
      </w:pPr>
      <w:r/>
      <w:r>
        <w:rPr>
          <w:b/>
        </w:rPr>
        <w:t>Adulte — Ostéoporose post-ménopausique, masculine, cortisonique :</w:t>
      </w:r>
      <w:r>
        <w:t xml:space="preserve"> 5 mg IV une fois par an, en perfusion unique de 15 min dans 100 mL de sérum physiologique ou glucosé isotonique (forme ACLASTA et génériques). À associer systématiquement à une supplémentation calcique (1000 mg/j) et vitaminique D (800–2000 UI/j).</w:t>
      </w:r>
    </w:p>
    <w:p>
      <w:pPr>
        <w:pStyle w:val="ListBullet"/>
      </w:pPr>
      <w:r/>
      <w:r>
        <w:rPr>
          <w:b/>
        </w:rPr>
        <w:t>Adulte — Maladie de Paget :</w:t>
      </w:r>
      <w:r>
        <w:t xml:space="preserve"> 5 mg IV en dose unique (forme ACLASTA), perfusion de 15 min dans 100 mL. À répéter si rechute après 12 mois.</w:t>
      </w:r>
    </w:p>
    <w:p>
      <w:pPr>
        <w:pStyle w:val="ListBullet"/>
      </w:pPr>
      <w:r/>
      <w:r>
        <w:rPr>
          <w:b/>
        </w:rPr>
        <w:t>Adulte — Hypercalcémie maligne :</w:t>
      </w:r>
      <w:r>
        <w:t xml:space="preserve"> 4 mg IV en dose unique (forme ZOMETA et génériques), perfusion de 15 min dans 50 mL de sérum physiologique. Renouvelable toutes les 3–4 semaines si récidive.</w:t>
      </w:r>
    </w:p>
    <w:p>
      <w:pPr>
        <w:pStyle w:val="ListBullet"/>
      </w:pPr>
      <w:r/>
      <w:r>
        <w:rPr>
          <w:b/>
        </w:rPr>
        <w:t>Adulte — Métastases osseuses :</w:t>
      </w:r>
      <w:r>
        <w:t xml:space="preserve"> 4 mg IV toutes les 3–4 semaines (forme ZOMETA), perfusion de 15 min dans 50 mL de sérum physiologique.</w:t>
      </w:r>
    </w:p>
    <w:p>
      <w:pPr>
        <w:pStyle w:val="ListBullet"/>
      </w:pPr>
      <w:r/>
      <w:r>
        <w:rPr>
          <w:b/>
        </w:rPr>
        <w:t>Adulte — Prévention des fractures après fracture de hanche :</w:t>
      </w:r>
      <w:r>
        <w:t xml:space="preserve"> 5 mg IV (forme ACLASTA), perfusion de 15 min dans 100 mL, à administrer 2 semaines après chirurgie de réparation.</w:t>
      </w:r>
    </w:p>
    <w:p>
      <w:pPr>
        <w:pStyle w:val="ListBullet"/>
      </w:pPr>
      <w:r/>
      <w:r>
        <w:rPr>
          <w:b/>
        </w:rPr>
        <w:t>Sujet âgé :</w:t>
      </w:r>
      <w:r>
        <w:t xml:space="preserve"> pas d'adaptation posologique si fonction rénale conservée (DFG &gt; 35 mL/min).</w:t>
      </w:r>
    </w:p>
    <w:p>
      <w:pPr>
        <w:pStyle w:val="ListBullet"/>
      </w:pPr>
      <w:r/>
      <w:r>
        <w:rPr>
          <w:b/>
        </w:rPr>
        <w:t>Insuffisance rénale :</w:t>
      </w:r>
      <w:r>
        <w:t xml:space="preserve"> CI si DFG &lt; 35 mL/min ; pas d'adaptation à 35–60 mL/min en ostéoporose (5 mg/an) ; en oncologie, espacer les perfusions si DFG 30–60 mL/min.</w:t>
      </w:r>
    </w:p>
    <w:p>
      <w:pPr>
        <w:pStyle w:val="ListBullet"/>
      </w:pPr>
      <w:r/>
      <w:r>
        <w:rPr>
          <w:b/>
        </w:rPr>
        <w:t>Durée :</w:t>
      </w:r>
      <w:r>
        <w:t xml:space="preserve"> en ostéoporose : 3–5 ans en première intention (5 perfusions annuelles), puis réévaluation par densitométrie et marqueurs osseux — drug holiday possible pendant 1–3 ans (effet anti-résorbeur persistant) ; en oncologie : au long cours jusqu'à progression de la maladie ou toxicité.</w:t>
      </w:r>
    </w:p>
    <w:p>
      <w:pPr>
        <w:pStyle w:val="ListBullet"/>
      </w:pPr>
      <w:r/>
      <w:r>
        <w:rPr>
          <w:b/>
        </w:rPr>
        <w:t>Moment de prise :</w:t>
      </w:r>
      <w:r>
        <w:t xml:space="preserve"> en hospitalisation ou day hospital ; perfusion IV de 15 min minimum ; surveillance 24 h post-perfusion (calcémie, fonction rénale, syndrome flu-like).</w:t>
      </w:r>
    </w:p>
    <w:p>
      <w:r/>
      <w:r>
        <w:rPr>
          <w:b/>
        </w:rPr>
        <w:t>Arbitrage et Bénéfices des Formes Galéniques :</w:t>
      </w:r>
      <w:r/>
    </w:p>
    <w:p>
      <w:pPr>
        <w:pStyle w:val="ListBullet"/>
      </w:pPr>
      <w:r/>
      <w:r>
        <w:rPr>
          <w:b/>
        </w:rPr>
        <w:t>Forme 5 mg/100 mL (ACLASTA, ZOLEDRIC, ZOLESTA, ZOLTONAR) :</w:t>
      </w:r>
      <w:r>
        <w:t xml:space="preserve"> solution prête à perfuser, indiquée en ostéoporose et maladie de Paget. Perfusion de 15 min.</w:t>
      </w:r>
    </w:p>
    <w:p>
      <w:pPr>
        <w:pStyle w:val="ListBullet"/>
      </w:pPr>
      <w:r/>
      <w:r>
        <w:rPr>
          <w:b/>
        </w:rPr>
        <w:t>Forme 4 mg/5 mL (ZOMETA et génériques) :</w:t>
      </w:r>
      <w:r>
        <w:t xml:space="preserve"> flacon de lyophilisat ou solution concentrée à diluer, indiquée en oncologie (hypercalcémie maligne, métastases osseuses). Dilution dans 50 mL de sérum physiologique pour perfusion de 15 min.</w:t>
      </w:r>
    </w:p>
    <w:p>
      <w:pPr>
        <w:pStyle w:val="ListBullet"/>
      </w:pPr>
      <w:r/>
      <w:r>
        <w:rPr>
          <w:b/>
        </w:rPr>
        <w:t>Avantage vs bisphosphonates per os :</w:t>
      </w:r>
      <w:r>
        <w:t xml:space="preserve"> observance garantie (1 perfusion/an), puissance supérieure, pas de problème d'absorption digestive, pas de risque d'œsophagite.</w:t>
      </w:r>
    </w:p>
    <w:p>
      <w:pPr>
        <w:pStyle w:val="ListBullet"/>
      </w:pPr>
      <w:r/>
      <w:r>
        <w:rPr>
          <w:b/>
        </w:rPr>
        <w:t>Avantage vs pamidronate :</w:t>
      </w:r>
      <w:r>
        <w:t xml:space="preserve"> perfusion plus courte (15 min vs 1–2 h), puissance supérieure (5 mg zolédronate ≈ 90 mg pamidronate), schéma plus simple.</w:t>
      </w:r>
    </w:p>
    <w:p>
      <w:pPr>
        <w:pStyle w:val="ListBullet"/>
      </w:pPr>
      <w:r/>
      <w:r>
        <w:rPr>
          <w:b/>
        </w:rPr>
        <w:t>Inconvénient :</w:t>
      </w:r>
      <w:r>
        <w:t xml:space="preserve"> administration hospitalière, syndrome flu-like fréquent à la première perfusion, risque d'hypocalcémie plus marqué en raison de la puissance.</w:t>
      </w:r>
    </w:p>
    <w:p>
      <w:r/>
      <w:r>
        <w:rPr>
          <w:b/>
        </w:rPr>
        <w:t>Instructions et Conseils au Patient :</w:t>
      </w:r>
      <w:r/>
    </w:p>
    <w:p>
      <w:pPr>
        <w:pStyle w:val="ListBullet"/>
      </w:pPr>
      <w:r/>
      <w:r>
        <w:rPr>
          <w:b/>
        </w:rPr>
        <w:t>Communication au comptoir :</w:t>
      </w:r>
      <w:r>
        <w:t xml:space="preserve"> (administration hospitalière — pharmacien d'officine : conseil d'orientation) « Le zolédronate est le médicament de l'os le plus puissant, administré à l'hôpital en perfusion unique de 15 minutes, une fois par an pour l'ostéoporose (Aclasta) ou toutes les 3–4 semaines pour les métastases osseuses (Zometa). Prévenez votre médecin en cas de fièvre, frissons, douleurs musculaires dans les 24–72 h après la perfusion (syndrome flu-like transitoire). Signalez tout soin dentaire prévu. Prenez bien votre calcium et votre vitamine D associés. »</w:t>
      </w:r>
    </w:p>
    <w:p>
      <w:pPr>
        <w:pStyle w:val="ListBullet"/>
      </w:pPr>
      <w:r/>
      <w:r>
        <w:rPr>
          <w:b/>
        </w:rPr>
        <w:t>Mode d'utilisation pratique :</w:t>
      </w:r>
      <w:r>
        <w:t xml:space="preserve"> administration hospitalière ; perfusion IV de 15 min dans 100 mL (ostéoporose) ou 50 mL (oncologie) de sérum physiologique ; surveillance calcémie et fonction rénale pré- et post-perfusion ; hydratation préalable en oncologie ; paracétamol en prévention du syndrome flu-like.</w:t>
      </w:r>
    </w:p>
    <w:p>
      <w:r/>
      <w:r>
        <w:rPr>
          <w:b/>
        </w:rPr>
        <w:t>Notes, Règles d'Or &amp; Pièges au Comptoir :</w:t>
      </w:r>
      <w:r/>
    </w:p>
    <w:p>
      <w:pPr>
        <w:pStyle w:val="ListBullet"/>
      </w:pPr>
      <w:r/>
      <w:r>
        <w:rPr>
          <w:b/>
        </w:rPr>
        <w:t>Piège classique :</w:t>
      </w:r>
      <w:r>
        <w:t xml:space="preserve"> (i) Confusion entre les deux formes galéniques : </w:t>
      </w:r>
      <w:r>
        <w:rPr>
          <w:b/>
        </w:rPr>
        <w:t>ACLASTA 5 mg/100 mL (ostéoporose)</w:t>
      </w:r>
      <w:r>
        <w:t xml:space="preserve"> vs </w:t>
      </w:r>
      <w:r>
        <w:rPr>
          <w:b/>
        </w:rPr>
        <w:t>ZOMETA 4 mg/5 mL (oncologie)</w:t>
      </w:r>
      <w:r>
        <w:t xml:space="preserve"> — ne pas substituer ! (risque d'erreur de dose et de schéma) ; (ii) Perfusion trop rapide → néphrotoxicité aiguë, hypocalcémie sévère, trouble du rythme ; (iii) Oubli de la supplémentation calcique et vitaminique D préalable → hypocalcémie symptomatique ; (iv) Patient non informé du risque d'ONM en cas de soins dentaires invasifs ; (v) Non-contrôle de la fonction rénale avant chaque perfusion → IRA ; (vi) Patient non informé du syndrome flu-like → consultation inutile aux urgences.</w:t>
      </w:r>
    </w:p>
    <w:p>
      <w:pPr>
        <w:pStyle w:val="ListBullet"/>
      </w:pPr>
      <w:r/>
      <w:r>
        <w:rPr>
          <w:b/>
        </w:rPr>
        <w:t>Règle de prise :</w:t>
      </w:r>
      <w:r>
        <w:t xml:space="preserve"> perfusion IV de 15 min minimum ; dilution dans 50–100 mL de sérum physiologique ; surveillance 24 h post-perfusion ; supplémentation calcique et vitaminique D systématique associée.</w:t>
      </w:r>
    </w:p>
    <w:p>
      <w:pPr>
        <w:pStyle w:val="ListBullet"/>
      </w:pPr>
      <w:r/>
      <w:r>
        <w:rPr>
          <w:b/>
        </w:rPr>
        <w:t>Préparation et Conservation :</w:t>
      </w:r>
      <w:r>
        <w:t xml:space="preserve"> conservation à température ambiante (15–25 °C) avant dilution. Après dilution, conservation 24 h à 2–8 °C (réfrigérateur). Ne pas congeler. La forme ACLASTA 5 mg/100 mL est une solution prête à perfuser, à utiliser immédiatement après ouverture.</w:t>
      </w:r>
    </w:p>
    <w:p>
      <w:pPr>
        <w:pStyle w:val="ListBullet"/>
      </w:pPr>
      <w:r/>
      <w:r>
        <w:rPr>
          <w:b/>
        </w:rPr>
        <w:t>Piège du surdosage / Substitution :</w:t>
      </w:r>
      <w:r>
        <w:t xml:space="preserve"> en cas de surdosage massif (dose &gt; 5 mg) → hypocalcémie sévère aiguë, hypophosphatémie, IRA — prise en charge en soins intensifs, supplémentation calcique IV, surveillance ECG et biologique. </w:t>
      </w:r>
      <w:r>
        <w:rPr>
          <w:b/>
        </w:rPr>
        <w:t>Ne jamais substituer ACLASTA 5 mg par ZOMETA 4 mg (ou inversement) sans avis médical</w:t>
      </w:r>
      <w:r>
        <w:t xml:space="preserve"> — indications, doses, schémas différents. Vérifier la prescription en mg et le conditionnement (flacon de 5 mL vs 100 mL).</w:t>
      </w:r>
    </w:p>
    <w:p>
      <w:pPr>
        <w:pStyle w:val="Heading2"/>
      </w:pPr>
      <w:r>
        <w:t>XI. Sous-classe : Anabolisants osseux — PTH recombinante (Tériparatide)</w:t>
      </w:r>
    </w:p>
    <w:p>
      <w:pPr>
        <w:pStyle w:val="Heading3"/>
      </w:pPr>
      <w:r>
        <w:t>Introduction à la sous-classe</w:t>
      </w:r>
    </w:p>
    <w:p>
      <w:r>
        <w:t xml:space="preserve">Le </w:t>
      </w:r>
      <w:r>
        <w:rPr>
          <w:b/>
        </w:rPr>
        <w:t>tériparatide</w:t>
      </w:r>
      <w:r>
        <w:t xml:space="preserve"> (PTH 1-34 recombinante) est le premier représentant d'une nouvelle classe thérapeutique : les </w:t>
      </w:r>
      <w:r>
        <w:rPr>
          <w:b/>
        </w:rPr>
        <w:t>anabolisants osseux</w:t>
      </w:r>
      <w:r>
        <w:t xml:space="preserve">. Contrairement aux bisphosphonates qui sont anti-résorbeurs (inhibiteurs de la résorption), le tériparatide </w:t>
      </w:r>
      <w:r>
        <w:rPr>
          <w:b/>
        </w:rPr>
        <w:t>stimule la formation osseuse</w:t>
      </w:r>
      <w:r>
        <w:t xml:space="preserve"> par activation des ostéoblastes. Il s'administre par injection sous-cutanée quotidienne (stylo prérempli de 28 doses mensuelles), à la dose de 20 µg/j, pour une durée maximale de </w:t>
      </w:r>
      <w:r>
        <w:rPr>
          <w:b/>
        </w:rPr>
        <w:t>24 mois à vie</w:t>
      </w:r>
      <w:r>
        <w:t xml:space="preserve"> (en raison du risque théorique d'ostéosarcome observé à doses massives chez le rat).</w:t>
      </w:r>
    </w:p>
    <w:p>
      <w:r>
        <w:t>Le tériparatide est indiqué dans l'</w:t>
      </w:r>
      <w:r>
        <w:rPr>
          <w:b/>
        </w:rPr>
        <w:t>ostéoporose sévère</w:t>
      </w:r>
      <w:r>
        <w:t xml:space="preserve"> (T-score ≤ -3,5, ou T-score ≤ -2,5 avec fracture fragilité multiple), en cas d'échec, d'intolérance ou de contre-indication aux bisphosphonates. Il est particulièrement indiqué dans l'ostéoporose avec fractures vertébrales multiples et l'ostéoporose cortisonique sévère. Après arrêt du tériparatide, un relais par bisphosphonate (anti-résorbeur) est nécessaire pour consolider le gain osseux (sinon perte rapide du bénéfice).</w:t>
      </w:r>
    </w:p>
    <w:p>
      <w:pPr>
        <w:pStyle w:val="Heading3"/>
      </w:pPr>
      <w:r>
        <w:t>12. DCI : Tériparatide (PTH 1-34 recombinante) (Seule)</w:t>
      </w:r>
    </w:p>
    <w:p>
      <w:r/>
      <w:r>
        <w:rPr>
          <w:b/>
        </w:rPr>
        <w:t>Liste des Catégories :</w:t>
      </w:r>
      <w:r>
        <w:t xml:space="preserve"> Liste I (usage hospitalier ou prescription spécialisée).</w:t>
      </w:r>
    </w:p>
    <w:p>
      <w:r>
        <w:t xml:space="preserve">Le tériparatide est un fragment N-terminal de la parathormone humaine recombinante (PTH 1-34), constitué de 34 acides aminés. Il se fixe au </w:t>
      </w:r>
      <w:r>
        <w:rPr>
          <w:b/>
        </w:rPr>
        <w:t>récepteur PTH1 (PTHR1)</w:t>
      </w:r>
      <w:r>
        <w:t xml:space="preserve"> à la surface des ostéoblastes et des cellules tubulaires rénales, activant la voie de signalisation </w:t>
      </w:r>
      <w:r>
        <w:rPr>
          <w:b/>
        </w:rPr>
        <w:t>Gs-α/adenylyl cyclase/cAMP/PKA</w:t>
      </w:r>
      <w:r>
        <w:t xml:space="preserve"> et accessoirement la voie </w:t>
      </w:r>
      <w:r>
        <w:rPr>
          <w:b/>
        </w:rPr>
        <w:t>PLC/IP3/PKC</w:t>
      </w:r>
      <w:r>
        <w:t xml:space="preserve">. L'activation du PTHR1 stimule la </w:t>
      </w:r>
      <w:r>
        <w:rPr>
          <w:b/>
        </w:rPr>
        <w:t>différenciation et l'activité des ostéoblastes</w:t>
      </w:r>
      <w:r>
        <w:t xml:space="preserve">, augmentant la formation osseuse primaire (effet anabolique). À doses quotidiennes sous-cutanées (administrations intermittentes), l'effet </w:t>
      </w:r>
      <w:r>
        <w:rPr>
          <w:b/>
        </w:rPr>
        <w:t>anabolique</w:t>
      </w:r>
      <w:r>
        <w:t xml:space="preserve"> prédomine sur l'effet résorbeur (alors qu'à doses continues, la PTH endogène a un effet net résorbeur — d'où l'ostéoporose de l'hyperparathyroïdie primaire).</w:t>
      </w:r>
    </w:p>
    <w:p>
      <w:r/>
      <w:r>
        <w:rPr>
          <w:b/>
        </w:rPr>
        <w:t>Médicaments disponibles en Algérie (Marques, Laboratoires, Formes et Dosages) :</w:t>
      </w:r>
      <w:r/>
    </w:p>
    <w:p>
      <w:pPr>
        <w:pStyle w:val="ListBullet"/>
      </w:pPr>
      <w:r/>
      <w:r>
        <w:rPr>
          <w:b/>
        </w:rPr>
        <w:t>FORTEO</w:t>
      </w:r>
      <w:r>
        <w:t xml:space="preserve"> (BIOPHARM — distribution algérienne pour Eli Lilly)</w:t>
      </w:r>
    </w:p>
    <w:p>
      <w:pPr>
        <w:pStyle w:val="ListBullet"/>
      </w:pPr>
      <w:r>
        <w:t>Formes et Dosages : Solution injectable SC en stylo prérempli 20 µg/80 µL, B/1 stylo prérempli de 28 doses de 20 µg (par 80 µL). Actif. Liste I.</w:t>
      </w:r>
    </w:p>
    <w:p>
      <w:r>
        <w:t xml:space="preserve">À noter : le tériparatide est disponible en Algérie </w:t>
      </w:r>
      <w:r>
        <w:rPr>
          <w:b/>
        </w:rPr>
        <w:t>exclusivement</w:t>
      </w:r>
      <w:r>
        <w:t xml:space="preserve"> sous la forme FORTEO (Eli Lilly, distribué par Biopharm), en stylo prérempli de 28 doses mensuelles. La dose quotidienne est de </w:t>
      </w:r>
      <w:r>
        <w:rPr>
          <w:b/>
        </w:rPr>
        <w:t>20 µg en injection SC</w:t>
      </w:r>
      <w:r>
        <w:t xml:space="preserve"> (cuisse ou abdomen), administrée à heure fixe (idéalement le soir), pour une durée maximale de </w:t>
      </w:r>
      <w:r>
        <w:rPr>
          <w:b/>
        </w:rPr>
        <w:t>24 mois à vie</w:t>
      </w:r>
      <w:r>
        <w:t>. Chaque stylo dure 28 jours, ce qui correspond à un renouvellement mensuel. Le coût élevé du tériparatide (médicament biologique recombinant) en fait un traitement de seconde intention, réservé aux ostéoporoses sévères avec échec ou intolérance aux bisphosphonates.</w:t>
      </w:r>
    </w:p>
    <w:p>
      <w:r/>
      <w:r>
        <w:rPr>
          <w:b/>
        </w:rPr>
        <w:t>Sous-classe et Mécanisme d'action :</w:t>
      </w:r>
      <w:r/>
    </w:p>
    <w:p>
      <w:pPr>
        <w:pStyle w:val="ListBullet"/>
      </w:pPr>
      <w:r/>
      <w:r>
        <w:rPr>
          <w:b/>
        </w:rPr>
        <w:t>Sous-classe :</w:t>
      </w:r>
      <w:r>
        <w:t xml:space="preserve"> Anabolisant osseux recombinant — PTH 1-34 (Liste I). Premier représentant de la classe des "anabolisants osseux" (versus anti-résorbeurs pour les bisphosphonates).</w:t>
      </w:r>
    </w:p>
    <w:p>
      <w:pPr>
        <w:pStyle w:val="ListBullet"/>
      </w:pPr>
      <w:r/>
      <w:r>
        <w:rPr>
          <w:b/>
        </w:rPr>
        <w:t>Mécanisme d'action :</w:t>
      </w:r>
      <w:r>
        <w:t xml:space="preserve"> le tériparatide est un agoniste du </w:t>
      </w:r>
      <w:r>
        <w:rPr>
          <w:b/>
        </w:rPr>
        <w:t>récepteur PTH1 (PTHR1)</w:t>
      </w:r>
      <w:r>
        <w:t xml:space="preserve"> à la surface des ostéoblastes et des cellules tubulaires rénales. Le PTHR1 est couplé à la protéine </w:t>
      </w:r>
      <w:r>
        <w:rPr>
          <w:b/>
        </w:rPr>
        <w:t>Gs-alpha</w:t>
      </w:r>
      <w:r>
        <w:t xml:space="preserve">, activant l'adenylyl cyclase → cAMP → PKA, et accessoirement la voie PLC → IP3/DAG → PKC. L'activation du PTHR1 sur les ostéoblastes stimule : (i) la </w:t>
      </w:r>
      <w:r>
        <w:rPr>
          <w:b/>
        </w:rPr>
        <w:t>différenciation des préostéoblastes en ostéoblastes matures</w:t>
      </w:r>
      <w:r>
        <w:t xml:space="preserve"> (via IGF-1 et Runx2), (ii) l'</w:t>
      </w:r>
      <w:r>
        <w:rPr>
          <w:b/>
        </w:rPr>
        <w:t>activité ostéoblastique</w:t>
      </w:r>
      <w:r>
        <w:t xml:space="preserve"> (synthèse de collagène I, ostéocalcine, ALP osseuse), (iii) la </w:t>
      </w:r>
      <w:r>
        <w:rPr>
          <w:b/>
        </w:rPr>
        <w:t>réduction de l'apoptose ostéoblastique</w:t>
      </w:r>
      <w:r>
        <w:t xml:space="preserve"> (effet anti-Fas). L'effet global à dose SC quotidienne intermittente est </w:t>
      </w:r>
      <w:r>
        <w:rPr>
          <w:b/>
        </w:rPr>
        <w:t>anabolique</w:t>
      </w:r>
      <w:r>
        <w:t xml:space="preserve"> — augmentation de la formation osseuse primaire avec augmentation de la DMO (+8–10 % au rachis lombaire, +3–5 % au col fémoral à 18–24 mois, étude Neer et al., NEJM 2001). À doses continues (PTH endogène en hyperparathyroïdie), l'effet est </w:t>
      </w:r>
      <w:r>
        <w:rPr>
          <w:b/>
        </w:rPr>
        <w:t>résorbeur</w:t>
      </w:r>
      <w:r>
        <w:t xml:space="preserve"> — d'où la nécessité d'une administration intermittente.</w:t>
      </w:r>
    </w:p>
    <w:p>
      <w:pPr>
        <w:pStyle w:val="ListBullet"/>
      </w:pPr>
      <w:r/>
      <w:r>
        <w:rPr>
          <w:b/>
        </w:rPr>
        <w:t>Pharmacocinétique :</w:t>
      </w:r>
      <w:r>
        <w:t xml:space="preserve"> absorption SC rapide (Tmax 30 min) ; demi-vie plasmatique ≈ 1 h (élimination hépatique via P450 et rénale) ; durée d'action biologique 12–24 h ; durée d'action osseuse prolongée plusieurs mois après arrêt.</w:t>
      </w:r>
    </w:p>
    <w:p>
      <w:r/>
      <w:r>
        <w:rPr>
          <w:b/>
        </w:rPr>
        <w:t>Profil Pharmacologique :</w:t>
      </w:r>
      <w:r/>
    </w:p>
    <w:p>
      <w:pPr>
        <w:pStyle w:val="ListBullet"/>
      </w:pPr>
      <w:r/>
      <w:r>
        <w:rPr>
          <w:b/>
        </w:rPr>
        <w:t>Indications :</w:t>
      </w:r>
      <w:r>
        <w:t xml:space="preserve"> (i) </w:t>
      </w:r>
      <w:r>
        <w:rPr>
          <w:b/>
        </w:rPr>
        <w:t>Ostéoporose post-ménopausique sévère</w:t>
      </w:r>
      <w:r>
        <w:t xml:space="preserve"> avec T-score ≤ -3,5, ou T-score ≤ -2,5 avec fracture fragilité multiple, en cas d'échec, d'intolérance ou de contre-indication aux bisphosphonates (réduction du risque fracturaire vertébral -65 %, non-vertébral -53 %, étude Neer et al., NEJM 2001) ; (ii) </w:t>
      </w:r>
      <w:r>
        <w:rPr>
          <w:b/>
        </w:rPr>
        <w:t>Ostéoporose masculine sévère</w:t>
      </w:r>
      <w:r>
        <w:t xml:space="preserve"> (T-score ≤ -3,5 ou fracture fragilité) ; (iii) </w:t>
      </w:r>
      <w:r>
        <w:rPr>
          <w:b/>
        </w:rPr>
        <w:t>Ostéoporose cortisonique sévère</w:t>
      </w:r>
      <w:r>
        <w:t xml:space="preserve"> (réduction du risque fracturaire vertébral -65 % vs alendronate -50 %, étude Saag et al., Arthritis Rheum 2009) ; (iv) </w:t>
      </w:r>
      <w:r>
        <w:rPr>
          <w:b/>
        </w:rPr>
        <w:t>Ostéoporose avec fractures vertébrales multiples</w:t>
      </w:r>
      <w:r>
        <w:t xml:space="preserve"> récentes (indication privilégiée — effet anabolique marqué sur l'os trabéculaire vertébral).</w:t>
      </w:r>
    </w:p>
    <w:p>
      <w:pPr>
        <w:pStyle w:val="ListBullet"/>
      </w:pPr>
      <w:r/>
      <w:r>
        <w:rPr>
          <w:b/>
        </w:rPr>
        <w:t>Contre-indications :</w:t>
      </w:r>
      <w:r>
        <w:t xml:space="preserve"> (i) </w:t>
      </w:r>
      <w:r>
        <w:rPr>
          <w:b/>
        </w:rPr>
        <w:t>Hypercalcémie préexistante</w:t>
      </w:r>
      <w:r>
        <w:t xml:space="preserve"> non corrigée (le tériparatide peut aggraver l'hypercalcémie) ; (ii) </w:t>
      </w:r>
      <w:r>
        <w:rPr>
          <w:b/>
        </w:rPr>
        <w:t>Hyperparathyroïdie primaire</w:t>
      </w:r>
      <w:r>
        <w:t xml:space="preserve"> non traitée ; (iii) </w:t>
      </w:r>
      <w:r>
        <w:rPr>
          <w:b/>
        </w:rPr>
        <w:t>Cancer osseux primaire ou métastatique</w:t>
      </w:r>
      <w:r>
        <w:t xml:space="preserve"> (le tériparatide stimule la formation osseuse et pourrait stimuler certaines tumeurs osseuses) ; (iv) </w:t>
      </w:r>
      <w:r>
        <w:rPr>
          <w:b/>
        </w:rPr>
        <w:t>Antécédent de radiothérapie externe</w:t>
      </w:r>
      <w:r>
        <w:t xml:space="preserve"> sur le squelette (risque théorique de tumeur osseuse) ; (v) </w:t>
      </w:r>
      <w:r>
        <w:rPr>
          <w:b/>
        </w:rPr>
        <w:t>Maladie de Paget</w:t>
      </w:r>
      <w:r>
        <w:t xml:space="preserve"> (risque théorique d'ostéosarcome) ; (vi) </w:t>
      </w:r>
      <w:r>
        <w:rPr>
          <w:b/>
        </w:rPr>
        <w:t>Antécédent d'ostéosarcome</w:t>
      </w:r>
      <w:r>
        <w:t xml:space="preserve"> (ou de syndrome de Li-Fraumeni) ; (vii) Insuffisance rénale sévère (DFG &lt; 30 mL/min) ; (viii) Enfant, adolescent en croissance, femme enceinte ou allaitante (CI absolue — risque théorique d'ostéosarcome juvénile) ; (ix) Hypersensibilité.</w:t>
      </w:r>
    </w:p>
    <w:p>
      <w:pPr>
        <w:pStyle w:val="ListBullet"/>
      </w:pPr>
      <w:r/>
      <w:r>
        <w:rPr>
          <w:b/>
        </w:rPr>
        <w:t>Effets Indésirables :</w:t>
      </w:r>
      <w:r/>
    </w:p>
    <w:p>
      <w:pPr>
        <w:pStyle w:val="ListBullet"/>
      </w:pPr>
      <w:r/>
      <w:r>
        <w:rPr>
          <w:b/>
        </w:rPr>
        <w:t>Hypercalcémie transitoire</w:t>
      </w:r>
      <w:r>
        <w:t xml:space="preserve"> (4–10 % des patients, surtout dans les 4–6 h post-injection — surveillance calcémie à 1 mois puis tous les 6 mois ; souvent asymptomatique, rarement symptomatique — ajustement posologique ou arrêt si sévère).</w:t>
      </w:r>
    </w:p>
    <w:p>
      <w:pPr>
        <w:pStyle w:val="ListBullet"/>
      </w:pPr>
      <w:r/>
      <w:r>
        <w:rPr>
          <w:b/>
        </w:rPr>
        <w:t>Hypercalciurie</w:t>
      </w:r>
      <w:r>
        <w:t xml:space="preserve"> (surveillance calciurie des 24 h, ajustement des apports hydriques et calciques).</w:t>
      </w:r>
    </w:p>
    <w:p>
      <w:pPr>
        <w:pStyle w:val="ListBullet"/>
      </w:pPr>
      <w:r/>
      <w:r>
        <w:rPr>
          <w:b/>
        </w:rPr>
        <w:t>Hypotension orthostatique</w:t>
      </w:r>
      <w:r>
        <w:t xml:space="preserve"> transitoire (surtout après la première injection — administrer assis ou allongé, surveiller 30 min après la première dose).</w:t>
      </w:r>
    </w:p>
    <w:p>
      <w:pPr>
        <w:pStyle w:val="ListBullet"/>
      </w:pPr>
      <w:r/>
      <w:r>
        <w:rPr>
          <w:b/>
        </w:rPr>
        <w:t>Douleurs au site d'injection</w:t>
      </w:r>
      <w:r>
        <w:t xml:space="preserve"> (réaction locale, rotation des sites).</w:t>
      </w:r>
    </w:p>
    <w:p>
      <w:pPr>
        <w:pStyle w:val="ListBullet"/>
      </w:pPr>
      <w:r/>
      <w:r>
        <w:rPr>
          <w:b/>
        </w:rPr>
        <w:t>Céphalées, nausées, vertiges</w:t>
      </w:r>
      <w:r>
        <w:t xml:space="preserve"> transitoires.</w:t>
      </w:r>
    </w:p>
    <w:p>
      <w:pPr>
        <w:pStyle w:val="ListBullet"/>
      </w:pPr>
      <w:r/>
      <w:r>
        <w:rPr>
          <w:b/>
        </w:rPr>
        <w:t>Crampes musculaires</w:t>
      </w:r>
      <w:r>
        <w:t xml:space="preserve"> des membres inférieurs (effet direct sur le muscle).</w:t>
      </w:r>
    </w:p>
    <w:p>
      <w:pPr>
        <w:pStyle w:val="ListBullet"/>
      </w:pPr>
      <w:r/>
      <w:r>
        <w:rPr>
          <w:b/>
        </w:rPr>
        <w:t>Augmodulation des marqueurs osseux</w:t>
      </w:r>
      <w:r>
        <w:t xml:space="preserve"> (ALP osseuse, P1NP — témoins de l'effet anabolique).</w:t>
      </w:r>
    </w:p>
    <w:p>
      <w:pPr>
        <w:pStyle w:val="ListBullet"/>
      </w:pPr>
      <w:r/>
      <w:r>
        <w:rPr>
          <w:b/>
        </w:rPr>
        <w:t>Ostéosarcome</w:t>
      </w:r>
      <w:r>
        <w:t xml:space="preserve"> (effet théorique observé à doses massives chez le rat — d'où la </w:t>
      </w:r>
      <w:r>
        <w:rPr>
          <w:b/>
        </w:rPr>
        <w:t>limitation de durée à 24 mois à vie</w:t>
      </w:r>
      <w:r>
        <w:t xml:space="preserve"> et les CI en cas de cancer osseux, antécédent de radiothérapie, maladie de Paget).</w:t>
      </w:r>
    </w:p>
    <w:p>
      <w:pPr>
        <w:pStyle w:val="ListBullet"/>
      </w:pPr>
      <w:r/>
      <w:r>
        <w:rPr>
          <w:b/>
        </w:rPr>
        <w:t>Réactions allergiques</w:t>
      </w:r>
      <w:r>
        <w:t xml:space="preserve"> rares.</w:t>
      </w:r>
    </w:p>
    <w:p>
      <w:r/>
      <w:r>
        <w:rPr>
          <w:b/>
        </w:rPr>
        <w:t>Prévention et Gestion des Effets Indésirables :</w:t>
      </w:r>
      <w:r/>
    </w:p>
    <w:p>
      <w:pPr>
        <w:pStyle w:val="ListBullet"/>
      </w:pPr>
      <w:r/>
      <w:r>
        <w:rPr>
          <w:b/>
        </w:rPr>
        <w:t>Mesures Préventives :</w:t>
      </w:r>
      <w:r>
        <w:t xml:space="preserve"> dosage de la calcémie, calciurie des 24 h, créatininémie, PTH intacte et 25-OH-vitamine D avant initiation (correction d'une éventuelle carence vitaminique D préalable) ; surveillance de la calcémie à 1 mois puis tous les 6 mois ; surveillance calciurie des 24 h à 3 et 6 mois ; ajustement de l'apport calcique (1000 mg/j) et vitaminique D (800–1000 UI/j) associé ; administration assis ou allongé pour prévenir l'hypotension orthostatique (surtout à la première dose) ; rotation des sites d'injection (cuisses alternées, abdomen) ; respect strict de la durée maximale de 24 mois à vie.</w:t>
      </w:r>
    </w:p>
    <w:p>
      <w:pPr>
        <w:pStyle w:val="ListBullet"/>
      </w:pPr>
      <w:r/>
      <w:r>
        <w:rPr>
          <w:b/>
        </w:rPr>
        <w:t>Conduite à Tenir :</w:t>
      </w:r>
      <w:r>
        <w:t xml:space="preserve"> en cas d'hypercalcémie symptomatique : arrêt transitoire, hydratation IV abondante, surveillance ECG et calcémie ; reprise à dose réduite (10 µg/j) ou arrêt définitif avec relais par bisphosphonate. En cas d'hypotension orthostatique sévère à la première dose : arrêt, surveillance, reprise à dose réduite. À la fin des 24 mois : </w:t>
      </w:r>
      <w:r>
        <w:rPr>
          <w:b/>
        </w:rPr>
        <w:t>relais systématique par bisphosphonate (alendronate, risédronate, ou zolédronate IV)</w:t>
      </w:r>
      <w:r>
        <w:t xml:space="preserve"> pour consolider le gain osseux (sans relais, perte rapide du bénéfice en 12–24 mois).</w:t>
      </w:r>
    </w:p>
    <w:p>
      <w:r/>
      <w:r>
        <w:rPr>
          <w:b/>
        </w:rPr>
        <w:t>Interactions Importantes :</w:t>
      </w:r>
      <w:r/>
    </w:p>
    <w:p>
      <w:pPr>
        <w:pStyle w:val="ListBullet"/>
      </w:pPr>
      <w:r/>
      <w:r>
        <w:rPr>
          <w:b/>
        </w:rPr>
        <w:t>Tériparatide + Bisphosphonates</w:t>
      </w:r>
      <w:r>
        <w:t xml:space="preserve"> : pas d'association concomitante (le bisphosphonate réduit l'effet anabolique du tériparatide en bloquant le remodeling). Le bisphosphonate est utilisé en </w:t>
      </w:r>
      <w:r>
        <w:rPr>
          <w:b/>
        </w:rPr>
        <w:t>relais</w:t>
      </w:r>
      <w:r>
        <w:t xml:space="preserve"> après le tériparatide, pas en association.</w:t>
      </w:r>
    </w:p>
    <w:p>
      <w:pPr>
        <w:pStyle w:val="ListBullet"/>
      </w:pPr>
      <w:r/>
      <w:r>
        <w:rPr>
          <w:b/>
        </w:rPr>
        <w:t>Tériparatide + Calcium, vitamine D</w:t>
      </w:r>
      <w:r>
        <w:t xml:space="preserve"> : association systématique (apports calciques 1000 mg/j + vitamine D 800–1000 UI/j) — sans surdosage (risque d'hypercalcémie additive).</w:t>
      </w:r>
    </w:p>
    <w:p>
      <w:pPr>
        <w:pStyle w:val="ListBullet"/>
      </w:pPr>
      <w:r/>
      <w:r>
        <w:rPr>
          <w:b/>
        </w:rPr>
        <w:t>Tériparatide + Digitaliques</w:t>
      </w:r>
      <w:r>
        <w:t xml:space="preserve"> : hypercalcémie transitoire → arythmies sévères.</w:t>
      </w:r>
    </w:p>
    <w:p>
      <w:pPr>
        <w:pStyle w:val="ListBullet"/>
      </w:pPr>
      <w:r/>
      <w:r>
        <w:rPr>
          <w:b/>
        </w:rPr>
        <w:t>Tériparatide + Diurétiques thiazidiques</w:t>
      </w:r>
      <w:r>
        <w:t xml:space="preserve"> : potentialisation de l'hypercalcémie.</w:t>
      </w:r>
    </w:p>
    <w:p>
      <w:pPr>
        <w:pStyle w:val="ListBullet"/>
      </w:pPr>
      <w:r/>
      <w:r>
        <w:rPr>
          <w:b/>
        </w:rPr>
        <w:t>Tériparatide + Hydrochlorothiazide</w:t>
      </w:r>
      <w:r>
        <w:t xml:space="preserve"> : majoration du risque d'hypercalcémie (réduction de l'excrétion urinaire de calcium).</w:t>
      </w:r>
    </w:p>
    <w:p>
      <w:r/>
      <w:r>
        <w:rPr>
          <w:b/>
        </w:rPr>
        <w:t>Grossesse et Allaitement :</w:t>
      </w:r>
      <w:r/>
    </w:p>
    <w:p>
      <w:pPr>
        <w:pStyle w:val="ListBullet"/>
      </w:pPr>
      <w:r/>
      <w:r>
        <w:rPr>
          <w:b/>
        </w:rPr>
        <w:t>Grossesse :</w:t>
      </w:r>
      <w:r>
        <w:t xml:space="preserve"> </w:t>
      </w:r>
      <w:r>
        <w:rPr>
          <w:b/>
        </w:rPr>
        <w:t>Contre-indiqué</w:t>
      </w:r>
      <w:r>
        <w:t xml:space="preserve"> (CRAT — effet tératogène et abortif chez l'animal à doses massives). Contraception obligatoire pendant le traitement. En cas de grossesse survenue : arrêt immédiat, surveillance échographique.</w:t>
      </w:r>
    </w:p>
    <w:p>
      <w:pPr>
        <w:pStyle w:val="ListBullet"/>
      </w:pPr>
      <w:r/>
      <w:r>
        <w:rPr>
          <w:b/>
        </w:rPr>
        <w:t>Allaitement :</w:t>
      </w:r>
      <w:r>
        <w:t xml:space="preserve"> </w:t>
      </w:r>
      <w:r>
        <w:rPr>
          <w:b/>
        </w:rPr>
        <w:t>Contre-indiqué</w:t>
      </w:r>
      <w:r>
        <w:t xml:space="preserve"> (passage dans le lait maternel théorique, données animales).</w:t>
      </w:r>
    </w:p>
    <w:p>
      <w:pPr>
        <w:pStyle w:val="ListBullet"/>
      </w:pPr>
      <w:r/>
      <w:r>
        <w:rPr>
          <w:b/>
        </w:rPr>
        <w:t>Précisions :</w:t>
      </w:r>
      <w:r>
        <w:t xml:space="preserve"> le tériparatide est strictement réservé à l'adulte &gt; 18 ans (CI chez l'enfant et l'adolescent en croissance en raison du risque théorique d'ostéosarcome juvénile).</w:t>
      </w:r>
    </w:p>
    <w:p>
      <w:r/>
      <w:r>
        <w:rPr>
          <w:b/>
        </w:rPr>
        <w:t>Posologie et Mode d'administration (Standard) :</w:t>
      </w:r>
      <w:r/>
    </w:p>
    <w:p>
      <w:pPr>
        <w:pStyle w:val="ListBullet"/>
      </w:pPr>
      <w:r/>
      <w:r>
        <w:rPr>
          <w:b/>
        </w:rPr>
        <w:t>Adulte — Ostéoporose sévère :</w:t>
      </w:r>
      <w:r>
        <w:t xml:space="preserve"> 20 µg/j en injection SC (cuisse ou abdomen), à heure fixe (idéalement le soir), pendant </w:t>
      </w:r>
      <w:r>
        <w:rPr>
          <w:b/>
        </w:rPr>
        <w:t>24 mois maximum à vie</w:t>
      </w:r>
      <w:r>
        <w:t>. Renouvellement mensuel du stylo prérempli (28 doses).</w:t>
      </w:r>
    </w:p>
    <w:p>
      <w:pPr>
        <w:pStyle w:val="ListBullet"/>
      </w:pPr>
      <w:r/>
      <w:r>
        <w:rPr>
          <w:b/>
        </w:rPr>
        <w:t>Sujet âgé :</w:t>
      </w:r>
      <w:r>
        <w:t xml:space="preserve"> pas d'adaptation posologique si fonction rénale conservée.</w:t>
      </w:r>
    </w:p>
    <w:p>
      <w:pPr>
        <w:pStyle w:val="ListBullet"/>
      </w:pPr>
      <w:r/>
      <w:r>
        <w:rPr>
          <w:b/>
        </w:rPr>
        <w:t>Insuffisance rénale :</w:t>
      </w:r>
      <w:r>
        <w:t xml:space="preserve"> surveillance renforcée à DFG 30–60 mL/min ; CI si DFG &lt; 30 mL/min.</w:t>
      </w:r>
    </w:p>
    <w:p>
      <w:pPr>
        <w:pStyle w:val="ListBullet"/>
      </w:pPr>
      <w:r/>
      <w:r>
        <w:rPr>
          <w:b/>
        </w:rPr>
        <w:t>Insuffisance hépatique :</w:t>
      </w:r>
      <w:r>
        <w:t xml:space="preserve"> pas d'adaptation posologique (métabolisme non hépatique principalement).</w:t>
      </w:r>
    </w:p>
    <w:p>
      <w:pPr>
        <w:pStyle w:val="ListBullet"/>
      </w:pPr>
      <w:r/>
      <w:r>
        <w:rPr>
          <w:b/>
        </w:rPr>
        <w:t>Durée :</w:t>
      </w:r>
      <w:r>
        <w:t xml:space="preserve"> </w:t>
      </w:r>
      <w:r>
        <w:rPr>
          <w:b/>
        </w:rPr>
        <w:t>24 mois à vie maximum</w:t>
      </w:r>
      <w:r>
        <w:t xml:space="preserve"> (en raison du risque théorique d'ostéosarcome observé à doses massives chez le rat). Après arrêt, </w:t>
      </w:r>
      <w:r>
        <w:rPr>
          <w:b/>
        </w:rPr>
        <w:t>relais systématique par bisphosphonate</w:t>
      </w:r>
      <w:r>
        <w:t xml:space="preserve"> (alendronate 70 mg/sem, risédronate 35 mg/sem, ou zolédronate 5 mg IV/an) pour consolider le gain osseux.</w:t>
      </w:r>
    </w:p>
    <w:p>
      <w:pPr>
        <w:pStyle w:val="ListBullet"/>
      </w:pPr>
      <w:r/>
      <w:r>
        <w:rPr>
          <w:b/>
        </w:rPr>
        <w:t>Moment de prise :</w:t>
      </w:r>
      <w:r>
        <w:t xml:space="preserve"> à heure fixe (idéalement le soir), en injection SC profonde dans la cuisse ou l'abdomen. Administrer assis ou allongé pour prévenir l'hypotension orthostatique (surtout à la première dose). Rotation des sites d'injection.</w:t>
      </w:r>
    </w:p>
    <w:p>
      <w:r/>
      <w:r>
        <w:rPr>
          <w:b/>
        </w:rPr>
        <w:t>Arbitrage et Bénéfices des Formes Galéniques :</w:t>
      </w:r>
      <w:r/>
    </w:p>
    <w:p>
      <w:pPr>
        <w:pStyle w:val="ListBullet"/>
      </w:pPr>
      <w:r/>
      <w:r>
        <w:rPr>
          <w:b/>
        </w:rPr>
        <w:t>Stylo prérempli 20 µg/80 µL (FORTEO) :</w:t>
      </w:r>
      <w:r>
        <w:t xml:space="preserve"> galénique unique disponible. Chaque stylo contient 28 doses mensuelles. Système d'injection simplifié (stylo avec bouton-poussoir, aiguille incluse). Conservation au réfrigérateur (2–8 °C) — ne pas congeler. À utiliser dans les 28 jours après première utilisation.</w:t>
      </w:r>
    </w:p>
    <w:p>
      <w:pPr>
        <w:pStyle w:val="ListBullet"/>
      </w:pPr>
      <w:r/>
      <w:r>
        <w:rPr>
          <w:b/>
        </w:rPr>
        <w:t>Avantage vs bisphosphonates</w:t>
      </w:r>
      <w:r>
        <w:t xml:space="preserve"> : effet anabolique (augmentation de la formation osseuse) vs anti-résorbeur ; supériorité fracturaire démontrée dans l'ostéoporose sévère avec fractures vertébrales multiples ; rapidité d'action (augmentation des marqueurs de formation dès 1 mois).</w:t>
      </w:r>
    </w:p>
    <w:p>
      <w:pPr>
        <w:pStyle w:val="ListBullet"/>
      </w:pPr>
      <w:r/>
      <w:r>
        <w:rPr>
          <w:b/>
        </w:rPr>
        <w:t>Inconvénient vs bisphosphonates</w:t>
      </w:r>
      <w:r>
        <w:t xml:space="preserve"> : injection SC quotidienne (vs per os hebdomadaire ou IV annuelle) ; coût élevé (médicament biologique) ; durée limitée à 24 mois à vie ; nécessité d'un relais par bisphosphonate.</w:t>
      </w:r>
    </w:p>
    <w:p>
      <w:r/>
      <w:r>
        <w:rPr>
          <w:b/>
        </w:rPr>
        <w:t>Instructions et Conseils au Patient :</w:t>
      </w:r>
      <w:r/>
    </w:p>
    <w:p>
      <w:pPr>
        <w:pStyle w:val="ListBullet"/>
      </w:pPr>
      <w:r/>
      <w:r>
        <w:rPr>
          <w:b/>
        </w:rPr>
        <w:t>Communication au comptoir :</w:t>
      </w:r>
      <w:r>
        <w:t xml:space="preserve"> « Le tériparatide (Forteo) est un médicament qui reconstruit l'os (anabolisant), indiqué dans l'ostéoporose sévère. À injecter chaque jour à heure fixe (idéalement le soir), en sous-cutané dans la cuisse ou l'abdomen, avec un stylo prérempli. Le traitement dure 24 mois maximum à vie, puis un relais par un autre médicament (bisphosphonate) est nécessaire. Conservez le stylo au réfrigérateur (2–8 °C). Signalez toute fatigue inhabituelle, nausée, ou soif intense (signes d'hypercalcémie). »</w:t>
      </w:r>
    </w:p>
    <w:p>
      <w:pPr>
        <w:pStyle w:val="ListBullet"/>
      </w:pPr>
      <w:r/>
      <w:r>
        <w:rPr>
          <w:b/>
        </w:rPr>
        <w:t>Mode d'utilisation pratique :</w:t>
      </w:r>
      <w:r>
        <w:t xml:space="preserve"> injection SC quotidienne à heure fixe ; rotation des sites (cuisses alternées, abdomen) ; conservation du stylo au réfrigérateur (2–8 °C) — peut rester 72 h à température ambiante si nécessaire ; utilisation dans les 28 jours après première utilisation ; ne pas congeler ; ne pas agiter ; apprentissage de la technique d'injection par le pharmacien ou l'infirmière ; élimination du stylo en déchets d'activité de soins à risque infectieux (DASRI).</w:t>
      </w:r>
    </w:p>
    <w:p>
      <w:r/>
      <w:r>
        <w:rPr>
          <w:b/>
        </w:rPr>
        <w:t>Notes, Règles d'Or &amp; Pièges au Comptoir :</w:t>
      </w:r>
      <w:r/>
    </w:p>
    <w:p>
      <w:pPr>
        <w:pStyle w:val="ListBullet"/>
      </w:pPr>
      <w:r/>
      <w:r>
        <w:rPr>
          <w:b/>
        </w:rPr>
        <w:t>Piège classique :</w:t>
      </w:r>
      <w:r>
        <w:t xml:space="preserve"> (i) Oubli du </w:t>
      </w:r>
      <w:r>
        <w:rPr>
          <w:b/>
        </w:rPr>
        <w:t>relais par bisphosphonate</w:t>
      </w:r>
      <w:r>
        <w:t xml:space="preserve"> après arrêt du tériparatide → perte rapide du bénéfice osseux en 12–24 mois ; (ii) Poursuite du tériparatide au-delà de 24 mois → augmentation du risque théorique d'ostéosarcome ; (iii) Prescription chez un patient avec antécédent de cancer osseux, de radiothérapie externe, ou de maladie de Paget → CI absolue ; (iv) Non-vérification de la calcémie préalable → risque d'hypercalcémie aggravée ; (v) Conservation du stylo à température ambiante prolongée → perte d'efficacité (à conserver au réfrigérateur) ; (vi) Non-apprentissage de la technique d'injection → erreurs d'administration, surdosage ou sous-dosage.</w:t>
      </w:r>
    </w:p>
    <w:p>
      <w:pPr>
        <w:pStyle w:val="ListBullet"/>
      </w:pPr>
      <w:r/>
      <w:r>
        <w:rPr>
          <w:b/>
        </w:rPr>
        <w:t>Règle de prise :</w:t>
      </w:r>
      <w:r>
        <w:t xml:space="preserve"> injection SC quotidienne à heure fixe ; rotation des sites ; conservation au réfrigérateur ; durée 24 mois à vie maximum ; relais systématique par bisphosphonate.</w:t>
      </w:r>
    </w:p>
    <w:p>
      <w:pPr>
        <w:pStyle w:val="ListBullet"/>
      </w:pPr>
      <w:r/>
      <w:r>
        <w:rPr>
          <w:b/>
        </w:rPr>
        <w:t>Préparation et Conservation :</w:t>
      </w:r>
      <w:r>
        <w:t xml:space="preserve"> stylo prérempli à conserver au réfrigérateur (2–8 °C), ne pas congeler, ne pas agiter. À utiliser dans les 28 jours après première utilisation. Peut rester à température ambiante (≤ 25 °C) pendant 72 h maximum (par exemple pour voyages). Élimination en DASRI.</w:t>
      </w:r>
    </w:p>
    <w:p>
      <w:pPr>
        <w:pStyle w:val="ListBullet"/>
      </w:pPr>
      <w:r/>
      <w:r>
        <w:rPr>
          <w:b/>
        </w:rPr>
        <w:t>Piège du surdosage / Substitution :</w:t>
      </w:r>
      <w:r>
        <w:t xml:space="preserve"> en cas de surdosage (injection accidentelle de plusieurs doses) → hypercalcémie aiguë, nausées, vertiges, hypotension — prise en charge médicale immédiate, hydratation IV, surveillance calcémie et ECG. Ne pas substituer FORTEO par un autre médicament sans avis médical — le tériparatide est unique dans sa classe en Algérie. Vérifier la prescription (20 µg/j — pas d'autre dosage disponible).</w:t>
      </w:r>
    </w:p>
    <w:p>
      <w:pPr>
        <w:pStyle w:val="Heading2"/>
      </w:pPr>
      <w:r>
        <w:t>XII. Sous-classe : Anti-ostéoporotiques — Divers</w:t>
      </w:r>
    </w:p>
    <w:p>
      <w:pPr>
        <w:pStyle w:val="Heading3"/>
      </w:pPr>
      <w:r>
        <w:t>Introduction à la sous-classe</w:t>
      </w:r>
    </w:p>
    <w:p>
      <w:r>
        <w:t xml:space="preserve">La sous-classe des anti-ostéoporotiques "divers" regroupe les molécules qui ne sont ni des bisphosphonates (anti-résorbeurs classiques), ni des anabolisants osseux (tériparatide). Elle inclut le </w:t>
      </w:r>
      <w:r>
        <w:rPr>
          <w:b/>
        </w:rPr>
        <w:t>ranélate de strontium</w:t>
      </w:r>
      <w:r>
        <w:t xml:space="preserve">, la </w:t>
      </w:r>
      <w:r>
        <w:rPr>
          <w:b/>
        </w:rPr>
        <w:t>calcitonine</w:t>
      </w:r>
      <w:r>
        <w:t xml:space="preserve"> (non traitée ici en tant qu'anti-ostéoporotique — utilisée essentiellement dans la maladie de Paget et l'algodystrophie), les </w:t>
      </w:r>
      <w:r>
        <w:rPr>
          <w:b/>
        </w:rPr>
        <w:t>œstrogènes et modulateurs des récepteurs aux œstrogènes</w:t>
      </w:r>
      <w:r>
        <w:t xml:space="preserve"> (raloxifène — non commercialisé en Algérie à date), et les </w:t>
      </w:r>
      <w:r>
        <w:rPr>
          <w:b/>
        </w:rPr>
        <w:t>anticorps anti-RANKL</w:t>
      </w:r>
      <w:r>
        <w:t xml:space="preserve"> (dénosumab — non commercialisé en Algérie à date).</w:t>
      </w:r>
    </w:p>
    <w:p>
      <w:r>
        <w:t xml:space="preserve">Le </w:t>
      </w:r>
      <w:r>
        <w:rPr>
          <w:b/>
        </w:rPr>
        <w:t>ranélate de strontium</w:t>
      </w:r>
      <w:r>
        <w:t xml:space="preserve"> (PROTOS — Servier) est le seul représentant de cette classe disponible en Algérie. Il a un mécanisme d'action </w:t>
      </w:r>
      <w:r>
        <w:rPr>
          <w:b/>
        </w:rPr>
        <w:t>dual</w:t>
      </w:r>
      <w:r>
        <w:t xml:space="preserve"> : à la fois stimulateur de la formation osseuse (effet anabolique) et inhibiteur de la résorption (effet anti-résorbeur). Le strontium a un rayon ionique proche de celui du calcium, ce qui lui permet de se substituer au calcium dans l'hydroxyapatite, augmentant ainsi la densité minérale apparente. Toutefois, le ranélate de strontium est aujourd'hui en déclin en raison d'une augmentation du risque cardiovasculaire (notamment veineux thromboembolique et d'événements coronariens), qui a conduit l'EMA à restreindre ses indications en 2013-2014 (réservé à l'ostéoporose sévère avec contre-indication ou intolérance aux autres traitements).</w:t>
      </w:r>
    </w:p>
    <w:p>
      <w:pPr>
        <w:pStyle w:val="Heading3"/>
      </w:pPr>
      <w:r>
        <w:t>13. DCI : Ranélate de strontium (Seule)</w:t>
      </w:r>
    </w:p>
    <w:p>
      <w:r/>
      <w:r>
        <w:rPr>
          <w:b/>
        </w:rPr>
        <w:t>Liste des Catégories :</w:t>
      </w:r>
      <w:r>
        <w:t xml:space="preserve"> Liste I.</w:t>
      </w:r>
    </w:p>
    <w:p>
      <w:r>
        <w:t xml:space="preserve">Le ranélate de strontium (Sr2H5(SrC6H5O7)2) est un composé organique de strontium (Sr, métal alcalino-terreux du même groupe que le calcium, rayon ionique Sr²⁺ ≈ 1,13 Å vs Ca²⁺ ≈ 0,99 Å). Sa structure lui confère une affinité pour le tissu osseux (le strontium se substitue au calcium dans l'hydroxyapatite) et un mécanisme d'action </w:t>
      </w:r>
      <w:r>
        <w:rPr>
          <w:b/>
        </w:rPr>
        <w:t>dual</w:t>
      </w:r>
      <w:r>
        <w:t xml:space="preserve"> : stimulation de la formation osseuse (effet anabolique via activation du </w:t>
      </w:r>
      <w:r>
        <w:rPr>
          <w:b/>
        </w:rPr>
        <w:t>récepteur sensible au calcium (CaSR)</w:t>
      </w:r>
      <w:r>
        <w:t xml:space="preserve"> sur les ostéoblastes) et inhibition de la résorption (effet anti-résorbeur via modulation du RANKL/OPG sur les ostéoclastes). Commercialisé sous le nom de PROTOS (Servier) en granulés pour solution buvable en sachets à 2 g, il est administré en prise quotidienne au coucher, à distance des aliments.</w:t>
      </w:r>
    </w:p>
    <w:p>
      <w:r/>
      <w:r>
        <w:rPr>
          <w:b/>
        </w:rPr>
        <w:t>Médicaments disponibles en Algérie (Marques, Laboratoires, Formes et Dosages) :</w:t>
      </w:r>
      <w:r/>
    </w:p>
    <w:p>
      <w:pPr>
        <w:pStyle w:val="ListBullet"/>
      </w:pPr>
      <w:r/>
      <w:r>
        <w:rPr>
          <w:b/>
        </w:rPr>
        <w:t>PROTOS</w:t>
      </w:r>
      <w:r>
        <w:t xml:space="preserve"> (LES LABORATOIRES SERVIER — France)</w:t>
      </w:r>
    </w:p>
    <w:p>
      <w:pPr>
        <w:pStyle w:val="ListBullet"/>
      </w:pPr>
      <w:r>
        <w:t>Formes et Dosages : Granulé pour solution buvable en sachets-dose 2 g, B/7 et B/28 sachets. Actif. Liste I.</w:t>
      </w:r>
    </w:p>
    <w:p>
      <w:r>
        <w:t xml:space="preserve">À noter : le ranélate de strontium est disponible en Algérie </w:t>
      </w:r>
      <w:r>
        <w:rPr>
          <w:b/>
        </w:rPr>
        <w:t>exclusivement</w:t>
      </w:r>
      <w:r>
        <w:t xml:space="preserve"> sous la forme PROTOS (Servier — princeps), en sachets de granulés à diluer dans un verre d'eau. La dose quotidienne est de </w:t>
      </w:r>
      <w:r>
        <w:rPr>
          <w:b/>
        </w:rPr>
        <w:t>2 g/j (1 sachet/j), au coucher, à distance des aliments (au moins 2 h après le dîner)</w:t>
      </w:r>
      <w:r>
        <w:t xml:space="preserve">. La commercialisation a été restreinte par l'EMA en 2013-2014 en raison de l'augmentation du risque cardiovasculaire (notamment événements coronariens et thromboemboliques veineux) — le ranélate de strontium est désormais réservé à l'ostéoporose post-ménopausique </w:t>
      </w:r>
      <w:r>
        <w:rPr>
          <w:b/>
        </w:rPr>
        <w:t>sévère</w:t>
      </w:r>
      <w:r>
        <w:t xml:space="preserve"> avec contre-indication ou intolérance aux autres traitements (bisphosphonates, tériparatide).</w:t>
      </w:r>
    </w:p>
    <w:p>
      <w:r/>
      <w:r>
        <w:rPr>
          <w:b/>
        </w:rPr>
        <w:t>Sous-classe et Mécanisme d'action :</w:t>
      </w:r>
      <w:r/>
    </w:p>
    <w:p>
      <w:pPr>
        <w:pStyle w:val="ListBullet"/>
      </w:pPr>
      <w:r/>
      <w:r>
        <w:rPr>
          <w:b/>
        </w:rPr>
        <w:t>Sous-classe :</w:t>
      </w:r>
      <w:r>
        <w:t xml:space="preserve"> Anti-ostéoporotique divers (Liste I). Mécanisme d'action dual : anabolisant osseux + anti-résorbeur. Composé organique de strontium.</w:t>
      </w:r>
    </w:p>
    <w:p>
      <w:pPr>
        <w:pStyle w:val="ListBullet"/>
      </w:pPr>
      <w:r/>
      <w:r>
        <w:rPr>
          <w:b/>
        </w:rPr>
        <w:t>Mécanisme d'action :</w:t>
      </w:r>
      <w:r>
        <w:t xml:space="preserve"> le strontium (Sr²⁺) a un rayon ionique proche du calcium (Ca²⁺), ce qui lui permet de se substituer au calcium dans le réseau cristallin de l'hydroxyapatite osseuse, augmentant ainsi la </w:t>
      </w:r>
      <w:r>
        <w:rPr>
          <w:b/>
        </w:rPr>
        <w:t>densité minérale apparente</w:t>
      </w:r>
      <w:r>
        <w:t xml:space="preserve"> (effet DEXA surestimé — attention à l'interprétation). Au niveau cellulaire, le strontium active le </w:t>
      </w:r>
      <w:r>
        <w:rPr>
          <w:b/>
        </w:rPr>
        <w:t>récepteur sensible au calcium (CaSR)</w:t>
      </w:r>
      <w:r>
        <w:t xml:space="preserve"> à la surface des ostéoblastes, stimulant leur </w:t>
      </w:r>
      <w:r>
        <w:rPr>
          <w:b/>
        </w:rPr>
        <w:t>différenciation et activité</w:t>
      </w:r>
      <w:r>
        <w:t xml:space="preserve"> (effet anabolique via augmentation de l'expression de Cbfa1/Runx2 et de la synthèse de collagène I). Sur les ostéoclastes, le strontium réduit leur </w:t>
      </w:r>
      <w:r>
        <w:rPr>
          <w:b/>
        </w:rPr>
        <w:t>différenciation</w:t>
      </w:r>
      <w:r>
        <w:t xml:space="preserve"> (diminution de l'expression de RANKL et augmentation de l'OPG par les ostéoblastes) et leur </w:t>
      </w:r>
      <w:r>
        <w:rPr>
          <w:b/>
        </w:rPr>
        <w:t>activité</w:t>
      </w:r>
      <w:r>
        <w:t xml:space="preserve"> (réduction de la </w:t>
      </w:r>
      <w:r>
        <w:rPr>
          <w:b/>
        </w:rPr>
        <w:t>cathepsine K</w:t>
      </w:r>
      <w:r>
        <w:t xml:space="preserve"> et de la </w:t>
      </w:r>
      <w:r>
        <w:rPr>
          <w:b/>
        </w:rPr>
        <w:t>TRAP</w:t>
      </w:r>
      <w:r>
        <w:t xml:space="preserve">). L'effet global est un </w:t>
      </w:r>
      <w:r>
        <w:rPr>
          <w:b/>
        </w:rPr>
        <w:t>déséquilibre positif du remodelage osseux</w:t>
      </w:r>
      <w:r>
        <w:t xml:space="preserve"> : formation &gt; résorption, avec augmentation de la DMO et amélioration des propriétés biomécaniques osseuses.</w:t>
      </w:r>
    </w:p>
    <w:p>
      <w:pPr>
        <w:pStyle w:val="ListBullet"/>
      </w:pPr>
      <w:r/>
      <w:r>
        <w:rPr>
          <w:b/>
        </w:rPr>
        <w:t>Pharmacocinétique :</w:t>
      </w:r>
      <w:r>
        <w:t xml:space="preserve"> absorption orale variable (biodisponibilité absolue 19–27 %, réduite par la prise concomitante d'aliments — d'où la prise à distance des repas) ; liaison aux protéines plasmatiques faible (25 % en Sr²⁺ libre, 75 % complexé) ; distribution osseuse progressive (5 % de la dose absorbée par an) ; élimination rénale (50 %) et fécale (50 %, sous forme non absorbée) ; </w:t>
      </w:r>
      <w:r>
        <w:rPr>
          <w:b/>
        </w:rPr>
        <w:t>demi-vie osseuse très prolongée</w:t>
      </w:r>
      <w:r>
        <w:t xml:space="preserve"> (&gt; 10 ans — persistance plusieurs années après arrêt).</w:t>
      </w:r>
    </w:p>
    <w:p>
      <w:r/>
      <w:r>
        <w:rPr>
          <w:b/>
        </w:rPr>
        <w:t>Profil Pharmacologique :</w:t>
      </w:r>
      <w:r/>
    </w:p>
    <w:p>
      <w:pPr>
        <w:pStyle w:val="ListBullet"/>
      </w:pPr>
      <w:r/>
      <w:r>
        <w:rPr>
          <w:b/>
        </w:rPr>
        <w:t>Indications :</w:t>
      </w:r>
      <w:r>
        <w:t xml:space="preserve"> (i) </w:t>
      </w:r>
      <w:r>
        <w:rPr>
          <w:b/>
        </w:rPr>
        <w:t>Ostéoporose post-ménopausique sévère</w:t>
      </w:r>
      <w:r>
        <w:t xml:space="preserve"> avec T-score ≤ -2,5 et fractures fragilité multiples, en cas de contre-indication ou d'intolérance aux autres traitements (bisphosphonates, tériparatide) — réduction du risque fracturaire vertébral -24–37 %, non-vertébral -12–16 %, études SOTI et TROPOS — Meunier et al., J Clin Endocrinol Metab 2002, Reginster et al., J Clin Endocrinol Metab 2005. </w:t>
      </w:r>
      <w:r>
        <w:rPr>
          <w:b/>
        </w:rPr>
        <w:t>Restriction EMA 2013-2014</w:t>
      </w:r>
      <w:r>
        <w:t xml:space="preserve"> : réservé aux patientes à haut risque fracturaire avec CI ou intolérance aux autres options.</w:t>
      </w:r>
    </w:p>
    <w:p>
      <w:pPr>
        <w:pStyle w:val="ListBullet"/>
      </w:pPr>
      <w:r/>
      <w:r>
        <w:rPr>
          <w:b/>
        </w:rPr>
        <w:t>Contre-indications :</w:t>
      </w:r>
      <w:r>
        <w:t xml:space="preserve"> (i) </w:t>
      </w:r>
      <w:r>
        <w:rPr>
          <w:b/>
        </w:rPr>
        <w:t>Antécédent d'événement thromboembolique veineux</w:t>
      </w:r>
      <w:r>
        <w:t xml:space="preserve"> (TVP, EP) — majoration du risque ; (ii) </w:t>
      </w:r>
      <w:r>
        <w:rPr>
          <w:b/>
        </w:rPr>
        <w:t>Antécédent d'événement coronarien</w:t>
      </w:r>
      <w:r>
        <w:t xml:space="preserve"> (IDM, angor instable) ou artériel (AVC ischémique) — majoration du risque cardiovasculaire ; (iii) </w:t>
      </w:r>
      <w:r>
        <w:rPr>
          <w:b/>
        </w:rPr>
        <w:t>Immobilisation prolongée</w:t>
      </w:r>
      <w:r>
        <w:t xml:space="preserve"> temporaire (chirurgie, hospitalisation) — arrêt transitoire obligatoire ; (iv) Insuffisance rénale sévère (DFG &lt; 30 mL/min) ; (v) Hypersensibilité au strontium ou aux excipients ; (vi) Grossesse et allaitement (CI absolue — pas de données cliniques, risque théorique fœtal).</w:t>
      </w:r>
    </w:p>
    <w:p>
      <w:pPr>
        <w:pStyle w:val="ListBullet"/>
      </w:pPr>
      <w:r/>
      <w:r>
        <w:rPr>
          <w:b/>
        </w:rPr>
        <w:t>Effets Indésirables :</w:t>
      </w:r>
      <w:r/>
    </w:p>
    <w:p>
      <w:pPr>
        <w:pStyle w:val="ListBullet"/>
      </w:pPr>
      <w:r/>
      <w:r>
        <w:rPr>
          <w:b/>
        </w:rPr>
        <w:t>Cardiovasculaires</w:t>
      </w:r>
      <w:r>
        <w:t xml:space="preserve"> (effet de classe majeur, restreignant l'usage) : augmentation du risque d'événements thromboemboliques veineux (TVP, EP — RR ≈ 1,5), d'événements coronariens (IDM, angor instable — RR ≈ 1,6), et d'événements artériels (AVC ischémique). D'où la restriction EMA.</w:t>
      </w:r>
    </w:p>
    <w:p>
      <w:pPr>
        <w:pStyle w:val="ListBullet"/>
      </w:pPr>
      <w:r/>
      <w:r>
        <w:rPr>
          <w:b/>
        </w:rPr>
        <w:t>Digestifs</w:t>
      </w:r>
      <w:r>
        <w:t xml:space="preserve"> : nausées, diarrhée, douleurs abdominales, ballonnements (plus fréquents qu'avec les bisphosphonates).</w:t>
      </w:r>
    </w:p>
    <w:p>
      <w:pPr>
        <w:pStyle w:val="ListBullet"/>
      </w:pPr>
      <w:r/>
      <w:r>
        <w:rPr>
          <w:b/>
        </w:rPr>
        <w:t>Cutanés</w:t>
      </w:r>
      <w:r>
        <w:t xml:space="preserve"> : rash, prurit, dermatite (surtout en début de traitement — souvent transitoire), exceptionnellement syndrome DRESS (Drug Reaction with Eosinophilia and Systemic Symptoms) et syndrome de Stevens-Johnson — à signaler.</w:t>
      </w:r>
    </w:p>
    <w:p>
      <w:pPr>
        <w:pStyle w:val="ListBullet"/>
      </w:pPr>
      <w:r/>
      <w:r>
        <w:rPr>
          <w:b/>
        </w:rPr>
        <w:t>Céphalées</w:t>
      </w:r>
      <w:r>
        <w:t>, troubles de la mémoire, convulsions (rares).</w:t>
      </w:r>
    </w:p>
    <w:p>
      <w:pPr>
        <w:pStyle w:val="ListBullet"/>
      </w:pPr>
      <w:r/>
      <w:r>
        <w:rPr>
          <w:b/>
        </w:rPr>
        <w:t>Augmentation de la créatinine phosphokinase (CPK)</w:t>
      </w:r>
      <w:r>
        <w:t xml:space="preserve"> transitoire (à surveiller).</w:t>
      </w:r>
    </w:p>
    <w:p>
      <w:pPr>
        <w:pStyle w:val="ListBullet"/>
      </w:pPr>
      <w:r/>
      <w:r>
        <w:rPr>
          <w:b/>
        </w:rPr>
        <w:t>Hypersensibilité</w:t>
      </w:r>
      <w:r>
        <w:t xml:space="preserve"> (DRESS, Stevens-Johnson — rares mais graves, à signaler et arrêter).</w:t>
      </w:r>
    </w:p>
    <w:p>
      <w:r/>
      <w:r>
        <w:rPr>
          <w:b/>
        </w:rPr>
        <w:t>Prévention et Gestion des Effets Indésirables :</w:t>
      </w:r>
      <w:r/>
    </w:p>
    <w:p>
      <w:pPr>
        <w:pStyle w:val="ListBullet"/>
      </w:pPr>
      <w:r/>
      <w:r>
        <w:rPr>
          <w:b/>
        </w:rPr>
        <w:t>Mesures Préventives :</w:t>
      </w:r>
      <w:r>
        <w:t xml:space="preserve"> évaluation cardiovasculaire préalable (recherche d'antécédents thromboemboliques veineux, coronariens, artériels — prescription contre-indiquée en cas d'antécédent) ; arrêt transitoire en cas d'immobilisation prolongée (chirurgie programmée, hospitalisation) — à reprendre après reprise de la mobilité ; surveillance de la fonction rénale (DFG &gt; 30 mL/min obligatoire) ; surveillance cutanée en début de traitement (rash, prurit — en cas de réaction sévère : arrêt immédiat et consultation) ; surveillance CPK à 1 et 3 mois.</w:t>
      </w:r>
    </w:p>
    <w:p>
      <w:pPr>
        <w:pStyle w:val="ListBullet"/>
      </w:pPr>
      <w:r/>
      <w:r>
        <w:rPr>
          <w:b/>
        </w:rPr>
        <w:t>Conduite à Tenir :</w:t>
      </w:r>
      <w:r>
        <w:t xml:space="preserve"> en cas d'événement thromboembolique veineux ou coronarien sous traitement : arrêt immédiat définitif, prise en charge spécialisée (anticoagulation, antiagrégants, etc.), relais par une autre classe anti-ostéoporotique (bisphosphonate). En cas de rash cutané sévère ou DRESS : arrêt immédiat, consultation dermatologique, surveillance hématologique et hépatique.</w:t>
      </w:r>
    </w:p>
    <w:p>
      <w:r/>
      <w:r>
        <w:rPr>
          <w:b/>
        </w:rPr>
        <w:t>Interactions Importantes :</w:t>
      </w:r>
      <w:r/>
    </w:p>
    <w:p>
      <w:pPr>
        <w:pStyle w:val="ListBullet"/>
      </w:pPr>
      <w:r/>
      <w:r>
        <w:rPr>
          <w:b/>
        </w:rPr>
        <w:t>Ranélate de strontium + Calcium, fer, antiacides, lait, aliments</w:t>
      </w:r>
      <w:r>
        <w:t xml:space="preserve"> : chélation intestinale → diminution de l'absorption du strontium. </w:t>
      </w:r>
      <w:r>
        <w:rPr>
          <w:b/>
        </w:rPr>
        <w:t>Espacer d'au moins 2 h</w:t>
      </w:r>
      <w:r>
        <w:t xml:space="preserve"> (prendre le strontium au coucher, à distance du dîner).</w:t>
      </w:r>
    </w:p>
    <w:p>
      <w:pPr>
        <w:pStyle w:val="ListBullet"/>
      </w:pPr>
      <w:r/>
      <w:r>
        <w:rPr>
          <w:b/>
        </w:rPr>
        <w:t>Ranélate de strontium + Quinolones, tétracyclines, thyroxine, levodopa, fer, zinc</w:t>
      </w:r>
      <w:r>
        <w:t xml:space="preserve"> : chélation → diminution d'absorption. Espacer de 2 h.</w:t>
      </w:r>
    </w:p>
    <w:p>
      <w:pPr>
        <w:pStyle w:val="ListBullet"/>
      </w:pPr>
      <w:r/>
      <w:r>
        <w:rPr>
          <w:b/>
        </w:rPr>
        <w:t>Ranélate de strontium + Anticoagulants oraux (AVK, AOD)</w:t>
      </w:r>
      <w:r>
        <w:t xml:space="preserve"> : majoration du risque hémorragique (effet additif sur la thrombose — surveillance INR pour AVK).</w:t>
      </w:r>
    </w:p>
    <w:p>
      <w:pPr>
        <w:pStyle w:val="ListBullet"/>
      </w:pPr>
      <w:r/>
      <w:r>
        <w:rPr>
          <w:b/>
        </w:rPr>
        <w:t>Ranélate de strontium + Antiagrégants plaquettaires</w:t>
      </w:r>
      <w:r>
        <w:t xml:space="preserve"> (aspirine, clopidogrel) : majoration du risque hémorragique.</w:t>
      </w:r>
    </w:p>
    <w:p>
      <w:pPr>
        <w:pStyle w:val="ListBullet"/>
      </w:pPr>
      <w:r/>
      <w:r>
        <w:rPr>
          <w:b/>
        </w:rPr>
        <w:t>Ranélate de strontium + Œstrogènes, modulateurs des récepteurs aux œstrogènes (SERM)</w:t>
      </w:r>
      <w:r>
        <w:t xml:space="preserve"> : majoration du risque thromboembolique veineux — éviter l'association.</w:t>
      </w:r>
    </w:p>
    <w:p>
      <w:r/>
      <w:r>
        <w:rPr>
          <w:b/>
        </w:rPr>
        <w:t>Grossesse et Allaitement :</w:t>
      </w:r>
      <w:r/>
    </w:p>
    <w:p>
      <w:pPr>
        <w:pStyle w:val="ListBullet"/>
      </w:pPr>
      <w:r/>
      <w:r>
        <w:rPr>
          <w:b/>
        </w:rPr>
        <w:t>Grossesse :</w:t>
      </w:r>
      <w:r>
        <w:t xml:space="preserve"> </w:t>
      </w:r>
      <w:r>
        <w:rPr>
          <w:b/>
        </w:rPr>
        <w:t>Contre-indiqué</w:t>
      </w:r>
      <w:r>
        <w:t xml:space="preserve"> (CRAT — pas de données cliniques, risque théorique fœtal). Le strontium traverse le placenta et peut s'accumuler dans le squelette fœtal en développement. Contraception obligatoire pendant le traitement.</w:t>
      </w:r>
    </w:p>
    <w:p>
      <w:pPr>
        <w:pStyle w:val="ListBullet"/>
      </w:pPr>
      <w:r/>
      <w:r>
        <w:rPr>
          <w:b/>
        </w:rPr>
        <w:t>Allaitement :</w:t>
      </w:r>
      <w:r>
        <w:t xml:space="preserve"> </w:t>
      </w:r>
      <w:r>
        <w:rPr>
          <w:b/>
        </w:rPr>
        <w:t>Contre-indiqué</w:t>
      </w:r>
      <w:r>
        <w:t xml:space="preserve"> (passage dans le lait maternel théorique, accumulation osseuse chez le nourrisson).</w:t>
      </w:r>
    </w:p>
    <w:p>
      <w:pPr>
        <w:pStyle w:val="ListBullet"/>
      </w:pPr>
      <w:r/>
      <w:r>
        <w:rPr>
          <w:b/>
        </w:rPr>
        <w:t>Précisions :</w:t>
      </w:r>
      <w:r>
        <w:t xml:space="preserve"> la demi-vie osseuse très prolongée (&gt; 10 ans) impose un délai d'attente prolongé entre l'arrêt du traitement et une grossesse éventuelle.</w:t>
      </w:r>
    </w:p>
    <w:p>
      <w:r/>
      <w:r>
        <w:rPr>
          <w:b/>
        </w:rPr>
        <w:t>Posologie et Mode d'administration (Standard) :</w:t>
      </w:r>
      <w:r/>
    </w:p>
    <w:p>
      <w:pPr>
        <w:pStyle w:val="ListBullet"/>
      </w:pPr>
      <w:r/>
      <w:r>
        <w:rPr>
          <w:b/>
        </w:rPr>
        <w:t>Adulte — Ostéoporose post-ménopausique sévère :</w:t>
      </w:r>
      <w:r>
        <w:t xml:space="preserve"> 2 g/j (1 sachet) per os, au coucher, à distance des aliments (au moins 2 h après le dîner et 30 min avant le coucher). À diluer dans un verre d'eau et boire immédiatement.</w:t>
      </w:r>
    </w:p>
    <w:p>
      <w:pPr>
        <w:pStyle w:val="ListBullet"/>
      </w:pPr>
      <w:r/>
      <w:r>
        <w:rPr>
          <w:b/>
        </w:rPr>
        <w:t>Sujet âgé :</w:t>
      </w:r>
      <w:r>
        <w:t xml:space="preserve"> pas d'adaptation posologique si fonction rénale conservée (DFG &gt; 30 mL/min).</w:t>
      </w:r>
    </w:p>
    <w:p>
      <w:pPr>
        <w:pStyle w:val="ListBullet"/>
      </w:pPr>
      <w:r/>
      <w:r>
        <w:rPr>
          <w:b/>
        </w:rPr>
        <w:t>Insuffisance rénale :</w:t>
      </w:r>
      <w:r>
        <w:t xml:space="preserve"> surveillance renforcée à DFG 30–60 mL/min ; CI si DFG &lt; 30 mL/min.</w:t>
      </w:r>
    </w:p>
    <w:p>
      <w:pPr>
        <w:pStyle w:val="ListBullet"/>
      </w:pPr>
      <w:r/>
      <w:r>
        <w:rPr>
          <w:b/>
        </w:rPr>
        <w:t>Insuffisance hépatique :</w:t>
      </w:r>
      <w:r>
        <w:t xml:space="preserve"> pas d'adaptation posologique (pas de métabolisme hépatique).</w:t>
      </w:r>
    </w:p>
    <w:p>
      <w:pPr>
        <w:pStyle w:val="ListBullet"/>
      </w:pPr>
      <w:r/>
      <w:r>
        <w:rPr>
          <w:b/>
        </w:rPr>
        <w:t>Durée :</w:t>
      </w:r>
      <w:r>
        <w:t xml:space="preserve"> au long cours, mais réévaluation annuelle de la pertinence (balance bénéfice/risque cardiovasculaire). En cas d'immobilisation prolongée (chirurgie, hospitalisation) : arrêt transitoire, à reprendre après reprise de la mobilité.</w:t>
      </w:r>
    </w:p>
    <w:p>
      <w:pPr>
        <w:pStyle w:val="ListBullet"/>
      </w:pPr>
      <w:r/>
      <w:r>
        <w:rPr>
          <w:b/>
        </w:rPr>
        <w:t>Moment de prise :</w:t>
      </w:r>
      <w:r>
        <w:t xml:space="preserve"> au coucher, à distance des aliments (au moins 2 h après le dîner). À diluer dans un verre d'eau et boire immédiatement.</w:t>
      </w:r>
    </w:p>
    <w:p>
      <w:r/>
      <w:r>
        <w:rPr>
          <w:b/>
        </w:rPr>
        <w:t>Arbitrage et Bénéfices des Formes Galéniques :</w:t>
      </w:r>
      <w:r/>
    </w:p>
    <w:p>
      <w:pPr>
        <w:pStyle w:val="ListBullet"/>
      </w:pPr>
      <w:r/>
      <w:r>
        <w:rPr>
          <w:b/>
        </w:rPr>
        <w:t>Granulé pour solution buvable en sachet 2 g (PROTOS) :</w:t>
      </w:r>
      <w:r>
        <w:t xml:space="preserve"> galénique unique disponible. À diluer dans un verre d'eau et boire immédiatement (la solution se trouble, à consommer rapidement). Prise au coucher, à distance des aliments.</w:t>
      </w:r>
    </w:p>
    <w:p>
      <w:pPr>
        <w:pStyle w:val="ListBullet"/>
      </w:pPr>
      <w:r/>
      <w:r>
        <w:rPr>
          <w:b/>
        </w:rPr>
        <w:t>Avantage vs bisphosphonates per os :</w:t>
      </w:r>
      <w:r>
        <w:t xml:space="preserve"> pas de risque d'œsophagite (voie buvable, pas de CI œsophagienne) ; pas de contrainte stricte de prise à jeun (mais distance des aliments nécessaire) ; mécanisme dual (anabolique + anti-résorbeur).</w:t>
      </w:r>
    </w:p>
    <w:p>
      <w:pPr>
        <w:pStyle w:val="ListBullet"/>
      </w:pPr>
      <w:r/>
      <w:r>
        <w:rPr>
          <w:b/>
        </w:rPr>
        <w:t>Inconvénient vs bisphosphonates</w:t>
      </w:r>
      <w:r>
        <w:t xml:space="preserve"> : </w:t>
      </w:r>
      <w:r>
        <w:rPr>
          <w:b/>
        </w:rPr>
        <w:t>risque cardiovasculaire majeur</w:t>
      </w:r>
      <w:r>
        <w:t xml:space="preserve"> (restriction EMA 2013-2014) ; prise quotidienne (vs hebdomadaire pour alendronate/risédronate, annuelle pour zolédronate) ; spectre d'effets indésirables digestifs plus large (nausées, diarrhée).</w:t>
      </w:r>
    </w:p>
    <w:p>
      <w:pPr>
        <w:pStyle w:val="ListBullet"/>
      </w:pPr>
      <w:r/>
      <w:r>
        <w:rPr>
          <w:b/>
        </w:rPr>
        <w:t>Place thérapeutique :</w:t>
      </w:r>
      <w:r>
        <w:t xml:space="preserve"> le ranélate de strontium est désormais un traitement de </w:t>
      </w:r>
      <w:r>
        <w:rPr>
          <w:b/>
        </w:rPr>
        <w:t>seconde intention</w:t>
      </w:r>
      <w:r>
        <w:t>, réservé aux patientes à haut risque fracturaire avec contre-indication ou intolérance aux bisphosphonates et au tériparatide, et après évaluation cardiovasculaire rigoureuse.</w:t>
      </w:r>
    </w:p>
    <w:p>
      <w:r/>
      <w:r>
        <w:rPr>
          <w:b/>
        </w:rPr>
        <w:t>Instructions et Conseils au Patient :</w:t>
      </w:r>
      <w:r/>
    </w:p>
    <w:p>
      <w:pPr>
        <w:pStyle w:val="ListBullet"/>
      </w:pPr>
      <w:r/>
      <w:r>
        <w:rPr>
          <w:b/>
        </w:rPr>
        <w:t>Communication au comptoir :</w:t>
      </w:r>
      <w:r>
        <w:t xml:space="preserve"> « Le ranélate de strontium (Protos) est un médicament de l'os indiqué dans l'ostéoporose sévère, en seconde intention. À prendre 1 sachet par jour, au coucher, à distance des aliments (au moins 2 h après le dîner). Diluez le contenu du sachet dans un verre d'eau et buvez immédiatement. Prévenez votre médecin en cas de douleur à la poitrine, d'essoufflement, de douleur ou gonflement d'une jambe (signes de thrombose), de rash cutané sévère. Signalez tout soin dentaire prévu et toute hospitalisation programmée (arrêt transitoire à prévoir). »</w:t>
      </w:r>
    </w:p>
    <w:p>
      <w:pPr>
        <w:pStyle w:val="ListBullet"/>
      </w:pPr>
      <w:r/>
      <w:r>
        <w:rPr>
          <w:b/>
        </w:rPr>
        <w:t>Mode d'utilisation pratique :</w:t>
      </w:r>
      <w:r>
        <w:t xml:space="preserve"> diluer le contenu du sachet dans un verre d'eau et boire immédiatement ; prise au coucher, à distance des aliments ; surveillance des signes cardiovasculaires (TVP, EP, IDM, AVC) ; surveillance cutanée en début de traitement.</w:t>
      </w:r>
    </w:p>
    <w:p>
      <w:r/>
      <w:r>
        <w:rPr>
          <w:b/>
        </w:rPr>
        <w:t>Notes, Règles d'Or &amp; Pièges au Comptoir :</w:t>
      </w:r>
      <w:r/>
    </w:p>
    <w:p>
      <w:pPr>
        <w:pStyle w:val="ListBullet"/>
      </w:pPr>
      <w:r/>
      <w:r>
        <w:rPr>
          <w:b/>
        </w:rPr>
        <w:t>Piège classique :</w:t>
      </w:r>
      <w:r>
        <w:t xml:space="preserve"> (i) Prescription chez une patiente avec antécédent thromboembolique veineux ou coronarien → </w:t>
      </w:r>
      <w:r>
        <w:rPr>
          <w:b/>
        </w:rPr>
        <w:t>CI absolue</w:t>
      </w:r>
      <w:r>
        <w:t xml:space="preserve"> ; (ii) Oubli d'arrêter le traitement en cas d'immobilisation prolongée (chirurgie, hospitalisation) → majoration du risque thromboembolique ; (iii) Prise concomitante avec des aliments ou des médicaments chélateurs (calcium, thyroxine, fer) → inefficacité ; (iv) Non-évaluation cardiovasculaire préalable → prescription inappropriée ; (v) Poursuite du traitement malgré événement cardiovasculaire intercurrent → erreur grave.</w:t>
      </w:r>
    </w:p>
    <w:p>
      <w:pPr>
        <w:pStyle w:val="ListBullet"/>
      </w:pPr>
      <w:r/>
      <w:r>
        <w:rPr>
          <w:b/>
        </w:rPr>
        <w:t>Règle de prise :</w:t>
      </w:r>
      <w:r>
        <w:t xml:space="preserve"> au coucher, à distance des aliments (≥ 2 h après le dîner) ; espacer de 2 h des chélateurs ; arrêt transitoire en cas d'immobilisation prolongée ; surveillance cardiovasculaire et cutanée.</w:t>
      </w:r>
    </w:p>
    <w:p>
      <w:pPr>
        <w:pStyle w:val="ListBullet"/>
      </w:pPr>
      <w:r/>
      <w:r>
        <w:rPr>
          <w:b/>
        </w:rPr>
        <w:t>Préparation et Conservation :</w:t>
      </w:r>
      <w:r>
        <w:t xml:space="preserve"> les sachets se conservent à température ambiante (15–25 °C), à l'abri de l'humidité. Après dilution dans l'eau, la solution se trouble et doit être bue immédiatement (ne pas conserver pour plus tard).</w:t>
      </w:r>
    </w:p>
    <w:p>
      <w:pPr>
        <w:pStyle w:val="ListBullet"/>
      </w:pPr>
      <w:r/>
      <w:r>
        <w:rPr>
          <w:b/>
        </w:rPr>
        <w:t>Piège du surdosage / Substitution :</w:t>
      </w:r>
      <w:r>
        <w:t xml:space="preserve"> en cas de surdosage massif → hypocalcémie transitoire possible (le strontium antagonise le calcium), surveillance calcémie et ECG. Ne pas substituer par un bisphosphonate sans avis médical (mécanisme d'action différent, profil d'effets indésirables différent). Vérifier la prescription (2 g/j — pas d'autre dosage disponible).</w:t>
      </w:r>
    </w:p>
    <w:p>
      <w:pPr>
        <w:pStyle w:val="Heading2"/>
      </w:pPr>
      <w:r>
        <w:t>XIII. Sous-classe : Anti-obésité — Inhibiteurs de lipase gastro-intestinale (Orlistat) — Mention théorique (non commercialisé en Algérie)</w:t>
      </w:r>
    </w:p>
    <w:p>
      <w:pPr>
        <w:pStyle w:val="Heading3"/>
      </w:pPr>
      <w:r>
        <w:t>Introduction à la sous-classe — Mention théorique (non commercialisé en Algérie)</w:t>
      </w:r>
    </w:p>
    <w:p>
      <w:r>
        <w:t>L'</w:t>
      </w:r>
      <w:r>
        <w:rPr>
          <w:b/>
        </w:rPr>
        <w:t>orlistat</w:t>
      </w:r>
      <w:r>
        <w:t xml:space="preserve"> (Xenical® — Roche, princeps international) est un inhibiteur réversible et sélectif des </w:t>
      </w:r>
      <w:r>
        <w:rPr>
          <w:b/>
        </w:rPr>
        <w:t>lipases gastro-intestinales et pancréatiques</w:t>
      </w:r>
      <w:r>
        <w:t>, qui empêche l'hydrolyse des triglycérides alimentaires en acides gras libres et monoacylglycérols absorbables. L'absorption des graisses est réduite d'environ 30 %, entraînant un déficit calorique modéré et une perte de poids de 5–10 % à 6–12 mois, en association à un régime hypocalorique. Indiqué dans l'obésité (IMC ≥ 30 kg/m²) ou le surpoids (IMC ≥ 28 kg/m²) avec facteurs de risque cardiovasculaire, en complément des mesures hygiéno-diététiques.</w:t>
      </w:r>
    </w:p>
    <w:p>
      <w:r/>
      <w:r>
        <w:rPr>
          <w:b/>
        </w:rPr>
        <w:t>Disponibilité en Algérie :</w:t>
      </w:r>
      <w:r>
        <w:t xml:space="preserve"> l'orlistat </w:t>
      </w:r>
      <w:r>
        <w:rPr>
          <w:b/>
        </w:rPr>
        <w:t>n'est pas commercialisé en Algérie</w:t>
      </w:r>
      <w:r>
        <w:t xml:space="preserve"> à la date de rédaction de ce fascicule. Les patients algériens n'ont donc pas accès à une option pharmacologique pour la prise en charge de l'obésité, ce qui limite l'arsenal thérapeutique à la chirurgie bariatrique (by-pass gastrique, sleeve gastrectomie) et aux mesures hygiéno-diététiques (régime hypocalorique, activité physique). Cette absence est notable au regard de la prévalence croissante de l'obésité en Algérie (20–30 % des femmes urbaines, 10–15 % des hommes urbains).</w:t>
      </w:r>
    </w:p>
    <w:p>
      <w:r/>
      <w:r>
        <w:rPr>
          <w:b/>
        </w:rPr>
        <w:t>Mécanisme d'action moléculaire (rappel théorique) :</w:t>
      </w:r>
      <w:r>
        <w:t xml:space="preserve"> l'orlistat (N-formyl-L-leucine ester de (S)-1-[[(2S,3S)-3-hexyl-4-oxo-2-oxetanyl]methyl]dodecyl-L-leucinate) est un analogue structurel des triglycérides qui se fixe de manière covalente sur la </w:t>
      </w:r>
      <w:r>
        <w:rPr>
          <w:b/>
        </w:rPr>
        <w:t>sérine active</w:t>
      </w:r>
      <w:r>
        <w:t xml:space="preserve"> (Ser152) des </w:t>
      </w:r>
      <w:r>
        <w:rPr>
          <w:b/>
        </w:rPr>
        <w:t>lipases gastriques et pancréatiques</w:t>
      </w:r>
      <w:r>
        <w:t xml:space="preserve"> (LIPF, PNLIP), formant un ester intermédiaire stable qui bloque l'hydrolyse des triglycérides alimentaires en acides gras libres et 2-monoacylglycérols. Les graisses non hydrolysées ne sont pas absorbées par les entérocytes et sont excrétées dans les selles. La biodisponibilité systémique de l'orlistat est extrêmement faible (&lt; 1 %) — il agit localement dans la lumière intestinale, sans effet systémique significatif.</w:t>
      </w:r>
    </w:p>
    <w:p>
      <w:r/>
      <w:r>
        <w:rPr>
          <w:b/>
        </w:rPr>
        <w:t>Effets indésirables (rappel théorique) :</w:t>
      </w:r>
      <w:r>
        <w:t xml:space="preserve"> principalement digestifs, liés à l'action locale — stéatorrhée (selles grasses), diarrhée graisseuse, urgently besoins selle, flatulences avec rectorragies grasses, incontinence fécale (surtout en cas de régime riche en graisses) ; Rarement : atteinte hépatique (cytolyse, hépatite — signal pharmacovigilance), calculs biliaires (perte de poids rapide), hypovitaminose A, D, E, K (liposolubles — supplémentation recommandée).</w:t>
      </w:r>
    </w:p>
    <w:p>
      <w:r/>
      <w:r>
        <w:rPr>
          <w:b/>
        </w:rPr>
        <w:t>Posologie théorique (à titre indicatif) :</w:t>
      </w:r>
      <w:r>
        <w:t xml:space="preserve"> 120 mg 3 fois/jour au cours de chaque repas principal (petit-déjeuner, déjeuner, dîner), en association à un régime hypocalorique équilibré (≈ 30 % des calories en graisses). À sauter en cas de repas sans graisse. En cas d'oubli en cours de repas, à prendre dans l'heure qui suit.</w:t>
      </w:r>
    </w:p>
    <w:p>
      <w:pPr>
        <w:pStyle w:val="Heading2"/>
      </w:pPr>
      <w:r>
        <w:t>XIV. Tableau Comparatif des 13 DCIs de la Section 46</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w:t>
            </w:r>
          </w:p>
        </w:tc>
        <w:tc>
          <w:tcPr>
            <w:tcW w:type="dxa" w:w="1169"/>
          </w:tcPr>
          <w:p>
            <w:r>
              <w:rPr>
                <w:b/>
                <w:sz w:val="20"/>
              </w:rPr>
              <w:t>DCI</w:t>
            </w:r>
          </w:p>
        </w:tc>
        <w:tc>
          <w:tcPr>
            <w:tcW w:type="dxa" w:w="1169"/>
          </w:tcPr>
          <w:p>
            <w:r>
              <w:rPr>
                <w:b/>
                <w:sz w:val="20"/>
              </w:rPr>
              <w:t>Sous-classe</w:t>
            </w:r>
          </w:p>
        </w:tc>
        <w:tc>
          <w:tcPr>
            <w:tcW w:type="dxa" w:w="1169"/>
          </w:tcPr>
          <w:p>
            <w:r>
              <w:rPr>
                <w:b/>
                <w:sz w:val="20"/>
              </w:rPr>
              <w:t>Mécanisme d'action principal</w:t>
            </w:r>
          </w:p>
        </w:tc>
        <w:tc>
          <w:tcPr>
            <w:tcW w:type="dxa" w:w="1169"/>
          </w:tcPr>
          <w:p>
            <w:r>
              <w:rPr>
                <w:b/>
                <w:sz w:val="20"/>
              </w:rPr>
              <w:t>Posologie standard</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w:t>
            </w:r>
          </w:p>
        </w:tc>
      </w:tr>
      <w:tr>
        <w:tc>
          <w:tcPr>
            <w:tcW w:type="dxa" w:w="1169"/>
          </w:tcPr>
          <w:p>
            <w:r>
              <w:rPr>
                <w:sz w:val="20"/>
              </w:rPr>
              <w:t>1</w:t>
            </w:r>
          </w:p>
        </w:tc>
        <w:tc>
          <w:tcPr>
            <w:tcW w:type="dxa" w:w="1169"/>
          </w:tcPr>
          <w:p>
            <w:r>
              <w:rPr>
                <w:sz w:val="20"/>
              </w:rPr>
              <w:t>**Colecalciferol (D3)**</w:t>
            </w:r>
          </w:p>
        </w:tc>
        <w:tc>
          <w:tcPr>
            <w:tcW w:type="dxa" w:w="1169"/>
          </w:tcPr>
          <w:p>
            <w:r>
              <w:rPr>
                <w:sz w:val="20"/>
              </w:rPr>
              <w:t>Vitamine D native (animale)</w:t>
            </w:r>
          </w:p>
        </w:tc>
        <w:tc>
          <w:tcPr>
            <w:tcW w:type="dxa" w:w="1169"/>
          </w:tcPr>
          <w:p>
            <w:r>
              <w:rPr>
                <w:sz w:val="20"/>
              </w:rPr>
              <w:t>Prodrogue → 25-OH-D3 (calcifédiol) → 1,25-(OH)2-D3 (calcitriol) → VDR → absorption intestinale Ca/P</w:t>
            </w:r>
          </w:p>
        </w:tc>
        <w:tc>
          <w:tcPr>
            <w:tcW w:type="dxa" w:w="1169"/>
          </w:tcPr>
          <w:p>
            <w:r>
              <w:rPr>
                <w:sz w:val="20"/>
              </w:rPr>
              <w:t>800–2000 UI/j per os ou 100 000 UI/mois ; ampoule 200 000 UI IM</w:t>
            </w:r>
          </w:p>
        </w:tc>
        <w:tc>
          <w:tcPr>
            <w:tcW w:type="dxa" w:w="1169"/>
          </w:tcPr>
          <w:p>
            <w:r>
              <w:rPr>
                <w:sz w:val="20"/>
              </w:rPr>
              <w:t>Hypercalcémie (surdosage), hypercalciurie</w:t>
            </w:r>
          </w:p>
        </w:tc>
        <w:tc>
          <w:tcPr>
            <w:tcW w:type="dxa" w:w="1169"/>
          </w:tcPr>
          <w:p>
            <w:r>
              <w:rPr>
                <w:sz w:val="20"/>
              </w:rPr>
              <w:t>Hypercalcémie, sarcoidose</w:t>
            </w:r>
          </w:p>
        </w:tc>
        <w:tc>
          <w:tcPr>
            <w:tcW w:type="dxa" w:w="1169"/>
          </w:tcPr>
          <w:p>
            <w:r>
              <w:rPr>
                <w:sz w:val="20"/>
              </w:rPr>
              <w:t>Compatible (recommandé)</w:t>
            </w:r>
          </w:p>
        </w:tc>
      </w:tr>
      <w:tr>
        <w:tc>
          <w:tcPr>
            <w:tcW w:type="dxa" w:w="1169"/>
          </w:tcPr>
          <w:p>
            <w:r>
              <w:rPr>
                <w:sz w:val="20"/>
              </w:rPr>
              <w:t>2</w:t>
            </w:r>
          </w:p>
        </w:tc>
        <w:tc>
          <w:tcPr>
            <w:tcW w:type="dxa" w:w="1169"/>
          </w:tcPr>
          <w:p>
            <w:r>
              <w:rPr>
                <w:sz w:val="20"/>
              </w:rPr>
              <w:t>**Ergocalciférol (D2)**</w:t>
            </w:r>
          </w:p>
        </w:tc>
        <w:tc>
          <w:tcPr>
            <w:tcW w:type="dxa" w:w="1169"/>
          </w:tcPr>
          <w:p>
            <w:r>
              <w:rPr>
                <w:sz w:val="20"/>
              </w:rPr>
              <w:t>Vitamine D native (végétale)</w:t>
            </w:r>
          </w:p>
        </w:tc>
        <w:tc>
          <w:tcPr>
            <w:tcW w:type="dxa" w:w="1169"/>
          </w:tcPr>
          <w:p>
            <w:r>
              <w:rPr>
                <w:sz w:val="20"/>
              </w:rPr>
              <w:t>Idem D3 (ergocalciférol → ercalcidiol → ercalcitriol)</w:t>
            </w:r>
          </w:p>
        </w:tc>
        <w:tc>
          <w:tcPr>
            <w:tcW w:type="dxa" w:w="1169"/>
          </w:tcPr>
          <w:p>
            <w:r>
              <w:rPr>
                <w:sz w:val="20"/>
              </w:rPr>
              <w:t>1500 UI/j (Frubial Faible) ou 5000 UI/sem (Frubial Forte)</w:t>
            </w:r>
          </w:p>
        </w:tc>
        <w:tc>
          <w:tcPr>
            <w:tcW w:type="dxa" w:w="1169"/>
          </w:tcPr>
          <w:p>
            <w:r>
              <w:rPr>
                <w:sz w:val="20"/>
              </w:rPr>
              <w:t>Hypercalcémie, hypercalciurie, effet laxatif du fructose</w:t>
            </w:r>
          </w:p>
        </w:tc>
        <w:tc>
          <w:tcPr>
            <w:tcW w:type="dxa" w:w="1169"/>
          </w:tcPr>
          <w:p>
            <w:r>
              <w:rPr>
                <w:sz w:val="20"/>
              </w:rPr>
              <w:t>Hypercalcémie, IHF (fructose)</w:t>
            </w:r>
          </w:p>
        </w:tc>
        <w:tc>
          <w:tcPr>
            <w:tcW w:type="dxa" w:w="1169"/>
          </w:tcPr>
          <w:p>
            <w:r>
              <w:rPr>
                <w:sz w:val="20"/>
              </w:rPr>
              <w:t>Compatible (recommandé)</w:t>
            </w:r>
          </w:p>
        </w:tc>
      </w:tr>
      <w:tr>
        <w:tc>
          <w:tcPr>
            <w:tcW w:type="dxa" w:w="1169"/>
          </w:tcPr>
          <w:p>
            <w:r>
              <w:rPr>
                <w:sz w:val="20"/>
              </w:rPr>
              <w:t>3</w:t>
            </w:r>
          </w:p>
        </w:tc>
        <w:tc>
          <w:tcPr>
            <w:tcW w:type="dxa" w:w="1169"/>
          </w:tcPr>
          <w:p>
            <w:r>
              <w:rPr>
                <w:sz w:val="20"/>
              </w:rPr>
              <w:t>**Alfacalcidol (1α-OH-D3)**</w:t>
            </w:r>
          </w:p>
        </w:tc>
        <w:tc>
          <w:tcPr>
            <w:tcW w:type="dxa" w:w="1169"/>
          </w:tcPr>
          <w:p>
            <w:r>
              <w:rPr>
                <w:sz w:val="20"/>
              </w:rPr>
              <w:t>Vitamine D — Métabolite actif (prodrogue)</w:t>
            </w:r>
          </w:p>
        </w:tc>
        <w:tc>
          <w:tcPr>
            <w:tcW w:type="dxa" w:w="1169"/>
          </w:tcPr>
          <w:p>
            <w:r>
              <w:rPr>
                <w:sz w:val="20"/>
              </w:rPr>
              <w:t>Prodrogue → 25-OH → calcitriol direct (court-circuit rénal CYP27B1)</w:t>
            </w:r>
          </w:p>
        </w:tc>
        <w:tc>
          <w:tcPr>
            <w:tcW w:type="dxa" w:w="1169"/>
          </w:tcPr>
          <w:p>
            <w:r>
              <w:rPr>
                <w:sz w:val="20"/>
              </w:rPr>
              <w:t>0,25–1 µg/j per os</w:t>
            </w:r>
          </w:p>
        </w:tc>
        <w:tc>
          <w:tcPr>
            <w:tcW w:type="dxa" w:w="1169"/>
          </w:tcPr>
          <w:p>
            <w:r>
              <w:rPr>
                <w:sz w:val="20"/>
              </w:rPr>
              <w:t>Hypercalcémie, hypercalciurie, calcifications vasculaires en IRC</w:t>
            </w:r>
          </w:p>
        </w:tc>
        <w:tc>
          <w:tcPr>
            <w:tcW w:type="dxa" w:w="1169"/>
          </w:tcPr>
          <w:p>
            <w:r>
              <w:rPr>
                <w:sz w:val="20"/>
              </w:rPr>
              <w:t>Hypercalcémie, néphrocalcinose, IRC sans contrôle phosphoré</w:t>
            </w:r>
          </w:p>
        </w:tc>
        <w:tc>
          <w:tcPr>
            <w:tcW w:type="dxa" w:w="1169"/>
          </w:tcPr>
          <w:p>
            <w:r>
              <w:rPr>
                <w:sz w:val="20"/>
              </w:rPr>
              <w:t>Compatible (CI relative, surveillance)</w:t>
            </w:r>
          </w:p>
        </w:tc>
      </w:tr>
      <w:tr>
        <w:tc>
          <w:tcPr>
            <w:tcW w:type="dxa" w:w="1169"/>
          </w:tcPr>
          <w:p>
            <w:r>
              <w:rPr>
                <w:sz w:val="20"/>
              </w:rPr>
              <w:t>4</w:t>
            </w:r>
          </w:p>
        </w:tc>
        <w:tc>
          <w:tcPr>
            <w:tcW w:type="dxa" w:w="1169"/>
          </w:tcPr>
          <w:p>
            <w:r>
              <w:rPr>
                <w:sz w:val="20"/>
              </w:rPr>
              <w:t>**Calcifédiol (25-OH-D3)**</w:t>
            </w:r>
          </w:p>
        </w:tc>
        <w:tc>
          <w:tcPr>
            <w:tcW w:type="dxa" w:w="1169"/>
          </w:tcPr>
          <w:p>
            <w:r>
              <w:rPr>
                <w:sz w:val="20"/>
              </w:rPr>
              <w:t>Vitamine D — Métabolite 25-OH</w:t>
            </w:r>
          </w:p>
        </w:tc>
        <w:tc>
          <w:tcPr>
            <w:tcW w:type="dxa" w:w="1169"/>
          </w:tcPr>
          <w:p>
            <w:r>
              <w:rPr>
                <w:sz w:val="20"/>
              </w:rPr>
              <w:t>25-OH-D3 direct → 1α-OH rénale → calcitriol → VDR</w:t>
            </w:r>
          </w:p>
        </w:tc>
        <w:tc>
          <w:tcPr>
            <w:tcW w:type="dxa" w:w="1169"/>
          </w:tcPr>
          <w:p>
            <w:r>
              <w:rPr>
                <w:sz w:val="20"/>
              </w:rPr>
              <w:t>5–10 µg/j (1–2 gouttes/j)</w:t>
            </w:r>
          </w:p>
        </w:tc>
        <w:tc>
          <w:tcPr>
            <w:tcW w:type="dxa" w:w="1169"/>
          </w:tcPr>
          <w:p>
            <w:r>
              <w:rPr>
                <w:sz w:val="20"/>
              </w:rPr>
              <w:t>Hypercalcémie (rare à dose standard)</w:t>
            </w:r>
          </w:p>
        </w:tc>
        <w:tc>
          <w:tcPr>
            <w:tcW w:type="dxa" w:w="1169"/>
          </w:tcPr>
          <w:p>
            <w:r>
              <w:rPr>
                <w:sz w:val="20"/>
              </w:rPr>
              <w:t>Hypercalcémie, sarcoidose</w:t>
            </w:r>
          </w:p>
        </w:tc>
        <w:tc>
          <w:tcPr>
            <w:tcW w:type="dxa" w:w="1169"/>
          </w:tcPr>
          <w:p>
            <w:r>
              <w:rPr>
                <w:sz w:val="20"/>
              </w:rPr>
              <w:t>Compatible (recommandé)</w:t>
            </w:r>
          </w:p>
        </w:tc>
      </w:tr>
      <w:tr>
        <w:tc>
          <w:tcPr>
            <w:tcW w:type="dxa" w:w="1169"/>
          </w:tcPr>
          <w:p>
            <w:r>
              <w:rPr>
                <w:sz w:val="20"/>
              </w:rPr>
              <w:t>5</w:t>
            </w:r>
          </w:p>
        </w:tc>
        <w:tc>
          <w:tcPr>
            <w:tcW w:type="dxa" w:w="1169"/>
          </w:tcPr>
          <w:p>
            <w:r>
              <w:rPr>
                <w:sz w:val="20"/>
              </w:rPr>
              <w:t>*(Calcitriol — non commercialisé)*</w:t>
            </w:r>
          </w:p>
        </w:tc>
        <w:tc>
          <w:tcPr>
            <w:tcW w:type="dxa" w:w="1169"/>
          </w:tcPr>
          <w:p>
            <w:r>
              <w:rPr>
                <w:sz w:val="20"/>
              </w:rPr>
              <w:t>Vitamine D — Métabolite actif 1,25-(OH)2</w:t>
            </w:r>
          </w:p>
        </w:tc>
        <w:tc>
          <w:tcPr>
            <w:tcW w:type="dxa" w:w="1169"/>
          </w:tcPr>
          <w:p>
            <w:r>
              <w:rPr>
                <w:sz w:val="20"/>
              </w:rPr>
              <w:t>Ligand direct du VDR</w:t>
            </w:r>
          </w:p>
        </w:tc>
        <w:tc>
          <w:tcPr>
            <w:tcW w:type="dxa" w:w="1169"/>
          </w:tcPr>
          <w:p>
            <w:r>
              <w:rPr>
                <w:sz w:val="20"/>
              </w:rPr>
              <w:t>0,25–1 µg/j *(théorique)*</w:t>
            </w:r>
          </w:p>
        </w:tc>
        <w:tc>
          <w:tcPr>
            <w:tcW w:type="dxa" w:w="1169"/>
          </w:tcPr>
          <w:p>
            <w:r>
              <w:rPr>
                <w:sz w:val="20"/>
              </w:rPr>
              <w:t>Hypercalcémie majeure</w:t>
            </w:r>
          </w:p>
        </w:tc>
        <w:tc>
          <w:tcPr>
            <w:tcW w:type="dxa" w:w="1169"/>
          </w:tcPr>
          <w:p>
            <w:r>
              <w:rPr>
                <w:sz w:val="20"/>
              </w:rPr>
              <w:t>Hypercalcémie, IRC sans contrôle</w:t>
            </w:r>
          </w:p>
        </w:tc>
        <w:tc>
          <w:tcPr>
            <w:tcW w:type="dxa" w:w="1169"/>
          </w:tcPr>
          <w:p>
            <w:r>
              <w:rPr>
                <w:sz w:val="20"/>
              </w:rPr>
              <w:t>Compatible (CI relative)</w:t>
            </w:r>
          </w:p>
        </w:tc>
      </w:tr>
      <w:tr>
        <w:tc>
          <w:tcPr>
            <w:tcW w:type="dxa" w:w="1169"/>
          </w:tcPr>
          <w:p>
            <w:r>
              <w:rPr>
                <w:sz w:val="20"/>
              </w:rPr>
              <w:t>6</w:t>
            </w:r>
          </w:p>
        </w:tc>
        <w:tc>
          <w:tcPr>
            <w:tcW w:type="dxa" w:w="1169"/>
          </w:tcPr>
          <w:p>
            <w:r>
              <w:rPr>
                <w:sz w:val="20"/>
              </w:rPr>
              <w:t>**Calcium + Vitamine D3**</w:t>
            </w:r>
          </w:p>
        </w:tc>
        <w:tc>
          <w:tcPr>
            <w:tcW w:type="dxa" w:w="1169"/>
          </w:tcPr>
          <w:p>
            <w:r>
              <w:rPr>
                <w:sz w:val="20"/>
              </w:rPr>
              <w:t>Supplément — Association fixe</w:t>
            </w:r>
          </w:p>
        </w:tc>
        <w:tc>
          <w:tcPr>
            <w:tcW w:type="dxa" w:w="1169"/>
          </w:tcPr>
          <w:p>
            <w:r>
              <w:rPr>
                <w:sz w:val="20"/>
              </w:rPr>
              <w:t>CaCO3 libère Ca²⁺ (acide gastrique) + D3 active VDR → absorption Ca</w:t>
            </w:r>
          </w:p>
        </w:tc>
        <w:tc>
          <w:tcPr>
            <w:tcW w:type="dxa" w:w="1169"/>
          </w:tcPr>
          <w:p>
            <w:r>
              <w:rPr>
                <w:sz w:val="20"/>
              </w:rPr>
              <w:t>1–2 cp/j (500–1000 mg Ca + 400–800 UI D3) per os pendant repas</w:t>
            </w:r>
          </w:p>
        </w:tc>
        <w:tc>
          <w:tcPr>
            <w:tcW w:type="dxa" w:w="1169"/>
          </w:tcPr>
          <w:p>
            <w:r>
              <w:rPr>
                <w:sz w:val="20"/>
              </w:rPr>
              <w:t>Constipation, hypercalciurie, syndrome Milk-Alkali</w:t>
            </w:r>
          </w:p>
        </w:tc>
        <w:tc>
          <w:tcPr>
            <w:tcW w:type="dxa" w:w="1169"/>
          </w:tcPr>
          <w:p>
            <w:r>
              <w:rPr>
                <w:sz w:val="20"/>
              </w:rPr>
              <w:t>Hypercalcémie, lithiase calcique récidivante</w:t>
            </w:r>
          </w:p>
        </w:tc>
        <w:tc>
          <w:tcPr>
            <w:tcW w:type="dxa" w:w="1169"/>
          </w:tcPr>
          <w:p>
            <w:r>
              <w:rPr>
                <w:sz w:val="20"/>
              </w:rPr>
              <w:t>Compatible (recommandé)</w:t>
            </w:r>
          </w:p>
        </w:tc>
      </w:tr>
      <w:tr>
        <w:tc>
          <w:tcPr>
            <w:tcW w:type="dxa" w:w="1169"/>
          </w:tcPr>
          <w:p>
            <w:r>
              <w:rPr>
                <w:sz w:val="20"/>
              </w:rPr>
              <w:t>7</w:t>
            </w:r>
          </w:p>
        </w:tc>
        <w:tc>
          <w:tcPr>
            <w:tcW w:type="dxa" w:w="1169"/>
          </w:tcPr>
          <w:p>
            <w:r>
              <w:rPr>
                <w:sz w:val="20"/>
              </w:rPr>
              <w:t>**Calcium (carbonate, pidolate, gluconate, chlorure)**</w:t>
            </w:r>
          </w:p>
        </w:tc>
        <w:tc>
          <w:tcPr>
            <w:tcW w:type="dxa" w:w="1169"/>
          </w:tcPr>
          <w:p>
            <w:r>
              <w:rPr>
                <w:sz w:val="20"/>
              </w:rPr>
              <w:t>Supplément calcique</w:t>
            </w:r>
          </w:p>
        </w:tc>
        <w:tc>
          <w:tcPr>
            <w:tcW w:type="dxa" w:w="1169"/>
          </w:tcPr>
          <w:p>
            <w:r>
              <w:rPr>
                <w:sz w:val="20"/>
              </w:rPr>
              <w:t>Apport Ca²⁺ → absorption intestinale (TRPV6/calbindine) → minéralisation osseuse</w:t>
            </w:r>
          </w:p>
        </w:tc>
        <w:tc>
          <w:tcPr>
            <w:tcW w:type="dxa" w:w="1169"/>
          </w:tcPr>
          <w:p>
            <w:r>
              <w:rPr>
                <w:sz w:val="20"/>
              </w:rPr>
              <w:t>500–1000 mg/j per os ; 1–2 g IV (gluconate/chlorure) en urgence</w:t>
            </w:r>
          </w:p>
        </w:tc>
        <w:tc>
          <w:tcPr>
            <w:tcW w:type="dxa" w:w="1169"/>
          </w:tcPr>
          <w:p>
            <w:r>
              <w:rPr>
                <w:sz w:val="20"/>
              </w:rPr>
              <w:t>Constipation, hypercalcémie (Milk-Alkali), nécrose tissulaire (chlorure IV)</w:t>
            </w:r>
          </w:p>
        </w:tc>
        <w:tc>
          <w:tcPr>
            <w:tcW w:type="dxa" w:w="1169"/>
          </w:tcPr>
          <w:p>
            <w:r>
              <w:rPr>
                <w:sz w:val="20"/>
              </w:rPr>
              <w:t>Hypercalcémie, IRC sévère</w:t>
            </w:r>
          </w:p>
        </w:tc>
        <w:tc>
          <w:tcPr>
            <w:tcW w:type="dxa" w:w="1169"/>
          </w:tcPr>
          <w:p>
            <w:r>
              <w:rPr>
                <w:sz w:val="20"/>
              </w:rPr>
              <w:t>Compatible (recommandé)</w:t>
            </w:r>
          </w:p>
        </w:tc>
      </w:tr>
      <w:tr>
        <w:tc>
          <w:tcPr>
            <w:tcW w:type="dxa" w:w="1169"/>
          </w:tcPr>
          <w:p>
            <w:r>
              <w:rPr>
                <w:sz w:val="20"/>
              </w:rPr>
              <w:t>8</w:t>
            </w:r>
          </w:p>
        </w:tc>
        <w:tc>
          <w:tcPr>
            <w:tcW w:type="dxa" w:w="1169"/>
          </w:tcPr>
          <w:p>
            <w:r>
              <w:rPr>
                <w:sz w:val="20"/>
              </w:rPr>
              <w:t>**Alendronate**</w:t>
            </w:r>
          </w:p>
        </w:tc>
        <w:tc>
          <w:tcPr>
            <w:tcW w:type="dxa" w:w="1169"/>
          </w:tcPr>
          <w:p>
            <w:r>
              <w:rPr>
                <w:sz w:val="20"/>
              </w:rPr>
              <w:t>Bisphosphonate 1re génération aminé (PO)</w:t>
            </w:r>
          </w:p>
        </w:tc>
        <w:tc>
          <w:tcPr>
            <w:tcW w:type="dxa" w:w="1169"/>
          </w:tcPr>
          <w:p>
            <w:r>
              <w:rPr>
                <w:sz w:val="20"/>
              </w:rPr>
              <w:t>Fixation hydroxyapatite → inhibition FPPS ostéoclastes → perte prénylation GTPases → apoptosis</w:t>
            </w:r>
          </w:p>
        </w:tc>
        <w:tc>
          <w:tcPr>
            <w:tcW w:type="dxa" w:w="1169"/>
          </w:tcPr>
          <w:p>
            <w:r>
              <w:rPr>
                <w:sz w:val="20"/>
              </w:rPr>
              <w:t>70 mg/sem per os à jeun strict + debout 30 min</w:t>
            </w:r>
          </w:p>
        </w:tc>
        <w:tc>
          <w:tcPr>
            <w:tcW w:type="dxa" w:w="1169"/>
          </w:tcPr>
          <w:p>
            <w:r>
              <w:rPr>
                <w:sz w:val="20"/>
              </w:rPr>
              <w:t>Œsophagite, ONM, fracture fémur atypique, syndrome flu-like</w:t>
            </w:r>
          </w:p>
        </w:tc>
        <w:tc>
          <w:tcPr>
            <w:tcW w:type="dxa" w:w="1169"/>
          </w:tcPr>
          <w:p>
            <w:r>
              <w:rPr>
                <w:sz w:val="20"/>
              </w:rPr>
              <w:t>Œsophage pathologique, IRC &lt; 35, hypocalcémie, grossesse</w:t>
            </w:r>
          </w:p>
        </w:tc>
        <w:tc>
          <w:tcPr>
            <w:tcW w:type="dxa" w:w="1169"/>
          </w:tcPr>
          <w:p>
            <w:r>
              <w:rPr>
                <w:sz w:val="20"/>
              </w:rPr>
              <w:t>**CI** (tératogène animal)</w:t>
            </w:r>
          </w:p>
        </w:tc>
      </w:tr>
      <w:tr>
        <w:tc>
          <w:tcPr>
            <w:tcW w:type="dxa" w:w="1169"/>
          </w:tcPr>
          <w:p>
            <w:r>
              <w:rPr>
                <w:sz w:val="20"/>
              </w:rPr>
              <w:t>9</w:t>
            </w:r>
          </w:p>
        </w:tc>
        <w:tc>
          <w:tcPr>
            <w:tcW w:type="dxa" w:w="1169"/>
          </w:tcPr>
          <w:p>
            <w:r>
              <w:rPr>
                <w:sz w:val="20"/>
              </w:rPr>
              <w:t>**Clodronate**</w:t>
            </w:r>
          </w:p>
        </w:tc>
        <w:tc>
          <w:tcPr>
            <w:tcW w:type="dxa" w:w="1169"/>
          </w:tcPr>
          <w:p>
            <w:r>
              <w:rPr>
                <w:sz w:val="20"/>
              </w:rPr>
              <w:t>Bisphosphonate 1re génération non aminé (PO)</w:t>
            </w:r>
          </w:p>
        </w:tc>
        <w:tc>
          <w:tcPr>
            <w:tcW w:type="dxa" w:w="1169"/>
          </w:tcPr>
          <w:p>
            <w:r>
              <w:rPr>
                <w:sz w:val="20"/>
              </w:rPr>
              <w:t>Fixation hydroxyapatite → métabolisé en ATP-analogues toxiques (AppCCp) → apoptose ostéoclastes</w:t>
            </w:r>
          </w:p>
        </w:tc>
        <w:tc>
          <w:tcPr>
            <w:tcW w:type="dxa" w:w="1169"/>
          </w:tcPr>
          <w:p>
            <w:r>
              <w:rPr>
                <w:sz w:val="20"/>
              </w:rPr>
              <w:t>1600–3200 mg/j per os (métastases osseuses)</w:t>
            </w:r>
          </w:p>
        </w:tc>
        <w:tc>
          <w:tcPr>
            <w:tcW w:type="dxa" w:w="1169"/>
          </w:tcPr>
          <w:p>
            <w:r>
              <w:rPr>
                <w:sz w:val="20"/>
              </w:rPr>
              <w:t>Hypocalcémie, ONM, troubles digestifs</w:t>
            </w:r>
          </w:p>
        </w:tc>
        <w:tc>
          <w:tcPr>
            <w:tcW w:type="dxa" w:w="1169"/>
          </w:tcPr>
          <w:p>
            <w:r>
              <w:rPr>
                <w:sz w:val="20"/>
              </w:rPr>
              <w:t>IRC &lt; 25, hypocalcémie, grossesse</w:t>
            </w:r>
          </w:p>
        </w:tc>
        <w:tc>
          <w:tcPr>
            <w:tcW w:type="dxa" w:w="1169"/>
          </w:tcPr>
          <w:p>
            <w:r>
              <w:rPr>
                <w:sz w:val="20"/>
              </w:rPr>
              <w:t>**CI** (tératogène animal)</w:t>
            </w:r>
          </w:p>
        </w:tc>
      </w:tr>
      <w:tr>
        <w:tc>
          <w:tcPr>
            <w:tcW w:type="dxa" w:w="1169"/>
          </w:tcPr>
          <w:p>
            <w:r>
              <w:rPr>
                <w:sz w:val="20"/>
              </w:rPr>
              <w:t>10</w:t>
            </w:r>
          </w:p>
        </w:tc>
        <w:tc>
          <w:tcPr>
            <w:tcW w:type="dxa" w:w="1169"/>
          </w:tcPr>
          <w:p>
            <w:r>
              <w:rPr>
                <w:sz w:val="20"/>
              </w:rPr>
              <w:t>**Risédronate**</w:t>
            </w:r>
          </w:p>
        </w:tc>
        <w:tc>
          <w:tcPr>
            <w:tcW w:type="dxa" w:w="1169"/>
          </w:tcPr>
          <w:p>
            <w:r>
              <w:rPr>
                <w:sz w:val="20"/>
              </w:rPr>
              <w:t>Bisphosphonate 2e génération aminé (PO)</w:t>
            </w:r>
          </w:p>
        </w:tc>
        <w:tc>
          <w:tcPr>
            <w:tcW w:type="dxa" w:w="1169"/>
          </w:tcPr>
          <w:p>
            <w:r>
              <w:rPr>
                <w:sz w:val="20"/>
              </w:rPr>
              <w:t>Inhibition FPPS (10× alendronate) → perte prénylation → apoptosis ostéoclastes</w:t>
            </w:r>
          </w:p>
        </w:tc>
        <w:tc>
          <w:tcPr>
            <w:tcW w:type="dxa" w:w="1169"/>
          </w:tcPr>
          <w:p>
            <w:r>
              <w:rPr>
                <w:sz w:val="20"/>
              </w:rPr>
              <w:t>35 mg/sem per os à jeun strict + debout 30 min ; 30 mg/j Paget</w:t>
            </w:r>
          </w:p>
        </w:tc>
        <w:tc>
          <w:tcPr>
            <w:tcW w:type="dxa" w:w="1169"/>
          </w:tcPr>
          <w:p>
            <w:r>
              <w:rPr>
                <w:sz w:val="20"/>
              </w:rPr>
              <w:t>Œsophagite (plus rare), ONM, fracture fémur atypique</w:t>
            </w:r>
          </w:p>
        </w:tc>
        <w:tc>
          <w:tcPr>
            <w:tcW w:type="dxa" w:w="1169"/>
          </w:tcPr>
          <w:p>
            <w:r>
              <w:rPr>
                <w:sz w:val="20"/>
              </w:rPr>
              <w:t>Œsophage pathologique, IRC &lt; 30, grossesse</w:t>
            </w:r>
          </w:p>
        </w:tc>
        <w:tc>
          <w:tcPr>
            <w:tcW w:type="dxa" w:w="1169"/>
          </w:tcPr>
          <w:p>
            <w:r>
              <w:rPr>
                <w:sz w:val="20"/>
              </w:rPr>
              <w:t>**CI** (tératogène animal)</w:t>
            </w:r>
          </w:p>
        </w:tc>
      </w:tr>
      <w:tr>
        <w:tc>
          <w:tcPr>
            <w:tcW w:type="dxa" w:w="1169"/>
          </w:tcPr>
          <w:p>
            <w:r>
              <w:rPr>
                <w:sz w:val="20"/>
              </w:rPr>
              <w:t>11</w:t>
            </w:r>
          </w:p>
        </w:tc>
        <w:tc>
          <w:tcPr>
            <w:tcW w:type="dxa" w:w="1169"/>
          </w:tcPr>
          <w:p>
            <w:r>
              <w:rPr>
                <w:sz w:val="20"/>
              </w:rPr>
              <w:t>**Pamidronate**</w:t>
            </w:r>
          </w:p>
        </w:tc>
        <w:tc>
          <w:tcPr>
            <w:tcW w:type="dxa" w:w="1169"/>
          </w:tcPr>
          <w:p>
            <w:r>
              <w:rPr>
                <w:sz w:val="20"/>
              </w:rPr>
              <w:t>Bisphosphonate 2e génération aminé (IV)</w:t>
            </w:r>
          </w:p>
        </w:tc>
        <w:tc>
          <w:tcPr>
            <w:tcW w:type="dxa" w:w="1169"/>
          </w:tcPr>
          <w:p>
            <w:r>
              <w:rPr>
                <w:sz w:val="20"/>
              </w:rPr>
              <w:t>Inhibition FPPS → perte prénylation → apoptosis ostéoclastes (effet massif IV)</w:t>
            </w:r>
          </w:p>
        </w:tc>
        <w:tc>
          <w:tcPr>
            <w:tcW w:type="dxa" w:w="1169"/>
          </w:tcPr>
          <w:p>
            <w:r>
              <w:rPr>
                <w:sz w:val="20"/>
              </w:rPr>
              <w:t>60–90 mg IV perfusion 1–2 h toutes les 3–4 sem (oncologie) ; 60 mg Paget</w:t>
            </w:r>
          </w:p>
        </w:tc>
        <w:tc>
          <w:tcPr>
            <w:tcW w:type="dxa" w:w="1169"/>
          </w:tcPr>
          <w:p>
            <w:r>
              <w:rPr>
                <w:sz w:val="20"/>
              </w:rPr>
              <w:t>Syndrome flu-like, hypocalcémie, néphrotoxicité, ONM</w:t>
            </w:r>
          </w:p>
        </w:tc>
        <w:tc>
          <w:tcPr>
            <w:tcW w:type="dxa" w:w="1169"/>
          </w:tcPr>
          <w:p>
            <w:r>
              <w:rPr>
                <w:sz w:val="20"/>
              </w:rPr>
              <w:t>IRC &lt; 30, hypocalcémie, grossesse</w:t>
            </w:r>
          </w:p>
        </w:tc>
        <w:tc>
          <w:tcPr>
            <w:tcW w:type="dxa" w:w="1169"/>
          </w:tcPr>
          <w:p>
            <w:r>
              <w:rPr>
                <w:sz w:val="20"/>
              </w:rPr>
              <w:t>**CI** (tératogène animal)</w:t>
            </w:r>
          </w:p>
        </w:tc>
      </w:tr>
      <w:tr>
        <w:tc>
          <w:tcPr>
            <w:tcW w:type="dxa" w:w="1169"/>
          </w:tcPr>
          <w:p>
            <w:r>
              <w:rPr>
                <w:sz w:val="20"/>
              </w:rPr>
              <w:t>12</w:t>
            </w:r>
          </w:p>
        </w:tc>
        <w:tc>
          <w:tcPr>
            <w:tcW w:type="dxa" w:w="1169"/>
          </w:tcPr>
          <w:p>
            <w:r>
              <w:rPr>
                <w:sz w:val="20"/>
              </w:rPr>
              <w:t>**Zolédronate**</w:t>
            </w:r>
          </w:p>
        </w:tc>
        <w:tc>
          <w:tcPr>
            <w:tcW w:type="dxa" w:w="1169"/>
          </w:tcPr>
          <w:p>
            <w:r>
              <w:rPr>
                <w:sz w:val="20"/>
              </w:rPr>
              <w:t>Bisphosphonate 3e génération aminé (IV)</w:t>
            </w:r>
          </w:p>
        </w:tc>
        <w:tc>
          <w:tcPr>
            <w:tcW w:type="dxa" w:w="1169"/>
          </w:tcPr>
          <w:p>
            <w:r>
              <w:rPr>
                <w:sz w:val="20"/>
              </w:rPr>
              <w:t>Inhibition FPPS (100–1000× alendronate) → perte prénylation → apoptosis ostéoclastes (effet maximal)</w:t>
            </w:r>
          </w:p>
        </w:tc>
        <w:tc>
          <w:tcPr>
            <w:tcW w:type="dxa" w:w="1169"/>
          </w:tcPr>
          <w:p>
            <w:r>
              <w:rPr>
                <w:sz w:val="20"/>
              </w:rPr>
              <w:t>5 mg IV/an (ostéoporose, Aclasta) ; 4 mg IV/3–4 sem (oncologie, Zometa)</w:t>
            </w:r>
          </w:p>
        </w:tc>
        <w:tc>
          <w:tcPr>
            <w:tcW w:type="dxa" w:w="1169"/>
          </w:tcPr>
          <w:p>
            <w:r>
              <w:rPr>
                <w:sz w:val="20"/>
              </w:rPr>
              <w:t>Syndrome flu-like, hypocalcémie, fibrillation auriculaire, ONM</w:t>
            </w:r>
          </w:p>
        </w:tc>
        <w:tc>
          <w:tcPr>
            <w:tcW w:type="dxa" w:w="1169"/>
          </w:tcPr>
          <w:p>
            <w:r>
              <w:rPr>
                <w:sz w:val="20"/>
              </w:rPr>
              <w:t>IRC &lt; 35, hypocalcémie, grossesse</w:t>
            </w:r>
          </w:p>
        </w:tc>
        <w:tc>
          <w:tcPr>
            <w:tcW w:type="dxa" w:w="1169"/>
          </w:tcPr>
          <w:p>
            <w:r>
              <w:rPr>
                <w:sz w:val="20"/>
              </w:rPr>
              <w:t>**CI** (tératogène animal)</w:t>
            </w:r>
          </w:p>
        </w:tc>
      </w:tr>
      <w:tr>
        <w:tc>
          <w:tcPr>
            <w:tcW w:type="dxa" w:w="1169"/>
          </w:tcPr>
          <w:p>
            <w:r>
              <w:rPr>
                <w:sz w:val="20"/>
              </w:rPr>
              <w:t>13</w:t>
            </w:r>
          </w:p>
        </w:tc>
        <w:tc>
          <w:tcPr>
            <w:tcW w:type="dxa" w:w="1169"/>
          </w:tcPr>
          <w:p>
            <w:r>
              <w:rPr>
                <w:sz w:val="20"/>
              </w:rPr>
              <w:t>**Tériparatide (PTH 1-34)**</w:t>
            </w:r>
          </w:p>
        </w:tc>
        <w:tc>
          <w:tcPr>
            <w:tcW w:type="dxa" w:w="1169"/>
          </w:tcPr>
          <w:p>
            <w:r>
              <w:rPr>
                <w:sz w:val="20"/>
              </w:rPr>
              <w:t>Anabolisant osseux recombinant</w:t>
            </w:r>
          </w:p>
        </w:tc>
        <w:tc>
          <w:tcPr>
            <w:tcW w:type="dxa" w:w="1169"/>
          </w:tcPr>
          <w:p>
            <w:r>
              <w:rPr>
                <w:sz w:val="20"/>
              </w:rPr>
              <w:t>Agoniste PTHR1 ostéoblastes → activation PKA → stimulation différenciation et activité ostéoblastes</w:t>
            </w:r>
          </w:p>
        </w:tc>
        <w:tc>
          <w:tcPr>
            <w:tcW w:type="dxa" w:w="1169"/>
          </w:tcPr>
          <w:p>
            <w:r>
              <w:rPr>
                <w:sz w:val="20"/>
              </w:rPr>
              <w:t>20 µg/j SC en stylo prérempli pendant **24 mois à vie max**</w:t>
            </w:r>
          </w:p>
        </w:tc>
        <w:tc>
          <w:tcPr>
            <w:tcW w:type="dxa" w:w="1169"/>
          </w:tcPr>
          <w:p>
            <w:r>
              <w:rPr>
                <w:sz w:val="20"/>
              </w:rPr>
              <w:t>Hypercalcémie transitoire, hypotension orthostatique, risque théorique d'ostéosarcome</w:t>
            </w:r>
          </w:p>
        </w:tc>
        <w:tc>
          <w:tcPr>
            <w:tcW w:type="dxa" w:w="1169"/>
          </w:tcPr>
          <w:p>
            <w:r>
              <w:rPr>
                <w:sz w:val="20"/>
              </w:rPr>
              <w:t>Cancer osseux, radiothérapie osseuse ATCD, Paget, hypercalcémie</w:t>
            </w:r>
          </w:p>
        </w:tc>
        <w:tc>
          <w:tcPr>
            <w:tcW w:type="dxa" w:w="1169"/>
          </w:tcPr>
          <w:p>
            <w:r>
              <w:rPr>
                <w:sz w:val="20"/>
              </w:rPr>
              <w:t>**CI** (tératogène animal)</w:t>
            </w:r>
          </w:p>
        </w:tc>
      </w:tr>
      <w:tr>
        <w:tc>
          <w:tcPr>
            <w:tcW w:type="dxa" w:w="1169"/>
          </w:tcPr>
          <w:p>
            <w:r>
              <w:rPr>
                <w:sz w:val="20"/>
              </w:rPr>
              <w:t>14</w:t>
            </w:r>
          </w:p>
        </w:tc>
        <w:tc>
          <w:tcPr>
            <w:tcW w:type="dxa" w:w="1169"/>
          </w:tcPr>
          <w:p>
            <w:r>
              <w:rPr>
                <w:sz w:val="20"/>
              </w:rPr>
              <w:t>**Ranélate de strontium**</w:t>
            </w:r>
          </w:p>
        </w:tc>
        <w:tc>
          <w:tcPr>
            <w:tcW w:type="dxa" w:w="1169"/>
          </w:tcPr>
          <w:p>
            <w:r>
              <w:rPr>
                <w:sz w:val="20"/>
              </w:rPr>
              <w:t>Anti-ostéoporotique divers</w:t>
            </w:r>
          </w:p>
        </w:tc>
        <w:tc>
          <w:tcPr>
            <w:tcW w:type="dxa" w:w="1169"/>
          </w:tcPr>
          <w:p>
            <w:r>
              <w:rPr>
                <w:sz w:val="20"/>
              </w:rPr>
              <w:t>Mécanisme dual : stimulation ostéoblastes (CaSR) + inhibition ostéoclastes (RANKL/OPG) ; substitution Sr/Ca dans hydroxyapatite</w:t>
            </w:r>
          </w:p>
        </w:tc>
        <w:tc>
          <w:tcPr>
            <w:tcW w:type="dxa" w:w="1169"/>
          </w:tcPr>
          <w:p>
            <w:r>
              <w:rPr>
                <w:sz w:val="20"/>
              </w:rPr>
              <w:t>2 g/j per os au coucher à distance des aliments</w:t>
            </w:r>
          </w:p>
        </w:tc>
        <w:tc>
          <w:tcPr>
            <w:tcW w:type="dxa" w:w="1169"/>
          </w:tcPr>
          <w:p>
            <w:r>
              <w:rPr>
                <w:sz w:val="20"/>
              </w:rPr>
              <w:t>**Risque cardiovasculaire majeur** (TVP, EP, IDM, AVC), rash cutané, DRESS</w:t>
            </w:r>
          </w:p>
        </w:tc>
        <w:tc>
          <w:tcPr>
            <w:tcW w:type="dxa" w:w="1169"/>
          </w:tcPr>
          <w:p>
            <w:r>
              <w:rPr>
                <w:sz w:val="20"/>
              </w:rPr>
              <w:t>ATCD thromboembolique veineux ou coronarien, IRC &lt; 30, grossesse</w:t>
            </w:r>
          </w:p>
        </w:tc>
        <w:tc>
          <w:tcPr>
            <w:tcW w:type="dxa" w:w="1169"/>
          </w:tcPr>
          <w:p>
            <w:r>
              <w:rPr>
                <w:sz w:val="20"/>
              </w:rPr>
              <w:t>**CI** (tératogène animal)</w:t>
            </w:r>
          </w:p>
        </w:tc>
      </w:tr>
      <w:tr>
        <w:tc>
          <w:tcPr>
            <w:tcW w:type="dxa" w:w="1169"/>
          </w:tcPr>
          <w:p>
            <w:r>
              <w:rPr>
                <w:sz w:val="20"/>
              </w:rPr>
              <w:t>15</w:t>
            </w:r>
          </w:p>
        </w:tc>
        <w:tc>
          <w:tcPr>
            <w:tcW w:type="dxa" w:w="1169"/>
          </w:tcPr>
          <w:p>
            <w:r>
              <w:rPr>
                <w:sz w:val="20"/>
              </w:rPr>
              <w:t>*(Orlistat — non commercialisé)*</w:t>
            </w:r>
          </w:p>
        </w:tc>
        <w:tc>
          <w:tcPr>
            <w:tcW w:type="dxa" w:w="1169"/>
          </w:tcPr>
          <w:p>
            <w:r>
              <w:rPr>
                <w:sz w:val="20"/>
              </w:rPr>
              <w:t>Anti-obésité — Inhibiteur lipase</w:t>
            </w:r>
          </w:p>
        </w:tc>
        <w:tc>
          <w:tcPr>
            <w:tcW w:type="dxa" w:w="1169"/>
          </w:tcPr>
          <w:p>
            <w:r>
              <w:rPr>
                <w:sz w:val="20"/>
              </w:rPr>
              <w:t>Inhibition covalente des lipases gastriques et pancréatiques → malabsorption des graisses</w:t>
            </w:r>
          </w:p>
        </w:tc>
        <w:tc>
          <w:tcPr>
            <w:tcW w:type="dxa" w:w="1169"/>
          </w:tcPr>
          <w:p>
            <w:r>
              <w:rPr>
                <w:sz w:val="20"/>
              </w:rPr>
              <w:t>120 mg × 3/j pendant repas *(théorique)*</w:t>
            </w:r>
          </w:p>
        </w:tc>
        <w:tc>
          <w:tcPr>
            <w:tcW w:type="dxa" w:w="1169"/>
          </w:tcPr>
          <w:p>
            <w:r>
              <w:rPr>
                <w:sz w:val="20"/>
              </w:rPr>
              <w:t>Stéatorrhée, diarrhée, hypovitaminose ADEK</w:t>
            </w:r>
          </w:p>
        </w:tc>
        <w:tc>
          <w:tcPr>
            <w:tcW w:type="dxa" w:w="1169"/>
          </w:tcPr>
          <w:p>
            <w:r>
              <w:rPr>
                <w:sz w:val="20"/>
              </w:rPr>
              <w:t>Syndrome de malabsorption, cholestase</w:t>
            </w:r>
          </w:p>
        </w:tc>
        <w:tc>
          <w:tcPr>
            <w:tcW w:type="dxa" w:w="1169"/>
          </w:tcPr>
          <w:p>
            <w:r>
              <w:rPr>
                <w:sz w:val="20"/>
              </w:rPr>
              <w:t>Compatible (CI relative)</w:t>
            </w:r>
          </w:p>
        </w:tc>
      </w:tr>
    </w:tbl>
    <w:p/>
    <w:p>
      <w:pPr>
        <w:pStyle w:val="Heading2"/>
      </w:pPr>
      <w:r>
        <w:t>XV. Conclusion et synthèse de la Section 46</w:t>
      </w:r>
    </w:p>
    <w:p>
      <w:r>
        <w:t>La présente section a traité 13 DCIs effectivement commercialisées en Algérie (actives ou ayant été commercialisées récemment — non renouvelables ou retirées) dans le domaine de l'homéostasie phosphocalcique et du métabolisme osseux, ainsi que deux molécules de référence non disponibles sur le marché algérien (calcitriol, orlistat) qui sont mentionnées pour leur pertinence théorique et pratique (orientation des patients et information des étudiants).</w:t>
      </w:r>
    </w:p>
    <w:p>
      <w:pPr>
        <w:pStyle w:val="Heading3"/>
      </w:pPr>
      <w:r>
        <w:t>Messages-clés pour la pratique officinale algérienne</w:t>
      </w:r>
    </w:p>
    <w:p>
      <w:pPr>
        <w:pStyle w:val="ListNumber"/>
      </w:pPr>
      <w:r/>
      <w:r>
        <w:rPr>
          <w:b/>
        </w:rPr>
        <w:t>Carence en vitamine D quasi-constante en Algérie</w:t>
      </w:r>
      <w:r>
        <w:t xml:space="preserve"> : malgré un ensoleillement exceptionnel, la carence en vitamine D est paradoxalement la règle dans la population algérienne (femme voilée, sujet âgé, nourrisson, obèse). La supplémentation par Frubial (D2) ou Dedrogyl (calcifédiol) ou colecalciferol est quasi-systématique. Les associations Calcium + Vitamine D3 (IDEOS, KINADYN-OS, OSSE D3) sont le pilier de la prévention osseuse.</w:t>
      </w:r>
    </w:p>
    <w:p>
      <w:pPr>
        <w:pStyle w:val="ListNumber"/>
      </w:pPr>
      <w:r/>
      <w:r>
        <w:rPr>
          <w:b/>
        </w:rPr>
        <w:t>Alendronate = bisphosphonate oral de référence en Algérie</w:t>
      </w:r>
      <w:r>
        <w:t xml:space="preserve"> : 10 génériques actifs en 70 mg hebdomadaire, plus une association avec vitamine D3 (POROSIMAX PLUS 70 mg/5600 UI). Les consignes de prise stricte (à jeun, debout 30 min, espacement des chélateurs) doivent être systématiquement rappelées au patient.</w:t>
      </w:r>
    </w:p>
    <w:p>
      <w:pPr>
        <w:pStyle w:val="ListNumber"/>
      </w:pPr>
      <w:r/>
      <w:r>
        <w:rPr>
          <w:b/>
        </w:rPr>
        <w:t>Zolédronate IV = bisphosphonate le plus puissant</w:t>
      </w:r>
      <w:r>
        <w:t xml:space="preserve"> : disponible en deux formes distinctes à ne pas confondre — </w:t>
      </w:r>
      <w:r>
        <w:rPr>
          <w:b/>
        </w:rPr>
        <w:t>ACLASTA 5 mg/100 mL (ostéoporose, 1 perfusion/an)</w:t>
      </w:r>
      <w:r>
        <w:t xml:space="preserve"> vs </w:t>
      </w:r>
      <w:r>
        <w:rPr>
          <w:b/>
        </w:rPr>
        <w:t>ZOMETA 4 mg/5 mL (oncologie, 4 mg/3–4 semaines)</w:t>
      </w:r>
      <w:r>
        <w:t>. Administration hospitalière.</w:t>
      </w:r>
    </w:p>
    <w:p>
      <w:pPr>
        <w:pStyle w:val="ListNumber"/>
      </w:pPr>
      <w:r/>
      <w:r>
        <w:rPr>
          <w:b/>
        </w:rPr>
        <w:t>Tériparatide = anabolisant osseux de seconde intention</w:t>
      </w:r>
      <w:r>
        <w:t xml:space="preserve"> : disponible exclusivement sous FORTEO (stylo prérempli SC 20 µg/j, durée maximale 24 mois à vie). Relais systématique par bisphosphonate après arrêt. Coût élevé — réservé aux ostéoporoses sévères avec fractures multiples.</w:t>
      </w:r>
    </w:p>
    <w:p>
      <w:pPr>
        <w:pStyle w:val="ListNumber"/>
      </w:pPr>
      <w:r/>
      <w:r>
        <w:rPr>
          <w:b/>
        </w:rPr>
        <w:t>Ranélate de strontium = traitement de dernier recours</w:t>
      </w:r>
      <w:r>
        <w:t xml:space="preserve"> : PROTOS 2 g/j au coucher, mais </w:t>
      </w:r>
      <w:r>
        <w:rPr>
          <w:b/>
        </w:rPr>
        <w:t>risque cardiovasculaire majeur</w:t>
      </w:r>
      <w:r>
        <w:t xml:space="preserve"> (TVP, EP, IDM, AVC) — restriction EMA 2013-2014 — réservé aux patientes à haut risque fracturaire avec CI ou intolérance aux autres traitements.</w:t>
      </w:r>
    </w:p>
    <w:p>
      <w:pPr>
        <w:pStyle w:val="ListNumber"/>
      </w:pPr>
      <w:r/>
      <w:r>
        <w:rPr>
          <w:b/>
        </w:rPr>
        <w:t>Calcium IV d'urgence</w:t>
      </w:r>
      <w:r>
        <w:t xml:space="preserve"> : calcium gluconate 10 % 1–2 g IV lente (hypocalcémie, hyperkaliémie), calcium chlorure 10 % 5–10 mL IV bolus (arrêt cardiaque) — voie centrale pour le chlorure (risque d'extravasation nécrosante).</w:t>
      </w:r>
    </w:p>
    <w:p>
      <w:pPr>
        <w:pStyle w:val="ListNumber"/>
      </w:pPr>
      <w:r/>
      <w:r>
        <w:rPr>
          <w:b/>
        </w:rPr>
        <w:t>Pièges majeurs à connaître</w:t>
      </w:r>
      <w:r>
        <w:t xml:space="preserve"> :</w:t>
      </w:r>
    </w:p>
    <w:p>
      <w:pPr>
        <w:pStyle w:val="ListBullet"/>
      </w:pPr>
      <w:r>
        <w:t>Prise de l'alendronate avec un aliment → inefficacité totale</w:t>
      </w:r>
    </w:p>
    <w:p>
      <w:pPr>
        <w:pStyle w:val="ListBullet"/>
      </w:pPr>
      <w:r>
        <w:t>Allongement après alendronate → œsophagite sévère</w:t>
      </w:r>
    </w:p>
    <w:p>
      <w:pPr>
        <w:pStyle w:val="ListBullet"/>
      </w:pPr>
      <w:r>
        <w:t>Confusion ACLASTA vs ZOMETA → erreur de dose et de schéma</w:t>
      </w:r>
    </w:p>
    <w:p>
      <w:pPr>
        <w:pStyle w:val="ListBullet"/>
      </w:pPr>
      <w:r>
        <w:t>Oubli de la supplémentation calcique + vitamine D avec bisphosphonates → hypocalcémie</w:t>
      </w:r>
    </w:p>
    <w:p>
      <w:pPr>
        <w:pStyle w:val="ListBullet"/>
      </w:pPr>
      <w:r>
        <w:t>Patient non informé du risque d'ostéonécrose de la mâchoire → nécrose osseuse maxillaire après extraction dentaire</w:t>
      </w:r>
    </w:p>
    <w:p>
      <w:pPr>
        <w:pStyle w:val="ListBullet"/>
      </w:pPr>
      <w:r>
        <w:t>Poursuite du tériparatide &gt; 24 mois → risque théorique d'ostéosarcome</w:t>
      </w:r>
    </w:p>
    <w:p>
      <w:pPr>
        <w:pStyle w:val="ListBullet"/>
      </w:pPr>
      <w:r>
        <w:t>Prescription de ranélate de strontium chez patiente avec ATCD thromboembolique → CI absolue</w:t>
      </w:r>
    </w:p>
    <w:p>
      <w:pPr>
        <w:pStyle w:val="Heading3"/>
      </w:pPr>
      <w:r>
        <w:t>Sources et références mobilisées</w:t>
      </w:r>
    </w:p>
    <w:p>
      <w:pPr>
        <w:pStyle w:val="ListBullet"/>
      </w:pPr>
      <w:r/>
      <w:r>
        <w:rPr>
          <w:b/>
        </w:rPr>
        <w:t>VIDAL</w:t>
      </w:r>
      <w:r>
        <w:t xml:space="preserve"> et </w:t>
      </w:r>
      <w:r>
        <w:rPr>
          <w:b/>
        </w:rPr>
        <w:t>Thériaque</w:t>
      </w:r>
      <w:r>
        <w:t xml:space="preserve"> : Résumés des Caractéristiques du Produit (RCP) pour toutes les DCIs.</w:t>
      </w:r>
    </w:p>
    <w:p>
      <w:pPr>
        <w:pStyle w:val="ListBullet"/>
      </w:pPr>
      <w:r/>
      <w:r>
        <w:rPr>
          <w:b/>
        </w:rPr>
        <w:t>ANSM (Agence Nationale de Sécurité du Médicament)</w:t>
      </w:r>
      <w:r>
        <w:t xml:space="preserve"> : mises en garde sur les bisphosphonates (ostéonécrose de la mâchoire, fractures fémorales atypiques), avis de restriction du ranélate de strontium (2013-2014).</w:t>
      </w:r>
    </w:p>
    <w:p>
      <w:pPr>
        <w:pStyle w:val="ListBullet"/>
      </w:pPr>
      <w:r/>
      <w:r>
        <w:rPr>
          <w:b/>
        </w:rPr>
        <w:t>CRAT (Centre de Référence sur les Agents Tératogènes)</w:t>
      </w:r>
      <w:r>
        <w:t xml:space="preserve"> : compatibilité des bisphosphonates, vitamine D et tériparatide en cours de grossesse et d'allaitement.</w:t>
      </w:r>
    </w:p>
    <w:p>
      <w:pPr>
        <w:pStyle w:val="ListBullet"/>
      </w:pPr>
      <w:r/>
      <w:r>
        <w:rPr>
          <w:b/>
        </w:rPr>
        <w:t>HAS (Haute Autorité de Santé)</w:t>
      </w:r>
      <w:r>
        <w:t xml:space="preserve"> : référentiel "Ostéoporose post-ménopausique" (2018) ; "Traitements médicamenteux de l'ostéoporose post-ménopausique".</w:t>
      </w:r>
    </w:p>
    <w:p>
      <w:pPr>
        <w:pStyle w:val="ListBullet"/>
      </w:pPr>
      <w:r/>
      <w:r>
        <w:rPr>
          <w:b/>
        </w:rPr>
        <w:t>IOF (International Osteoporosis Foundation)</w:t>
      </w:r>
      <w:r>
        <w:t xml:space="preserve"> : recommandations sur la supplémentation en vitamine D et calcium.</w:t>
      </w:r>
    </w:p>
    <w:p>
      <w:pPr>
        <w:pStyle w:val="ListBullet"/>
      </w:pPr>
      <w:r/>
      <w:r>
        <w:rPr>
          <w:b/>
        </w:rPr>
        <w:t>Endocrine Society Clinical Practice Guidelines</w:t>
      </w:r>
      <w:r>
        <w:t xml:space="preserve"> : Holick et al., 2011 (vitamine D) ; Cosman et al., 2014 (ostéoporose).</w:t>
      </w:r>
    </w:p>
    <w:p>
      <w:pPr>
        <w:pStyle w:val="ListBullet"/>
      </w:pPr>
      <w:r/>
      <w:r>
        <w:rPr>
          <w:b/>
        </w:rPr>
        <w:t>KDIGO 2017</w:t>
      </w:r>
      <w:r>
        <w:t xml:space="preserve"> : ostéodystrophie rénale (alfacalcidol, calcitriol).</w:t>
      </w:r>
    </w:p>
    <w:p>
      <w:pPr>
        <w:pStyle w:val="ListBullet"/>
      </w:pPr>
      <w:r/>
      <w:r>
        <w:rPr>
          <w:b/>
        </w:rPr>
        <w:t>EMA</w:t>
      </w:r>
      <w:r>
        <w:t xml:space="preserve"> : registre des AMM pour zolédronate (Aclasta, Zometa), pamidronate, tériparatide.</w:t>
      </w:r>
    </w:p>
    <w:p>
      <w:pPr>
        <w:pStyle w:val="ListBullet"/>
      </w:pPr>
      <w:r/>
      <w:r>
        <w:rPr>
          <w:b/>
        </w:rPr>
        <w:t>Références bibliographiques clés</w:t>
      </w:r>
      <w:r>
        <w:t xml:space="preserve"> : Liberman et al., NEJM 1995 (FIT, alendronate) ; Harris et al., NEJM 1999 (VERT, risédronate) ; McClung et al., NEJM 2001 (HIP, risédronate) ; Black et al., NEJM 2007 (HORIZON, zolédronate) ; Lyles et al., NEJM 2007 (HORIZON-RFT, zolédronate post-fracture hanche) ; Neer et al., NEJM 2001 (tériparatide) ; Saag et al., Arthritis Rheum 2009 (tériparatide vs alendronate cortisonique) ; Meunier et al., J Clin Endocrinol Metab 2002 (SOTI, strontium) ; Reginster et al., J Clin Endocrinol Metab 2005 (TROPOS, strontium) ; Reid et al., NEJM 2005 (Paget, zolédronate vs risédronate) ; Chapuy et al., NEJM 1992 (DECALYOS, calcium + vitamine D sujet âgé) ; Armas et al., J Clin Endocrinol Metab 2004 (D2 vs D3) ; Bernstein et al., JAMA 2012 (bolus vitamine D).</w:t>
      </w:r>
    </w:p>
    <w:p>
      <w:r/>
      <w:r>
        <w:rPr>
          <w:b/>
        </w:rPr>
        <w:t>Fin de la Section 46 — Vitamine D, Calcium, Bisphosphonates et Anti-ostéoporotiques</w:t>
      </w:r>
      <w:r/>
    </w:p>
    <w:p>
      <w:r/>
      <w:r>
        <w:rPr>
          <w:i/>
        </w:rPr>
        <w:t>Fascicule V — Diabétologie/Endocrinologie — Pharmacologie Clinique en Algérie</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Diabétologie/Endocrinologie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